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408940</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UNITED STATES 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10-Q</w:t>
      </w:r>
    </w:p>
    <w:p>
      <w:pPr>
        <w:spacing w:after="0" w:line="100" w:lineRule="exact"/>
        <w:rPr>
          <w:sz w:val="24"/>
          <w:szCs w:val="24"/>
          <w:color w:val="auto"/>
        </w:rPr>
      </w:pPr>
    </w:p>
    <w:p>
      <w:pPr>
        <w:ind w:left="20"/>
        <w:spacing w:after="0"/>
        <w:rPr>
          <w:sz w:val="20"/>
          <w:szCs w:val="20"/>
          <w:color w:val="auto"/>
        </w:rPr>
      </w:pPr>
      <w:r>
        <w:rPr>
          <w:rFonts w:ascii="Arial" w:cs="Arial" w:eastAsia="Arial" w:hAnsi="Arial"/>
          <w:sz w:val="14"/>
          <w:szCs w:val="14"/>
          <w:color w:val="auto"/>
        </w:rPr>
        <w:t>(Mark one)</w:t>
      </w:r>
    </w:p>
    <w:p>
      <w:pPr>
        <w:spacing w:after="0" w:line="8" w:lineRule="exact"/>
        <w:rPr>
          <w:sz w:val="24"/>
          <w:szCs w:val="24"/>
          <w:color w:val="auto"/>
        </w:rPr>
      </w:pPr>
    </w:p>
    <w:p>
      <w:pPr>
        <w:ind w:left="3520" w:right="2720" w:hanging="3510"/>
        <w:spacing w:after="0" w:line="424" w:lineRule="auto"/>
        <w:tabs>
          <w:tab w:leader="none" w:pos="186"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September 30, 2022</w:t>
      </w:r>
    </w:p>
    <w:p>
      <w:pPr>
        <w:spacing w:after="0" w:line="217" w:lineRule="exact"/>
        <w:rPr>
          <w:sz w:val="24"/>
          <w:szCs w:val="24"/>
          <w:color w:val="auto"/>
        </w:rPr>
      </w:pPr>
    </w:p>
    <w:p>
      <w:pPr>
        <w:ind w:left="180" w:hanging="170"/>
        <w:spacing w:after="0"/>
        <w:tabs>
          <w:tab w:leader="none" w:pos="1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302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 the Transition Period from</w:t>
            </w:r>
          </w:p>
        </w:tc>
        <w:tc>
          <w:tcPr>
            <w:tcW w:w="500" w:type="dxa"/>
            <w:vAlign w:val="bottom"/>
          </w:tcPr>
          <w:p>
            <w:pPr>
              <w:ind w:left="120"/>
              <w:spacing w:after="0"/>
              <w:rPr>
                <w:sz w:val="20"/>
                <w:szCs w:val="20"/>
                <w:color w:val="auto"/>
              </w:rPr>
            </w:pPr>
            <w:r>
              <w:rPr>
                <w:rFonts w:ascii="Arial" w:cs="Arial" w:eastAsia="Arial" w:hAnsi="Arial"/>
                <w:sz w:val="14"/>
                <w:szCs w:val="14"/>
                <w:b w:val="1"/>
                <w:bCs w:val="1"/>
                <w:color w:val="auto"/>
              </w:rPr>
              <w:t>to</w:t>
            </w: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87"/>
        </w:trPr>
        <w:tc>
          <w:tcPr>
            <w:tcW w:w="3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00" w:type="dxa"/>
            <w:vAlign w:val="bottom"/>
          </w:tcPr>
          <w:p>
            <w:pPr>
              <w:jc w:val="center"/>
              <w:ind w:left="808"/>
              <w:spacing w:after="0"/>
              <w:rPr>
                <w:sz w:val="20"/>
                <w:szCs w:val="20"/>
                <w:color w:val="auto"/>
              </w:rPr>
            </w:pPr>
            <w:r>
              <w:rPr>
                <w:rFonts w:ascii="Arial" w:cs="Arial" w:eastAsia="Arial" w:hAnsi="Arial"/>
                <w:sz w:val="14"/>
                <w:szCs w:val="14"/>
                <w:color w:val="auto"/>
                <w:w w:val="92"/>
              </w:rPr>
              <w:t>(State or Other</w:t>
            </w:r>
          </w:p>
        </w:tc>
        <w:tc>
          <w:tcPr>
            <w:tcW w:w="1300" w:type="dxa"/>
            <w:vAlign w:val="bottom"/>
          </w:tcPr>
          <w:p>
            <w:pPr>
              <w:spacing w:after="0"/>
              <w:rPr>
                <w:sz w:val="24"/>
                <w:szCs w:val="24"/>
                <w:color w:val="auto"/>
              </w:rPr>
            </w:pPr>
          </w:p>
        </w:tc>
      </w:tr>
      <w:tr>
        <w:trPr>
          <w:trHeight w:val="148"/>
        </w:trPr>
        <w:tc>
          <w:tcPr>
            <w:tcW w:w="3300" w:type="dxa"/>
            <w:vAlign w:val="bottom"/>
          </w:tcPr>
          <w:p>
            <w:pPr>
              <w:spacing w:after="0"/>
              <w:rPr>
                <w:sz w:val="12"/>
                <w:szCs w:val="12"/>
                <w:color w:val="auto"/>
              </w:rPr>
            </w:pPr>
          </w:p>
        </w:tc>
        <w:tc>
          <w:tcPr>
            <w:tcW w:w="3520" w:type="dxa"/>
            <w:vAlign w:val="bottom"/>
            <w:gridSpan w:val="5"/>
          </w:tcPr>
          <w:p>
            <w:pPr>
              <w:jc w:val="center"/>
              <w:ind w:left="88"/>
              <w:spacing w:after="0" w:line="149" w:lineRule="exact"/>
              <w:rPr>
                <w:sz w:val="20"/>
                <w:szCs w:val="20"/>
                <w:color w:val="auto"/>
              </w:rPr>
            </w:pPr>
            <w:r>
              <w:rPr>
                <w:rFonts w:ascii="Arial" w:cs="Arial" w:eastAsia="Arial" w:hAnsi="Arial"/>
                <w:sz w:val="14"/>
                <w:szCs w:val="14"/>
                <w:color w:val="auto"/>
                <w:w w:val="93"/>
              </w:rPr>
              <w:t>(Exact Name of Registrant as Specified in Its Charter)</w:t>
            </w:r>
          </w:p>
        </w:tc>
        <w:tc>
          <w:tcPr>
            <w:tcW w:w="2100" w:type="dxa"/>
            <w:vAlign w:val="bottom"/>
          </w:tcPr>
          <w:p>
            <w:pPr>
              <w:jc w:val="center"/>
              <w:ind w:left="808"/>
              <w:spacing w:after="0" w:line="149" w:lineRule="exact"/>
              <w:rPr>
                <w:sz w:val="20"/>
                <w:szCs w:val="20"/>
                <w:color w:val="auto"/>
              </w:rPr>
            </w:pPr>
            <w:r>
              <w:rPr>
                <w:rFonts w:ascii="Arial" w:cs="Arial" w:eastAsia="Arial" w:hAnsi="Arial"/>
                <w:sz w:val="14"/>
                <w:szCs w:val="14"/>
                <w:color w:val="auto"/>
                <w:w w:val="95"/>
              </w:rPr>
              <w:t>Jurisdiction of</w:t>
            </w:r>
          </w:p>
        </w:tc>
        <w:tc>
          <w:tcPr>
            <w:tcW w:w="1300" w:type="dxa"/>
            <w:vAlign w:val="bottom"/>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3520" w:type="dxa"/>
            <w:vAlign w:val="bottom"/>
            <w:gridSpan w:val="5"/>
          </w:tcPr>
          <w:p>
            <w:pPr>
              <w:jc w:val="center"/>
              <w:ind w:left="68"/>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2100" w:type="dxa"/>
            <w:vAlign w:val="bottom"/>
          </w:tcPr>
          <w:p>
            <w:pPr>
              <w:jc w:val="center"/>
              <w:ind w:left="808"/>
              <w:spacing w:after="0" w:line="149" w:lineRule="exact"/>
              <w:rPr>
                <w:sz w:val="20"/>
                <w:szCs w:val="20"/>
                <w:color w:val="auto"/>
              </w:rPr>
            </w:pPr>
            <w:r>
              <w:rPr>
                <w:rFonts w:ascii="Arial" w:cs="Arial" w:eastAsia="Arial" w:hAnsi="Arial"/>
                <w:sz w:val="14"/>
                <w:szCs w:val="14"/>
                <w:color w:val="auto"/>
                <w:w w:val="95"/>
              </w:rPr>
              <w:t>Incorporation or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4"/>
              </w:rPr>
              <w:t>(IRS Employer</w:t>
            </w:r>
          </w:p>
        </w:tc>
      </w:tr>
      <w:tr>
        <w:trPr>
          <w:trHeight w:val="182"/>
        </w:trPr>
        <w:tc>
          <w:tcPr>
            <w:tcW w:w="3300" w:type="dxa"/>
            <w:vAlign w:val="bottom"/>
          </w:tcPr>
          <w:p>
            <w:pPr>
              <w:jc w:val="center"/>
              <w:ind w:right="608"/>
              <w:spacing w:after="0"/>
              <w:rPr>
                <w:sz w:val="20"/>
                <w:szCs w:val="20"/>
                <w:color w:val="auto"/>
              </w:rPr>
            </w:pPr>
            <w:r>
              <w:rPr>
                <w:rFonts w:ascii="Arial" w:cs="Arial" w:eastAsia="Arial" w:hAnsi="Arial"/>
                <w:sz w:val="14"/>
                <w:szCs w:val="14"/>
                <w:color w:val="auto"/>
                <w:w w:val="94"/>
              </w:rPr>
              <w:t>(Commission File Number)</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(Telephone Number)</w:t>
            </w:r>
          </w:p>
        </w:tc>
        <w:tc>
          <w:tcPr>
            <w:tcW w:w="500" w:type="dxa"/>
            <w:vAlign w:val="bottom"/>
          </w:tcPr>
          <w:p>
            <w:pPr>
              <w:spacing w:after="0"/>
              <w:rPr>
                <w:sz w:val="15"/>
                <w:szCs w:val="15"/>
                <w:color w:val="auto"/>
              </w:rPr>
            </w:pPr>
          </w:p>
        </w:tc>
        <w:tc>
          <w:tcPr>
            <w:tcW w:w="2100" w:type="dxa"/>
            <w:vAlign w:val="bottom"/>
          </w:tcPr>
          <w:p>
            <w:pPr>
              <w:jc w:val="center"/>
              <w:ind w:left="788"/>
              <w:spacing w:after="0"/>
              <w:rPr>
                <w:sz w:val="20"/>
                <w:szCs w:val="20"/>
                <w:color w:val="auto"/>
              </w:rPr>
            </w:pPr>
            <w:r>
              <w:rPr>
                <w:rFonts w:ascii="Arial" w:cs="Arial" w:eastAsia="Arial" w:hAnsi="Arial"/>
                <w:sz w:val="14"/>
                <w:szCs w:val="14"/>
                <w:color w:val="auto"/>
                <w:w w:val="95"/>
              </w:rPr>
              <w:t>Organization)</w:t>
            </w:r>
          </w:p>
        </w:tc>
        <w:tc>
          <w:tcPr>
            <w:tcW w:w="1300" w:type="dxa"/>
            <w:vAlign w:val="bottom"/>
          </w:tcPr>
          <w:p>
            <w:pPr>
              <w:jc w:val="center"/>
              <w:spacing w:after="0"/>
              <w:rPr>
                <w:sz w:val="20"/>
                <w:szCs w:val="20"/>
                <w:color w:val="auto"/>
              </w:rPr>
            </w:pPr>
            <w:r>
              <w:rPr>
                <w:rFonts w:ascii="Arial" w:cs="Arial" w:eastAsia="Arial" w:hAnsi="Arial"/>
                <w:sz w:val="14"/>
                <w:szCs w:val="14"/>
                <w:color w:val="auto"/>
                <w:w w:val="97"/>
              </w:rPr>
              <w:t>Identification No.)</w:t>
            </w:r>
          </w:p>
        </w:tc>
      </w:tr>
      <w:tr>
        <w:trPr>
          <w:trHeight w:val="311"/>
        </w:trPr>
        <w:tc>
          <w:tcPr>
            <w:tcW w:w="3300" w:type="dxa"/>
            <w:vAlign w:val="bottom"/>
          </w:tcPr>
          <w:p>
            <w:pPr>
              <w:jc w:val="right"/>
              <w:ind w:right="1728"/>
              <w:spacing w:after="0"/>
              <w:rPr>
                <w:sz w:val="20"/>
                <w:szCs w:val="20"/>
                <w:color w:val="auto"/>
              </w:rPr>
            </w:pPr>
            <w:r>
              <w:rPr>
                <w:rFonts w:ascii="Arial" w:cs="Arial" w:eastAsia="Arial" w:hAnsi="Arial"/>
                <w:sz w:val="14"/>
                <w:szCs w:val="14"/>
                <w:b w:val="1"/>
                <w:bCs w:val="1"/>
                <w:color w:val="auto"/>
              </w:rPr>
              <w:t>1-9516</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ICAHN ENTERPRISES L.P.</w:t>
            </w:r>
          </w:p>
        </w:tc>
        <w:tc>
          <w:tcPr>
            <w:tcW w:w="500" w:type="dxa"/>
            <w:vAlign w:val="bottom"/>
          </w:tcPr>
          <w:p>
            <w:pPr>
              <w:spacing w:after="0"/>
              <w:rPr>
                <w:sz w:val="24"/>
                <w:szCs w:val="24"/>
                <w:color w:val="auto"/>
              </w:rPr>
            </w:pPr>
          </w:p>
        </w:tc>
        <w:tc>
          <w:tcPr>
            <w:tcW w:w="2100" w:type="dxa"/>
            <w:vAlign w:val="bottom"/>
          </w:tcPr>
          <w:p>
            <w:pPr>
              <w:jc w:val="center"/>
              <w:ind w:left="808"/>
              <w:spacing w:after="0"/>
              <w:rPr>
                <w:sz w:val="20"/>
                <w:szCs w:val="20"/>
                <w:color w:val="auto"/>
              </w:rPr>
            </w:pPr>
            <w:r>
              <w:rPr>
                <w:rFonts w:ascii="Arial" w:cs="Arial" w:eastAsia="Arial" w:hAnsi="Arial"/>
                <w:sz w:val="14"/>
                <w:szCs w:val="14"/>
                <w:b w:val="1"/>
                <w:bCs w:val="1"/>
                <w:color w:val="auto"/>
                <w:w w:val="94"/>
              </w:rPr>
              <w:t>Delaware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13-3398766</w:t>
            </w:r>
          </w:p>
        </w:tc>
      </w:tr>
      <w:tr>
        <w:trPr>
          <w:trHeight w:val="246"/>
        </w:trPr>
        <w:tc>
          <w:tcPr>
            <w:tcW w:w="3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16690 Collins Avenue, PH-1</w:t>
            </w:r>
          </w:p>
        </w:tc>
        <w:tc>
          <w:tcPr>
            <w:tcW w:w="5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148"/>
        </w:trPr>
        <w:tc>
          <w:tcPr>
            <w:tcW w:w="3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Sunny Isles Beach, FL 33160</w:t>
            </w: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86"/>
        </w:trPr>
        <w:tc>
          <w:tcPr>
            <w:tcW w:w="3300" w:type="dxa"/>
            <w:vAlign w:val="bottom"/>
          </w:tcPr>
          <w:p>
            <w:pPr>
              <w:spacing w:after="0"/>
              <w:rPr>
                <w:sz w:val="16"/>
                <w:szCs w:val="16"/>
                <w:color w:val="auto"/>
              </w:rPr>
            </w:pPr>
          </w:p>
        </w:tc>
        <w:tc>
          <w:tcPr>
            <w:tcW w:w="2780" w:type="dxa"/>
            <w:vAlign w:val="bottom"/>
            <w:gridSpan w:val="3"/>
          </w:tcPr>
          <w:p>
            <w:pPr>
              <w:jc w:val="center"/>
              <w:ind w:left="808"/>
              <w:spacing w:after="0"/>
              <w:rPr>
                <w:sz w:val="20"/>
                <w:szCs w:val="20"/>
                <w:color w:val="auto"/>
              </w:rPr>
            </w:pPr>
            <w:r>
              <w:rPr>
                <w:rFonts w:ascii="Arial" w:cs="Arial" w:eastAsia="Arial" w:hAnsi="Arial"/>
                <w:sz w:val="14"/>
                <w:szCs w:val="14"/>
                <w:b w:val="1"/>
                <w:bCs w:val="1"/>
                <w:color w:val="auto"/>
                <w:w w:val="93"/>
              </w:rPr>
              <w:t>(305) 422-4100</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70"/>
        </w:trPr>
        <w:tc>
          <w:tcPr>
            <w:tcW w:w="3300" w:type="dxa"/>
            <w:vAlign w:val="bottom"/>
          </w:tcPr>
          <w:p>
            <w:pPr>
              <w:spacing w:after="0"/>
              <w:rPr>
                <w:sz w:val="23"/>
                <w:szCs w:val="23"/>
                <w:color w:val="auto"/>
              </w:rPr>
            </w:pPr>
          </w:p>
        </w:tc>
        <w:tc>
          <w:tcPr>
            <w:tcW w:w="3520" w:type="dxa"/>
            <w:vAlign w:val="bottom"/>
            <w:gridSpan w:val="5"/>
          </w:tcPr>
          <w:p>
            <w:pPr>
              <w:jc w:val="center"/>
              <w:ind w:left="48"/>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21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51"/>
        </w:trPr>
        <w:tc>
          <w:tcPr>
            <w:tcW w:w="3300" w:type="dxa"/>
            <w:vAlign w:val="bottom"/>
          </w:tcPr>
          <w:p>
            <w:pPr>
              <w:jc w:val="center"/>
              <w:ind w:left="528"/>
              <w:spacing w:after="0"/>
              <w:rPr>
                <w:sz w:val="20"/>
                <w:szCs w:val="20"/>
                <w:color w:val="auto"/>
              </w:rPr>
            </w:pPr>
            <w:r>
              <w:rPr>
                <w:rFonts w:ascii="Arial" w:cs="Arial" w:eastAsia="Arial" w:hAnsi="Arial"/>
                <w:sz w:val="14"/>
                <w:szCs w:val="14"/>
                <w:b w:val="1"/>
                <w:bCs w:val="1"/>
                <w:color w:val="auto"/>
                <w:w w:val="91"/>
              </w:rPr>
              <w:t>Title of Each Class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Trading Symbol(s)</w:t>
            </w:r>
          </w:p>
        </w:tc>
        <w:tc>
          <w:tcPr>
            <w:tcW w:w="500" w:type="dxa"/>
            <w:vAlign w:val="bottom"/>
          </w:tcPr>
          <w:p>
            <w:pPr>
              <w:spacing w:after="0"/>
              <w:rPr>
                <w:sz w:val="24"/>
                <w:szCs w:val="24"/>
                <w:color w:val="auto"/>
              </w:rPr>
            </w:pPr>
          </w:p>
        </w:tc>
        <w:tc>
          <w:tcPr>
            <w:tcW w:w="3400" w:type="dxa"/>
            <w:vAlign w:val="bottom"/>
            <w:gridSpan w:val="2"/>
          </w:tcPr>
          <w:p>
            <w:pPr>
              <w:jc w:val="center"/>
              <w:ind w:right="428"/>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6"/>
        </w:trPr>
        <w:tc>
          <w:tcPr>
            <w:tcW w:w="3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2"/>
          </w:tcPr>
          <w:p>
            <w:pPr>
              <w:spacing w:after="0"/>
              <w:rPr>
                <w:sz w:val="2"/>
                <w:szCs w:val="2"/>
                <w:color w:val="auto"/>
              </w:rPr>
            </w:pPr>
          </w:p>
        </w:tc>
      </w:tr>
      <w:tr>
        <w:trPr>
          <w:trHeight w:val="225"/>
        </w:trPr>
        <w:tc>
          <w:tcPr>
            <w:tcW w:w="3300" w:type="dxa"/>
            <w:vAlign w:val="bottom"/>
          </w:tcPr>
          <w:p>
            <w:pPr>
              <w:jc w:val="center"/>
              <w:ind w:left="488"/>
              <w:spacing w:after="0"/>
              <w:rPr>
                <w:sz w:val="20"/>
                <w:szCs w:val="20"/>
                <w:color w:val="auto"/>
              </w:rPr>
            </w:pPr>
            <w:r>
              <w:rPr>
                <w:rFonts w:ascii="Arial" w:cs="Arial" w:eastAsia="Arial" w:hAnsi="Arial"/>
                <w:sz w:val="14"/>
                <w:szCs w:val="14"/>
                <w:color w:val="auto"/>
                <w:w w:val="93"/>
              </w:rPr>
              <w:t>Depositary Units of Icahn Enterprises L.P.</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gridSpan w:val="2"/>
          </w:tcPr>
          <w:p>
            <w:pPr>
              <w:jc w:val="center"/>
              <w:ind w:right="240"/>
              <w:spacing w:after="0"/>
              <w:rPr>
                <w:sz w:val="20"/>
                <w:szCs w:val="20"/>
                <w:color w:val="auto"/>
              </w:rPr>
            </w:pPr>
            <w:r>
              <w:rPr>
                <w:rFonts w:ascii="Arial" w:cs="Arial" w:eastAsia="Arial" w:hAnsi="Arial"/>
                <w:sz w:val="14"/>
                <w:szCs w:val="14"/>
                <w:color w:val="auto"/>
                <w:w w:val="88"/>
              </w:rPr>
              <w:t>IEP</w:t>
            </w:r>
          </w:p>
        </w:tc>
        <w:tc>
          <w:tcPr>
            <w:tcW w:w="500" w:type="dxa"/>
            <w:vAlign w:val="bottom"/>
          </w:tcPr>
          <w:p>
            <w:pPr>
              <w:spacing w:after="0"/>
              <w:rPr>
                <w:sz w:val="19"/>
                <w:szCs w:val="19"/>
                <w:color w:val="auto"/>
              </w:rPr>
            </w:pPr>
          </w:p>
        </w:tc>
        <w:tc>
          <w:tcPr>
            <w:tcW w:w="3400" w:type="dxa"/>
            <w:vAlign w:val="bottom"/>
            <w:gridSpan w:val="2"/>
          </w:tcPr>
          <w:p>
            <w:pPr>
              <w:jc w:val="center"/>
              <w:ind w:right="408"/>
              <w:spacing w:after="0"/>
              <w:rPr>
                <w:sz w:val="20"/>
                <w:szCs w:val="20"/>
                <w:color w:val="auto"/>
              </w:rPr>
            </w:pPr>
            <w:r>
              <w:rPr>
                <w:rFonts w:ascii="Arial" w:cs="Arial" w:eastAsia="Arial" w:hAnsi="Arial"/>
                <w:sz w:val="14"/>
                <w:szCs w:val="14"/>
                <w:color w:val="auto"/>
                <w:w w:val="92"/>
              </w:rPr>
              <w:t>Nasdaq Global Select Market</w:t>
            </w:r>
          </w:p>
        </w:tc>
      </w:tr>
      <w:tr>
        <w:trPr>
          <w:trHeight w:val="182"/>
        </w:trPr>
        <w:tc>
          <w:tcPr>
            <w:tcW w:w="3300" w:type="dxa"/>
            <w:vAlign w:val="bottom"/>
          </w:tcPr>
          <w:p>
            <w:pPr>
              <w:jc w:val="center"/>
              <w:ind w:left="528"/>
              <w:spacing w:after="0"/>
              <w:rPr>
                <w:sz w:val="20"/>
                <w:szCs w:val="20"/>
                <w:color w:val="auto"/>
              </w:rPr>
            </w:pPr>
            <w:r>
              <w:rPr>
                <w:rFonts w:ascii="Arial" w:cs="Arial" w:eastAsia="Arial" w:hAnsi="Arial"/>
                <w:sz w:val="14"/>
                <w:szCs w:val="14"/>
                <w:color w:val="auto"/>
                <w:w w:val="92"/>
              </w:rPr>
              <w:t>Representing Limited Partner Interests</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300" w:type="dxa"/>
            <w:vAlign w:val="bottom"/>
          </w:tcPr>
          <w:p>
            <w:pPr>
              <w:spacing w:after="0"/>
              <w:rPr>
                <w:sz w:val="15"/>
                <w:szCs w:val="15"/>
                <w:color w:val="auto"/>
              </w:rPr>
            </w:pPr>
          </w:p>
        </w:tc>
      </w:tr>
    </w:tbl>
    <w:p>
      <w:pPr>
        <w:spacing w:after="0" w:line="200" w:lineRule="exact"/>
        <w:rPr>
          <w:sz w:val="24"/>
          <w:szCs w:val="24"/>
          <w:color w:val="auto"/>
        </w:rPr>
      </w:pPr>
    </w:p>
    <w:p>
      <w:pPr>
        <w:spacing w:after="0" w:line="249" w:lineRule="exact"/>
        <w:rPr>
          <w:sz w:val="24"/>
          <w:szCs w:val="24"/>
          <w:color w:val="auto"/>
        </w:rPr>
      </w:pPr>
    </w:p>
    <w:p>
      <w:pPr>
        <w:ind w:left="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79" w:lineRule="exact"/>
        <w:rPr>
          <w:sz w:val="24"/>
          <w:szCs w:val="24"/>
          <w:color w:val="auto"/>
        </w:rPr>
      </w:pPr>
    </w:p>
    <w:p>
      <w:pPr>
        <w:ind w:left="20"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38" w:lineRule="exact"/>
        <w:rPr>
          <w:sz w:val="24"/>
          <w:szCs w:val="24"/>
          <w:color w:val="auto"/>
        </w:rPr>
      </w:pPr>
    </w:p>
    <w:p>
      <w:pPr>
        <w:ind w:left="20" w:right="2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56" w:lineRule="exact"/>
        <w:rPr>
          <w:sz w:val="24"/>
          <w:szCs w:val="24"/>
          <w:color w:val="auto"/>
        </w:rPr>
      </w:pPr>
    </w:p>
    <w:tbl>
      <w:tblPr>
        <w:tblLayout w:type="fixed"/>
        <w:tblInd w:w="940" w:type="dxa"/>
        <w:tblCellMar>
          <w:top w:w="0" w:type="dxa"/>
          <w:left w:w="0" w:type="dxa"/>
          <w:bottom w:w="0" w:type="dxa"/>
          <w:right w:w="0" w:type="dxa"/>
        </w:tblCellMar>
      </w:tblPr>
      <w:tr>
        <w:trPr>
          <w:trHeight w:val="324"/>
        </w:trPr>
        <w:tc>
          <w:tcPr>
            <w:tcW w:w="1800" w:type="dxa"/>
            <w:vAlign w:val="bottom"/>
          </w:tcPr>
          <w:p>
            <w:pPr>
              <w:jc w:val="right"/>
              <w:ind w:right="10"/>
              <w:spacing w:after="0"/>
              <w:rPr>
                <w:sz w:val="20"/>
                <w:szCs w:val="20"/>
                <w:color w:val="auto"/>
              </w:rPr>
            </w:pPr>
            <w:r>
              <w:rPr>
                <w:rFonts w:ascii="Arial" w:cs="Arial" w:eastAsia="Arial" w:hAnsi="Arial"/>
                <w:sz w:val="18"/>
                <w:szCs w:val="18"/>
                <w:color w:val="auto"/>
                <w:w w:val="90"/>
              </w:rPr>
              <w:t>Large Accelerated Filer</w:t>
            </w:r>
          </w:p>
        </w:tc>
        <w:tc>
          <w:tcPr>
            <w:tcW w:w="6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420" w:type="dxa"/>
            <w:vAlign w:val="bottom"/>
          </w:tcPr>
          <w:p>
            <w:pPr>
              <w:ind w:left="220"/>
              <w:spacing w:after="0"/>
              <w:rPr>
                <w:sz w:val="20"/>
                <w:szCs w:val="20"/>
                <w:color w:val="auto"/>
              </w:rPr>
            </w:pPr>
            <w:r>
              <w:rPr>
                <w:rFonts w:ascii="Arial" w:cs="Arial" w:eastAsia="Arial" w:hAnsi="Arial"/>
                <w:sz w:val="18"/>
                <w:szCs w:val="18"/>
                <w:color w:val="auto"/>
                <w:w w:val="98"/>
              </w:rPr>
              <w:t>Emerging Growth Company</w:t>
            </w:r>
          </w:p>
        </w:tc>
        <w:tc>
          <w:tcPr>
            <w:tcW w:w="340" w:type="dxa"/>
            <w:vAlign w:val="bottom"/>
          </w:tcPr>
          <w:p>
            <w:pPr>
              <w:ind w:left="18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83"/>
        </w:trPr>
        <w:tc>
          <w:tcPr>
            <w:tcW w:w="1800" w:type="dxa"/>
            <w:vAlign w:val="bottom"/>
          </w:tcPr>
          <w:p>
            <w:pPr>
              <w:jc w:val="right"/>
              <w:ind w:right="10"/>
              <w:spacing w:after="0"/>
              <w:rPr>
                <w:sz w:val="20"/>
                <w:szCs w:val="20"/>
                <w:color w:val="auto"/>
              </w:rPr>
            </w:pPr>
            <w:r>
              <w:rPr>
                <w:rFonts w:ascii="Arial" w:cs="Arial" w:eastAsia="Arial" w:hAnsi="Arial"/>
                <w:sz w:val="18"/>
                <w:szCs w:val="18"/>
                <w:color w:val="auto"/>
                <w:w w:val="97"/>
              </w:rPr>
              <w:t>Non-accelerated Filer</w:t>
            </w:r>
          </w:p>
        </w:tc>
        <w:tc>
          <w:tcPr>
            <w:tcW w:w="6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1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290" w:lineRule="exact"/>
        <w:rPr>
          <w:sz w:val="24"/>
          <w:szCs w:val="24"/>
          <w:color w:val="auto"/>
        </w:rPr>
      </w:pPr>
    </w:p>
    <w:p>
      <w:pPr>
        <w:ind w:left="20" w:right="1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color w:val="auto"/>
        </w:rPr>
        <w:t>☐</w:t>
      </w:r>
    </w:p>
    <w:p>
      <w:pPr>
        <w:spacing w:after="0" w:line="42" w:lineRule="exact"/>
        <w:rPr>
          <w:sz w:val="24"/>
          <w:szCs w:val="24"/>
          <w:color w:val="auto"/>
        </w:rPr>
      </w:pPr>
    </w:p>
    <w:p>
      <w:pPr>
        <w:ind w:left="20"/>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highlight w:val="black"/>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33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November 3, 2022, there were 337,473,951 of Icahn Enterprises’ depositary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503555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83185</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126365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5" w:right="8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97"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gridSpan w:val="6"/>
            <w:vMerge w:val="restart"/>
          </w:tcPr>
          <w:p>
            <w:pPr>
              <w:spacing w:after="0"/>
              <w:rPr>
                <w:sz w:val="20"/>
                <w:szCs w:val="20"/>
                <w:color w:val="auto"/>
              </w:rPr>
            </w:pPr>
            <w:r>
              <w:rPr>
                <w:rFonts w:ascii="Arial" w:cs="Arial" w:eastAsia="Arial" w:hAnsi="Arial"/>
                <w:sz w:val="18"/>
                <w:szCs w:val="18"/>
                <w:color w:val="0000EE"/>
                <w:w w:val="90"/>
              </w:rPr>
              <w:t>Forward-Looking Statements</w:t>
            </w:r>
          </w:p>
        </w:tc>
        <w:tc>
          <w:tcPr>
            <w:tcW w:w="4780" w:type="dxa"/>
            <w:vAlign w:val="bottom"/>
            <w:gridSpan w:val="4"/>
            <w:vMerge w:val="restart"/>
          </w:tcPr>
          <w:p>
            <w:pPr>
              <w:spacing w:after="0"/>
              <w:rPr>
                <w:sz w:val="14"/>
                <w:szCs w:val="14"/>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 No</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20" w:type="dxa"/>
            <w:vAlign w:val="bottom"/>
            <w:tcBorders>
              <w:bottom w:val="single" w:sz="8" w:color="0000EE"/>
            </w:tcBorders>
            <w:gridSpan w:val="6"/>
            <w:vMerge w:val="continue"/>
          </w:tcPr>
          <w:p>
            <w:pPr>
              <w:spacing w:after="0"/>
              <w:rPr>
                <w:sz w:val="15"/>
                <w:szCs w:val="15"/>
                <w:color w:val="auto"/>
              </w:rPr>
            </w:pPr>
          </w:p>
        </w:tc>
        <w:tc>
          <w:tcPr>
            <w:tcW w:w="4780" w:type="dxa"/>
            <w:vAlign w:val="bottom"/>
            <w:gridSpan w:val="4"/>
            <w:vMerge w:val="continue"/>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49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40" w:type="dxa"/>
            <w:vAlign w:val="bottom"/>
            <w:gridSpan w:val="5"/>
          </w:tcPr>
          <w:p>
            <w:pPr>
              <w:jc w:val="center"/>
              <w:ind w:right="1800"/>
              <w:spacing w:after="0"/>
              <w:rPr>
                <w:sz w:val="20"/>
                <w:szCs w:val="20"/>
                <w:color w:val="auto"/>
              </w:rPr>
            </w:pPr>
            <w:r>
              <w:rPr>
                <w:rFonts w:ascii="Arial" w:cs="Arial" w:eastAsia="Arial" w:hAnsi="Arial"/>
                <w:sz w:val="18"/>
                <w:szCs w:val="18"/>
                <w:b w:val="1"/>
                <w:bCs w:val="1"/>
                <w:color w:val="auto"/>
              </w:rPr>
              <w:t>PART I. FINANCIAL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20" w:type="dxa"/>
            <w:vAlign w:val="bottom"/>
            <w:tcBorders>
              <w:bottom w:val="single" w:sz="8" w:color="0000EE"/>
            </w:tcBorders>
            <w:gridSpan w:val="2"/>
          </w:tcPr>
          <w:p>
            <w:pPr>
              <w:spacing w:after="0" w:line="190" w:lineRule="exact"/>
              <w:rPr>
                <w:sz w:val="20"/>
                <w:szCs w:val="20"/>
                <w:color w:val="auto"/>
              </w:rPr>
            </w:pPr>
            <w:r>
              <w:rPr>
                <w:rFonts w:ascii="Arial" w:cs="Arial" w:eastAsia="Arial" w:hAnsi="Arial"/>
                <w:sz w:val="18"/>
                <w:szCs w:val="18"/>
                <w:color w:val="0000EE"/>
                <w:w w:val="90"/>
              </w:rPr>
              <w:t>Item 1.</w:t>
            </w:r>
          </w:p>
        </w:tc>
        <w:tc>
          <w:tcPr>
            <w:tcW w:w="480" w:type="dxa"/>
            <w:vAlign w:val="bottom"/>
            <w:gridSpan w:val="2"/>
          </w:tcPr>
          <w:p>
            <w:pPr>
              <w:spacing w:after="0"/>
              <w:rPr>
                <w:sz w:val="16"/>
                <w:szCs w:val="16"/>
                <w:color w:val="auto"/>
              </w:rPr>
            </w:pPr>
          </w:p>
        </w:tc>
        <w:tc>
          <w:tcPr>
            <w:tcW w:w="2420" w:type="dxa"/>
            <w:vAlign w:val="bottom"/>
            <w:tcBorders>
              <w:bottom w:val="single" w:sz="8" w:color="0000EE"/>
            </w:tcBorders>
            <w:gridSpan w:val="7"/>
          </w:tcPr>
          <w:p>
            <w:pPr>
              <w:spacing w:after="0" w:line="190" w:lineRule="exact"/>
              <w:rPr>
                <w:sz w:val="20"/>
                <w:szCs w:val="20"/>
                <w:color w:val="auto"/>
              </w:rPr>
            </w:pPr>
            <w:r>
              <w:rPr>
                <w:rFonts w:ascii="Arial" w:cs="Arial" w:eastAsia="Arial" w:hAnsi="Arial"/>
                <w:sz w:val="18"/>
                <w:szCs w:val="18"/>
                <w:color w:val="0000EE"/>
                <w:w w:val="89"/>
              </w:rPr>
              <w:t>Financial Statements (Unaudited)</w:t>
            </w:r>
          </w:p>
        </w:tc>
        <w:tc>
          <w:tcPr>
            <w:tcW w:w="4480" w:type="dxa"/>
            <w:vAlign w:val="bottom"/>
            <w:gridSpan w:val="3"/>
          </w:tcPr>
          <w:p>
            <w:pPr>
              <w:spacing w:after="0"/>
              <w:rPr>
                <w:sz w:val="16"/>
                <w:szCs w:val="16"/>
                <w:color w:val="auto"/>
              </w:rPr>
            </w:pPr>
          </w:p>
        </w:tc>
        <w:tc>
          <w:tcPr>
            <w:tcW w:w="940" w:type="dxa"/>
            <w:vAlign w:val="bottom"/>
          </w:tcPr>
          <w:p>
            <w:pPr>
              <w:jc w:val="center"/>
              <w:spacing w:after="0" w:line="190"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Item 2.</w:t>
            </w:r>
          </w:p>
        </w:tc>
        <w:tc>
          <w:tcPr>
            <w:tcW w:w="480" w:type="dxa"/>
            <w:vAlign w:val="bottom"/>
            <w:gridSpan w:val="2"/>
          </w:tcPr>
          <w:p>
            <w:pPr>
              <w:spacing w:after="0"/>
              <w:rPr>
                <w:sz w:val="17"/>
                <w:szCs w:val="17"/>
                <w:color w:val="auto"/>
              </w:rPr>
            </w:pPr>
          </w:p>
        </w:tc>
        <w:tc>
          <w:tcPr>
            <w:tcW w:w="646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44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96"/>
        </w:trPr>
        <w:tc>
          <w:tcPr>
            <w:tcW w:w="1000" w:type="dxa"/>
            <w:vAlign w:val="bottom"/>
            <w:gridSpan w:val="4"/>
          </w:tcPr>
          <w:p>
            <w:pPr>
              <w:spacing w:after="0" w:line="196" w:lineRule="exact"/>
              <w:rPr>
                <w:sz w:val="20"/>
                <w:szCs w:val="20"/>
                <w:color w:val="auto"/>
              </w:rPr>
            </w:pPr>
            <w:r>
              <w:rPr>
                <w:rFonts w:ascii="Arial" w:cs="Arial" w:eastAsia="Arial" w:hAnsi="Arial"/>
                <w:sz w:val="18"/>
                <w:szCs w:val="18"/>
                <w:color w:val="0000EE"/>
              </w:rPr>
              <w:t>Item 3.</w:t>
            </w:r>
          </w:p>
        </w:tc>
        <w:tc>
          <w:tcPr>
            <w:tcW w:w="6900" w:type="dxa"/>
            <w:vAlign w:val="bottom"/>
            <w:gridSpan w:val="10"/>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2600" w:type="dxa"/>
            <w:vAlign w:val="bottom"/>
            <w:tcBorders>
              <w:left w:val="single" w:sz="8" w:color="0000EE"/>
            </w:tcBorders>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4"/>
          </w:tcPr>
          <w:p>
            <w:pPr>
              <w:spacing w:after="0" w:line="196" w:lineRule="exact"/>
              <w:rPr>
                <w:sz w:val="20"/>
                <w:szCs w:val="20"/>
                <w:color w:val="auto"/>
              </w:rPr>
            </w:pPr>
            <w:r>
              <w:rPr>
                <w:rFonts w:ascii="Arial" w:cs="Arial" w:eastAsia="Arial" w:hAnsi="Arial"/>
                <w:sz w:val="18"/>
                <w:szCs w:val="18"/>
                <w:color w:val="0000EE"/>
              </w:rPr>
              <w:t>Item 4</w:t>
            </w:r>
            <w:r>
              <w:rPr>
                <w:rFonts w:ascii="Arial" w:cs="Arial" w:eastAsia="Arial" w:hAnsi="Arial"/>
                <w:sz w:val="18"/>
                <w:szCs w:val="18"/>
                <w:color w:val="000000"/>
              </w:rPr>
              <w:t>.</w:t>
            </w:r>
          </w:p>
        </w:tc>
        <w:tc>
          <w:tcPr>
            <w:tcW w:w="6900" w:type="dxa"/>
            <w:vAlign w:val="bottom"/>
            <w:gridSpan w:val="10"/>
          </w:tcPr>
          <w:p>
            <w:pPr>
              <w:spacing w:after="0" w:line="196" w:lineRule="exact"/>
              <w:rPr>
                <w:sz w:val="20"/>
                <w:szCs w:val="20"/>
                <w:color w:val="auto"/>
              </w:rPr>
            </w:pPr>
            <w:r>
              <w:rPr>
                <w:rFonts w:ascii="Arial" w:cs="Arial" w:eastAsia="Arial" w:hAnsi="Arial"/>
                <w:sz w:val="18"/>
                <w:szCs w:val="18"/>
                <w:color w:val="0000EE"/>
              </w:rPr>
              <w:t>Controls and Procedures</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492"/>
        </w:trPr>
        <w:tc>
          <w:tcPr>
            <w:tcW w:w="4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140" w:type="dxa"/>
            <w:vAlign w:val="bottom"/>
            <w:gridSpan w:val="5"/>
          </w:tcPr>
          <w:p>
            <w:pPr>
              <w:jc w:val="center"/>
              <w:ind w:right="1820"/>
              <w:spacing w:after="0"/>
              <w:rPr>
                <w:sz w:val="20"/>
                <w:szCs w:val="20"/>
                <w:color w:val="auto"/>
              </w:rPr>
            </w:pPr>
            <w:r>
              <w:rPr>
                <w:rFonts w:ascii="Arial" w:cs="Arial" w:eastAsia="Arial" w:hAnsi="Arial"/>
                <w:sz w:val="18"/>
                <w:szCs w:val="18"/>
                <w:b w:val="1"/>
                <w:bCs w:val="1"/>
                <w:color w:val="auto"/>
              </w:rPr>
              <w:t>PART II. OTHER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20" w:type="dxa"/>
            <w:vAlign w:val="bottom"/>
            <w:tcBorders>
              <w:bottom w:val="single" w:sz="8" w:color="0000EE"/>
            </w:tcBorders>
            <w:gridSpan w:val="2"/>
          </w:tcPr>
          <w:p>
            <w:pPr>
              <w:spacing w:after="0" w:line="190" w:lineRule="exact"/>
              <w:rPr>
                <w:sz w:val="20"/>
                <w:szCs w:val="20"/>
                <w:color w:val="auto"/>
              </w:rPr>
            </w:pPr>
            <w:r>
              <w:rPr>
                <w:rFonts w:ascii="Arial" w:cs="Arial" w:eastAsia="Arial" w:hAnsi="Arial"/>
                <w:sz w:val="18"/>
                <w:szCs w:val="18"/>
                <w:color w:val="0000EE"/>
                <w:w w:val="90"/>
              </w:rPr>
              <w:t>Item 1.</w:t>
            </w:r>
          </w:p>
        </w:tc>
        <w:tc>
          <w:tcPr>
            <w:tcW w:w="480" w:type="dxa"/>
            <w:vAlign w:val="bottom"/>
            <w:gridSpan w:val="2"/>
          </w:tcPr>
          <w:p>
            <w:pPr>
              <w:spacing w:after="0"/>
              <w:rPr>
                <w:sz w:val="16"/>
                <w:szCs w:val="16"/>
                <w:color w:val="auto"/>
              </w:rPr>
            </w:pPr>
          </w:p>
        </w:tc>
        <w:tc>
          <w:tcPr>
            <w:tcW w:w="1340" w:type="dxa"/>
            <w:vAlign w:val="bottom"/>
            <w:tcBorders>
              <w:bottom w:val="single" w:sz="8" w:color="0000EE"/>
            </w:tcBorders>
            <w:gridSpan w:val="4"/>
          </w:tcPr>
          <w:p>
            <w:pPr>
              <w:spacing w:after="0" w:line="190" w:lineRule="exact"/>
              <w:rPr>
                <w:sz w:val="20"/>
                <w:szCs w:val="20"/>
                <w:color w:val="auto"/>
              </w:rPr>
            </w:pPr>
            <w:r>
              <w:rPr>
                <w:rFonts w:ascii="Arial" w:cs="Arial" w:eastAsia="Arial" w:hAnsi="Arial"/>
                <w:sz w:val="18"/>
                <w:szCs w:val="18"/>
                <w:color w:val="0000EE"/>
                <w:w w:val="88"/>
              </w:rPr>
              <w:t>Legal Proceedings</w:t>
            </w:r>
          </w:p>
        </w:tc>
        <w:tc>
          <w:tcPr>
            <w:tcW w:w="5560" w:type="dxa"/>
            <w:vAlign w:val="bottom"/>
            <w:gridSpan w:val="6"/>
          </w:tcPr>
          <w:p>
            <w:pPr>
              <w:spacing w:after="0"/>
              <w:rPr>
                <w:sz w:val="16"/>
                <w:szCs w:val="16"/>
                <w:color w:val="auto"/>
              </w:rPr>
            </w:pPr>
          </w:p>
        </w:tc>
        <w:tc>
          <w:tcPr>
            <w:tcW w:w="940" w:type="dxa"/>
            <w:vAlign w:val="bottom"/>
          </w:tcPr>
          <w:p>
            <w:pPr>
              <w:jc w:val="center"/>
              <w:spacing w:after="0" w:line="190"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196"/>
        </w:trPr>
        <w:tc>
          <w:tcPr>
            <w:tcW w:w="640" w:type="dxa"/>
            <w:vAlign w:val="bottom"/>
            <w:gridSpan w:val="3"/>
          </w:tcPr>
          <w:p>
            <w:pPr>
              <w:spacing w:after="0" w:line="196" w:lineRule="exact"/>
              <w:rPr>
                <w:sz w:val="20"/>
                <w:szCs w:val="20"/>
                <w:color w:val="auto"/>
              </w:rPr>
            </w:pPr>
            <w:r>
              <w:rPr>
                <w:rFonts w:ascii="Arial" w:cs="Arial" w:eastAsia="Arial" w:hAnsi="Arial"/>
                <w:sz w:val="18"/>
                <w:szCs w:val="18"/>
                <w:color w:val="0000EE"/>
                <w:w w:val="92"/>
              </w:rPr>
              <w:t>Item 1A.</w:t>
            </w:r>
          </w:p>
        </w:tc>
        <w:tc>
          <w:tcPr>
            <w:tcW w:w="360" w:type="dxa"/>
            <w:vAlign w:val="bottom"/>
          </w:tcPr>
          <w:p>
            <w:pPr>
              <w:spacing w:after="0"/>
              <w:rPr>
                <w:sz w:val="17"/>
                <w:szCs w:val="17"/>
                <w:color w:val="auto"/>
              </w:rPr>
            </w:pPr>
          </w:p>
        </w:tc>
        <w:tc>
          <w:tcPr>
            <w:tcW w:w="6900" w:type="dxa"/>
            <w:vAlign w:val="bottom"/>
            <w:gridSpan w:val="10"/>
          </w:tcPr>
          <w:p>
            <w:pPr>
              <w:spacing w:after="0" w:line="196" w:lineRule="exact"/>
              <w:rPr>
                <w:sz w:val="20"/>
                <w:szCs w:val="20"/>
                <w:color w:val="auto"/>
              </w:rPr>
            </w:pPr>
            <w:r>
              <w:rPr>
                <w:rFonts w:ascii="Arial" w:cs="Arial" w:eastAsia="Arial" w:hAnsi="Arial"/>
                <w:sz w:val="18"/>
                <w:szCs w:val="18"/>
                <w:color w:val="0000EE"/>
              </w:rPr>
              <w:t>Risk Factors</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sz w:val="20"/>
                <w:szCs w:val="20"/>
                <w:color w:val="auto"/>
              </w:rPr>
            </w:pPr>
            <w:r>
              <w:rPr>
                <w:rFonts w:ascii="Arial" w:cs="Arial" w:eastAsia="Arial" w:hAnsi="Arial"/>
                <w:sz w:val="18"/>
                <w:szCs w:val="18"/>
                <w:color w:val="0000EE"/>
              </w:rPr>
              <w:t>Item 2</w:t>
            </w:r>
            <w:r>
              <w:rPr>
                <w:rFonts w:ascii="Arial" w:cs="Arial" w:eastAsia="Arial" w:hAnsi="Arial"/>
                <w:sz w:val="18"/>
                <w:szCs w:val="18"/>
                <w:color w:val="000000"/>
              </w:rPr>
              <w:t>.</w:t>
            </w:r>
          </w:p>
        </w:tc>
        <w:tc>
          <w:tcPr>
            <w:tcW w:w="360" w:type="dxa"/>
            <w:vAlign w:val="bottom"/>
          </w:tcPr>
          <w:p>
            <w:pPr>
              <w:spacing w:after="0"/>
              <w:rPr>
                <w:sz w:val="17"/>
                <w:szCs w:val="17"/>
                <w:color w:val="auto"/>
              </w:rPr>
            </w:pPr>
          </w:p>
        </w:tc>
        <w:tc>
          <w:tcPr>
            <w:tcW w:w="6900" w:type="dxa"/>
            <w:vAlign w:val="bottom"/>
            <w:gridSpan w:val="10"/>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980" w:type="dxa"/>
            <w:vAlign w:val="bottom"/>
            <w:gridSpan w:val="5"/>
            <w:shd w:val="clear" w:color="auto" w:fill="0000EE"/>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Item 5.</w:t>
            </w:r>
          </w:p>
        </w:tc>
        <w:tc>
          <w:tcPr>
            <w:tcW w:w="480" w:type="dxa"/>
            <w:vAlign w:val="bottom"/>
            <w:gridSpan w:val="2"/>
          </w:tcPr>
          <w:p>
            <w:pPr>
              <w:spacing w:after="0"/>
              <w:rPr>
                <w:sz w:val="17"/>
                <w:szCs w:val="17"/>
                <w:color w:val="auto"/>
              </w:rPr>
            </w:pPr>
          </w:p>
        </w:tc>
        <w:tc>
          <w:tcPr>
            <w:tcW w:w="13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2"/>
              </w:rPr>
              <w:t>Other Information</w:t>
            </w:r>
          </w:p>
        </w:tc>
        <w:tc>
          <w:tcPr>
            <w:tcW w:w="5580" w:type="dxa"/>
            <w:vAlign w:val="bottom"/>
            <w:gridSpan w:val="7"/>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Item 6.</w:t>
            </w:r>
          </w:p>
        </w:tc>
        <w:tc>
          <w:tcPr>
            <w:tcW w:w="480" w:type="dxa"/>
            <w:vAlign w:val="bottom"/>
            <w:gridSpan w:val="2"/>
          </w:tcPr>
          <w:p>
            <w:pPr>
              <w:spacing w:after="0"/>
              <w:rPr>
                <w:sz w:val="17"/>
                <w:szCs w:val="17"/>
                <w:color w:val="auto"/>
              </w:rPr>
            </w:pPr>
          </w:p>
        </w:tc>
        <w:tc>
          <w:tcPr>
            <w:tcW w:w="6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Exhibits</w:t>
            </w:r>
          </w:p>
        </w:tc>
        <w:tc>
          <w:tcPr>
            <w:tcW w:w="6300" w:type="dxa"/>
            <w:vAlign w:val="bottom"/>
            <w:gridSpan w:val="9"/>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or by the Private Securities Litigation Reform Act.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including the impact of the COVID-19 pandemic,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179" w:lineRule="exact"/>
        <w:rPr>
          <w:sz w:val="20"/>
          <w:szCs w:val="20"/>
          <w:color w:val="auto"/>
        </w:rPr>
      </w:pPr>
    </w:p>
    <w:p>
      <w:pPr>
        <w:ind w:left="60" w:right="59" w:firstLine="324"/>
        <w:spacing w:after="0" w:line="266" w:lineRule="auto"/>
        <w:rPr>
          <w:sz w:val="20"/>
          <w:szCs w:val="20"/>
          <w:color w:val="auto"/>
        </w:rPr>
      </w:pPr>
      <w:r>
        <w:rPr>
          <w:rFonts w:ascii="Arial" w:cs="Arial" w:eastAsia="Arial" w:hAnsi="Arial"/>
          <w:sz w:val="17"/>
          <w:szCs w:val="17"/>
          <w:color w:val="auto"/>
        </w:rPr>
        <w:t>Forward-looking statements include certain statements made under the caption, “Management’s Discussion and Analysis of Financial Condition and Results of Operations,” under Part I, Item 2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include risks related to economic downturns, substantial competition and rising operating costs; risks related to the severity, magnitude and duration of the COVID-19 pandemic and its impact on the global economy, financial markets and industries in which our subsidiaries operate; the impacts from the Russia/Ukraine conflict, including economic volatility and the impacts of export controls and other economic sanctions; risks related to our investment activities, including the nature of the investments made by the private funds in which we invest, declines in the fair value of our investments as a result of the COVID-19 pandemic, losses in the private funds and loss of key employees; risks related to our ability to continue to conduct our activities in a manner so as to not be deemed an investment company under the Investment Company Act of 1940, as amended; risks related to our energy business, including the volatility and availability of crude oil, other feed stocks and refined products, declines in global demand for crude oil, refined products and liquid transportation fuels as result of the COVID-19 pandemic, unfavorable refining margin (crack spread), interrupted access to pipelines, significant fluctuations in nitrogen fertilizer demand in the agricultural industry and seasonality of results; risks related to our automotive activities and exposure to adverse conditions in the automotive industry, including as a result of the COVID-19 pandemic; risks related to our food packaging activities, including competition from better capitalized competitors, inability of our suppliers to timely deliver raw materials, and the failure to effectively respond to industry changes in casings technology; supply chain issues; inflation, including increased costs of raw materials and shipping, including as a result of the Russia/Ukraine conflict; interest rate increases; labor shortages and workforce availability; risks related to our real estate activities, including the extent of any tenant bankruptcies and insolvencies; risks related to our home fashion operations, including changes in the availability and price of raw materials, and changes in transportation costs and delivery times. These risks and uncertainties also include the risks and uncertainties described in our Annual Report on Form 10-K for the year ended December 31, 2021 and those set forth in this Report, including under the caption “Risk Factors,” under Part II, Item 1A of this Report. Additionally, there may be other factors not presently known to us or which we currently consider to be immaterial that may cause our actual results to differ materially from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6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6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4"/>
                <w:szCs w:val="14"/>
                <w:color w:val="auto"/>
                <w:w w:val="92"/>
              </w:rPr>
              <w:t>(in millions, except</w:t>
            </w:r>
          </w:p>
        </w:tc>
        <w:tc>
          <w:tcPr>
            <w:tcW w:w="1120" w:type="dxa"/>
            <w:vAlign w:val="bottom"/>
            <w:gridSpan w:val="2"/>
          </w:tcPr>
          <w:p>
            <w:pPr>
              <w:jc w:val="right"/>
              <w:ind w:right="170"/>
              <w:spacing w:after="0" w:line="129" w:lineRule="exact"/>
              <w:rPr>
                <w:sz w:val="20"/>
                <w:szCs w:val="20"/>
                <w:color w:val="auto"/>
              </w:rPr>
            </w:pPr>
            <w:r>
              <w:rPr>
                <w:rFonts w:ascii="Arial" w:cs="Arial" w:eastAsia="Arial" w:hAnsi="Arial"/>
                <w:sz w:val="14"/>
                <w:szCs w:val="14"/>
                <w:color w:val="auto"/>
                <w:w w:val="98"/>
              </w:rPr>
              <w:t>unit amounts)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2,432</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4,877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brokers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4,057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assets,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27,520</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0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Derivative liabilities,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Due to brokers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17,653</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Limited partners: Depositary units: 337,473,951 units issued and outstanding at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September 30, 2022 and 293,403,243 units issued and outstanding at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2021</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(745)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5,864</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27,520</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120" w:type="dxa"/>
            <w:vAlign w:val="bottom"/>
            <w:gridSpan w:val="7"/>
          </w:tcPr>
          <w:p>
            <w:pPr>
              <w:ind w:left="2460"/>
              <w:spacing w:after="0"/>
              <w:rPr>
                <w:sz w:val="20"/>
                <w:szCs w:val="20"/>
                <w:color w:val="auto"/>
              </w:rPr>
            </w:pPr>
            <w:r>
              <w:rPr>
                <w:rFonts w:ascii="Arial" w:cs="Arial" w:eastAsia="Arial" w:hAnsi="Arial"/>
                <w:sz w:val="18"/>
                <w:szCs w:val="18"/>
                <w:b w:val="1"/>
                <w:bCs w:val="1"/>
                <w:color w:val="auto"/>
              </w:rPr>
              <w:t>ICAHN ENTERPRISES L.P. AND SUBSIDIARIES</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00" w:type="dxa"/>
            <w:vAlign w:val="bottom"/>
            <w:gridSpan w:val="10"/>
          </w:tcPr>
          <w:p>
            <w:pPr>
              <w:ind w:left="1140"/>
              <w:spacing w:after="0"/>
              <w:rPr>
                <w:sz w:val="20"/>
                <w:szCs w:val="20"/>
                <w:color w:val="auto"/>
              </w:rPr>
            </w:pPr>
            <w:r>
              <w:rPr>
                <w:rFonts w:ascii="Arial" w:cs="Arial" w:eastAsia="Arial" w:hAnsi="Arial"/>
                <w:sz w:val="18"/>
                <w:szCs w:val="18"/>
                <w:b w:val="1"/>
                <w:bCs w:val="1"/>
                <w:color w:val="auto"/>
              </w:rPr>
              <w:t>CONDENSED CONSOLIDATED STATEMENTS OF OPERATIONS (UNAUDITED)</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220" w:type="dxa"/>
            <w:vAlign w:val="bottom"/>
          </w:tcPr>
          <w:p>
            <w:pPr>
              <w:spacing w:after="0"/>
              <w:rPr>
                <w:sz w:val="24"/>
                <w:szCs w:val="24"/>
                <w:color w:val="auto"/>
              </w:rPr>
            </w:pPr>
          </w:p>
        </w:tc>
        <w:tc>
          <w:tcPr>
            <w:tcW w:w="190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168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168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09"/>
        </w:trPr>
        <w:tc>
          <w:tcPr>
            <w:tcW w:w="5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2022</w:t>
            </w:r>
          </w:p>
        </w:tc>
        <w:tc>
          <w:tcPr>
            <w:tcW w:w="2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(in</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2021</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5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color w:val="auto"/>
                <w:w w:val="94"/>
              </w:rPr>
              <w:t>millions, except</w:t>
            </w:r>
          </w:p>
        </w:tc>
        <w:tc>
          <w:tcPr>
            <w:tcW w:w="980" w:type="dxa"/>
            <w:vAlign w:val="bottom"/>
            <w:gridSpan w:val="3"/>
          </w:tcPr>
          <w:p>
            <w:pPr>
              <w:ind w:left="20"/>
              <w:spacing w:after="0" w:line="129" w:lineRule="exact"/>
              <w:rPr>
                <w:sz w:val="20"/>
                <w:szCs w:val="20"/>
                <w:color w:val="auto"/>
              </w:rPr>
            </w:pPr>
            <w:r>
              <w:rPr>
                <w:rFonts w:ascii="Arial" w:cs="Arial" w:eastAsia="Arial" w:hAnsi="Arial"/>
                <w:sz w:val="14"/>
                <w:szCs w:val="14"/>
                <w:color w:val="auto"/>
                <w:w w:val="86"/>
              </w:rPr>
              <w:t>per unit amounts)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3,334</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2,657</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10,098</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revenues from operations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Arial" w:cs="Arial" w:eastAsia="Arial" w:hAnsi="Arial"/>
                <w:sz w:val="18"/>
                <w:szCs w:val="18"/>
                <w:color w:val="auto"/>
              </w:rPr>
              <w:t>Net (loss) gain from investment activities</w:t>
            </w:r>
          </w:p>
        </w:tc>
        <w:tc>
          <w:tcPr>
            <w:tcW w:w="160" w:type="dxa"/>
            <w:vAlign w:val="bottom"/>
          </w:tcPr>
          <w:p>
            <w:pPr>
              <w:spacing w:after="0"/>
              <w:rPr>
                <w:sz w:val="18"/>
                <w:szCs w:val="18"/>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and dividend income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Arial" w:cs="Arial" w:eastAsia="Arial" w:hAnsi="Arial"/>
                <w:sz w:val="18"/>
                <w:szCs w:val="18"/>
                <w:color w:val="auto"/>
              </w:rPr>
              <w:t>Other loss, net</w:t>
            </w:r>
          </w:p>
        </w:tc>
        <w:tc>
          <w:tcPr>
            <w:tcW w:w="160" w:type="dxa"/>
            <w:vAlign w:val="bottom"/>
          </w:tcPr>
          <w:p>
            <w:pPr>
              <w:spacing w:after="0"/>
              <w:rPr>
                <w:sz w:val="18"/>
                <w:szCs w:val="18"/>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ind w:left="2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Arial" w:cs="Arial" w:eastAsia="Arial" w:hAnsi="Arial"/>
                <w:sz w:val="18"/>
                <w:szCs w:val="18"/>
                <w:color w:val="auto"/>
              </w:rPr>
              <w:t>Other expenses from operations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Arial" w:cs="Arial" w:eastAsia="Arial" w:hAnsi="Arial"/>
                <w:sz w:val="18"/>
                <w:szCs w:val="18"/>
                <w:color w:val="auto"/>
              </w:rPr>
              <w:t>Restructuring, net</w:t>
            </w:r>
          </w:p>
        </w:tc>
        <w:tc>
          <w:tcPr>
            <w:tcW w:w="160" w:type="dxa"/>
            <w:vAlign w:val="bottom"/>
          </w:tcPr>
          <w:p>
            <w:pPr>
              <w:spacing w:after="0"/>
              <w:rPr>
                <w:sz w:val="18"/>
                <w:szCs w:val="18"/>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 (expense) benefit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8"/>
                <w:szCs w:val="18"/>
                <w:color w:val="auto"/>
              </w:rPr>
              <w:t>Less: net (loss) income attributable to non-controlling interests</w:t>
            </w:r>
          </w:p>
        </w:tc>
        <w:tc>
          <w:tcPr>
            <w:tcW w:w="160" w:type="dxa"/>
            <w:vAlign w:val="bottom"/>
          </w:tcPr>
          <w:p>
            <w:pPr>
              <w:spacing w:after="0"/>
              <w:rPr>
                <w:sz w:val="18"/>
                <w:szCs w:val="18"/>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Icahn Enterprises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Icahn Enterprises allocated to:</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Arial" w:cs="Arial" w:eastAsia="Arial" w:hAnsi="Arial"/>
                <w:sz w:val="18"/>
                <w:szCs w:val="18"/>
                <w:color w:val="auto"/>
              </w:rPr>
              <w:t>Limited partners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partner</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220" w:type="dxa"/>
            <w:vAlign w:val="bottom"/>
          </w:tcPr>
          <w:p>
            <w:pPr>
              <w:ind w:left="20"/>
              <w:spacing w:after="0"/>
              <w:rPr>
                <w:sz w:val="20"/>
                <w:szCs w:val="20"/>
                <w:color w:val="auto"/>
              </w:rPr>
            </w:pPr>
            <w:r>
              <w:rPr>
                <w:rFonts w:ascii="Arial" w:cs="Arial" w:eastAsia="Arial" w:hAnsi="Arial"/>
                <w:sz w:val="18"/>
                <w:szCs w:val="18"/>
                <w:color w:val="auto"/>
              </w:rPr>
              <w:t>Basic (loss) income per LP unit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(0.37)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0.23</w:t>
            </w:r>
          </w:p>
        </w:tc>
        <w:tc>
          <w:tcPr>
            <w:tcW w:w="1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(0.47)</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2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Basic weighted average LP units outstanding</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(loss) income per LP unit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(0.37)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weighted average LP units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324</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266</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308</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2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Distributions declared per LP unit</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(LOSS) INCOME (UNAUDITED)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88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3"/>
              </w:rPr>
              <w:t>Three Months Ended</w:t>
            </w:r>
          </w:p>
        </w:tc>
        <w:tc>
          <w:tcPr>
            <w:tcW w:w="100" w:type="dxa"/>
            <w:vAlign w:val="bottom"/>
          </w:tcPr>
          <w:p>
            <w:pPr>
              <w:spacing w:after="0"/>
              <w:rPr>
                <w:sz w:val="18"/>
                <w:szCs w:val="18"/>
                <w:color w:val="auto"/>
              </w:rPr>
            </w:pPr>
          </w:p>
        </w:tc>
        <w:tc>
          <w:tcPr>
            <w:tcW w:w="16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16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2022</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2021</w:t>
            </w:r>
          </w:p>
        </w:tc>
      </w:tr>
      <w:tr>
        <w:trPr>
          <w:trHeight w:val="128"/>
        </w:trPr>
        <w:tc>
          <w:tcPr>
            <w:tcW w:w="5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4"/>
          </w:tcPr>
          <w:p>
            <w:pPr>
              <w:jc w:val="right"/>
              <w:ind w:right="390"/>
              <w:spacing w:after="0" w:line="129"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16"/>
        </w:trPr>
        <w:tc>
          <w:tcPr>
            <w:tcW w:w="526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Translation adjustments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260" w:type="dxa"/>
            <w:vAlign w:val="bottom"/>
          </w:tcPr>
          <w:p>
            <w:pPr>
              <w:ind w:left="120"/>
              <w:spacing w:after="0"/>
              <w:rPr>
                <w:sz w:val="20"/>
                <w:szCs w:val="20"/>
                <w:color w:val="auto"/>
              </w:rPr>
            </w:pPr>
            <w:r>
              <w:rPr>
                <w:rFonts w:ascii="Arial" w:cs="Arial" w:eastAsia="Arial" w:hAnsi="Arial"/>
                <w:sz w:val="18"/>
                <w:szCs w:val="18"/>
                <w:color w:val="auto"/>
              </w:rPr>
              <w:t>Post-retirement benefits and other</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526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02"/>
        </w:trPr>
        <w:tc>
          <w:tcPr>
            <w:tcW w:w="52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Less: Comprehensive (loss) income attributable to non-controlling</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49"/>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(loss) income attributable to Icahn Enterprises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197"/>
        </w:trPr>
        <w:tc>
          <w:tcPr>
            <w:tcW w:w="5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2"/>
        </w:trPr>
        <w:tc>
          <w:tcPr>
            <w:tcW w:w="5260" w:type="dxa"/>
            <w:vAlign w:val="bottom"/>
          </w:tcPr>
          <w:p>
            <w:pPr>
              <w:ind w:left="20"/>
              <w:spacing w:after="0" w:line="201" w:lineRule="exact"/>
              <w:rPr>
                <w:sz w:val="20"/>
                <w:szCs w:val="20"/>
                <w:color w:val="auto"/>
              </w:rPr>
            </w:pPr>
            <w:r>
              <w:rPr>
                <w:rFonts w:ascii="Arial" w:cs="Arial" w:eastAsia="Arial" w:hAnsi="Arial"/>
                <w:sz w:val="18"/>
                <w:szCs w:val="18"/>
                <w:color w:val="auto"/>
              </w:rPr>
              <w:t>Comprehensive (loss) income attributable to Icahn Enterprises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allocated to:</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16"/>
        </w:trPr>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526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5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11"/>
          </w:tcPr>
          <w:p>
            <w:pPr>
              <w:ind w:left="40"/>
              <w:spacing w:after="0"/>
              <w:rPr>
                <w:sz w:val="20"/>
                <w:szCs w:val="20"/>
                <w:color w:val="auto"/>
              </w:rPr>
            </w:pPr>
            <w:r>
              <w:rPr>
                <w:rFonts w:ascii="Arial" w:cs="Arial" w:eastAsia="Arial" w:hAnsi="Arial"/>
                <w:sz w:val="14"/>
                <w:szCs w:val="14"/>
                <w:b w:val="1"/>
                <w:bCs w:val="1"/>
                <w:color w:val="auto"/>
                <w:w w:val="98"/>
              </w:rPr>
              <w:t>Equity Attributable to Icahn Enterprises</w:t>
            </w: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General</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Limited</w:t>
            </w:r>
          </w:p>
        </w:tc>
        <w:tc>
          <w:tcPr>
            <w:tcW w:w="20" w:type="dxa"/>
            <w:vAlign w:val="bottom"/>
          </w:tcPr>
          <w:p>
            <w:pPr>
              <w:spacing w:after="0"/>
              <w:rPr>
                <w:sz w:val="10"/>
                <w:szCs w:val="10"/>
                <w:color w:val="auto"/>
              </w:rPr>
            </w:pPr>
          </w:p>
        </w:tc>
        <w:tc>
          <w:tcPr>
            <w:tcW w:w="112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3"/>
              </w:rPr>
              <w:t>Total Partners’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Partner’s</w:t>
            </w:r>
          </w:p>
        </w:tc>
        <w:tc>
          <w:tcPr>
            <w:tcW w:w="20" w:type="dxa"/>
            <w:vAlign w:val="bottom"/>
          </w:tcPr>
          <w:p>
            <w:pPr>
              <w:spacing w:after="0"/>
              <w:rPr>
                <w:sz w:val="12"/>
                <w:szCs w:val="12"/>
                <w:color w:val="auto"/>
              </w:rPr>
            </w:pPr>
          </w:p>
        </w:tc>
        <w:tc>
          <w:tcPr>
            <w:tcW w:w="8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Partners’</w:t>
            </w:r>
          </w:p>
        </w:tc>
        <w:tc>
          <w:tcPr>
            <w:tcW w:w="2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8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controlling</w:t>
            </w:r>
          </w:p>
        </w:tc>
        <w:tc>
          <w:tcPr>
            <w:tcW w:w="20" w:type="dxa"/>
            <w:vAlign w:val="bottom"/>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ind w:left="10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3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 December 31, 2021</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(754)</w:t>
            </w:r>
          </w:p>
        </w:tc>
        <w:tc>
          <w:tcPr>
            <w:tcW w:w="1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317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323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562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Partnership distributions payable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(591)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Partnership contributions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Dividends and distributions to non-controlling interests in subsidiaries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Changes in subsidiary equity and 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March 31, 2022</w:t>
            </w:r>
          </w:p>
        </w:tc>
        <w:tc>
          <w:tcPr>
            <w:tcW w:w="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(756)</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4,199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3,443</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6,315</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gridSpan w:val="2"/>
            <w:shd w:val="clear" w:color="auto" w:fill="CCEEFF"/>
          </w:tcPr>
          <w:p>
            <w:pPr>
              <w:jc w:val="right"/>
              <w:ind w:right="9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20"/>
              <w:spacing w:after="0"/>
              <w:rPr>
                <w:sz w:val="20"/>
                <w:szCs w:val="20"/>
                <w:color w:val="auto"/>
              </w:rPr>
            </w:pPr>
            <w:r>
              <w:rPr>
                <w:rFonts w:ascii="Arial" w:cs="Arial" w:eastAsia="Arial" w:hAnsi="Arial"/>
                <w:sz w:val="14"/>
                <w:szCs w:val="14"/>
                <w:color w:val="auto"/>
              </w:rPr>
              <w:t>Net loss</w:t>
            </w: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480"/>
              <w:spacing w:after="0" w:line="129" w:lineRule="exact"/>
              <w:rPr>
                <w:sz w:val="20"/>
                <w:szCs w:val="20"/>
                <w:color w:val="auto"/>
              </w:rPr>
            </w:pPr>
            <w:r>
              <w:rPr>
                <w:rFonts w:ascii="Arial" w:cs="Arial" w:eastAsia="Arial" w:hAnsi="Arial"/>
                <w:sz w:val="14"/>
                <w:szCs w:val="14"/>
                <w:color w:val="auto"/>
                <w:w w:val="81"/>
              </w:rPr>
              <w:t>(3)</w:t>
            </w:r>
          </w:p>
        </w:tc>
        <w:tc>
          <w:tcPr>
            <w:tcW w:w="2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color w:val="auto"/>
              </w:rPr>
              <w:t>(125)</w:t>
            </w:r>
          </w:p>
        </w:tc>
        <w:tc>
          <w:tcPr>
            <w:tcW w:w="2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color w:val="auto"/>
              </w:rPr>
              <w:t>(128)</w:t>
            </w:r>
          </w:p>
        </w:tc>
        <w:tc>
          <w:tcPr>
            <w:tcW w:w="2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color w:val="auto"/>
              </w:rPr>
              <w:t>(159)</w:t>
            </w:r>
          </w:p>
        </w:tc>
        <w:tc>
          <w:tcPr>
            <w:tcW w:w="2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color w:val="auto"/>
              </w:rPr>
              <w:t>(287)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comprehensive loss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Partnership distributions payable reversal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591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603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Partnership distributions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93"/>
              </w:rPr>
              <w:t>(2)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Partnership contributions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214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 segment contributions from non-controlling interests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Investment segment distributions to non-controlling interests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Dividends and distributions to non-controlling interests in subsidiaries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Changes in subsidiary equity and 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93"/>
              </w:rPr>
              <w:t>(1)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June 30, 2022</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(746)</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4,773</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4,027</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6,131</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10,158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20" w:type="dxa"/>
            <w:vAlign w:val="bottom"/>
          </w:tcPr>
          <w:p>
            <w:pPr>
              <w:ind w:left="20"/>
              <w:spacing w:after="0" w:line="142" w:lineRule="exact"/>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480"/>
              <w:spacing w:after="0" w:line="142" w:lineRule="exact"/>
              <w:rPr>
                <w:sz w:val="20"/>
                <w:szCs w:val="20"/>
                <w:color w:val="auto"/>
              </w:rPr>
            </w:pPr>
            <w:r>
              <w:rPr>
                <w:rFonts w:ascii="Arial" w:cs="Arial" w:eastAsia="Arial" w:hAnsi="Arial"/>
                <w:sz w:val="14"/>
                <w:szCs w:val="14"/>
                <w:color w:val="auto"/>
                <w:w w:val="81"/>
              </w:rPr>
              <w:t>(2)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(121)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(123)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(92)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(215)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comprehensive loss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Partnership distributions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93"/>
              </w:rPr>
              <w:t>(1)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Partnership contributions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Investment segment distributions to non-controlling interests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Dividends and distributions to non-controlling interests in subsidiaries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Balance, September 30, 2022</w:t>
            </w: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(745)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4,748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4,003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5,864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gridSpan w:val="2"/>
          </w:tcPr>
          <w:p>
            <w:pPr>
              <w:jc w:val="right"/>
              <w:ind w:right="98"/>
              <w:spacing w:after="0" w:line="142"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9,867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12"/>
          </w:tcPr>
          <w:p>
            <w:pPr>
              <w:ind w:left="60"/>
              <w:spacing w:after="0"/>
              <w:rPr>
                <w:sz w:val="20"/>
                <w:szCs w:val="20"/>
                <w:color w:val="auto"/>
              </w:rPr>
            </w:pPr>
            <w:r>
              <w:rPr>
                <w:rFonts w:ascii="Arial" w:cs="Arial" w:eastAsia="Arial" w:hAnsi="Arial"/>
                <w:sz w:val="14"/>
                <w:szCs w:val="14"/>
                <w:b w:val="1"/>
                <w:bCs w:val="1"/>
                <w:color w:val="auto"/>
                <w:w w:val="98"/>
              </w:rPr>
              <w:t>Equity Attributable to Icahn Enterprises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General</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Limited</w:t>
            </w:r>
          </w:p>
        </w:tc>
        <w:tc>
          <w:tcPr>
            <w:tcW w:w="20" w:type="dxa"/>
            <w:vAlign w:val="bottom"/>
          </w:tcPr>
          <w:p>
            <w:pPr>
              <w:spacing w:after="0"/>
              <w:rPr>
                <w:sz w:val="10"/>
                <w:szCs w:val="10"/>
                <w:color w:val="auto"/>
              </w:rPr>
            </w:pPr>
          </w:p>
        </w:tc>
        <w:tc>
          <w:tcPr>
            <w:tcW w:w="112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 Partners’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Partner’s</w:t>
            </w:r>
          </w:p>
        </w:tc>
        <w:tc>
          <w:tcPr>
            <w:tcW w:w="20" w:type="dxa"/>
            <w:vAlign w:val="bottom"/>
          </w:tcPr>
          <w:p>
            <w:pPr>
              <w:spacing w:after="0"/>
              <w:rPr>
                <w:sz w:val="12"/>
                <w:szCs w:val="12"/>
                <w:color w:val="auto"/>
              </w:rPr>
            </w:pPr>
          </w:p>
        </w:tc>
        <w:tc>
          <w:tcPr>
            <w:tcW w:w="8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Partners’</w:t>
            </w:r>
          </w:p>
        </w:tc>
        <w:tc>
          <w:tcPr>
            <w:tcW w:w="2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controlling</w:t>
            </w:r>
          </w:p>
        </w:tc>
        <w:tc>
          <w:tcPr>
            <w:tcW w:w="20" w:type="dxa"/>
            <w:vAlign w:val="bottom"/>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ind w:left="10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Interests</w:t>
            </w:r>
          </w:p>
        </w:tc>
        <w:tc>
          <w:tcPr>
            <w:tcW w:w="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100"/>
              <w:spacing w:after="0" w:line="129" w:lineRule="exact"/>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 December 31, 2020</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(853)</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5,875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9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comprehensive loss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Partnership distributions payable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(489)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(499)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Partnership contributions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Investment segment contributions from non-controlling interests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Changes in subsidiary equity and other</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2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Balance, March 31, 2021</w:t>
            </w:r>
          </w:p>
        </w:tc>
        <w:tc>
          <w:tcPr>
            <w:tcW w:w="2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(856)</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4,086</w:t>
            </w: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3,230</w:t>
            </w: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6,352</w:t>
            </w: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32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Net (loss) income</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(134)</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(136)</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74</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Other comprehensive income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Partnership distributions payable reversal</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w w:val="89"/>
              </w:rPr>
              <w:t>10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Partnership distributions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Partnership contributions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Investment segment contributions from non-controlling interests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Dividends and distributions to non-controlling interests in subsidiaries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(144)</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Changes in subsidiary equity and 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June 30, 2021</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(846)</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4,581</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3,735</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6,290</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20" w:type="dxa"/>
            <w:vAlign w:val="bottom"/>
          </w:tcPr>
          <w:p>
            <w:pPr>
              <w:ind w:left="20"/>
              <w:spacing w:after="0" w:line="142" w:lineRule="exact"/>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(63)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(211)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comprehensive loss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Partnership distributions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Partnership contributions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Investment segment contributions from non-controlling interests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Dividends and distributions to non-controlling interests in subsidiaries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Changes in subsidiary equity and 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September 30, 2021</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4,616</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3,770</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6,237</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40" w:type="dxa"/>
            <w:vAlign w:val="bottom"/>
            <w:gridSpan w:val="2"/>
          </w:tcPr>
          <w:p>
            <w:pPr>
              <w:ind w:left="2460"/>
              <w:spacing w:after="0"/>
              <w:rPr>
                <w:sz w:val="20"/>
                <w:szCs w:val="20"/>
                <w:color w:val="auto"/>
              </w:rPr>
            </w:pPr>
            <w:r>
              <w:rPr>
                <w:rFonts w:ascii="Arial" w:cs="Arial" w:eastAsia="Arial" w:hAnsi="Arial"/>
                <w:sz w:val="18"/>
                <w:szCs w:val="18"/>
                <w:b w:val="1"/>
                <w:bCs w:val="1"/>
                <w:color w:val="auto"/>
              </w:rPr>
              <w:t>ICAHN ENTERPRISES L.P. AND SUBSIDIARIES</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gridSpan w:val="5"/>
          </w:tcPr>
          <w:p>
            <w:pPr>
              <w:ind w:left="1140"/>
              <w:spacing w:after="0"/>
              <w:rPr>
                <w:sz w:val="20"/>
                <w:szCs w:val="20"/>
                <w:color w:val="auto"/>
              </w:rPr>
            </w:pPr>
            <w:r>
              <w:rPr>
                <w:rFonts w:ascii="Arial" w:cs="Arial" w:eastAsia="Arial" w:hAnsi="Arial"/>
                <w:sz w:val="18"/>
                <w:szCs w:val="18"/>
                <w:b w:val="1"/>
                <w:bCs w:val="1"/>
                <w:color w:val="auto"/>
              </w:rPr>
              <w:t>CONDENSED CONSOLIDATED STATEMENTS OF CASH FLOWS (UNAUDITED)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160" w:type="dxa"/>
            <w:vAlign w:val="bottom"/>
          </w:tcPr>
          <w:p>
            <w:pPr>
              <w:spacing w:after="0"/>
              <w:rPr>
                <w:sz w:val="24"/>
                <w:szCs w:val="24"/>
                <w:color w:val="auto"/>
              </w:rPr>
            </w:pPr>
          </w:p>
        </w:tc>
        <w:tc>
          <w:tcPr>
            <w:tcW w:w="27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10"/>
        </w:trPr>
        <w:tc>
          <w:tcPr>
            <w:tcW w:w="6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w w:val="99"/>
              </w:rPr>
              <w:t>2022</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83"/>
        </w:trPr>
        <w:tc>
          <w:tcPr>
            <w:tcW w:w="6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gridSpan w:val="3"/>
          </w:tcPr>
          <w:p>
            <w:pPr>
              <w:jc w:val="right"/>
              <w:ind w:right="3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383</w:t>
            </w:r>
          </w:p>
        </w:tc>
        <w:tc>
          <w:tcPr>
            <w:tcW w:w="2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Adjustments to reconcile net income to net cash provided by operating activities:</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Net gain from securities transactions</w:t>
            </w:r>
          </w:p>
        </w:tc>
        <w:tc>
          <w:tcPr>
            <w:tcW w:w="3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(178)</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securities</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(883)</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Proceeds from sales of securities</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4,920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to cover securities sold, not yet purchased</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(2,623)</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Proceeds from securities sold, not yet purchased</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2,925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receivables and payables relating to securities transactions</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(768)</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Changes in derivative assets and liabilities</w:t>
            </w:r>
          </w:p>
        </w:tc>
        <w:tc>
          <w:tcPr>
            <w:tcW w:w="3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(966)</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disposition of assets, net</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taxes</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other operating assets and liabilities</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(254)</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Turnaround expenditures</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Acquisition of businesses, net of cash acquired</w:t>
            </w:r>
          </w:p>
        </w:tc>
        <w:tc>
          <w:tcPr>
            <w:tcW w:w="3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investments</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Proceeds from disposition of businesses and assets</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9"/>
        </w:trPr>
        <w:tc>
          <w:tcPr>
            <w:tcW w:w="61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Investment segment (distributions) contributions from non-controlling interests</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Partnership contributions</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distributions</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Dividends and distributions to non-controlling interests in subsidiaries</w:t>
            </w:r>
          </w:p>
        </w:tc>
        <w:tc>
          <w:tcPr>
            <w:tcW w:w="3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(218)</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Holding Company senior unsecured notes</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Repayments of Holding Company senior unsecured notes</w:t>
            </w:r>
          </w:p>
        </w:tc>
        <w:tc>
          <w:tcPr>
            <w:tcW w:w="3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subsidiary borrowings</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Repayments of subsidiary borrowings</w:t>
            </w:r>
          </w:p>
        </w:tc>
        <w:tc>
          <w:tcPr>
            <w:tcW w:w="3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(155)</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9"/>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82"/>
        </w:trPr>
        <w:tc>
          <w:tcPr>
            <w:tcW w:w="61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3"/>
              </w:rPr>
              <w:t>Effect of exchange rate changes on cash and cash equivalents and restricted cash</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restricted cash equivalents</w:t>
            </w: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8"/>
        </w:trPr>
        <w:tc>
          <w:tcPr>
            <w:tcW w:w="6160" w:type="dxa"/>
            <w:vAlign w:val="bottom"/>
          </w:tcPr>
          <w:p>
            <w:pPr>
              <w:ind w:left="20"/>
              <w:spacing w:after="0" w:line="198" w:lineRule="exact"/>
              <w:rPr>
                <w:sz w:val="20"/>
                <w:szCs w:val="20"/>
                <w:color w:val="auto"/>
              </w:rPr>
            </w:pPr>
            <w:r>
              <w:rPr>
                <w:rFonts w:ascii="Arial" w:cs="Arial" w:eastAsia="Arial" w:hAnsi="Arial"/>
                <w:sz w:val="18"/>
                <w:szCs w:val="18"/>
                <w:b w:val="1"/>
                <w:bCs w:val="1"/>
                <w:color w:val="auto"/>
                <w:w w:val="93"/>
              </w:rPr>
              <w:t>Net increase in cash and cash equivalents and restricted cash and restricted</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6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2,774</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2"/>
        </w:trPr>
        <w:tc>
          <w:tcPr>
            <w:tcW w:w="6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Cash and cash equivalents and restricted cash and restricted cash equivalents,</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3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26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182"/>
        </w:trPr>
        <w:tc>
          <w:tcPr>
            <w:tcW w:w="6160" w:type="dxa"/>
            <w:vAlign w:val="bottom"/>
          </w:tcPr>
          <w:p>
            <w:pPr>
              <w:ind w:left="20"/>
              <w:spacing w:after="0" w:line="182" w:lineRule="exact"/>
              <w:rPr>
                <w:sz w:val="20"/>
                <w:szCs w:val="20"/>
                <w:color w:val="auto"/>
              </w:rPr>
            </w:pPr>
            <w:r>
              <w:rPr>
                <w:rFonts w:ascii="Arial" w:cs="Arial" w:eastAsia="Arial" w:hAnsi="Arial"/>
                <w:sz w:val="18"/>
                <w:szCs w:val="18"/>
                <w:color w:val="auto"/>
                <w:w w:val="91"/>
              </w:rPr>
              <w:t>Cash and cash equivalents and restricted cash and restricted cash equivalents, end</w:t>
            </w:r>
          </w:p>
        </w:tc>
        <w:tc>
          <w:tcPr>
            <w:tcW w:w="380" w:type="dxa"/>
            <w:vAlign w:val="bottom"/>
            <w:vMerge w:val="restart"/>
          </w:tcPr>
          <w:p>
            <w:pPr>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7,210</w:t>
            </w:r>
          </w:p>
        </w:tc>
        <w:tc>
          <w:tcPr>
            <w:tcW w:w="26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22"/>
        </w:trPr>
        <w:tc>
          <w:tcPr>
            <w:tcW w:w="6160" w:type="dxa"/>
            <w:vAlign w:val="bottom"/>
          </w:tcPr>
          <w:p>
            <w:pPr>
              <w:ind w:left="20"/>
              <w:spacing w:after="0"/>
              <w:rPr>
                <w:sz w:val="20"/>
                <w:szCs w:val="20"/>
                <w:color w:val="auto"/>
              </w:rPr>
            </w:pPr>
            <w:r>
              <w:rPr>
                <w:rFonts w:ascii="Arial" w:cs="Arial" w:eastAsia="Arial" w:hAnsi="Arial"/>
                <w:sz w:val="18"/>
                <w:szCs w:val="18"/>
                <w:color w:val="auto"/>
              </w:rPr>
              <w:t>of period</w:t>
            </w:r>
          </w:p>
        </w:tc>
        <w:tc>
          <w:tcPr>
            <w:tcW w:w="38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References to “we,” “our” or “us” herein include both Icahn Enterprises and Icahn Enterprises Holdings and their subsidiaries, unless the context otherwise requires.</w:t>
      </w:r>
    </w:p>
    <w:p>
      <w:pPr>
        <w:spacing w:after="0" w:line="184"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September 30, 2022, representing an aggregate 1.99% general partner interest in Icahn Enterprises Holdings and us. Mr. Icahn and his affiliates owned approximately 86% of our outstanding depositary units as of September 30, 2022.</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Description of Continuing Operating Businesses</w:t>
      </w:r>
    </w:p>
    <w:p>
      <w:pPr>
        <w:spacing w:after="0" w:line="225" w:lineRule="exact"/>
        <w:rPr>
          <w:sz w:val="20"/>
          <w:szCs w:val="20"/>
          <w:color w:val="auto"/>
        </w:rPr>
      </w:pPr>
    </w:p>
    <w:p>
      <w:pPr>
        <w:ind w:left="60" w:right="359" w:firstLine="324"/>
        <w:spacing w:after="0" w:line="254"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Energy, Automotive, Food Packaging, Real Estate, Home Fashion and Pharma. In addition, we operated our Metals segment until sold in December 2021. We also report the results of our Holding Company, which includes the results of certain subsidiaries of Icahn Enterprises (unless otherwise noted), and investment activity and expenses associated with our Holding Company. See Note 12, “Segment Reporting,” for a reconciliation of each of our reporting segment’s results of operations to our consolidated results. Certain additional information with respect to our segments is discussed below.</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239" w:firstLine="324"/>
        <w:spacing w:after="0" w:line="254" w:lineRule="auto"/>
        <w:rPr>
          <w:sz w:val="20"/>
          <w:szCs w:val="20"/>
          <w:color w:val="auto"/>
        </w:rPr>
      </w:pPr>
      <w:r>
        <w:rPr>
          <w:rFonts w:ascii="Arial" w:cs="Arial" w:eastAsia="Arial" w:hAnsi="Arial"/>
          <w:sz w:val="18"/>
          <w:szCs w:val="18"/>
          <w:color w:val="auto"/>
        </w:rPr>
        <w:t>Our Investment segment is comprised of various private investment funds (“Investment Funds”) in which we have general partner interests and through which we invest our proprietary capital. As general partner, we provide investment advisory and certain administrative and back-office services to the Investment Funds but do not provide such services to any other entities, individuals or accounts. We and certain of Mr. Icahn’s family members and affiliates are the only investors in the Investment Funds. Interests in the Investment Funds are not offered to outside investors. We had interests in the Investment Funds with a fair value of approximately $4.4 billion and $4.2 billion as of September 30, 2022 and December 31, 2021, respectively.</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119" w:firstLine="324"/>
        <w:spacing w:after="0" w:line="270" w:lineRule="auto"/>
        <w:rPr>
          <w:sz w:val="20"/>
          <w:szCs w:val="20"/>
          <w:color w:val="auto"/>
        </w:rPr>
      </w:pPr>
      <w:r>
        <w:rPr>
          <w:rFonts w:ascii="Arial" w:cs="Arial" w:eastAsia="Arial" w:hAnsi="Arial"/>
          <w:sz w:val="17"/>
          <w:szCs w:val="17"/>
          <w:color w:val="auto"/>
        </w:rPr>
        <w:t>We conduct our Energy segment through our majority owned subsidiary, CVR Energy, Inc. (“CVR Energy”). CVR Energy is a diversified holding company primarily engaged in the petroleum refining and nitrogen fertilizer manufacturing businesses through its holdings in CVR Refining, LP (“CVR Refining”) and CVR Partners, LP (“CVR Partners”), respectively. CVR Refining is an independent petroleum refiner and marketer of high value transportation fuels primarily in the form of gasoline and diesel fuels, as well as renewable diesel. CVR Partners produces and markets nitrogen fertilizers in the form of urea ammonium nitrate and ammonia. CVR Energy has a general partner interest in each of CVR Refining and CVR Partners. In addition, CVR Energy is the sole limited partner of CVR Refining and owns approximately 37% outstanding common units of CVR Partners as of September 30, 2022. As of September 30, 2022, we owned approximately 71% of the total outstanding common stock of CVR Energy.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We conduct our Automotive segment through our wholly owned subsidiary, Icahn Automotive Group LLC (“Icahn Automotive”). Icahn Automotive is engaged in the retail and wholesale distribution of automotive parts in the aftermarket (“aftermarket parts”) as well as providing automotive repair and maintenance services (“automotive services”) to its customers. Icahn Automotive’s aftermarket parts and automotive services businesses serve different customer channels and have distinct strategies, opportunities and requirements and therefore are operated as two independent operating companies, each with its own management team.</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Food Packaging</w:t>
      </w:r>
    </w:p>
    <w:p>
      <w:pPr>
        <w:spacing w:after="0" w:line="225" w:lineRule="exact"/>
        <w:rPr>
          <w:sz w:val="20"/>
          <w:szCs w:val="20"/>
          <w:color w:val="auto"/>
        </w:rPr>
      </w:pPr>
    </w:p>
    <w:p>
      <w:pPr>
        <w:ind w:left="60" w:right="359" w:firstLine="324"/>
        <w:spacing w:after="0" w:line="311" w:lineRule="auto"/>
        <w:rPr>
          <w:sz w:val="20"/>
          <w:szCs w:val="20"/>
          <w:color w:val="auto"/>
        </w:rPr>
      </w:pPr>
      <w:r>
        <w:rPr>
          <w:rFonts w:ascii="Arial" w:cs="Arial" w:eastAsia="Arial" w:hAnsi="Arial"/>
          <w:sz w:val="16"/>
          <w:szCs w:val="16"/>
          <w:color w:val="auto"/>
        </w:rPr>
        <w:t>We conduct our Food Packaging segment through our majority owned subsidiary, Viskase Companies, Inc. (“Viskase”). Viskase is a producer of cellulosic, fibrous and plastic casings used to prepare and package processed meat products. As of September 30, 2022, we owned approximately 89% of the total outstanding common stock of Viskase.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Our Real Estate segment consists primarily of investment properties, the development and sale of single-family homes and the management of a country club.</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Home Fashion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conduct our Home Fashion segment through our wholly owned subsidiary, WestPoint Home LLC (“WPH”).</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WPH’s business consists of manufacturing, sourcing, marketing, distributing and selling home fashion consumer products.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Pharma</w:t>
      </w:r>
    </w:p>
    <w:p>
      <w:pPr>
        <w:spacing w:after="0" w:line="225"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We conduct our Pharma segment through our wholly owned subsidiary, Vivus LLC, formerly Vivus, Inc. (“Vivus”). Vivus is a specialty pharmaceutical company with two approved therapies and one product candidate in active clinical development.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Metals</w:t>
      </w:r>
    </w:p>
    <w:p>
      <w:pPr>
        <w:spacing w:after="0" w:line="225" w:lineRule="exact"/>
        <w:rPr>
          <w:sz w:val="20"/>
          <w:szCs w:val="20"/>
          <w:color w:val="auto"/>
        </w:rPr>
      </w:pPr>
    </w:p>
    <w:p>
      <w:pPr>
        <w:ind w:left="60" w:right="99" w:firstLine="324"/>
        <w:spacing w:after="0" w:line="279" w:lineRule="auto"/>
        <w:rPr>
          <w:sz w:val="20"/>
          <w:szCs w:val="20"/>
          <w:color w:val="auto"/>
        </w:rPr>
      </w:pPr>
      <w:r>
        <w:rPr>
          <w:rFonts w:ascii="Arial" w:cs="Arial" w:eastAsia="Arial" w:hAnsi="Arial"/>
          <w:sz w:val="17"/>
          <w:szCs w:val="17"/>
          <w:color w:val="auto"/>
        </w:rPr>
        <w:t>We conducted our Metals segment through our wholly owned subsidiary, PSC Metals LLC (“PSC Metals”). PSC Metals was principally engaged in the business of collecting, processing and selling ferrous and non-ferrous metals, as well as the processing and distribution of steel pipe and plate products. PSC Metals collected industrial and obsolete scrap metal, processed it into reusable forms and supplied the recycled metals to its customers.</w:t>
      </w:r>
    </w:p>
    <w:p>
      <w:pPr>
        <w:spacing w:after="0" w:line="171" w:lineRule="exact"/>
        <w:rPr>
          <w:sz w:val="20"/>
          <w:szCs w:val="20"/>
          <w:color w:val="auto"/>
        </w:rPr>
      </w:pPr>
    </w:p>
    <w:p>
      <w:pPr>
        <w:jc w:val="both"/>
        <w:ind w:left="60" w:right="179" w:firstLine="324"/>
        <w:spacing w:after="0" w:line="342" w:lineRule="auto"/>
        <w:rPr>
          <w:sz w:val="20"/>
          <w:szCs w:val="20"/>
          <w:color w:val="auto"/>
        </w:rPr>
      </w:pPr>
      <w:r>
        <w:rPr>
          <w:rFonts w:ascii="Arial" w:cs="Arial" w:eastAsia="Arial" w:hAnsi="Arial"/>
          <w:sz w:val="16"/>
          <w:szCs w:val="16"/>
          <w:color w:val="auto"/>
        </w:rPr>
        <w:t>On December 7, 2021, we closed on the previously announced sale of 100% of the equity interests in PSC Metals. As a result of the sale of PSC Metals, we no longer operate a Metals segment at December 31, 2021 and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9" w:lineRule="exact"/>
        <w:rPr>
          <w:sz w:val="20"/>
          <w:szCs w:val="20"/>
          <w:color w:val="auto"/>
        </w:rPr>
      </w:pPr>
    </w:p>
    <w:p>
      <w:pPr>
        <w:ind w:left="60" w:right="179" w:firstLine="324"/>
        <w:spacing w:after="0" w:line="273" w:lineRule="auto"/>
        <w:rPr>
          <w:sz w:val="20"/>
          <w:szCs w:val="20"/>
          <w:color w:val="auto"/>
        </w:rPr>
      </w:pPr>
      <w:r>
        <w:rPr>
          <w:rFonts w:ascii="Arial" w:cs="Arial" w:eastAsia="Arial" w:hAnsi="Arial"/>
          <w:sz w:val="17"/>
          <w:szCs w:val="17"/>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structure and intend to continue structuring our investments to be taxed as a partnership rather than as a corporation under the applicable publicly traded partnership rules of the Internal Revenue Code, as amended.</w:t>
      </w:r>
    </w:p>
    <w:p>
      <w:pPr>
        <w:spacing w:after="0" w:line="178"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Our sales of Federal-Mogul LLC, Tropicana Entertainment Inc., American Railcar Industries, Inc., Ferrous Resources Ltd., and PSC Metals in recent years did not result in our being considered an investment company. However, additional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185"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The accompanying condensed consolidated financial statements and related notes should be read in conjunction with our consolidated financial statements and related notes contained in our Annual Report on Form 10-K for the year ended December 31, 2021.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60" w:right="159" w:firstLine="324"/>
        <w:spacing w:after="0" w:line="270" w:lineRule="auto"/>
        <w:rPr>
          <w:sz w:val="20"/>
          <w:szCs w:val="20"/>
          <w:color w:val="auto"/>
        </w:rPr>
      </w:pPr>
      <w:r>
        <w:rPr>
          <w:rFonts w:ascii="Arial" w:cs="Arial" w:eastAsia="Arial" w:hAnsi="Arial"/>
          <w:sz w:val="17"/>
          <w:szCs w:val="17"/>
          <w:color w:val="auto"/>
        </w:rPr>
        <w:t>Our condensed consolidated financial statements include the accounts of (i) Icahn Enterprises and (ii) the wholly and majority owned subsidiaries of Icahn Enterprises, in addition to variable interest entities (“VIEs”) in which we are the primary beneficiary. In evaluating whether we have a controlling financial interest in entities that we consolidate, we consider the following: (1) 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w:t>
      </w:r>
    </w:p>
    <w:p>
      <w:pPr>
        <w:spacing w:after="0" w:line="181"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Except for our Investment segment and Holding Company, for equity investments in which we own 50% or less but greater than 20%, we generally account for such investments using the equity method. All other equity investments are accounted for at fair value.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225" w:lineRule="exact"/>
        <w:rPr>
          <w:sz w:val="20"/>
          <w:szCs w:val="20"/>
          <w:color w:val="auto"/>
        </w:rPr>
      </w:pPr>
    </w:p>
    <w:p>
      <w:pPr>
        <w:ind w:left="60" w:right="59" w:firstLine="324"/>
        <w:spacing w:after="0" w:line="311" w:lineRule="auto"/>
        <w:rPr>
          <w:sz w:val="20"/>
          <w:szCs w:val="20"/>
          <w:color w:val="auto"/>
        </w:rPr>
      </w:pPr>
      <w:r>
        <w:rPr>
          <w:rFonts w:ascii="Arial" w:cs="Arial" w:eastAsia="Arial" w:hAnsi="Arial"/>
          <w:sz w:val="16"/>
          <w:szCs w:val="16"/>
          <w:color w:val="auto"/>
        </w:rPr>
        <w:t>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its 99% limited partner interest in Icahn Enterprises Holdings, as well as our related party relationship with the general partner, and therefore continues to consolidate Icahn Enterprises Holdings. Icahn Enterprises Holdings and its subsidiaries own substantially all of our assets and liabilities and therefore, the balance sheets of Icahn Enterprises and Icahn Enterprises Holdings are substantially the same.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4, “Investments,” and Note 5, “Fair Value Measurements,” for a detailed discussion of our investments and other non-financial assets and/or liabilities.</w:t>
      </w:r>
    </w:p>
    <w:p>
      <w:pPr>
        <w:spacing w:after="0" w:line="188"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September 30, 2022 was approximately $7.1 billion and $6.4 billion, respectively. The carrying value and estimated fair value of our long-term debt as of December 31, 2021 was approximately $7.7 billion and $7.8 billion,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jc w:val="both"/>
        <w:ind w:left="60" w:right="819" w:firstLine="324"/>
        <w:spacing w:after="0" w:line="263" w:lineRule="auto"/>
        <w:rPr>
          <w:sz w:val="20"/>
          <w:szCs w:val="20"/>
          <w:color w:val="auto"/>
        </w:rPr>
      </w:pPr>
      <w:r>
        <w:rPr>
          <w:rFonts w:ascii="Arial" w:cs="Arial" w:eastAsia="Arial" w:hAnsi="Arial"/>
          <w:sz w:val="18"/>
          <w:szCs w:val="18"/>
          <w:color w:val="auto"/>
        </w:rPr>
        <w:t>Cash and cash equivalents and restricted cash and restricted cash equivalents on our condensed consolidated statements of cash flows is comprised of (i) cash and cash equivalents and (ii) cash held at consolidated affiliated partnerships and restricted cash.</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Held at Consolidated Affiliated Partnerships and Restricted Cash</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cash held at consolidated affiliated partnerships balance was $3,640 million and $102 million as of</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September 30, 2022 and December 31, 2021, respectively. Cash held at consolidated affiliated partnerships relates to our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Investment segment and consists of cash and cash equivalents held by the Investment Funds that, although not legally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restricted, are not available to fund the general liquidity needs of the Investment segment or Icahn Enterprises.</w:t>
      </w:r>
    </w:p>
    <w:p>
      <w:pPr>
        <w:spacing w:after="0" w:line="211"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Our restricted cash balance was $1,138 million and $2,013 million as of September 30, 2022 and December 31, 2021, respectively. Restricted cash includes, but is not limited to, our Investment segment’s cash pledged and held for margin requirements on derivative transactions.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From Contracts With Customers and Contract Balances</w:t>
      </w:r>
    </w:p>
    <w:p>
      <w:pPr>
        <w:spacing w:after="0" w:line="225"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Due to the nature of our business, we derive revenue from various sources in various industries. With the exception of all of our Investment segment’s and our Holding Company’s revenues, and our Real Estate segment’s leasing revenue, our revenue is generally derived from contracts with customers in accordance with U.S. GAAP. Such revenue from contracts with customers is included in net sales and other revenues from operations in the condensed consolidated statements of operations, however, our Real Estate and Automotive segment’s leasing revenue, as disclosed in Note 9, “Leases,” is also included in other revenues from operations. Related contract assets are included in accounts receivable, net or other assets and related contract liabilities are included in accrued expenses and other liabilities in the condensed consolidated balance sheets. Our disaggregation of revenue information includes our net sales and other revenues from operations for each of our reporting segments as well as additional disaggregation of revenue information for our Energy and Automotive segments. See Note 12, “Segment Reporting,” for our complete disaggregation of revenue information. In addition, we disclose additional information with respect to revenue from contracts with customers and contract balances for our Energy and Automotive segments below.</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Our Energy segment’s deferred revenue is a contract liability that primarily relates to fertilizer sales contracts requiring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revenue is recognized at the point in time in which the customer obtains control of the product. Our Energy segment had deferred revenue of $65 million and $87 million as of September 30, 2022 and December 31, 2021, respectively. For the nine months ended</w:t>
      </w:r>
    </w:p>
    <w:p>
      <w:pPr>
        <w:spacing w:after="0" w:line="2" w:lineRule="exact"/>
        <w:rPr>
          <w:sz w:val="20"/>
          <w:szCs w:val="20"/>
          <w:color w:val="auto"/>
        </w:rPr>
      </w:pPr>
    </w:p>
    <w:p>
      <w:pPr>
        <w:ind w:left="60" w:right="379"/>
        <w:spacing w:after="0" w:line="260" w:lineRule="auto"/>
        <w:rPr>
          <w:sz w:val="20"/>
          <w:szCs w:val="20"/>
          <w:color w:val="auto"/>
        </w:rPr>
      </w:pPr>
      <w:r>
        <w:rPr>
          <w:rFonts w:ascii="Arial" w:cs="Arial" w:eastAsia="Arial" w:hAnsi="Arial"/>
          <w:sz w:val="18"/>
          <w:szCs w:val="18"/>
          <w:color w:val="auto"/>
        </w:rPr>
        <w:t>September 30, 2022 and 2021, our Energy segment recorded revenue of $86 million and $30 million, respectively, with respect to deferred revenue outstanding as of the beginning of each respective period.</w:t>
      </w:r>
    </w:p>
    <w:p>
      <w:pPr>
        <w:spacing w:after="0" w:line="185" w:lineRule="exact"/>
        <w:rPr>
          <w:sz w:val="20"/>
          <w:szCs w:val="20"/>
          <w:color w:val="auto"/>
        </w:rPr>
      </w:pPr>
    </w:p>
    <w:p>
      <w:pPr>
        <w:jc w:val="both"/>
        <w:ind w:left="60" w:right="419" w:firstLine="324"/>
        <w:spacing w:after="0" w:line="311" w:lineRule="auto"/>
        <w:rPr>
          <w:sz w:val="20"/>
          <w:szCs w:val="20"/>
          <w:color w:val="auto"/>
        </w:rPr>
      </w:pPr>
      <w:r>
        <w:rPr>
          <w:rFonts w:ascii="Arial" w:cs="Arial" w:eastAsia="Arial" w:hAnsi="Arial"/>
          <w:sz w:val="16"/>
          <w:szCs w:val="16"/>
          <w:color w:val="auto"/>
        </w:rPr>
        <w:t>As of September 30, 2022, our Energy segment had $7 million of remaining performance obligations for contracts with an original expected duration of more than one year. Our Energy segment expects to recognize approximately $2 million of these performance obligations as revenue by the end of 2022 and the remaining balance thereafter.</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Our Automotive segment has deferred revenue with respect to extended warranty plans of $43 million and $42 million at September 30, 2022 and December 31, 2021, respectively, which are included in accrued expenses and other liabilities on the condensed consolidated balance sheets. For the nine months ended September 30, 2022 and 2021, our Automotive segment recorded revenue of $19 million and $18 million, respectively, with respect to deferred revenue outstanding as of the beginning of each respective period.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60" w:right="139" w:firstLine="324"/>
        <w:spacing w:after="0" w:line="288"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which amends FASB ASC Topic 848,</w:t>
      </w:r>
      <w:r>
        <w:rPr>
          <w:rFonts w:ascii="Arial" w:cs="Arial" w:eastAsia="Arial" w:hAnsi="Arial"/>
          <w:sz w:val="16"/>
          <w:szCs w:val="16"/>
          <w:i w:val="1"/>
          <w:iCs w:val="1"/>
          <w:color w:val="auto"/>
        </w:rPr>
        <w:t xml:space="preserve"> Reference Rate Reform</w:t>
      </w:r>
      <w:r>
        <w:rPr>
          <w:rFonts w:ascii="Arial" w:cs="Arial" w:eastAsia="Arial" w:hAnsi="Arial"/>
          <w:sz w:val="16"/>
          <w:szCs w:val="16"/>
          <w:color w:val="auto"/>
        </w:rPr>
        <w:t>. By June 30 2023, banks will no longer be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report information that is used to determine London Interbank Offered Rate (“LIBOR”) which is used globally by all types of entities for various types of transactions. As a result, LIBOR could be discontinued, as well as other interest rates used globally. This ASU provides companies with optional expedients for contract modifications under U.S. GAAP, excluded components of certain hedging relationships, fair value hedges, and cash flow hedges, as well as certain exceptions, which are intended to help ease the potential accounting burden associated with transitioning away from these reference rates. Companies can apply this ASU immediately and will only be available for a limited time (generally through December 31, 2022). We are currently assessing the impact of adopting this new accounting standard and do not expect it to have a material impact on our condensed consolidated financial statements.</w:t>
      </w:r>
    </w:p>
    <w:p>
      <w:pPr>
        <w:spacing w:after="0" w:line="168"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 xml:space="preserve">In June 2022, the FASB issued ASU 2022-03, </w:t>
      </w:r>
      <w:r>
        <w:rPr>
          <w:rFonts w:ascii="Arial" w:cs="Arial" w:eastAsia="Arial" w:hAnsi="Arial"/>
          <w:sz w:val="16"/>
          <w:szCs w:val="16"/>
          <w:i w:val="1"/>
          <w:iCs w:val="1"/>
          <w:color w:val="auto"/>
        </w:rPr>
        <w:t>Fair Value Measurement of Equity Securities Subject to Contractual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Sale Restrictions, </w:t>
      </w:r>
      <w:r>
        <w:rPr>
          <w:rFonts w:ascii="Arial" w:cs="Arial" w:eastAsia="Arial" w:hAnsi="Arial"/>
          <w:sz w:val="16"/>
          <w:szCs w:val="16"/>
          <w:color w:val="auto"/>
        </w:rPr>
        <w:t>which amends guidance in Topic 820, Fair Value Measurement. The guidance clarifies that a contractual</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restriction on the sale of an equity security is not considered part of the unit of account of the equity security and, therefore, is not considered in measuring the fair value. The guidance also clarifies that an entity cannot, as a separate unit of account, recognize and measure a contractual sale restriction. The amendment requires the following disclosures for equity securities subject to contractual sale restrictions: the fair value of equity securities subject to contractual sale restrictions; the nature and remaining duration of the restriction(s); and the circumstances that could cause a lapse in the restriction(s) The amended guidance is effective January 1, 2024 on a prospective basis. Early adoption is permitted. We are currently assessing the impact of adopting this new accounting standard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Related Party Transactions</w:t>
      </w:r>
    </w:p>
    <w:p>
      <w:pPr>
        <w:spacing w:after="0" w:line="229"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Our second amended and restated agreement of limited partnership expressly permits us to enter into transactions with our general partner or any of its affiliates, including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Funds</w:t>
      </w:r>
    </w:p>
    <w:p>
      <w:pPr>
        <w:spacing w:after="0" w:line="225" w:lineRule="exact"/>
        <w:rPr>
          <w:sz w:val="20"/>
          <w:szCs w:val="20"/>
          <w:color w:val="auto"/>
        </w:rPr>
      </w:pPr>
    </w:p>
    <w:p>
      <w:pPr>
        <w:ind w:left="60" w:right="179" w:firstLine="324"/>
        <w:spacing w:after="0" w:line="259" w:lineRule="auto"/>
        <w:rPr>
          <w:sz w:val="20"/>
          <w:szCs w:val="20"/>
          <w:color w:val="auto"/>
        </w:rPr>
      </w:pPr>
      <w:r>
        <w:rPr>
          <w:rFonts w:ascii="Arial" w:cs="Arial" w:eastAsia="Arial" w:hAnsi="Arial"/>
          <w:sz w:val="18"/>
          <w:szCs w:val="18"/>
          <w:color w:val="auto"/>
        </w:rPr>
        <w:t>As of September 30, 2022 and December 31, 2021, the total fair market value of investments in the Investment Funds made by Mr. Icahn and his affiliates (excluding us and Brett Icahn) was approximately $5.2 billion and $5.0 billion, respectively, representing approximately 54% of the Investment Funds’ assets under management as of each respective date.</w:t>
      </w:r>
    </w:p>
    <w:p>
      <w:pPr>
        <w:spacing w:after="0" w:line="187"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We pay for expenses pertaining to the operation, administration and investment activities of our Investment segment for the benefit of the Investment Funds (including salaries, benefits and rent). Based on an expense-sharing arrangement, certain expenses borne by us are reimbursed by the Investment Funds. For the three months ended September 30, 2022 and 2021, $2 million in each respective period was allocated to the Investment Funds based on this expense-sharing arrangement and for the nine months ended September 30, 2022 and 2021, $8 million and $10 million, was allocated to the Investment Funds based on this expense-sharing arrangement.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Related Party Agreements</w:t>
      </w:r>
    </w:p>
    <w:p>
      <w:pPr>
        <w:spacing w:after="0" w:line="225" w:lineRule="exact"/>
        <w:rPr>
          <w:sz w:val="20"/>
          <w:szCs w:val="20"/>
          <w:color w:val="auto"/>
        </w:rPr>
      </w:pPr>
    </w:p>
    <w:p>
      <w:pPr>
        <w:ind w:left="60" w:right="179" w:firstLine="324"/>
        <w:spacing w:after="0" w:line="284" w:lineRule="auto"/>
        <w:rPr>
          <w:sz w:val="20"/>
          <w:szCs w:val="20"/>
          <w:color w:val="auto"/>
        </w:rPr>
      </w:pPr>
      <w:r>
        <w:rPr>
          <w:rFonts w:ascii="Arial" w:cs="Arial" w:eastAsia="Arial" w:hAnsi="Arial"/>
          <w:sz w:val="16"/>
          <w:szCs w:val="16"/>
          <w:color w:val="auto"/>
        </w:rPr>
        <w:t>On October 1, 2020, we entered into a manager agreement with Brett Icahn, the son of Carl C. Icahn, and affiliates of Brett Icahn. Under the manager agreement, Brett Icahn serves as the portfolio manager of a designated portfolio of assets within the Investment Funds over a seven-year term, subject to veto rights by our Investment segment and Carl C. Icahn. On May 5, 2022, we entered into an amendment to the manager agreement, which allows the Investment Funds to add, from time to time, two additional separately tracked portfolios, in addition to the existing portfolios, which will not be subject to the manager agreement. Additionally, Brett Icahn provides certain other services, at our request, which may entail research, analysis and advice with respect to a separate designated portfolio of assets within the Investment Funds. Subject to the terms of the manager agreement, at the end of the seven-year term, Brett Icahn will be entitled to receive a one-time lump sum payment as described in and computed pursuant to the manager agreement. Brett Icahn will not be entitled to receive from us any other compensation (including any salary or bonus) in respect of the services he is to provide under the manager agreement other than restricted depositary units granted under a restricted unit agreement. In accordance with the manager agreement, Brett Icahn will co-invest with the Investment Funds in certain positions, will make cash contributions to the Investment Funds in order to fund such co-investments and will have a special limited partnership interest in the Investment Funds through which the profit and loss attributable to such co-investments will be allocated to him. During the nine months ended September 30 2022, Brett Icahn had net redemptions of $16 million in accordance with the manager agreement and in the nine months ended September 30, 2021 he contributed $68 million. As of September 30, 2022 and December 31, 2021 he had investments in the Investment Funds with a total fair market value of $48 million and $93 million, respectively. We also entered into a guaranty agreement with an affiliate of Brett Icahn, pursuant to which we guaranteed the payment of certain amounts required to be distributed by the Investment Funds to such affiliate pursuant to the terms and conditions of the manager agreement.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60" w:right="899" w:firstLine="324"/>
        <w:spacing w:after="0" w:line="342" w:lineRule="auto"/>
        <w:rPr>
          <w:sz w:val="20"/>
          <w:szCs w:val="20"/>
          <w:color w:val="auto"/>
        </w:rPr>
      </w:pPr>
      <w:r>
        <w:rPr>
          <w:rFonts w:ascii="Arial" w:cs="Arial" w:eastAsia="Arial" w:hAnsi="Arial"/>
          <w:sz w:val="16"/>
          <w:szCs w:val="16"/>
          <w:color w:val="auto"/>
        </w:rPr>
        <w:t>Investments and securities sold, not yet purchased consist of equities, bonds, bank debt and other corporate obligations, all of which are reported at fair value in our condensed consolidated balance sheets. In addition, our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259"/>
        <w:spacing w:after="0" w:line="286" w:lineRule="auto"/>
        <w:rPr>
          <w:sz w:val="20"/>
          <w:szCs w:val="20"/>
          <w:color w:val="auto"/>
        </w:rPr>
      </w:pPr>
      <w:r>
        <w:rPr>
          <w:rFonts w:ascii="Arial" w:cs="Arial" w:eastAsia="Arial" w:hAnsi="Arial"/>
          <w:sz w:val="17"/>
          <w:szCs w:val="17"/>
          <w:color w:val="auto"/>
        </w:rPr>
        <w:t>Investment segment has certain derivative transactions which are discussed in Note 6, “Financial Instruments.” The carrying value and detail by security type, including business sector for equity securities, with respect to investments and securities sold, not yet purchased held by our Investment segment consist of the following:</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r>
      <w:tr>
        <w:trPr>
          <w:trHeight w:val="128"/>
        </w:trPr>
        <w:tc>
          <w:tcPr>
            <w:tcW w:w="6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3"/>
          </w:tcPr>
          <w:p>
            <w:pPr>
              <w:ind w:left="620"/>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r>
      <w:tr>
        <w:trPr>
          <w:trHeight w:val="216"/>
        </w:trPr>
        <w:tc>
          <w:tcPr>
            <w:tcW w:w="6440" w:type="dxa"/>
            <w:vAlign w:val="bottom"/>
            <w:shd w:val="clear" w:color="auto" w:fill="CCEEFF"/>
          </w:tcPr>
          <w:p>
            <w:pPr>
              <w:ind w:left="29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440" w:type="dxa"/>
            <w:vAlign w:val="bottom"/>
          </w:tcPr>
          <w:p>
            <w:pPr>
              <w:ind w:left="220"/>
              <w:spacing w:after="0"/>
              <w:rPr>
                <w:sz w:val="20"/>
                <w:szCs w:val="20"/>
                <w:color w:val="auto"/>
              </w:rPr>
            </w:pPr>
            <w:r>
              <w:rPr>
                <w:rFonts w:ascii="Arial" w:cs="Arial" w:eastAsia="Arial" w:hAnsi="Arial"/>
                <w:sz w:val="18"/>
                <w:szCs w:val="18"/>
                <w:color w:val="auto"/>
              </w:rPr>
              <w:t>Communications</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16"/>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cyclical</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r>
      <w:tr>
        <w:trPr>
          <w:trHeight w:val="216"/>
        </w:trPr>
        <w:tc>
          <w:tcPr>
            <w:tcW w:w="6440" w:type="dxa"/>
            <w:vAlign w:val="bottom"/>
          </w:tcPr>
          <w:p>
            <w:pPr>
              <w:ind w:left="220"/>
              <w:spacing w:after="0"/>
              <w:rPr>
                <w:sz w:val="20"/>
                <w:szCs w:val="20"/>
                <w:color w:val="auto"/>
              </w:rPr>
            </w:pPr>
            <w:r>
              <w:rPr>
                <w:rFonts w:ascii="Arial" w:cs="Arial" w:eastAsia="Arial" w:hAnsi="Arial"/>
                <w:sz w:val="18"/>
                <w:szCs w:val="18"/>
                <w:color w:val="auto"/>
              </w:rPr>
              <w:t>Energy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3,184</w:t>
            </w:r>
          </w:p>
        </w:tc>
      </w:tr>
      <w:tr>
        <w:trPr>
          <w:trHeight w:val="216"/>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Utilities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16"/>
        </w:trPr>
        <w:tc>
          <w:tcPr>
            <w:tcW w:w="6440" w:type="dxa"/>
            <w:vAlign w:val="bottom"/>
          </w:tcPr>
          <w:p>
            <w:pPr>
              <w:ind w:left="220"/>
              <w:spacing w:after="0"/>
              <w:rPr>
                <w:sz w:val="20"/>
                <w:szCs w:val="20"/>
                <w:color w:val="auto"/>
              </w:rPr>
            </w:pPr>
            <w:r>
              <w:rPr>
                <w:rFonts w:ascii="Arial" w:cs="Arial" w:eastAsia="Arial" w:hAnsi="Arial"/>
                <w:sz w:val="18"/>
                <w:szCs w:val="18"/>
                <w:color w:val="auto"/>
              </w:rPr>
              <w:t>Healthcare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1,009</w:t>
            </w:r>
          </w:p>
        </w:tc>
      </w:tr>
      <w:tr>
        <w:trPr>
          <w:trHeight w:val="216"/>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Technology</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r>
      <w:tr>
        <w:trPr>
          <w:trHeight w:val="216"/>
        </w:trPr>
        <w:tc>
          <w:tcPr>
            <w:tcW w:w="6440" w:type="dxa"/>
            <w:vAlign w:val="bottom"/>
          </w:tcPr>
          <w:p>
            <w:pPr>
              <w:ind w:left="220"/>
              <w:spacing w:after="0"/>
              <w:rPr>
                <w:sz w:val="20"/>
                <w:szCs w:val="20"/>
                <w:color w:val="auto"/>
              </w:rPr>
            </w:pPr>
            <w:r>
              <w:rPr>
                <w:rFonts w:ascii="Arial" w:cs="Arial" w:eastAsia="Arial" w:hAnsi="Arial"/>
                <w:sz w:val="18"/>
                <w:szCs w:val="18"/>
                <w:color w:val="auto"/>
              </w:rPr>
              <w:t>Materials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16"/>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Industrial</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209"/>
        </w:trPr>
        <w:tc>
          <w:tcPr>
            <w:tcW w:w="64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8,838</w:t>
            </w:r>
          </w:p>
        </w:tc>
      </w:tr>
      <w:tr>
        <w:trPr>
          <w:trHeight w:val="210"/>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49"/>
        </w:trPr>
        <w:tc>
          <w:tcPr>
            <w:tcW w:w="64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4,786</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8,952</w:t>
            </w:r>
          </w:p>
        </w:tc>
      </w:tr>
      <w:tr>
        <w:trPr>
          <w:trHeight w:val="196"/>
        </w:trPr>
        <w:tc>
          <w:tcPr>
            <w:tcW w:w="6440" w:type="dxa"/>
            <w:vAlign w:val="bottom"/>
            <w:shd w:val="clear" w:color="auto" w:fill="CCEEFF"/>
          </w:tcPr>
          <w:p>
            <w:pPr>
              <w:ind w:left="2780"/>
              <w:spacing w:after="0" w:line="196" w:lineRule="exact"/>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440" w:type="dxa"/>
            <w:vAlign w:val="bottom"/>
          </w:tcPr>
          <w:p>
            <w:pPr>
              <w:ind w:left="220"/>
              <w:spacing w:after="0"/>
              <w:rPr>
                <w:sz w:val="20"/>
                <w:szCs w:val="20"/>
                <w:color w:val="auto"/>
              </w:rPr>
            </w:pPr>
            <w:r>
              <w:rPr>
                <w:rFonts w:ascii="Arial" w:cs="Arial" w:eastAsia="Arial" w:hAnsi="Arial"/>
                <w:sz w:val="18"/>
                <w:szCs w:val="18"/>
                <w:color w:val="auto"/>
              </w:rPr>
              <w:t>Consumer, non-cyclical</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753</w:t>
            </w:r>
          </w:p>
        </w:tc>
        <w:tc>
          <w:tcPr>
            <w:tcW w:w="2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cyclical</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16"/>
        </w:trPr>
        <w:tc>
          <w:tcPr>
            <w:tcW w:w="6440" w:type="dxa"/>
            <w:vAlign w:val="bottom"/>
          </w:tcPr>
          <w:p>
            <w:pPr>
              <w:ind w:left="220"/>
              <w:spacing w:after="0"/>
              <w:rPr>
                <w:sz w:val="20"/>
                <w:szCs w:val="20"/>
                <w:color w:val="auto"/>
              </w:rPr>
            </w:pPr>
            <w:r>
              <w:rPr>
                <w:rFonts w:ascii="Arial" w:cs="Arial" w:eastAsia="Arial" w:hAnsi="Arial"/>
                <w:sz w:val="18"/>
                <w:szCs w:val="18"/>
                <w:color w:val="auto"/>
              </w:rPr>
              <w:t>Energy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2,028</w:t>
            </w:r>
          </w:p>
        </w:tc>
      </w:tr>
      <w:tr>
        <w:trPr>
          <w:trHeight w:val="216"/>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Utilities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16"/>
        </w:trPr>
        <w:tc>
          <w:tcPr>
            <w:tcW w:w="6440" w:type="dxa"/>
            <w:vAlign w:val="bottom"/>
          </w:tcPr>
          <w:p>
            <w:pPr>
              <w:ind w:left="220"/>
              <w:spacing w:after="0"/>
              <w:rPr>
                <w:sz w:val="20"/>
                <w:szCs w:val="20"/>
                <w:color w:val="auto"/>
              </w:rPr>
            </w:pPr>
            <w:r>
              <w:rPr>
                <w:rFonts w:ascii="Arial" w:cs="Arial" w:eastAsia="Arial" w:hAnsi="Arial"/>
                <w:sz w:val="18"/>
                <w:szCs w:val="18"/>
                <w:color w:val="auto"/>
              </w:rPr>
              <w:t>Healthcare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1,049</w:t>
            </w:r>
          </w:p>
        </w:tc>
      </w:tr>
      <w:tr>
        <w:trPr>
          <w:trHeight w:val="216"/>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Materials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16"/>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Industrial</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r>
      <w:tr>
        <w:trPr>
          <w:trHeight w:val="209"/>
        </w:trPr>
        <w:tc>
          <w:tcPr>
            <w:tcW w:w="64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w:t>
            </w:r>
          </w:p>
        </w:tc>
      </w:tr>
      <w:tr>
        <w:trPr>
          <w:trHeight w:val="210"/>
        </w:trPr>
        <w:tc>
          <w:tcPr>
            <w:tcW w:w="6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4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w:t>
            </w:r>
          </w:p>
        </w:tc>
      </w:tr>
      <w:tr>
        <w:trPr>
          <w:trHeight w:val="20"/>
        </w:trPr>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19" w:firstLine="324"/>
        <w:spacing w:after="0" w:line="259" w:lineRule="auto"/>
        <w:rPr>
          <w:sz w:val="20"/>
          <w:szCs w:val="20"/>
          <w:color w:val="auto"/>
        </w:rPr>
      </w:pPr>
      <w:r>
        <w:rPr>
          <w:rFonts w:ascii="Arial" w:cs="Arial" w:eastAsia="Arial" w:hAnsi="Arial"/>
          <w:sz w:val="18"/>
          <w:szCs w:val="18"/>
          <w:color w:val="auto"/>
        </w:rPr>
        <w:t>The portion of unrealized (losses) and gains that relates to securities still held by our Investment segment, primarily equity securities, was $(250) million and $(204) million for the three months ended September 30, 2022 and 2021, respectively, and $(1,172) million and $1,384 million for the nine months ended September 30, 2022 and 2021, respectively.</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Segments and Holding Company</w:t>
      </w:r>
    </w:p>
    <w:p>
      <w:pPr>
        <w:spacing w:after="0" w:line="198" w:lineRule="exact"/>
        <w:rPr>
          <w:sz w:val="20"/>
          <w:szCs w:val="20"/>
          <w:color w:val="auto"/>
        </w:rPr>
      </w:pPr>
    </w:p>
    <w:p>
      <w:pPr>
        <w:ind w:left="60" w:right="159" w:firstLine="324"/>
        <w:spacing w:after="0" w:line="311" w:lineRule="auto"/>
        <w:rPr>
          <w:sz w:val="20"/>
          <w:szCs w:val="20"/>
          <w:color w:val="auto"/>
        </w:rPr>
      </w:pPr>
      <w:r>
        <w:rPr>
          <w:rFonts w:ascii="Arial" w:cs="Arial" w:eastAsia="Arial" w:hAnsi="Arial"/>
          <w:sz w:val="16"/>
          <w:szCs w:val="16"/>
          <w:color w:val="auto"/>
        </w:rPr>
        <w:t>With the exception of certain equity method investments at our operating subsidiaries and our Holding Company disclosed in the table below, our investments are measured at fair value in our condensed consolidated balance sheets. The carrying value of investments held by our other segments and our Holding Company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tbl>
      <w:tblPr>
        <w:tblLayout w:type="fixed"/>
        <w:tblInd w:w="40" w:type="dxa"/>
        <w:tblCellMar>
          <w:top w:w="0" w:type="dxa"/>
          <w:left w:w="0" w:type="dxa"/>
          <w:bottom w:w="0" w:type="dxa"/>
          <w:right w:w="0" w:type="dxa"/>
        </w:tblCellMar>
      </w:tblPr>
      <w:tr>
        <w:trPr>
          <w:trHeight w:val="207"/>
        </w:trPr>
        <w:tc>
          <w:tcPr>
            <w:tcW w:w="2220" w:type="dxa"/>
            <w:vAlign w:val="bottom"/>
            <w:gridSpan w:val="3"/>
          </w:tcPr>
          <w:p>
            <w:pPr>
              <w:ind w:left="20"/>
              <w:spacing w:after="0"/>
              <w:rPr>
                <w:sz w:val="20"/>
                <w:szCs w:val="20"/>
                <w:color w:val="auto"/>
              </w:rPr>
            </w:pPr>
            <w:r>
              <w:rPr>
                <w:rFonts w:ascii="Arial" w:cs="Arial" w:eastAsia="Arial" w:hAnsi="Arial"/>
                <w:sz w:val="18"/>
                <w:szCs w:val="18"/>
                <w:color w:val="0000EE"/>
              </w:rPr>
              <w:t>Table of Contents</w:t>
            </w:r>
          </w:p>
        </w:tc>
        <w:tc>
          <w:tcPr>
            <w:tcW w:w="4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758"/>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504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ICAHN ENTERPRISES L.P. AND SUBSIDIARIES</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8"/>
              </w:rPr>
              <w:t>Notes to Condensed Consolidated Financial Statements (Unaudited)</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2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9"/>
              </w:rPr>
              <w:t>September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r>
      <w:tr>
        <w:trPr>
          <w:trHeight w:val="128"/>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3"/>
          </w:tcPr>
          <w:p>
            <w:pPr>
              <w:ind w:left="60"/>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r>
      <w:tr>
        <w:trPr>
          <w:trHeight w:val="216"/>
        </w:trPr>
        <w:tc>
          <w:tcPr>
            <w:tcW w:w="2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50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7260" w:type="dxa"/>
            <w:vAlign w:val="bottom"/>
            <w:gridSpan w:val="5"/>
          </w:tcPr>
          <w:p>
            <w:pPr>
              <w:ind w:left="20"/>
              <w:spacing w:after="0"/>
              <w:rPr>
                <w:sz w:val="20"/>
                <w:szCs w:val="20"/>
                <w:color w:val="auto"/>
              </w:rPr>
            </w:pPr>
            <w:r>
              <w:rPr>
                <w:rFonts w:ascii="Arial" w:cs="Arial" w:eastAsia="Arial" w:hAnsi="Arial"/>
                <w:sz w:val="18"/>
                <w:szCs w:val="18"/>
                <w:color w:val="auto"/>
              </w:rPr>
              <w:t>Other investments measured at fair value</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42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639" w:firstLine="324"/>
        <w:spacing w:after="0" w:line="311" w:lineRule="auto"/>
        <w:rPr>
          <w:sz w:val="20"/>
          <w:szCs w:val="20"/>
          <w:color w:val="auto"/>
        </w:rPr>
      </w:pPr>
      <w:r>
        <w:rPr>
          <w:rFonts w:ascii="Arial" w:cs="Arial" w:eastAsia="Arial" w:hAnsi="Arial"/>
          <w:sz w:val="16"/>
          <w:szCs w:val="16"/>
          <w:color w:val="auto"/>
        </w:rPr>
        <w:t>The portion of unrealized gains and (losses) that relates to equity securities still held by our other segments and Holding Company was zero and $(86) million for each of the three months ended September 30, 2022 and 2021, respectively, and $61 and $(42) million for the nine months ended September 30, 2022 and 2021, respectively.</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Measurements</w:t>
      </w:r>
    </w:p>
    <w:p>
      <w:pPr>
        <w:spacing w:after="0" w:line="189" w:lineRule="exact"/>
        <w:rPr>
          <w:sz w:val="20"/>
          <w:szCs w:val="20"/>
          <w:color w:val="auto"/>
        </w:rPr>
      </w:pPr>
    </w:p>
    <w:p>
      <w:pPr>
        <w:ind w:left="60" w:right="199" w:firstLine="324"/>
        <w:spacing w:after="0" w:line="293" w:lineRule="auto"/>
        <w:rPr>
          <w:sz w:val="20"/>
          <w:szCs w:val="20"/>
          <w:color w:val="auto"/>
        </w:rPr>
      </w:pPr>
      <w:r>
        <w:rPr>
          <w:rFonts w:ascii="Arial" w:cs="Arial" w:eastAsia="Arial" w:hAnsi="Arial"/>
          <w:sz w:val="16"/>
          <w:szCs w:val="16"/>
          <w:color w:val="auto"/>
        </w:rPr>
        <w:t>U.S. GAAP requires enhanced disclosures about assets and liabilities that are measured and reported at fair value and has established a hierarchal disclosure framework that prioritizes and ranks the level of market price observability used in measuring assets and liabilities at fair value. Market price observability is impacted by a number of factors, including the type of, and the characteristics specific to, the assets and liabilities. Assets and liabilities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37" w:lineRule="exact"/>
        <w:rPr>
          <w:sz w:val="20"/>
          <w:szCs w:val="20"/>
          <w:color w:val="auto"/>
        </w:rPr>
      </w:pPr>
    </w:p>
    <w:p>
      <w:pPr>
        <w:ind w:left="60" w:right="859" w:firstLine="324"/>
        <w:spacing w:after="0" w:line="277" w:lineRule="auto"/>
        <w:rPr>
          <w:sz w:val="20"/>
          <w:szCs w:val="20"/>
          <w:color w:val="auto"/>
        </w:rPr>
      </w:pPr>
      <w:r>
        <w:rPr>
          <w:rFonts w:ascii="Arial" w:cs="Arial" w:eastAsia="Arial" w:hAnsi="Arial"/>
          <w:sz w:val="18"/>
          <w:szCs w:val="18"/>
          <w:color w:val="auto"/>
        </w:rPr>
        <w:t>Assets and liabilities measured and reported at fair value are classified and disclosed in one of the following categories:</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Level 1 - Quoted prices are available in active markets for identical assets and liabilities as of the reporting date.</w:t>
      </w:r>
    </w:p>
    <w:p>
      <w:pPr>
        <w:spacing w:after="0" w:line="196" w:lineRule="exact"/>
        <w:rPr>
          <w:sz w:val="20"/>
          <w:szCs w:val="20"/>
          <w:color w:val="auto"/>
        </w:rPr>
      </w:pPr>
    </w:p>
    <w:p>
      <w:pPr>
        <w:ind w:left="380" w:right="559"/>
        <w:spacing w:after="0" w:line="257" w:lineRule="auto"/>
        <w:rPr>
          <w:sz w:val="20"/>
          <w:szCs w:val="20"/>
          <w:color w:val="auto"/>
        </w:rPr>
      </w:pPr>
      <w:r>
        <w:rPr>
          <w:rFonts w:ascii="Arial" w:cs="Arial" w:eastAsia="Arial" w:hAnsi="Arial"/>
          <w:sz w:val="18"/>
          <w:szCs w:val="18"/>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assets and liabilities are derived from market observable sources including reported trades, broker/dealer quotes and other pertinent data.</w:t>
      </w:r>
    </w:p>
    <w:p>
      <w:pPr>
        <w:spacing w:after="0" w:line="161" w:lineRule="exact"/>
        <w:rPr>
          <w:sz w:val="20"/>
          <w:szCs w:val="20"/>
          <w:color w:val="auto"/>
        </w:rPr>
      </w:pPr>
    </w:p>
    <w:p>
      <w:pPr>
        <w:ind w:left="380" w:right="99"/>
        <w:spacing w:after="0" w:line="279" w:lineRule="auto"/>
        <w:rPr>
          <w:sz w:val="20"/>
          <w:szCs w:val="20"/>
          <w:color w:val="auto"/>
        </w:rPr>
      </w:pPr>
      <w:r>
        <w:rPr>
          <w:rFonts w:ascii="Arial" w:cs="Arial" w:eastAsia="Arial" w:hAnsi="Arial"/>
          <w:sz w:val="17"/>
          <w:szCs w:val="17"/>
          <w:color w:val="auto"/>
        </w:rPr>
        <w:t>Level 3 - Pricing inputs are unobservable for the assets and liabilities and include situations where there is little, if any, market activity for the assets and liabilities.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131"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assets and liabilities. Significant transfers, if any, between the levels within the fair value hierarchy are recognized at the beginning of the reporting period when changes in circumstances require such transfers.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85" w:lineRule="exact"/>
        <w:rPr>
          <w:sz w:val="20"/>
          <w:szCs w:val="20"/>
          <w:color w:val="auto"/>
        </w:rPr>
      </w:pPr>
    </w:p>
    <w:p>
      <w:pPr>
        <w:ind w:left="60" w:right="499" w:firstLine="324"/>
        <w:spacing w:after="0" w:line="277" w:lineRule="auto"/>
        <w:rPr>
          <w:sz w:val="20"/>
          <w:szCs w:val="20"/>
          <w:color w:val="auto"/>
        </w:rPr>
      </w:pPr>
      <w:r>
        <w:rPr>
          <w:rFonts w:ascii="Arial" w:cs="Arial" w:eastAsia="Arial" w:hAnsi="Arial"/>
          <w:sz w:val="18"/>
          <w:szCs w:val="18"/>
          <w:color w:val="auto"/>
        </w:rPr>
        <w:t>The following table summarizes the valuation of our assets and liabilities by the above fair value hierarchy levels measured on a recurring basis:</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b w:val="1"/>
                <w:bCs w:val="1"/>
                <w:color w:val="auto"/>
                <w:w w:val="95"/>
              </w:rPr>
              <w:t>September 30, 2022</w:t>
            </w:r>
          </w:p>
        </w:tc>
        <w:tc>
          <w:tcPr>
            <w:tcW w:w="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7"/>
          </w:tcPr>
          <w:p>
            <w:pPr>
              <w:ind w:left="160"/>
              <w:spacing w:after="0"/>
              <w:rPr>
                <w:sz w:val="20"/>
                <w:szCs w:val="20"/>
                <w:color w:val="auto"/>
              </w:rPr>
            </w:pPr>
            <w:r>
              <w:rPr>
                <w:rFonts w:ascii="Arial" w:cs="Arial" w:eastAsia="Arial" w:hAnsi="Arial"/>
                <w:sz w:val="18"/>
                <w:szCs w:val="18"/>
                <w:b w:val="1"/>
                <w:bCs w:val="1"/>
                <w:color w:val="auto"/>
                <w:w w:val="94"/>
              </w:rPr>
              <w:t>December 31, 2021</w:t>
            </w:r>
          </w:p>
        </w:tc>
        <w:tc>
          <w:tcPr>
            <w:tcW w:w="620" w:type="dxa"/>
            <w:vAlign w:val="bottom"/>
            <w:tcBorders>
              <w:bottom w:val="single" w:sz="8" w:color="auto"/>
            </w:tcBorders>
          </w:tcPr>
          <w:p>
            <w:pPr>
              <w:spacing w:after="0"/>
              <w:rPr>
                <w:sz w:val="20"/>
                <w:szCs w:val="20"/>
                <w:color w:val="auto"/>
              </w:rPr>
            </w:pPr>
          </w:p>
        </w:tc>
      </w:tr>
      <w:tr>
        <w:trPr>
          <w:trHeight w:val="209"/>
        </w:trPr>
        <w:tc>
          <w:tcPr>
            <w:tcW w:w="28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Level 1</w:t>
            </w:r>
          </w:p>
        </w:tc>
        <w:tc>
          <w:tcPr>
            <w:tcW w:w="180" w:type="dxa"/>
            <w:vAlign w:val="bottom"/>
          </w:tcPr>
          <w:p>
            <w:pPr>
              <w:spacing w:after="0"/>
              <w:rPr>
                <w:sz w:val="18"/>
                <w:szCs w:val="18"/>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Pr>
          <w:p>
            <w:pPr>
              <w:spacing w:after="0"/>
              <w:rPr>
                <w:sz w:val="18"/>
                <w:szCs w:val="18"/>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Level 3</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Level 1</w:t>
            </w:r>
          </w:p>
        </w:tc>
        <w:tc>
          <w:tcPr>
            <w:tcW w:w="180" w:type="dxa"/>
            <w:vAlign w:val="bottom"/>
          </w:tcPr>
          <w:p>
            <w:pPr>
              <w:spacing w:after="0"/>
              <w:rPr>
                <w:sz w:val="18"/>
                <w:szCs w:val="18"/>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Pr>
          <w:p>
            <w:pPr>
              <w:spacing w:after="0"/>
              <w:rPr>
                <w:sz w:val="18"/>
                <w:szCs w:val="18"/>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Level 3</w:t>
            </w:r>
          </w:p>
        </w:tc>
        <w:tc>
          <w:tcPr>
            <w:tcW w:w="180" w:type="dxa"/>
            <w:vAlign w:val="bottom"/>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129"/>
        </w:trPr>
        <w:tc>
          <w:tcPr>
            <w:tcW w:w="2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3"/>
          </w:tcPr>
          <w:p>
            <w:pPr>
              <w:jc w:val="right"/>
              <w:ind w:right="230"/>
              <w:spacing w:after="0" w:line="129"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16"/>
        </w:trPr>
        <w:tc>
          <w:tcPr>
            <w:tcW w:w="286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Assets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8"/>
                <w:szCs w:val="18"/>
                <w:color w:val="auto"/>
              </w:rPr>
              <w:t>Investments (Note 4)</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$ 4,711</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$ 4,789</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$ 8,905</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3"/>
              </w:rPr>
              <w:t>$ 9,060</w:t>
            </w: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assets, net (Note 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1,504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50"/>
        </w:trPr>
        <w:tc>
          <w:tcPr>
            <w:tcW w:w="286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$ 4,711</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1,540</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$ 6,293</w:t>
            </w:r>
          </w:p>
        </w:tc>
        <w:tc>
          <w:tcPr>
            <w:tcW w:w="18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$ 8,905</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$ 9,672</w:t>
            </w:r>
          </w:p>
        </w:tc>
      </w:tr>
      <w:tr>
        <w:trPr>
          <w:trHeight w:val="196"/>
        </w:trPr>
        <w:tc>
          <w:tcPr>
            <w:tcW w:w="2860" w:type="dxa"/>
            <w:vAlign w:val="bottom"/>
            <w:shd w:val="clear" w:color="auto" w:fill="CCEEFF"/>
          </w:tcPr>
          <w:p>
            <w:pPr>
              <w:ind w:left="980"/>
              <w:spacing w:after="0" w:line="196" w:lineRule="exact"/>
              <w:rPr>
                <w:sz w:val="20"/>
                <w:szCs w:val="20"/>
                <w:color w:val="auto"/>
              </w:rPr>
            </w:pPr>
            <w:r>
              <w:rPr>
                <w:rFonts w:ascii="Arial" w:cs="Arial" w:eastAsia="Arial" w:hAnsi="Arial"/>
                <w:sz w:val="18"/>
                <w:szCs w:val="18"/>
                <w:b w:val="1"/>
                <w:bCs w:val="1"/>
                <w:color w:val="auto"/>
              </w:rPr>
              <w:t>Liabilities</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2"/>
        </w:trPr>
        <w:tc>
          <w:tcPr>
            <w:tcW w:w="2860" w:type="dxa"/>
            <w:vAlign w:val="bottom"/>
          </w:tcPr>
          <w:p>
            <w:pPr>
              <w:ind w:left="20"/>
              <w:spacing w:after="0" w:line="201" w:lineRule="exact"/>
              <w:rPr>
                <w:sz w:val="20"/>
                <w:szCs w:val="20"/>
                <w:color w:val="auto"/>
              </w:rPr>
            </w:pPr>
            <w:r>
              <w:rPr>
                <w:rFonts w:ascii="Arial" w:cs="Arial" w:eastAsia="Arial" w:hAnsi="Arial"/>
                <w:sz w:val="18"/>
                <w:szCs w:val="18"/>
                <w:color w:val="auto"/>
              </w:rPr>
              <w:t>Securities sold, not yet purchased</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(Note 4)</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$ 5,225</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$ 5,382</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$ 5,340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3"/>
              </w:rPr>
              <w:t>$ 5,340</w:t>
            </w: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liabilities, net (Note 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16"/>
        </w:trPr>
        <w:tc>
          <w:tcPr>
            <w:tcW w:w="2860" w:type="dxa"/>
            <w:vAlign w:val="bottom"/>
          </w:tcPr>
          <w:p>
            <w:pPr>
              <w:ind w:left="20"/>
              <w:spacing w:after="0"/>
              <w:rPr>
                <w:sz w:val="20"/>
                <w:szCs w:val="20"/>
                <w:color w:val="auto"/>
              </w:rPr>
            </w:pPr>
            <w:r>
              <w:rPr>
                <w:rFonts w:ascii="Arial" w:cs="Arial" w:eastAsia="Arial" w:hAnsi="Arial"/>
                <w:sz w:val="18"/>
                <w:szCs w:val="18"/>
                <w:color w:val="auto"/>
              </w:rPr>
              <w:t>RFS obligations (Note 16)</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715</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494</w:t>
            </w:r>
          </w:p>
        </w:tc>
      </w:tr>
      <w:tr>
        <w:trPr>
          <w:trHeight w:val="209"/>
        </w:trPr>
        <w:tc>
          <w:tcPr>
            <w:tcW w:w="28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$ 5,225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1,585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$ 6,810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$ 5,340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1,281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$ 6,621</w:t>
            </w:r>
          </w:p>
        </w:tc>
      </w:tr>
      <w:tr>
        <w:trPr>
          <w:trHeight w:val="20"/>
        </w:trPr>
        <w:tc>
          <w:tcPr>
            <w:tcW w:w="2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Financial Instruments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177"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its counterparties.</w:t>
      </w:r>
    </w:p>
    <w:p>
      <w:pPr>
        <w:spacing w:after="0" w:line="192"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the overnight bank funding rate in effect for such period.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177"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The Investment Funds may utilize forward contracts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spacing w:after="0" w:line="188"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161" w:lineRule="exact"/>
        <w:rPr>
          <w:sz w:val="20"/>
          <w:szCs w:val="20"/>
          <w:color w:val="auto"/>
        </w:rPr>
      </w:pPr>
    </w:p>
    <w:p>
      <w:pPr>
        <w:ind w:left="60" w:right="179" w:firstLine="324"/>
        <w:spacing w:after="0" w:line="255" w:lineRule="auto"/>
        <w:rPr>
          <w:sz w:val="20"/>
          <w:szCs w:val="20"/>
          <w:color w:val="auto"/>
        </w:rPr>
      </w:pPr>
      <w:r>
        <w:rPr>
          <w:rFonts w:ascii="Arial" w:cs="Arial" w:eastAsia="Arial" w:hAnsi="Arial"/>
          <w:sz w:val="18"/>
          <w:szCs w:val="18"/>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w:t>
      </w:r>
    </w:p>
    <w:p>
      <w:pPr>
        <w:spacing w:after="0" w:line="192"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There were no Investment Funds’ derivative instruments with credit-risk-related contingent features in a liability position as of September 30, 2022 and December 31, 2021.</w:t>
      </w:r>
    </w:p>
    <w:p>
      <w:pPr>
        <w:spacing w:after="0" w:line="176"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The following table summarizes the volume of our Investment segment’s derivative activities based on their notional exposure, categorized by primary underlying risk:</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2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8"/>
                <w:szCs w:val="18"/>
                <w:b w:val="1"/>
                <w:bCs w:val="1"/>
                <w:color w:val="auto"/>
                <w:w w:val="93"/>
              </w:rPr>
              <w:t>September 30, 2022</w:t>
            </w:r>
          </w:p>
        </w:tc>
        <w:tc>
          <w:tcPr>
            <w:tcW w:w="200" w:type="dxa"/>
            <w:vAlign w:val="bottom"/>
          </w:tcPr>
          <w:p>
            <w:pPr>
              <w:spacing w:after="0"/>
              <w:rPr>
                <w:sz w:val="20"/>
                <w:szCs w:val="20"/>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96"/>
              </w:rPr>
              <w:t>December 31, 2021</w:t>
            </w:r>
          </w:p>
        </w:tc>
        <w:tc>
          <w:tcPr>
            <w:tcW w:w="0" w:type="dxa"/>
            <w:vAlign w:val="bottom"/>
          </w:tcPr>
          <w:p>
            <w:pPr>
              <w:spacing w:after="0"/>
              <w:rPr>
                <w:sz w:val="1"/>
                <w:szCs w:val="1"/>
                <w:color w:val="auto"/>
              </w:rPr>
            </w:pPr>
          </w:p>
        </w:tc>
      </w:tr>
      <w:tr>
        <w:trPr>
          <w:trHeight w:val="191"/>
        </w:trPr>
        <w:tc>
          <w:tcPr>
            <w:tcW w:w="35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Long</w:t>
            </w:r>
          </w:p>
        </w:tc>
        <w:tc>
          <w:tcPr>
            <w:tcW w:w="200" w:type="dxa"/>
            <w:vAlign w:val="bottom"/>
          </w:tcPr>
          <w:p>
            <w:pPr>
              <w:spacing w:after="0"/>
              <w:rPr>
                <w:sz w:val="16"/>
                <w:szCs w:val="16"/>
                <w:color w:val="auto"/>
              </w:rPr>
            </w:pPr>
          </w:p>
        </w:tc>
        <w:tc>
          <w:tcPr>
            <w:tcW w:w="7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Short</w:t>
            </w:r>
          </w:p>
        </w:tc>
        <w:tc>
          <w:tcPr>
            <w:tcW w:w="200" w:type="dxa"/>
            <w:vAlign w:val="bottom"/>
          </w:tcPr>
          <w:p>
            <w:pPr>
              <w:spacing w:after="0"/>
              <w:rPr>
                <w:sz w:val="16"/>
                <w:szCs w:val="16"/>
                <w:color w:val="auto"/>
              </w:rPr>
            </w:pPr>
          </w:p>
        </w:tc>
        <w:tc>
          <w:tcPr>
            <w:tcW w:w="7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Long</w:t>
            </w:r>
          </w:p>
        </w:tc>
        <w:tc>
          <w:tcPr>
            <w:tcW w:w="200" w:type="dxa"/>
            <w:vAlign w:val="bottom"/>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Short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2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2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2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20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20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0" w:type="dxa"/>
            <w:vAlign w:val="bottom"/>
          </w:tcPr>
          <w:p>
            <w:pPr>
              <w:spacing w:after="0"/>
              <w:rPr>
                <w:sz w:val="1"/>
                <w:szCs w:val="1"/>
                <w:color w:val="auto"/>
              </w:rPr>
            </w:pPr>
          </w:p>
        </w:tc>
      </w:tr>
      <w:tr>
        <w:trPr>
          <w:trHeight w:val="211"/>
        </w:trPr>
        <w:tc>
          <w:tcPr>
            <w:tcW w:w="3500" w:type="dxa"/>
            <w:vAlign w:val="bottom"/>
            <w:vMerge w:val="restart"/>
          </w:tcPr>
          <w:p>
            <w:pPr>
              <w:spacing w:after="0"/>
              <w:rPr>
                <w:sz w:val="20"/>
                <w:szCs w:val="20"/>
                <w:color w:val="auto"/>
              </w:rPr>
            </w:pPr>
            <w:r>
              <w:rPr>
                <w:rFonts w:ascii="Arial" w:cs="Arial" w:eastAsia="Arial" w:hAnsi="Arial"/>
                <w:sz w:val="18"/>
                <w:szCs w:val="18"/>
                <w:color w:val="auto"/>
              </w:rPr>
              <w:t>Primary underlying risk:</w:t>
            </w:r>
          </w:p>
        </w:tc>
        <w:tc>
          <w:tcPr>
            <w:tcW w:w="1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3"/>
          </w:tcPr>
          <w:p>
            <w:pPr>
              <w:jc w:val="right"/>
              <w:ind w:right="37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50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contracts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1,534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5,384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1,582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5,986</w:t>
            </w:r>
          </w:p>
        </w:tc>
        <w:tc>
          <w:tcPr>
            <w:tcW w:w="0" w:type="dxa"/>
            <w:vAlign w:val="bottom"/>
          </w:tcPr>
          <w:p>
            <w:pPr>
              <w:spacing w:after="0"/>
              <w:rPr>
                <w:sz w:val="1"/>
                <w:szCs w:val="1"/>
                <w:color w:val="auto"/>
              </w:rPr>
            </w:pPr>
          </w:p>
        </w:tc>
      </w:tr>
      <w:tr>
        <w:trPr>
          <w:trHeight w:val="353"/>
        </w:trPr>
        <w:tc>
          <w:tcPr>
            <w:tcW w:w="3500" w:type="dxa"/>
            <w:vAlign w:val="bottom"/>
          </w:tcPr>
          <w:p>
            <w:pPr>
              <w:ind w:left="100"/>
              <w:spacing w:after="0"/>
              <w:rPr>
                <w:sz w:val="20"/>
                <w:szCs w:val="20"/>
                <w:color w:val="auto"/>
              </w:rPr>
            </w:pPr>
            <w:r>
              <w:rPr>
                <w:rFonts w:ascii="Arial" w:cs="Arial" w:eastAsia="Arial" w:hAnsi="Arial"/>
                <w:sz w:val="18"/>
                <w:szCs w:val="18"/>
                <w:color w:val="auto"/>
              </w:rPr>
              <w:t>Credit contracts</w:t>
            </w:r>
            <w:r>
              <w:rPr>
                <w:rFonts w:ascii="Arial" w:cs="Arial" w:eastAsia="Arial" w:hAnsi="Arial"/>
                <w:sz w:val="26"/>
                <w:szCs w:val="26"/>
                <w:color w:val="auto"/>
                <w:vertAlign w:val="superscript"/>
              </w:rPr>
              <w:t>(1)</w:t>
            </w:r>
          </w:p>
        </w:tc>
        <w:tc>
          <w:tcPr>
            <w:tcW w:w="17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715</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-17780</wp:posOffset>
            </wp:positionV>
            <wp:extent cx="14141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41" w:lineRule="exact"/>
        <w:rPr>
          <w:sz w:val="20"/>
          <w:szCs w:val="20"/>
          <w:color w:val="auto"/>
        </w:rPr>
      </w:pPr>
    </w:p>
    <w:p>
      <w:pPr>
        <w:ind w:left="380" w:right="79" w:hanging="330"/>
        <w:spacing w:after="0" w:line="255" w:lineRule="auto"/>
        <w:tabs>
          <w:tab w:leader="none" w:pos="3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short notional amount on our credit default swap positions was approximately $3.9 billion at September 30, 2022. However, because credit spreads cannot compress below zero, our downside short notional exposure to loss is approximately $0.7 billion as of September 30, 2022. The short notional amount on our credit default swap positions was approximately $6.6 billion as of December 31, 2021. However, because credit spreads cannot compress below zero, our downside short notional exposure to loss is approximately $2.1 billion as of December 31, 2021.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Certain derivative contracts executed by each of the Investment Funds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w:t>
      </w:r>
    </w:p>
    <w:p>
      <w:pPr>
        <w:spacing w:after="0" w:line="187"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The following table presents the fair values of our Investment segment’s derivatives that are not designated as hedging instruments in accordance with U.S. GAAP:</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Derivative Assets</w:t>
            </w: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Derivative Liabilities</w:t>
            </w:r>
          </w:p>
        </w:tc>
        <w:tc>
          <w:tcPr>
            <w:tcW w:w="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September 30, 2022</w:t>
            </w:r>
          </w:p>
        </w:tc>
        <w:tc>
          <w:tcPr>
            <w:tcW w:w="180" w:type="dxa"/>
            <w:vAlign w:val="bottom"/>
          </w:tcPr>
          <w:p>
            <w:pPr>
              <w:spacing w:after="0"/>
              <w:rPr>
                <w:sz w:val="18"/>
                <w:szCs w:val="18"/>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December 31, 2021</w:t>
            </w:r>
          </w:p>
        </w:tc>
        <w:tc>
          <w:tcPr>
            <w:tcW w:w="180" w:type="dxa"/>
            <w:vAlign w:val="bottom"/>
          </w:tcPr>
          <w:p>
            <w:pPr>
              <w:spacing w:after="0"/>
              <w:rPr>
                <w:sz w:val="18"/>
                <w:szCs w:val="18"/>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September 30, 2022</w:t>
            </w:r>
          </w:p>
        </w:tc>
        <w:tc>
          <w:tcPr>
            <w:tcW w:w="200" w:type="dxa"/>
            <w:vAlign w:val="bottom"/>
          </w:tcPr>
          <w:p>
            <w:pPr>
              <w:spacing w:after="0"/>
              <w:rPr>
                <w:sz w:val="18"/>
                <w:szCs w:val="18"/>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December 31, 2021</w:t>
            </w:r>
          </w:p>
        </w:tc>
        <w:tc>
          <w:tcPr>
            <w:tcW w:w="20" w:type="dxa"/>
            <w:vAlign w:val="bottom"/>
          </w:tcPr>
          <w:p>
            <w:pPr>
              <w:spacing w:after="0"/>
              <w:rPr>
                <w:sz w:val="18"/>
                <w:szCs w:val="18"/>
                <w:color w:val="auto"/>
              </w:rPr>
            </w:pPr>
          </w:p>
        </w:tc>
      </w:tr>
      <w:tr>
        <w:trPr>
          <w:trHeight w:val="196"/>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gridSpan w:val="3"/>
          </w:tcPr>
          <w:p>
            <w:pPr>
              <w:ind w:left="520"/>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0" w:type="dxa"/>
            <w:vAlign w:val="bottom"/>
          </w:tcPr>
          <w:p>
            <w:pPr>
              <w:spacing w:after="0"/>
              <w:rPr>
                <w:sz w:val="18"/>
                <w:szCs w:val="18"/>
                <w:color w:val="auto"/>
              </w:rPr>
            </w:pPr>
          </w:p>
        </w:tc>
      </w:tr>
      <w:tr>
        <w:trPr>
          <w:trHeight w:val="216"/>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Credit contracts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703</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1,075</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9"/>
        </w:trPr>
        <w:tc>
          <w:tcPr>
            <w:tcW w:w="234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5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0" w:type="dxa"/>
            <w:vAlign w:val="bottom"/>
          </w:tcPr>
          <w:p>
            <w:pPr>
              <w:spacing w:after="0"/>
              <w:rPr>
                <w:sz w:val="18"/>
                <w:szCs w:val="18"/>
                <w:color w:val="auto"/>
              </w:rPr>
            </w:pPr>
          </w:p>
        </w:tc>
      </w:tr>
      <w:tr>
        <w:trPr>
          <w:trHeight w:val="192"/>
        </w:trPr>
        <w:tc>
          <w:tcPr>
            <w:tcW w:w="2340" w:type="dxa"/>
            <w:vAlign w:val="bottom"/>
            <w:gridSpan w:val="2"/>
          </w:tcPr>
          <w:p>
            <w:pPr>
              <w:ind w:left="120"/>
              <w:spacing w:after="0" w:line="192" w:lineRule="exact"/>
              <w:rPr>
                <w:sz w:val="20"/>
                <w:szCs w:val="20"/>
                <w:color w:val="auto"/>
              </w:rPr>
            </w:pPr>
            <w:r>
              <w:rPr>
                <w:rFonts w:ascii="Arial" w:cs="Arial" w:eastAsia="Arial" w:hAnsi="Arial"/>
                <w:sz w:val="18"/>
                <w:szCs w:val="18"/>
                <w:color w:val="auto"/>
              </w:rPr>
              <w:t>Netting across contract</w:t>
            </w: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0"/>
        </w:trPr>
        <w:tc>
          <w:tcPr>
            <w:tcW w:w="2340" w:type="dxa"/>
            <w:vAlign w:val="bottom"/>
            <w:gridSpan w:val="2"/>
          </w:tcPr>
          <w:p>
            <w:pPr>
              <w:ind w:left="120"/>
              <w:spacing w:after="0" w:line="240" w:lineRule="exact"/>
              <w:rPr>
                <w:sz w:val="20"/>
                <w:szCs w:val="20"/>
                <w:color w:val="auto"/>
              </w:rPr>
            </w:pPr>
            <w:r>
              <w:rPr>
                <w:rFonts w:ascii="Arial" w:cs="Arial" w:eastAsia="Arial" w:hAnsi="Arial"/>
                <w:sz w:val="18"/>
                <w:szCs w:val="18"/>
                <w:color w:val="auto"/>
              </w:rPr>
              <w:t>types</w:t>
            </w:r>
            <w:r>
              <w:rPr>
                <w:rFonts w:ascii="Arial" w:cs="Arial" w:eastAsia="Arial" w:hAnsi="Arial"/>
                <w:sz w:val="26"/>
                <w:szCs w:val="26"/>
                <w:color w:val="auto"/>
                <w:vertAlign w:val="superscript"/>
              </w:rPr>
              <w:t>(1)</w:t>
            </w:r>
          </w:p>
        </w:tc>
        <w:tc>
          <w:tcPr>
            <w:tcW w:w="5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7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(532)</w:t>
            </w:r>
          </w:p>
        </w:tc>
        <w:tc>
          <w:tcPr>
            <w:tcW w:w="5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8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(532)</w:t>
            </w:r>
          </w:p>
        </w:tc>
      </w:tr>
      <w:tr>
        <w:trPr>
          <w:trHeight w:val="209"/>
        </w:trPr>
        <w:tc>
          <w:tcPr>
            <w:tcW w:w="2340" w:type="dxa"/>
            <w:vAlign w:val="bottom"/>
            <w:tcBorders>
              <w:top w:val="single" w:sz="8" w:color="CCEEFF"/>
              <w:bottom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Total</w:t>
            </w:r>
            <w:r>
              <w:rPr>
                <w:rFonts w:ascii="Arial" w:cs="Arial" w:eastAsia="Arial" w:hAnsi="Arial"/>
                <w:sz w:val="24"/>
                <w:szCs w:val="24"/>
                <w:color w:val="auto"/>
                <w:vertAlign w:val="superscript"/>
              </w:rPr>
              <w:t>(1)</w:t>
            </w: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ind w:left="380" w:right="479" w:hanging="330"/>
        <w:spacing w:after="0" w:line="185" w:lineRule="auto"/>
        <w:tabs>
          <w:tab w:leader="none" w:pos="380" w:val="left"/>
        </w:tabs>
        <w:numPr>
          <w:ilvl w:val="0"/>
          <w:numId w:val="4"/>
        </w:numPr>
        <w:rPr>
          <w:rFonts w:ascii="Arial" w:cs="Arial" w:eastAsia="Arial" w:hAnsi="Arial"/>
          <w:sz w:val="28"/>
          <w:szCs w:val="28"/>
          <w:color w:val="auto"/>
          <w:vertAlign w:val="subscript"/>
        </w:rPr>
      </w:pPr>
      <w:r>
        <w:rPr>
          <w:rFonts w:ascii="Arial" w:cs="Arial" w:eastAsia="Arial" w:hAnsi="Arial"/>
          <w:sz w:val="13"/>
          <w:szCs w:val="13"/>
          <w:color w:val="auto"/>
        </w:rPr>
        <w:t>Excludes netting of cash collateral received and posted. The total collateral posted at September 30, 2022 and December 31, 2021 was $1,045 million and $1,906 million, respectively, across all counterparties, which are included in cash held at consolidated affiliated partnerships and restricted cash in the condensed consolidated balance sheets.</w:t>
      </w:r>
    </w:p>
    <w:p>
      <w:pPr>
        <w:spacing w:after="0" w:line="187" w:lineRule="exact"/>
        <w:rPr>
          <w:sz w:val="20"/>
          <w:szCs w:val="20"/>
          <w:color w:val="auto"/>
        </w:rPr>
      </w:pPr>
    </w:p>
    <w:p>
      <w:pPr>
        <w:ind w:left="60" w:right="699" w:firstLine="324"/>
        <w:spacing w:after="0" w:line="308" w:lineRule="auto"/>
        <w:rPr>
          <w:sz w:val="20"/>
          <w:szCs w:val="20"/>
          <w:color w:val="auto"/>
        </w:rPr>
      </w:pPr>
      <w:r>
        <w:rPr>
          <w:rFonts w:ascii="Arial" w:cs="Arial" w:eastAsia="Arial" w:hAnsi="Arial"/>
          <w:sz w:val="17"/>
          <w:szCs w:val="17"/>
          <w:color w:val="auto"/>
        </w:rPr>
        <w:t>The following table presents the amount of gain (loss) recognized in the condensed consolidated statements of operations for our Investment segment’s derivatives not designated as hedging instruments: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99"/>
        </w:trPr>
        <w:tc>
          <w:tcPr>
            <w:tcW w:w="2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8"/>
                <w:szCs w:val="18"/>
                <w:b w:val="1"/>
                <w:bCs w:val="1"/>
                <w:color w:val="auto"/>
              </w:rPr>
              <w:t xml:space="preserve">Gain (loss) Recognized in Income </w:t>
            </w:r>
            <w:r>
              <w:rPr>
                <w:rFonts w:ascii="Arial" w:cs="Arial" w:eastAsia="Arial" w:hAnsi="Arial"/>
                <w:sz w:val="26"/>
                <w:szCs w:val="26"/>
                <w:b w:val="1"/>
                <w:bCs w:val="1"/>
                <w:color w:val="auto"/>
                <w:vertAlign w:val="superscript"/>
              </w:rPr>
              <w:t>(1)</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2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5"/>
          </w:tcPr>
          <w:p>
            <w:pPr>
              <w:jc w:val="center"/>
              <w:ind w:right="380"/>
              <w:spacing w:after="0" w:line="191" w:lineRule="exact"/>
              <w:rPr>
                <w:sz w:val="20"/>
                <w:szCs w:val="20"/>
                <w:color w:val="auto"/>
              </w:rPr>
            </w:pPr>
            <w:r>
              <w:rPr>
                <w:rFonts w:ascii="Arial" w:cs="Arial" w:eastAsia="Arial" w:hAnsi="Arial"/>
                <w:sz w:val="18"/>
                <w:szCs w:val="18"/>
                <w:b w:val="1"/>
                <w:bCs w:val="1"/>
                <w:color w:val="auto"/>
                <w:w w:val="90"/>
              </w:rPr>
              <w:t>Three Months Ended</w:t>
            </w:r>
          </w:p>
        </w:tc>
        <w:tc>
          <w:tcPr>
            <w:tcW w:w="320" w:type="dxa"/>
            <w:vAlign w:val="bottom"/>
          </w:tcPr>
          <w:p>
            <w:pPr>
              <w:spacing w:after="0"/>
              <w:rPr>
                <w:sz w:val="16"/>
                <w:szCs w:val="16"/>
                <w:color w:val="auto"/>
              </w:rPr>
            </w:pPr>
          </w:p>
        </w:tc>
        <w:tc>
          <w:tcPr>
            <w:tcW w:w="1920" w:type="dxa"/>
            <w:vAlign w:val="bottom"/>
            <w:gridSpan w:val="4"/>
          </w:tcPr>
          <w:p>
            <w:pPr>
              <w:jc w:val="center"/>
              <w:ind w:right="210"/>
              <w:spacing w:after="0" w:line="191" w:lineRule="exact"/>
              <w:rPr>
                <w:sz w:val="20"/>
                <w:szCs w:val="20"/>
                <w:color w:val="auto"/>
              </w:rPr>
            </w:pPr>
            <w:r>
              <w:rPr>
                <w:rFonts w:ascii="Arial" w:cs="Arial" w:eastAsia="Arial" w:hAnsi="Arial"/>
                <w:sz w:val="18"/>
                <w:szCs w:val="18"/>
                <w:b w:val="1"/>
                <w:bCs w:val="1"/>
                <w:color w:val="auto"/>
                <w:w w:val="91"/>
              </w:rPr>
              <w:t>Nine Months Ended</w:t>
            </w:r>
          </w:p>
        </w:tc>
        <w:tc>
          <w:tcPr>
            <w:tcW w:w="20" w:type="dxa"/>
            <w:vAlign w:val="bottom"/>
          </w:tcPr>
          <w:p>
            <w:pPr>
              <w:spacing w:after="0"/>
              <w:rPr>
                <w:sz w:val="16"/>
                <w:szCs w:val="16"/>
                <w:color w:val="auto"/>
              </w:rPr>
            </w:pPr>
          </w:p>
        </w:tc>
      </w:tr>
      <w:tr>
        <w:trPr>
          <w:trHeight w:val="234"/>
        </w:trPr>
        <w:tc>
          <w:tcPr>
            <w:tcW w:w="2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20"/>
                <w:szCs w:val="20"/>
                <w:color w:val="auto"/>
              </w:rPr>
            </w:pPr>
          </w:p>
        </w:tc>
        <w:tc>
          <w:tcPr>
            <w:tcW w:w="19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2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2022</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r>
      <w:tr>
        <w:trPr>
          <w:trHeight w:val="196"/>
        </w:trPr>
        <w:tc>
          <w:tcPr>
            <w:tcW w:w="22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0" w:type="dxa"/>
            <w:vAlign w:val="bottom"/>
          </w:tcPr>
          <w:p>
            <w:pPr>
              <w:spacing w:after="0"/>
              <w:rPr>
                <w:sz w:val="18"/>
                <w:szCs w:val="18"/>
                <w:color w:val="auto"/>
              </w:rPr>
            </w:pPr>
          </w:p>
        </w:tc>
      </w:tr>
      <w:tr>
        <w:trPr>
          <w:trHeight w:val="216"/>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Credit contracts</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(579)</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r>
      <w:tr>
        <w:trPr>
          <w:trHeight w:val="209"/>
        </w:trPr>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20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ind w:left="380" w:right="419" w:hanging="330"/>
        <w:spacing w:after="0" w:line="253"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Gains (losses) recognized on derivatives are classified in net (loss) gain from investment activities in our condensed consolidated statements of operations for our Investment segment.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CVR Energy’s businesses are subject to fluctuations of commodity prices caused by supply conditions, weather, economic conditions, interest rates, and other factors. To manage the impact of price fluctuations of crude oil and other commodities in our results of operations and certain inventories, and to fix margins on future sales and purchases, CVR Refining regularly enters into various commodity derivative transactions. CVR Refining holds derivative instruments, such as futures and swaps, which it believes provide an economic hedge on future transactions, but such instruments are not designated as hedge instruments. CVR Refining may enter into forward purchase or sale contracts associated with renewable identification numbers (“RINs”).</w:t>
      </w:r>
    </w:p>
    <w:p>
      <w:pPr>
        <w:spacing w:after="0" w:line="195" w:lineRule="exact"/>
        <w:rPr>
          <w:sz w:val="20"/>
          <w:szCs w:val="20"/>
          <w:color w:val="auto"/>
        </w:rPr>
      </w:pPr>
    </w:p>
    <w:p>
      <w:pPr>
        <w:ind w:left="60" w:right="99" w:firstLine="324"/>
        <w:spacing w:after="0" w:line="279" w:lineRule="auto"/>
        <w:rPr>
          <w:sz w:val="20"/>
          <w:szCs w:val="20"/>
          <w:color w:val="auto"/>
        </w:rPr>
      </w:pPr>
      <w:r>
        <w:rPr>
          <w:rFonts w:ascii="Arial" w:cs="Arial" w:eastAsia="Arial" w:hAnsi="Arial"/>
          <w:sz w:val="17"/>
          <w:szCs w:val="17"/>
          <w:color w:val="auto"/>
        </w:rPr>
        <w:t>As of September 30, 2022 and December 31, 2021, CVR Refining had 2 million barrels and no outstanding forward contract positions, respectively. As of September 30, 2022 and December 31, 2021, CVR Refining had future contracts for less than 1 million barrels at each date, respectively. As of September 30, 2022 and December 31, 2021, CVR Refining had open fixed-price commitments to purchase a net 32 million and 2 million RINs,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199" w:firstLine="324"/>
        <w:spacing w:after="0" w:line="271" w:lineRule="auto"/>
        <w:rPr>
          <w:sz w:val="20"/>
          <w:szCs w:val="20"/>
          <w:color w:val="auto"/>
        </w:rPr>
      </w:pPr>
      <w:r>
        <w:rPr>
          <w:rFonts w:ascii="Arial" w:cs="Arial" w:eastAsia="Arial" w:hAnsi="Arial"/>
          <w:sz w:val="17"/>
          <w:szCs w:val="17"/>
          <w:color w:val="auto"/>
        </w:rPr>
        <w:t>Certain derivative contracts executed by our Energy segment with a single counterparty are reported on a net-by-counterparty basis where a legal right of offset exists under an enforceable netting agreement. As of September 30, 2022, our Energy segment had net asset derivatives of $5 million and no net liability derivatives and as of December 31, 2021, our Energy segment had net asset derivatives of $1 million and net liability derivatives of $2 million. Gains (losses) recognized on derivatives for our Energy segment were $23 million and $(12) million for the three months ended September 30, 2022 and 2021, respectively, and $(43) million and $(46) million for the nine months ended September 30, 2022 and 2021, respectively. Gains and losses recognized on derivatives for our Energy segment are included in cost of goods sold on the condensed consolidated statements of operations.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gridSpan w:val="2"/>
          </w:tcPr>
          <w:p>
            <w:pPr>
              <w:ind w:left="20"/>
              <w:spacing w:after="0"/>
              <w:rPr>
                <w:sz w:val="20"/>
                <w:szCs w:val="20"/>
                <w:color w:val="auto"/>
              </w:rPr>
            </w:pPr>
            <w:r>
              <w:rPr>
                <w:rFonts w:ascii="Arial" w:cs="Arial" w:eastAsia="Arial" w:hAnsi="Arial"/>
                <w:sz w:val="18"/>
                <w:szCs w:val="18"/>
                <w:b w:val="1"/>
                <w:bCs w:val="1"/>
                <w:color w:val="auto"/>
              </w:rPr>
              <w:t>7. Inventories, Net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20" w:type="dxa"/>
            <w:vAlign w:val="bottom"/>
            <w:gridSpan w:val="4"/>
          </w:tcPr>
          <w:p>
            <w:pPr>
              <w:ind w:left="320"/>
              <w:spacing w:after="0"/>
              <w:rPr>
                <w:sz w:val="20"/>
                <w:szCs w:val="20"/>
                <w:color w:val="auto"/>
              </w:rPr>
            </w:pPr>
            <w:r>
              <w:rPr>
                <w:rFonts w:ascii="Arial" w:cs="Arial" w:eastAsia="Arial" w:hAnsi="Arial"/>
                <w:sz w:val="18"/>
                <w:szCs w:val="18"/>
                <w:color w:val="auto"/>
              </w:rPr>
              <w:t>Inventories, net consists of the following:</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4"/>
                <w:szCs w:val="24"/>
                <w:color w:val="auto"/>
              </w:rPr>
            </w:pPr>
          </w:p>
        </w:tc>
        <w:tc>
          <w:tcPr>
            <w:tcW w:w="110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center"/>
              <w:ind w:right="156"/>
              <w:spacing w:after="0"/>
              <w:rPr>
                <w:sz w:val="20"/>
                <w:szCs w:val="20"/>
                <w:color w:val="auto"/>
              </w:rPr>
            </w:pPr>
            <w:r>
              <w:rPr>
                <w:rFonts w:ascii="Arial" w:cs="Arial" w:eastAsia="Arial" w:hAnsi="Arial"/>
                <w:sz w:val="18"/>
                <w:szCs w:val="18"/>
                <w:b w:val="1"/>
                <w:bCs w:val="1"/>
                <w:color w:val="auto"/>
                <w:w w:val="89"/>
              </w:rPr>
              <w:t>2022</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4"/>
          </w:tcPr>
          <w:p>
            <w:pPr>
              <w:ind w:left="380"/>
              <w:spacing w:after="0" w:line="129" w:lineRule="exact"/>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1,674</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0"/>
              </w:rPr>
              <w:t>8. Goodwill and Intangible Assets, Net</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0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80" w:type="dxa"/>
            <w:vAlign w:val="bottom"/>
          </w:tcPr>
          <w:p>
            <w:pPr>
              <w:ind w:left="320"/>
              <w:spacing w:after="0"/>
              <w:rPr>
                <w:sz w:val="20"/>
                <w:szCs w:val="20"/>
                <w:color w:val="auto"/>
              </w:rPr>
            </w:pPr>
            <w:r>
              <w:rPr>
                <w:rFonts w:ascii="Arial" w:cs="Arial" w:eastAsia="Arial" w:hAnsi="Arial"/>
                <w:sz w:val="18"/>
                <w:szCs w:val="18"/>
                <w:color w:val="auto"/>
                <w:w w:val="98"/>
              </w:rPr>
              <w:t>Goodwill consists of the following: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September 30, 2022</w:t>
            </w:r>
          </w:p>
        </w:tc>
        <w:tc>
          <w:tcPr>
            <w:tcW w:w="6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w w:val="94"/>
              </w:rPr>
              <w:t>December 31, 2021</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52"/>
              <w:spacing w:after="0" w:line="191" w:lineRule="exact"/>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Gross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Net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gridSpan w:val="22"/>
          </w:tcPr>
          <w:p>
            <w:pPr>
              <w:jc w:val="right"/>
              <w:spacing w:after="0"/>
              <w:rPr>
                <w:sz w:val="20"/>
                <w:szCs w:val="20"/>
                <w:color w:val="auto"/>
              </w:rPr>
            </w:pPr>
            <w:r>
              <w:rPr>
                <w:rFonts w:ascii="Arial" w:cs="Arial" w:eastAsia="Arial" w:hAnsi="Arial"/>
                <w:sz w:val="18"/>
                <w:szCs w:val="18"/>
                <w:b w:val="1"/>
                <w:bCs w:val="1"/>
                <w:color w:val="auto"/>
              </w:rPr>
              <w:t>Carrying  Accumulated  Carrying  Carrying  Accumulated  Carrying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Impairment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4"/>
              </w:rPr>
              <w:t>Amount</w:t>
            </w:r>
          </w:p>
        </w:tc>
        <w:tc>
          <w:tcPr>
            <w:tcW w:w="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8"/>
              </w:rPr>
              <w:t>Impairment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Value</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5"/>
          </w:tcPr>
          <w:p>
            <w:pPr>
              <w:jc w:val="right"/>
              <w:ind w:right="310"/>
              <w:spacing w:after="0"/>
              <w:rPr>
                <w:sz w:val="20"/>
                <w:szCs w:val="20"/>
                <w:color w:val="auto"/>
              </w:rPr>
            </w:pPr>
            <w:r>
              <w:rPr>
                <w:rFonts w:ascii="Arial" w:cs="Arial" w:eastAsia="Arial" w:hAnsi="Arial"/>
                <w:sz w:val="14"/>
                <w:szCs w:val="14"/>
                <w:color w:val="auto"/>
              </w:rPr>
              <w:t>(in millions)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58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80" w:type="dxa"/>
            <w:vAlign w:val="bottom"/>
            <w:gridSpan w:val="3"/>
            <w:shd w:val="clear" w:color="auto" w:fill="CCEEFF"/>
          </w:tcPr>
          <w:p>
            <w:pPr>
              <w:jc w:val="center"/>
              <w:ind w:right="256"/>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Food Packaging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Home Fashion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Pharma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center"/>
              <w:ind w:right="4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 assets, net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ind w:left="540"/>
              <w:spacing w:after="0"/>
              <w:rPr>
                <w:sz w:val="20"/>
                <w:szCs w:val="20"/>
                <w:color w:val="auto"/>
              </w:rPr>
            </w:pPr>
            <w:r>
              <w:rPr>
                <w:rFonts w:ascii="Arial" w:cs="Arial" w:eastAsia="Arial" w:hAnsi="Arial"/>
                <w:sz w:val="18"/>
                <w:szCs w:val="18"/>
                <w:b w:val="1"/>
                <w:bCs w:val="1"/>
                <w:color w:val="auto"/>
                <w:w w:val="91"/>
              </w:rPr>
              <w:t>September 30, 2022</w:t>
            </w: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87"/>
              </w:rPr>
              <w:t>December 31, 2021</w:t>
            </w:r>
          </w:p>
        </w:tc>
        <w:tc>
          <w:tcPr>
            <w:tcW w:w="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32"/>
              <w:spacing w:after="0" w:line="191" w:lineRule="exact"/>
              <w:rPr>
                <w:sz w:val="20"/>
                <w:szCs w:val="20"/>
                <w:color w:val="auto"/>
              </w:rPr>
            </w:pPr>
            <w:r>
              <w:rPr>
                <w:rFonts w:ascii="Arial" w:cs="Arial" w:eastAsia="Arial" w:hAnsi="Arial"/>
                <w:sz w:val="18"/>
                <w:szCs w:val="18"/>
                <w:b w:val="1"/>
                <w:bCs w:val="1"/>
                <w:color w:val="auto"/>
              </w:rPr>
              <w:t>Net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9"/>
              </w:rPr>
              <w:t>Net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Carrying</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700" w:type="dxa"/>
            <w:vAlign w:val="bottom"/>
            <w:gridSpan w:val="2"/>
          </w:tcPr>
          <w:p>
            <w:pPr>
              <w:spacing w:after="0"/>
              <w:rPr>
                <w:sz w:val="20"/>
                <w:szCs w:val="20"/>
                <w:color w:val="auto"/>
              </w:rPr>
            </w:pPr>
            <w:r>
              <w:rPr>
                <w:rFonts w:ascii="Arial" w:cs="Arial" w:eastAsia="Arial" w:hAnsi="Arial"/>
                <w:sz w:val="18"/>
                <w:szCs w:val="18"/>
                <w:b w:val="1"/>
                <w:bCs w:val="1"/>
                <w:color w:val="auto"/>
                <w:w w:val="91"/>
              </w:rPr>
              <w:t>Carrying</w:t>
            </w:r>
          </w:p>
        </w:tc>
        <w:tc>
          <w:tcPr>
            <w:tcW w:w="20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8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20"/>
                <w:szCs w:val="20"/>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4"/>
          </w:tcPr>
          <w:p>
            <w:pPr>
              <w:jc w:val="right"/>
              <w:ind w:right="33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185</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394</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(192)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Developed technology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vMerge w:val="restart"/>
          </w:tcPr>
          <w:p>
            <w:pPr>
              <w:jc w:val="right"/>
              <w:ind w:right="27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27" w:lineRule="exact"/>
        <w:rPr>
          <w:sz w:val="20"/>
          <w:szCs w:val="20"/>
          <w:color w:val="auto"/>
        </w:rPr>
      </w:pPr>
    </w:p>
    <w:p>
      <w:pPr>
        <w:ind w:left="60" w:right="359" w:firstLine="324"/>
        <w:spacing w:after="0" w:line="263" w:lineRule="auto"/>
        <w:rPr>
          <w:sz w:val="20"/>
          <w:szCs w:val="20"/>
          <w:color w:val="auto"/>
        </w:rPr>
      </w:pPr>
      <w:r>
        <w:rPr>
          <w:rFonts w:ascii="Arial" w:cs="Arial" w:eastAsia="Arial" w:hAnsi="Arial"/>
          <w:sz w:val="18"/>
          <w:szCs w:val="18"/>
          <w:color w:val="auto"/>
        </w:rPr>
        <w:t>Amortization expense associated with definite-lived intangible assets was $16 million and $17 million for the three months ended September 30, 2022 and 2021, respectively, and $45 million and $49 million for the nine months ended September 30, 2022 and 2021, respectively.</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utilize the straight-line method of amortization, recognized over the estimated useful lives of the assets.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 Segments and Holding Company</w:t>
      </w:r>
    </w:p>
    <w:p>
      <w:pPr>
        <w:spacing w:after="0" w:line="225"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color w:val="auto"/>
        </w:rPr>
        <w:t>We have operating and finance leases primarily within our Automotive, Energy and Food Packaging segments. Our Automotive segment leases assets, primarily real estate (operating) and vehicles (financing). Our Energy segment leases certain pipelines, storage tanks, railcars, office space, land and equipment (operating and financing). Our Food Packaging segment leases assets, primarily real estate, equipment and vehicles (primarily operating). Our lease agreements do not contain any material residual value guarantees or material restrictive covenants. Right-of-use assets and related liabilities are recorded on the balance sheet for leases with an initial lease term in excess of twelve months and therefore, do not include any lease arrangements with initial lease terms of twelve months or less.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Right-of-use assets and lease liabilities are as follows: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27"/>
        </w:trPr>
        <w:tc>
          <w:tcPr>
            <w:tcW w:w="636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r>
      <w:tr>
        <w:trPr>
          <w:trHeight w:val="128"/>
        </w:trPr>
        <w:tc>
          <w:tcPr>
            <w:tcW w:w="6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1"/>
                <w:szCs w:val="1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Right-of-use assets (other assets)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416</w:t>
            </w:r>
          </w:p>
        </w:tc>
        <w:tc>
          <w:tcPr>
            <w:tcW w:w="200" w:type="dxa"/>
            <w:vAlign w:val="bottom"/>
          </w:tcPr>
          <w:p>
            <w:pPr>
              <w:spacing w:after="0"/>
              <w:rPr>
                <w:sz w:val="18"/>
                <w:szCs w:val="18"/>
                <w:color w:val="auto"/>
              </w:rPr>
            </w:pPr>
          </w:p>
        </w:tc>
        <w:tc>
          <w:tcPr>
            <w:tcW w:w="340" w:type="dxa"/>
            <w:vAlign w:val="bottom"/>
          </w:tcPr>
          <w:p>
            <w:pPr>
              <w:jc w:val="right"/>
              <w:ind w:right="178"/>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(accrued expenses and other liabilities)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16"/>
        </w:trPr>
        <w:tc>
          <w:tcPr>
            <w:tcW w:w="6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Leases: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Right-of-use assets (property, plant and equipment, 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(debt)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27"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Additional information with respect to our operating leases as of September 30, 2022 and December 31, 2021 is presented below. The lease terms and discount rates for our Energy, Automotive and Food Packaging segments represent weighted averages based on their respective lease liability balances.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6"/>
              </w:rPr>
              <w:t>Right-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Of-Use</w:t>
            </w:r>
          </w:p>
        </w:tc>
        <w:tc>
          <w:tcPr>
            <w:tcW w:w="14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Lease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Discount</w:t>
            </w:r>
          </w:p>
        </w:tc>
      </w:tr>
      <w:tr>
        <w:trPr>
          <w:trHeight w:val="234"/>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Leases as of September 30, 2022</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right="13"/>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Liabilities</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Term</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40" w:type="dxa"/>
            <w:vAlign w:val="bottom"/>
          </w:tcPr>
          <w:p>
            <w:pPr>
              <w:spacing w:after="0"/>
              <w:rPr>
                <w:sz w:val="20"/>
                <w:szCs w:val="20"/>
                <w:color w:val="auto"/>
              </w:rPr>
            </w:pPr>
          </w:p>
        </w:tc>
      </w:tr>
      <w:tr>
        <w:trPr>
          <w:trHeight w:val="142"/>
        </w:trPr>
        <w:tc>
          <w:tcPr>
            <w:tcW w:w="5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4"/>
          </w:tcPr>
          <w:p>
            <w:pPr>
              <w:jc w:val="right"/>
              <w:ind w:right="390"/>
              <w:spacing w:after="0" w:line="142"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3.9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Automotive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4.5 years</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4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10.3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7.4%</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segments and Holding Company</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09"/>
        </w:trPr>
        <w:tc>
          <w:tcPr>
            <w:tcW w:w="50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Right-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Of-Use</w:t>
            </w:r>
          </w:p>
        </w:tc>
        <w:tc>
          <w:tcPr>
            <w:tcW w:w="140" w:type="dxa"/>
            <w:vAlign w:val="bottom"/>
          </w:tcPr>
          <w:p>
            <w:pPr>
              <w:spacing w:after="0"/>
              <w:rPr>
                <w:sz w:val="18"/>
                <w:szCs w:val="18"/>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Lease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8"/>
              </w:rPr>
              <w:t>Discount</w:t>
            </w:r>
          </w:p>
        </w:tc>
      </w:tr>
      <w:tr>
        <w:trPr>
          <w:trHeight w:val="234"/>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Leases as of December 31, 2021</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20"/>
                <w:szCs w:val="20"/>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Liabilities</w:t>
            </w:r>
          </w:p>
        </w:tc>
        <w:tc>
          <w:tcPr>
            <w:tcW w:w="18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Term</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r>
      <w:tr>
        <w:trPr>
          <w:trHeight w:val="142"/>
        </w:trPr>
        <w:tc>
          <w:tcPr>
            <w:tcW w:w="5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jc w:val="right"/>
              <w:ind w:right="410"/>
              <w:spacing w:after="0" w:line="142"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4.1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5.4%</w:t>
            </w:r>
          </w:p>
        </w:tc>
      </w:tr>
      <w:tr>
        <w:trPr>
          <w:trHeight w:val="216"/>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Automotive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385</w:t>
            </w:r>
          </w:p>
        </w:tc>
        <w:tc>
          <w:tcPr>
            <w:tcW w:w="18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4.9 years</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5.8%</w:t>
            </w:r>
          </w:p>
        </w:tc>
      </w:tr>
      <w:tr>
        <w:trPr>
          <w:trHeight w:val="21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10.5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7.4%</w:t>
            </w:r>
          </w:p>
        </w:tc>
      </w:tr>
      <w:tr>
        <w:trPr>
          <w:trHeight w:val="216"/>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segments and Holding Company</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r>
      <w:tr>
        <w:trPr>
          <w:trHeight w:val="210"/>
        </w:trPr>
        <w:tc>
          <w:tcPr>
            <w:tcW w:w="50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119" w:firstLine="324"/>
        <w:spacing w:after="0" w:line="285" w:lineRule="auto"/>
        <w:rPr>
          <w:sz w:val="20"/>
          <w:szCs w:val="20"/>
          <w:color w:val="auto"/>
        </w:rPr>
      </w:pPr>
      <w:r>
        <w:rPr>
          <w:rFonts w:ascii="Arial" w:cs="Arial" w:eastAsia="Arial" w:hAnsi="Arial"/>
          <w:sz w:val="16"/>
          <w:szCs w:val="16"/>
          <w:color w:val="auto"/>
        </w:rPr>
        <w:t>For the three months ended September 30, 2022 and 2021, lease cost was comprised of (i) operating lease cost of $47 million and $49 million, respectively, (ii) amortization of financing lease right-of-use assets of $3 million and $3 million, respectively, and (iii) interest expense on financing lease liabilities of $2 million and $2 million, respectively. For the nine months ended September 30, 2022 and 2021, lease cost was comprised of (i) operating lease cost of $145 million and $150 million, respectively, (ii) amortization of financing lease right-of-use assets of $7 million and $8 million, respectively, and</w:t>
      </w:r>
    </w:p>
    <w:p>
      <w:pPr>
        <w:spacing w:after="0" w:line="2" w:lineRule="exact"/>
        <w:rPr>
          <w:sz w:val="20"/>
          <w:szCs w:val="20"/>
          <w:color w:val="auto"/>
        </w:rPr>
      </w:pPr>
    </w:p>
    <w:p>
      <w:pPr>
        <w:ind w:left="60" w:right="279" w:hanging="10"/>
        <w:spacing w:after="0" w:line="255" w:lineRule="auto"/>
        <w:tabs>
          <w:tab w:leader="none" w:pos="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expense on financing lease liabilities of $4 million and $5 million, respectively. Our automotive segment accounted for $121 million and $127 million of total lease cost for the nine months ended September 30, 2022 and 2021, respectively.</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Our Automotive segment leases certain retail locations under long-term operating leases. Our Automotive segment’s revenues from operating leases were $13 million and $3 million for the three months ended September 30, 2022 and 2021, respectively, and $35 million and $5 million for the nine months ended September 30, 2022 and 2021, respectively. Revenues from operating leases are included in other revenue from operations in the condensed consolidated statements of operations.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left="60" w:right="299" w:firstLine="324"/>
        <w:spacing w:after="0" w:line="296" w:lineRule="auto"/>
        <w:rPr>
          <w:sz w:val="20"/>
          <w:szCs w:val="20"/>
          <w:color w:val="auto"/>
        </w:rPr>
      </w:pPr>
      <w:r>
        <w:rPr>
          <w:rFonts w:ascii="Arial" w:cs="Arial" w:eastAsia="Arial" w:hAnsi="Arial"/>
          <w:sz w:val="16"/>
          <w:szCs w:val="16"/>
          <w:color w:val="auto"/>
        </w:rPr>
        <w:t>Our Real Estate segment leases real estate, primarily commercial properties under long-term operating leases. As of September 30, 2022 and December 31, 2021, our Real Estate segment had assets leased to others included in property, plant and equipment of $252 million and $251 million, respectively, net of accumulated depreciation. Our Real Estate segment’s revenue from operating leases were $2 million and $1 million for the three months ended September 30, 2022 and 2021, respectively, and $5 million and $7 million for the nine months ended September 30, 2022 and 2021,</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respectively. Revenues from operating leases are included in other revenue from operations in the condensed consolidated statements of operations.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10. Debt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32"/>
        </w:trPr>
        <w:tc>
          <w:tcPr>
            <w:tcW w:w="6460" w:type="dxa"/>
            <w:vAlign w:val="bottom"/>
          </w:tcPr>
          <w:p>
            <w:pPr>
              <w:ind w:left="340"/>
              <w:spacing w:after="0"/>
              <w:rPr>
                <w:sz w:val="20"/>
                <w:szCs w:val="20"/>
                <w:color w:val="auto"/>
              </w:rPr>
            </w:pPr>
            <w:r>
              <w:rPr>
                <w:rFonts w:ascii="Arial" w:cs="Arial" w:eastAsia="Arial" w:hAnsi="Arial"/>
                <w:sz w:val="18"/>
                <w:szCs w:val="18"/>
                <w:color w:val="auto"/>
              </w:rPr>
              <w:t>Debt consists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27"/>
        </w:trPr>
        <w:tc>
          <w:tcPr>
            <w:tcW w:w="646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r>
      <w:tr>
        <w:trPr>
          <w:trHeight w:val="128"/>
        </w:trPr>
        <w:tc>
          <w:tcPr>
            <w:tcW w:w="6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tcPr>
          <w:p>
            <w:pPr>
              <w:ind w:left="620"/>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Holding Company: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6.750% senior unsecured notes due 2024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4.750% senior unsecured notes due 2024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6.375% senior unsecured notes due 2025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5.250% senior unsecured notes due 2027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1,461</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4.375% senior unsecured notes due 2029</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r>
      <w:tr>
        <w:trPr>
          <w:trHeight w:val="210"/>
        </w:trPr>
        <w:tc>
          <w:tcPr>
            <w:tcW w:w="64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5,310</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w:t>
            </w:r>
          </w:p>
        </w:tc>
      </w:tr>
      <w:tr>
        <w:trPr>
          <w:trHeight w:val="20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Reporting Segments: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Energy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1,660</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Food Packaging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Home Fashion</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10"/>
        </w:trPr>
        <w:tc>
          <w:tcPr>
            <w:tcW w:w="64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r>
      <w:tr>
        <w:trPr>
          <w:trHeight w:val="210"/>
        </w:trPr>
        <w:tc>
          <w:tcPr>
            <w:tcW w:w="646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7,127</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7,692</w:t>
            </w:r>
          </w:p>
        </w:tc>
      </w:tr>
      <w:tr>
        <w:trPr>
          <w:trHeight w:val="20"/>
        </w:trPr>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Holding Company</w:t>
      </w:r>
    </w:p>
    <w:p>
      <w:pPr>
        <w:spacing w:after="0" w:line="229" w:lineRule="exact"/>
        <w:rPr>
          <w:sz w:val="20"/>
          <w:szCs w:val="20"/>
          <w:color w:val="auto"/>
        </w:rPr>
      </w:pPr>
    </w:p>
    <w:p>
      <w:pPr>
        <w:jc w:val="both"/>
        <w:ind w:left="60" w:right="179" w:firstLine="324"/>
        <w:spacing w:after="0" w:line="342" w:lineRule="auto"/>
        <w:rPr>
          <w:sz w:val="20"/>
          <w:szCs w:val="20"/>
          <w:color w:val="auto"/>
        </w:rPr>
      </w:pPr>
      <w:r>
        <w:rPr>
          <w:rFonts w:ascii="Arial" w:cs="Arial" w:eastAsia="Arial" w:hAnsi="Arial"/>
          <w:sz w:val="16"/>
          <w:szCs w:val="16"/>
          <w:color w:val="auto"/>
        </w:rPr>
        <w:t>In February 2022, we redeemed all of our $500 million aggregate principal amount of 6.750% senior unsecured notes due 2024 at par. As a result of this transaction, Icahn Enterprises recorded a loss on extinguishment of debt of $1 million.</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Reporting Segments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In February 2022, CVR Partners redeemed the remaining $65 million aggregate principal amount of its 9.25% senior secured notes due June 2023 at par. As a result of this transaction, CVR Partners recognized a loss on extinguishment of debt of $1 million.</w:t>
      </w:r>
    </w:p>
    <w:p>
      <w:pPr>
        <w:spacing w:after="0" w:line="184"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In April 2022, in connection with the Petroleum ABL (as defined below), a new wholly owned subsidiary of CVR Energy, CVR Renewables, LLC (“CVR Renew”), delivered to Wells Fargo Bank, National Association, as administrative and collateral agent for the secured parties, a Joinder Agreement pursuant to which CVR Renew became a borrower for all purposes under the Petroleum ABL and other Credit Documents.</w:t>
      </w:r>
    </w:p>
    <w:p>
      <w:pPr>
        <w:spacing w:after="0" w:line="187" w:lineRule="exact"/>
        <w:rPr>
          <w:sz w:val="20"/>
          <w:szCs w:val="20"/>
          <w:color w:val="auto"/>
        </w:rPr>
      </w:pPr>
    </w:p>
    <w:p>
      <w:pPr>
        <w:ind w:left="60" w:right="139" w:firstLine="324"/>
        <w:spacing w:after="0" w:line="275" w:lineRule="auto"/>
        <w:rPr>
          <w:sz w:val="20"/>
          <w:szCs w:val="20"/>
          <w:color w:val="auto"/>
        </w:rPr>
      </w:pPr>
      <w:r>
        <w:rPr>
          <w:rFonts w:ascii="Arial" w:cs="Arial" w:eastAsia="Arial" w:hAnsi="Arial"/>
          <w:sz w:val="17"/>
          <w:szCs w:val="17"/>
          <w:color w:val="auto"/>
        </w:rPr>
        <w:t>In June 2022, CVR Refining and certain of its subsidiaries (the “Credit Parties”) entered into Amendment No. 3 to the Amended and Restated ABL Credit Agreement dated December 20, 2012 (the “Amendment”, and as amended, the “Petroleum ABL”), with a group of lenders and Wells Fargo Bank, National Association, as administrative agent and collateral agent (the “Agent”). The Petroleum ABL is a senior secured asset based revolving credit facility in an aggregate principle amount of up to $275 million with a $125 million incremental facility, which is subject to additional</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color w:val="auto"/>
        </w:rPr>
        <w:t>lender commitments and certain other conditions. The proceeds of the loans may be used for capital expenditures, working capital and general corporate purposes of the Credit Parties and their subsidiaries. The Petroleum ABL provides for loans and letters of credit in an amount up to the aggregate availability under the facility, subject to certain borrowing base conditions, with sub-limits of $30 million for swingline loans and $60 million (or $100 million if increased by the Agent) for letters of credit. The Petroleum ABL is scheduled to mature on June 30, 2027.</w:t>
      </w:r>
    </w:p>
    <w:p>
      <w:pPr>
        <w:spacing w:after="0" w:line="176" w:lineRule="exact"/>
        <w:rPr>
          <w:sz w:val="20"/>
          <w:szCs w:val="20"/>
          <w:color w:val="auto"/>
        </w:rPr>
      </w:pPr>
    </w:p>
    <w:p>
      <w:pPr>
        <w:ind w:left="60" w:right="99" w:firstLine="324"/>
        <w:spacing w:after="0" w:line="311" w:lineRule="auto"/>
        <w:rPr>
          <w:sz w:val="20"/>
          <w:szCs w:val="20"/>
          <w:color w:val="auto"/>
        </w:rPr>
      </w:pPr>
      <w:r>
        <w:rPr>
          <w:rFonts w:ascii="Arial" w:cs="Arial" w:eastAsia="Arial" w:hAnsi="Arial"/>
          <w:sz w:val="16"/>
          <w:szCs w:val="16"/>
          <w:color w:val="auto"/>
        </w:rPr>
        <w:t>As of September 30, 2022 and December 31, 2021, total availability under CVR Refining and CVR Partners variable rate asset based revolving credit facilities aggregated $282 million and $396 million, respectively. CVR Refining also had $28 million and $39 million of letters of credit outstanding as of September 30, 2022 and December 31, 2021, respectively.</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60" w:right="339" w:firstLine="324"/>
        <w:spacing w:after="0" w:line="259" w:lineRule="auto"/>
        <w:rPr>
          <w:sz w:val="20"/>
          <w:szCs w:val="20"/>
          <w:color w:val="auto"/>
        </w:rPr>
      </w:pPr>
      <w:r>
        <w:rPr>
          <w:rFonts w:ascii="Arial" w:cs="Arial" w:eastAsia="Arial" w:hAnsi="Arial"/>
          <w:sz w:val="18"/>
          <w:szCs w:val="18"/>
          <w:color w:val="auto"/>
        </w:rPr>
        <w:t>We and 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Non-Cash Charges to Interest Expense</w:t>
      </w:r>
    </w:p>
    <w:p>
      <w:pPr>
        <w:spacing w:after="0" w:line="229"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The amortization of deferred financing costs and debt discounts and premiums included in interest expense in the condensed consolidated statements of operations were less than $1 million and $3 million for the three months ended September 30, 2022 and 2021, respectively, and $2 million and $4 million for the nine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hanging="310"/>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LP Unit</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7"/>
          <w:szCs w:val="17"/>
          <w:color w:val="auto"/>
        </w:rPr>
        <w:t>The components of the computation of basic and diluted income per LP unit of Icahn Enterprises are as follows: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2"/>
              </w:rPr>
              <w:t>Three Months Ended September 30,</w:t>
            </w:r>
          </w:p>
        </w:tc>
        <w:tc>
          <w:tcPr>
            <w:tcW w:w="140" w:type="dxa"/>
            <w:vAlign w:val="bottom"/>
          </w:tcPr>
          <w:p>
            <w:pPr>
              <w:spacing w:after="0"/>
              <w:rPr>
                <w:sz w:val="20"/>
                <w:szCs w:val="20"/>
                <w:color w:val="auto"/>
              </w:rPr>
            </w:pPr>
          </w:p>
        </w:tc>
        <w:tc>
          <w:tcPr>
            <w:tcW w:w="27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0" w:type="dxa"/>
            <w:vAlign w:val="bottom"/>
            <w:gridSpan w:val="4"/>
          </w:tcPr>
          <w:p>
            <w:pPr>
              <w:jc w:val="right"/>
              <w:ind w:right="230"/>
              <w:spacing w:after="0" w:line="129" w:lineRule="exact"/>
              <w:rPr>
                <w:sz w:val="20"/>
                <w:szCs w:val="20"/>
                <w:color w:val="auto"/>
              </w:rPr>
            </w:pPr>
            <w:r>
              <w:rPr>
                <w:rFonts w:ascii="Arial" w:cs="Arial" w:eastAsia="Arial" w:hAnsi="Arial"/>
                <w:sz w:val="14"/>
                <w:szCs w:val="14"/>
                <w:color w:val="auto"/>
                <w:w w:val="99"/>
              </w:rPr>
              <w:t>(in millions, except per unit amounts)</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Net (loss) income attributable to Icahn</w:t>
            </w:r>
          </w:p>
        </w:tc>
        <w:tc>
          <w:tcPr>
            <w:tcW w:w="9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(123)</w:t>
            </w: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20" w:type="dxa"/>
            <w:vAlign w:val="bottom"/>
            <w:gridSpan w:val="2"/>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5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Enterprises</w:t>
            </w:r>
          </w:p>
        </w:tc>
        <w:tc>
          <w:tcPr>
            <w:tcW w:w="920" w:type="dxa"/>
            <w:vAlign w:val="bottom"/>
            <w:gridSpan w:val="2"/>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6"/>
              </w:rPr>
              <w:t>Net (loss) income attributable to Icahn</w:t>
            </w: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9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w w:val="93"/>
              </w:rPr>
              <w:t>Enterprises allocated to limited partners</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w w:val="99"/>
              </w:rPr>
              <w:t>(121)</w:t>
            </w: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(145)</w:t>
            </w:r>
          </w:p>
        </w:tc>
        <w:tc>
          <w:tcPr>
            <w:tcW w:w="42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57"/>
        </w:trPr>
        <w:tc>
          <w:tcPr>
            <w:tcW w:w="2980" w:type="dxa"/>
            <w:vAlign w:val="bottom"/>
            <w:gridSpan w:val="2"/>
          </w:tcPr>
          <w:p>
            <w:pPr>
              <w:spacing w:after="0"/>
              <w:rPr>
                <w:sz w:val="20"/>
                <w:szCs w:val="20"/>
                <w:color w:val="auto"/>
              </w:rPr>
            </w:pPr>
            <w:r>
              <w:rPr>
                <w:rFonts w:ascii="Arial" w:cs="Arial" w:eastAsia="Arial" w:hAnsi="Arial"/>
                <w:sz w:val="18"/>
                <w:szCs w:val="18"/>
                <w:color w:val="auto"/>
              </w:rPr>
              <w:t>(98.01% allocation)</w:t>
            </w:r>
          </w:p>
        </w:tc>
        <w:tc>
          <w:tcPr>
            <w:tcW w:w="920" w:type="dxa"/>
            <w:vAlign w:val="bottom"/>
            <w:gridSpan w:val="2"/>
            <w:vMerge w:val="continue"/>
          </w:tcPr>
          <w:p>
            <w:pPr>
              <w:spacing w:after="0"/>
              <w:rPr>
                <w:sz w:val="22"/>
                <w:szCs w:val="22"/>
                <w:color w:val="auto"/>
              </w:rPr>
            </w:pPr>
          </w:p>
        </w:tc>
        <w:tc>
          <w:tcPr>
            <w:tcW w:w="440" w:type="dxa"/>
            <w:vAlign w:val="bottom"/>
            <w:vMerge w:val="continue"/>
          </w:tcPr>
          <w:p>
            <w:pPr>
              <w:spacing w:after="0"/>
              <w:rPr>
                <w:sz w:val="22"/>
                <w:szCs w:val="22"/>
                <w:color w:val="auto"/>
              </w:rPr>
            </w:pPr>
          </w:p>
        </w:tc>
        <w:tc>
          <w:tcPr>
            <w:tcW w:w="460" w:type="dxa"/>
            <w:vAlign w:val="bottom"/>
            <w:gridSpan w:val="2"/>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50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Basic (loss) income per LP unit:</w:t>
            </w: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9"/>
              </w:rPr>
              <w:t>(0.37)</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(0.55)</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0.23</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Basic weighted average LP units</w:t>
            </w:r>
          </w:p>
        </w:tc>
        <w:tc>
          <w:tcPr>
            <w:tcW w:w="1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Diluted (loss) income per LP unit:</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(0.37)</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Diluted weighted average LP units</w:t>
            </w: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9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266</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308</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57"/>
        </w:trPr>
        <w:tc>
          <w:tcPr>
            <w:tcW w:w="298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8"/>
          <w:szCs w:val="18"/>
          <w:b w:val="1"/>
          <w:bCs w:val="1"/>
          <w:i w:val="1"/>
          <w:iCs w:val="1"/>
          <w:color w:val="auto"/>
        </w:rPr>
        <w:t>LP Unit Transactions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 Distributions</w:t>
      </w:r>
    </w:p>
    <w:p>
      <w:pPr>
        <w:spacing w:after="0" w:line="225" w:lineRule="exact"/>
        <w:rPr>
          <w:sz w:val="20"/>
          <w:szCs w:val="20"/>
          <w:color w:val="auto"/>
        </w:rPr>
      </w:pPr>
    </w:p>
    <w:p>
      <w:pPr>
        <w:ind w:left="60" w:right="299" w:firstLine="324"/>
        <w:spacing w:after="0" w:line="308" w:lineRule="auto"/>
        <w:rPr>
          <w:sz w:val="20"/>
          <w:szCs w:val="20"/>
          <w:color w:val="auto"/>
        </w:rPr>
      </w:pPr>
      <w:r>
        <w:rPr>
          <w:rFonts w:ascii="Arial" w:cs="Arial" w:eastAsia="Arial" w:hAnsi="Arial"/>
          <w:sz w:val="17"/>
          <w:szCs w:val="17"/>
          <w:color w:val="auto"/>
        </w:rPr>
        <w:t>On February 23, 2022, we declared a quarterly distribution in the amount of $2.00 per depositary unit in which each depositary unitholder had the option to make an election to receive either cash or additional depositary units.</w:t>
      </w:r>
    </w:p>
    <w:p>
      <w:pPr>
        <w:spacing w:after="0" w:line="146" w:lineRule="exact"/>
        <w:rPr>
          <w:sz w:val="20"/>
          <w:szCs w:val="20"/>
          <w:color w:val="auto"/>
        </w:rPr>
      </w:pPr>
    </w:p>
    <w:p>
      <w:pPr>
        <w:ind w:left="60" w:right="399" w:firstLine="324"/>
        <w:spacing w:after="0" w:line="342" w:lineRule="auto"/>
        <w:rPr>
          <w:sz w:val="20"/>
          <w:szCs w:val="20"/>
          <w:color w:val="auto"/>
        </w:rPr>
      </w:pPr>
      <w:r>
        <w:rPr>
          <w:rFonts w:ascii="Arial" w:cs="Arial" w:eastAsia="Arial" w:hAnsi="Arial"/>
          <w:sz w:val="16"/>
          <w:szCs w:val="16"/>
          <w:color w:val="auto"/>
        </w:rPr>
        <w:t>On May 6, 2022, we declared a quarterly dividend distribution in the amount of $2.00 per depository unit in which each depository unitholder had the option to make an election to receive either cash or additional depository units.</w:t>
      </w:r>
    </w:p>
    <w:p>
      <w:pPr>
        <w:spacing w:after="0" w:line="124" w:lineRule="exact"/>
        <w:rPr>
          <w:sz w:val="20"/>
          <w:szCs w:val="20"/>
          <w:color w:val="auto"/>
        </w:rPr>
      </w:pPr>
    </w:p>
    <w:p>
      <w:pPr>
        <w:ind w:left="60" w:right="199" w:firstLine="324"/>
        <w:spacing w:after="0" w:line="342" w:lineRule="auto"/>
        <w:rPr>
          <w:sz w:val="20"/>
          <w:szCs w:val="20"/>
          <w:color w:val="auto"/>
        </w:rPr>
      </w:pPr>
      <w:r>
        <w:rPr>
          <w:rFonts w:ascii="Arial" w:cs="Arial" w:eastAsia="Arial" w:hAnsi="Arial"/>
          <w:sz w:val="16"/>
          <w:szCs w:val="16"/>
          <w:color w:val="auto"/>
        </w:rPr>
        <w:t>On August 3, 2022, we declared a quarterly dividend distribution in the amount of $2.00 per depository unit in which each depository unitholder had the option to make an election to receive either cash or additional depository units.</w:t>
      </w:r>
    </w:p>
    <w:p>
      <w:pPr>
        <w:spacing w:after="0" w:line="124" w:lineRule="exact"/>
        <w:rPr>
          <w:sz w:val="20"/>
          <w:szCs w:val="20"/>
          <w:color w:val="auto"/>
        </w:rPr>
      </w:pPr>
    </w:p>
    <w:p>
      <w:pPr>
        <w:ind w:left="60" w:right="239" w:firstLine="324"/>
        <w:spacing w:after="0" w:line="257" w:lineRule="auto"/>
        <w:rPr>
          <w:sz w:val="20"/>
          <w:szCs w:val="20"/>
          <w:color w:val="auto"/>
        </w:rPr>
      </w:pPr>
      <w:r>
        <w:rPr>
          <w:rFonts w:ascii="Arial" w:cs="Arial" w:eastAsia="Arial" w:hAnsi="Arial"/>
          <w:sz w:val="18"/>
          <w:szCs w:val="18"/>
          <w:color w:val="auto"/>
        </w:rPr>
        <w:t>As a result of the above distributions declared, during the nine months ended September 30, 2022, we distributed an aggregate 33,364,320 depositary units to unitholders who did not elect to receive cash, of which an aggregate of 31,508,966 depositary units were distributed to Mr. Icahn and his affiliates. In connection with these distributions, aggregate cash distributions to all depositary unitholders that made a timely election to receive cash was $158 million for the nine months ended September 30, 2022.</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At-The-Market Offerings</w:t>
      </w:r>
    </w:p>
    <w:p>
      <w:pPr>
        <w:spacing w:after="0" w:line="225"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During the three months ended September 30, 2022, we sold 3,130,267 depositary units pursuant to our Open Market Sale Agreement, resulting in gross proceeds of $163 million. During the nine months ended September 30, 2022, we sold 10,677,046 depository units pursuant to the Open Market Sale Agreement, resulting in gross proceeds of $557 million. As of September 30, 2022, we continue to have an active Open Market Sale Agreement and Icahn Enterprises may sell its depositary units for up to an additional $128 million in aggregate gross sale proceeds pursuant to this agreement.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2017 Incentive Plan</w:t>
      </w:r>
    </w:p>
    <w:p>
      <w:pPr>
        <w:spacing w:after="0" w:line="225"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During the nine months ended September 30, 2022, Icahn Enterprises distributed 29,342 depositary units, net of payroll withholdings, with respect to certain restricted depositary units that vested during the period in connection with the Icahn Enterprises L.P. 2017 Long Term Incentive Plan (the “2017 Incentive Plan”). The aggregate impact of the 2017 Incentive Plan is not material with respect to our condensed consolidated financial statements, including the calculation of potentially dilutive units and diluted income per LP unit.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Segment Reporting</w:t>
      </w:r>
    </w:p>
    <w:p>
      <w:pPr>
        <w:spacing w:after="0" w:line="229"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Certain terms of financings for certain of our businesses impose restrictions on the business’ ability to transfer funds to us, including restrictions on dividends, distributions, loans and other transactions.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Statements of Operations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6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13"/>
          </w:tcPr>
          <w:p>
            <w:pPr>
              <w:jc w:val="center"/>
              <w:ind w:right="80"/>
              <w:spacing w:after="0"/>
              <w:rPr>
                <w:sz w:val="20"/>
                <w:szCs w:val="20"/>
                <w:color w:val="auto"/>
              </w:rPr>
            </w:pPr>
            <w:r>
              <w:rPr>
                <w:rFonts w:ascii="Arial" w:cs="Arial" w:eastAsia="Arial" w:hAnsi="Arial"/>
                <w:sz w:val="13"/>
                <w:szCs w:val="13"/>
                <w:b w:val="1"/>
                <w:bCs w:val="1"/>
                <w:color w:val="auto"/>
                <w:w w:val="87"/>
              </w:rPr>
              <w:t>Three Months Ended September 30, 2022</w:t>
            </w: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80"/>
              <w:spacing w:after="0" w:line="110" w:lineRule="exact"/>
              <w:rPr>
                <w:sz w:val="20"/>
                <w:szCs w:val="20"/>
                <w:color w:val="auto"/>
              </w:rPr>
            </w:pPr>
            <w:r>
              <w:rPr>
                <w:rFonts w:ascii="Arial" w:cs="Arial" w:eastAsia="Arial" w:hAnsi="Arial"/>
                <w:sz w:val="12"/>
                <w:szCs w:val="12"/>
                <w:b w:val="1"/>
                <w:bCs w:val="1"/>
                <w:color w:val="auto"/>
                <w:w w:val="95"/>
              </w:rPr>
              <w:t>Food</w:t>
            </w:r>
          </w:p>
        </w:tc>
        <w:tc>
          <w:tcPr>
            <w:tcW w:w="48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Real</w:t>
            </w:r>
          </w:p>
        </w:tc>
        <w:tc>
          <w:tcPr>
            <w:tcW w:w="58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Home</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Holding</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rPr>
              <w:t>Investment</w:t>
            </w:r>
          </w:p>
        </w:tc>
        <w:tc>
          <w:tcPr>
            <w:tcW w:w="540" w:type="dxa"/>
            <w:vAlign w:val="bottom"/>
            <w:gridSpan w:val="3"/>
          </w:tcPr>
          <w:p>
            <w:pPr>
              <w:spacing w:after="0"/>
              <w:rPr>
                <w:sz w:val="20"/>
                <w:szCs w:val="20"/>
                <w:color w:val="auto"/>
              </w:rPr>
            </w:pPr>
            <w:r>
              <w:rPr>
                <w:rFonts w:ascii="Arial" w:cs="Arial" w:eastAsia="Arial" w:hAnsi="Arial"/>
                <w:sz w:val="13"/>
                <w:szCs w:val="13"/>
                <w:b w:val="1"/>
                <w:bCs w:val="1"/>
                <w:color w:val="auto"/>
              </w:rPr>
              <w:t>Energy</w:t>
            </w: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w w:val="95"/>
              </w:rPr>
              <w:t>Automotive</w:t>
            </w:r>
          </w:p>
        </w:tc>
        <w:tc>
          <w:tcPr>
            <w:tcW w:w="8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Packaging</w:t>
            </w:r>
          </w:p>
        </w:tc>
        <w:tc>
          <w:tcPr>
            <w:tcW w:w="480" w:type="dxa"/>
            <w:vAlign w:val="bottom"/>
            <w:gridSpan w:val="3"/>
          </w:tcPr>
          <w:p>
            <w:pPr>
              <w:ind w:left="20"/>
              <w:spacing w:after="0"/>
              <w:rPr>
                <w:sz w:val="20"/>
                <w:szCs w:val="20"/>
                <w:color w:val="auto"/>
              </w:rPr>
            </w:pPr>
            <w:r>
              <w:rPr>
                <w:rFonts w:ascii="Arial" w:cs="Arial" w:eastAsia="Arial" w:hAnsi="Arial"/>
                <w:sz w:val="13"/>
                <w:szCs w:val="13"/>
                <w:b w:val="1"/>
                <w:bCs w:val="1"/>
                <w:color w:val="auto"/>
              </w:rPr>
              <w:t>Estate</w:t>
            </w:r>
          </w:p>
        </w:tc>
        <w:tc>
          <w:tcPr>
            <w:tcW w:w="580" w:type="dxa"/>
            <w:vAlign w:val="bottom"/>
            <w:gridSpan w:val="3"/>
          </w:tcPr>
          <w:p>
            <w:pPr>
              <w:ind w:left="20"/>
              <w:spacing w:after="0"/>
              <w:rPr>
                <w:sz w:val="20"/>
                <w:szCs w:val="20"/>
                <w:color w:val="auto"/>
              </w:rPr>
            </w:pPr>
            <w:r>
              <w:rPr>
                <w:rFonts w:ascii="Arial" w:cs="Arial" w:eastAsia="Arial" w:hAnsi="Arial"/>
                <w:sz w:val="13"/>
                <w:szCs w:val="13"/>
                <w:b w:val="1"/>
                <w:bCs w:val="1"/>
                <w:color w:val="auto"/>
              </w:rPr>
              <w:t>Fashion</w:t>
            </w: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rPr>
              <w:t>Pharma</w:t>
            </w:r>
          </w:p>
        </w:tc>
        <w:tc>
          <w:tcPr>
            <w:tcW w:w="520" w:type="dxa"/>
            <w:vAlign w:val="bottom"/>
            <w:gridSpan w:val="3"/>
          </w:tcPr>
          <w:p>
            <w:pPr>
              <w:ind w:left="20"/>
              <w:spacing w:after="0"/>
              <w:rPr>
                <w:sz w:val="20"/>
                <w:szCs w:val="20"/>
                <w:color w:val="auto"/>
              </w:rPr>
            </w:pPr>
            <w:r>
              <w:rPr>
                <w:rFonts w:ascii="Arial" w:cs="Arial" w:eastAsia="Arial" w:hAnsi="Arial"/>
                <w:sz w:val="13"/>
                <w:szCs w:val="13"/>
                <w:b w:val="1"/>
                <w:bCs w:val="1"/>
                <w:color w:val="auto"/>
              </w:rPr>
              <w:t>Metals</w:t>
            </w: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Company</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center"/>
              <w:spacing w:after="0" w:line="115" w:lineRule="exact"/>
              <w:rPr>
                <w:sz w:val="20"/>
                <w:szCs w:val="20"/>
                <w:color w:val="auto"/>
              </w:rPr>
            </w:pPr>
            <w:r>
              <w:rPr>
                <w:rFonts w:ascii="Arial" w:cs="Arial" w:eastAsia="Arial" w:hAnsi="Arial"/>
                <w:sz w:val="13"/>
                <w:szCs w:val="13"/>
                <w:color w:val="auto"/>
                <w:w w:val="94"/>
              </w:rPr>
              <w:t>(in millions)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Revenues:</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Net sales</w:t>
            </w: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w w:val="85"/>
              </w:rPr>
              <w:t>2,699</w:t>
            </w:r>
          </w:p>
        </w:tc>
        <w:tc>
          <w:tcPr>
            <w:tcW w:w="14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448</w:t>
            </w:r>
          </w:p>
        </w:tc>
        <w:tc>
          <w:tcPr>
            <w:tcW w:w="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111</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120" w:type="dxa"/>
            <w:vAlign w:val="bottom"/>
          </w:tcPr>
          <w:p>
            <w:pPr>
              <w:spacing w:after="0"/>
              <w:rPr>
                <w:sz w:val="11"/>
                <w:szCs w:val="11"/>
                <w:color w:val="auto"/>
              </w:rPr>
            </w:pPr>
          </w:p>
        </w:tc>
        <w:tc>
          <w:tcPr>
            <w:tcW w:w="2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82"/>
              </w:rPr>
              <w:t>49</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4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3,334</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revenues from operations</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Net (loss) from investment activities</w:t>
            </w:r>
          </w:p>
        </w:tc>
        <w:tc>
          <w:tcPr>
            <w:tcW w:w="20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(187)</w:t>
            </w:r>
          </w:p>
        </w:tc>
        <w:tc>
          <w:tcPr>
            <w:tcW w:w="8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and dividend income</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Other (loss) income, net</w:t>
            </w:r>
          </w:p>
        </w:tc>
        <w:tc>
          <w:tcPr>
            <w:tcW w:w="20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(26)</w:t>
            </w: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w:t>
            </w:r>
          </w:p>
        </w:tc>
        <w:tc>
          <w:tcPr>
            <w:tcW w:w="8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29"/>
        </w:trPr>
        <w:tc>
          <w:tcPr>
            <w:tcW w:w="26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(137)</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2,704</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627</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w:t>
            </w: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50</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3,404</w:t>
            </w:r>
          </w:p>
        </w:tc>
        <w:tc>
          <w:tcPr>
            <w:tcW w:w="0" w:type="dxa"/>
            <w:vAlign w:val="bottom"/>
          </w:tcPr>
          <w:p>
            <w:pPr>
              <w:spacing w:after="0"/>
              <w:rPr>
                <w:sz w:val="1"/>
                <w:szCs w:val="1"/>
                <w:color w:val="auto"/>
              </w:rPr>
            </w:pPr>
          </w:p>
        </w:tc>
      </w:tr>
      <w:tr>
        <w:trPr>
          <w:trHeight w:val="128"/>
        </w:trPr>
        <w:tc>
          <w:tcPr>
            <w:tcW w:w="2640" w:type="dxa"/>
            <w:vAlign w:val="bottom"/>
          </w:tcPr>
          <w:p>
            <w:pPr>
              <w:ind w:left="20"/>
              <w:spacing w:after="0" w:line="129" w:lineRule="exact"/>
              <w:rPr>
                <w:sz w:val="20"/>
                <w:szCs w:val="20"/>
                <w:color w:val="auto"/>
              </w:rPr>
            </w:pPr>
            <w:r>
              <w:rPr>
                <w:rFonts w:ascii="Arial" w:cs="Arial" w:eastAsia="Arial" w:hAnsi="Arial"/>
                <w:sz w:val="13"/>
                <w:szCs w:val="13"/>
                <w:color w:val="auto"/>
              </w:rPr>
              <w:t>Expenses:</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Cost of goods sold</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2,569</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42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3,026</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Other expenses from operations</w:t>
            </w:r>
          </w:p>
        </w:tc>
        <w:tc>
          <w:tcPr>
            <w:tcW w:w="20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140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Selling, general and administrative</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15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305</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Interest expense</w:t>
            </w:r>
          </w:p>
        </w:tc>
        <w:tc>
          <w:tcPr>
            <w:tcW w:w="2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42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72</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28"/>
        </w:trPr>
        <w:tc>
          <w:tcPr>
            <w:tcW w:w="26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2,633</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656</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108</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w:t>
            </w: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58</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3,626</w:t>
            </w:r>
          </w:p>
        </w:tc>
        <w:tc>
          <w:tcPr>
            <w:tcW w:w="0" w:type="dxa"/>
            <w:vAlign w:val="bottom"/>
          </w:tcPr>
          <w:p>
            <w:pPr>
              <w:spacing w:after="0"/>
              <w:rPr>
                <w:sz w:val="1"/>
                <w:szCs w:val="1"/>
                <w:color w:val="auto"/>
              </w:rPr>
            </w:pPr>
          </w:p>
        </w:tc>
      </w:tr>
      <w:tr>
        <w:trPr>
          <w:trHeight w:val="101"/>
        </w:trPr>
        <w:tc>
          <w:tcPr>
            <w:tcW w:w="2640" w:type="dxa"/>
            <w:vAlign w:val="bottom"/>
          </w:tcPr>
          <w:p>
            <w:pPr>
              <w:ind w:left="20"/>
              <w:spacing w:after="0" w:line="101" w:lineRule="exact"/>
              <w:rPr>
                <w:sz w:val="20"/>
                <w:szCs w:val="20"/>
                <w:color w:val="auto"/>
              </w:rPr>
            </w:pPr>
            <w:r>
              <w:rPr>
                <w:rFonts w:ascii="Arial" w:cs="Arial" w:eastAsia="Arial" w:hAnsi="Arial"/>
                <w:sz w:val="10"/>
                <w:szCs w:val="10"/>
                <w:color w:val="auto"/>
              </w:rPr>
              <w:t>(Loss) income before income tax (expense)</w:t>
            </w: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20"/>
              <w:spacing w:after="0"/>
              <w:rPr>
                <w:sz w:val="20"/>
                <w:szCs w:val="20"/>
                <w:color w:val="auto"/>
              </w:rPr>
            </w:pPr>
            <w:r>
              <w:rPr>
                <w:rFonts w:ascii="Arial" w:cs="Arial" w:eastAsia="Arial" w:hAnsi="Arial"/>
                <w:sz w:val="13"/>
                <w:szCs w:val="13"/>
                <w:color w:val="auto"/>
              </w:rPr>
              <w:t>benefit</w:t>
            </w:r>
          </w:p>
        </w:tc>
        <w:tc>
          <w:tcPr>
            <w:tcW w:w="20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(181)</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71</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(8)</w:t>
            </w:r>
          </w:p>
        </w:tc>
        <w:tc>
          <w:tcPr>
            <w:tcW w:w="16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2"/>
                <w:szCs w:val="12"/>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(69)</w:t>
            </w: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(222)</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Income tax (expense) benefit</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28"/>
        </w:trPr>
        <w:tc>
          <w:tcPr>
            <w:tcW w:w="2640" w:type="dxa"/>
            <w:vAlign w:val="bottom"/>
          </w:tcPr>
          <w:p>
            <w:pPr>
              <w:ind w:left="20"/>
              <w:spacing w:after="0" w:line="129" w:lineRule="exact"/>
              <w:rPr>
                <w:sz w:val="20"/>
                <w:szCs w:val="20"/>
                <w:color w:val="auto"/>
              </w:rPr>
            </w:pPr>
            <w:r>
              <w:rPr>
                <w:rFonts w:ascii="Arial" w:cs="Arial" w:eastAsia="Arial" w:hAnsi="Arial"/>
                <w:sz w:val="13"/>
                <w:szCs w:val="13"/>
                <w:color w:val="auto"/>
              </w:rPr>
              <w:t>Net (loss) income</w:t>
            </w:r>
          </w:p>
        </w:tc>
        <w:tc>
          <w:tcPr>
            <w:tcW w:w="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(181)</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68</w:t>
            </w: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(9)</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(66)</w:t>
            </w: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(215)</w:t>
            </w:r>
          </w:p>
        </w:tc>
        <w:tc>
          <w:tcPr>
            <w:tcW w:w="0" w:type="dxa"/>
            <w:vAlign w:val="bottom"/>
          </w:tcPr>
          <w:p>
            <w:pPr>
              <w:spacing w:after="0"/>
              <w:rPr>
                <w:sz w:val="1"/>
                <w:szCs w:val="1"/>
                <w:color w:val="auto"/>
              </w:rPr>
            </w:pPr>
          </w:p>
        </w:tc>
      </w:tr>
      <w:tr>
        <w:trPr>
          <w:trHeight w:val="121"/>
        </w:trPr>
        <w:tc>
          <w:tcPr>
            <w:tcW w:w="264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Less: net (loss) income attributable to non-</w:t>
            </w: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controlling interests</w:t>
            </w:r>
          </w:p>
        </w:tc>
        <w:tc>
          <w:tcPr>
            <w:tcW w:w="2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01"/>
        </w:trPr>
        <w:tc>
          <w:tcPr>
            <w:tcW w:w="2640" w:type="dxa"/>
            <w:vAlign w:val="bottom"/>
          </w:tcPr>
          <w:p>
            <w:pPr>
              <w:ind w:left="20"/>
              <w:spacing w:after="0" w:line="101" w:lineRule="exact"/>
              <w:rPr>
                <w:sz w:val="20"/>
                <w:szCs w:val="20"/>
                <w:color w:val="auto"/>
              </w:rPr>
            </w:pPr>
            <w:r>
              <w:rPr>
                <w:rFonts w:ascii="Arial" w:cs="Arial" w:eastAsia="Arial" w:hAnsi="Arial"/>
                <w:sz w:val="10"/>
                <w:szCs w:val="10"/>
                <w:color w:val="auto"/>
              </w:rPr>
              <w:t>Net (loss) income attributable to Icahn</w:t>
            </w:r>
          </w:p>
        </w:tc>
        <w:tc>
          <w:tcPr>
            <w:tcW w:w="200" w:type="dxa"/>
            <w:vAlign w:val="bottom"/>
            <w:vMerge w:val="restart"/>
          </w:tcPr>
          <w:p>
            <w:pPr>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(81)</w:t>
            </w: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60</w:t>
            </w:r>
          </w:p>
        </w:tc>
        <w:tc>
          <w:tcPr>
            <w:tcW w:w="140" w:type="dxa"/>
            <w:vAlign w:val="bottom"/>
          </w:tcPr>
          <w:p>
            <w:pPr>
              <w:spacing w:after="0"/>
              <w:rPr>
                <w:sz w:val="8"/>
                <w:szCs w:val="8"/>
                <w:color w:val="auto"/>
              </w:rPr>
            </w:pPr>
          </w:p>
        </w:tc>
        <w:tc>
          <w:tcPr>
            <w:tcW w:w="240" w:type="dxa"/>
            <w:vAlign w:val="bottom"/>
            <w:vMerge w:val="restart"/>
          </w:tcPr>
          <w:p>
            <w:pPr>
              <w:spacing w:after="0"/>
              <w:rPr>
                <w:sz w:val="20"/>
                <w:szCs w:val="20"/>
                <w:color w:val="auto"/>
              </w:rPr>
            </w:pPr>
            <w:r>
              <w:rPr>
                <w:rFonts w:ascii="Arial" w:cs="Arial" w:eastAsia="Arial" w:hAnsi="Arial"/>
                <w:sz w:val="13"/>
                <w:szCs w:val="13"/>
                <w:color w:val="auto"/>
              </w:rPr>
              <w:t>$</w:t>
            </w:r>
          </w:p>
        </w:tc>
        <w:tc>
          <w:tcPr>
            <w:tcW w:w="4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(21)</w:t>
            </w:r>
          </w:p>
        </w:tc>
        <w:tc>
          <w:tcPr>
            <w:tcW w:w="180" w:type="dxa"/>
            <w:vAlign w:val="bottom"/>
            <w:gridSpan w:val="2"/>
            <w:vMerge w:val="restart"/>
          </w:tcPr>
          <w:p>
            <w:pPr>
              <w:ind w:left="8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(3)</w:t>
            </w: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8"/>
                <w:szCs w:val="8"/>
                <w:color w:val="auto"/>
              </w:rPr>
            </w:pPr>
          </w:p>
        </w:tc>
        <w:tc>
          <w:tcPr>
            <w:tcW w:w="260" w:type="dxa"/>
            <w:vAlign w:val="bottom"/>
            <w:vMerge w:val="restart"/>
          </w:tcPr>
          <w:p>
            <w:pPr>
              <w:spacing w:after="0"/>
              <w:rPr>
                <w:sz w:val="20"/>
                <w:szCs w:val="20"/>
                <w:color w:val="auto"/>
              </w:rPr>
            </w:pPr>
            <w:r>
              <w:rPr>
                <w:rFonts w:ascii="Arial" w:cs="Arial" w:eastAsia="Arial" w:hAnsi="Arial"/>
                <w:sz w:val="13"/>
                <w:szCs w:val="13"/>
                <w:color w:val="auto"/>
              </w:rPr>
              <w:t>$</w:t>
            </w: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(9)</w:t>
            </w: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(7)</w:t>
            </w:r>
          </w:p>
        </w:tc>
        <w:tc>
          <w:tcPr>
            <w:tcW w:w="140" w:type="dxa"/>
            <w:vAlign w:val="bottom"/>
            <w:vMerge w:val="restart"/>
          </w:tcPr>
          <w:p>
            <w:pPr>
              <w:spacing w:after="0"/>
              <w:rPr>
                <w:sz w:val="20"/>
                <w:szCs w:val="20"/>
                <w:color w:val="auto"/>
              </w:rPr>
            </w:pPr>
            <w:r>
              <w:rPr>
                <w:rFonts w:ascii="Arial" w:cs="Arial" w:eastAsia="Arial" w:hAnsi="Arial"/>
                <w:sz w:val="13"/>
                <w:szCs w:val="13"/>
                <w:color w:val="auto"/>
              </w:rPr>
              <w:t>$</w:t>
            </w: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spacing w:after="0"/>
              <w:rPr>
                <w:sz w:val="20"/>
                <w:szCs w:val="20"/>
                <w:color w:val="auto"/>
              </w:rPr>
            </w:pPr>
            <w:r>
              <w:rPr>
                <w:rFonts w:ascii="Arial" w:cs="Arial" w:eastAsia="Arial" w:hAnsi="Arial"/>
                <w:sz w:val="13"/>
                <w:szCs w:val="13"/>
                <w:color w:val="auto"/>
              </w:rPr>
              <w:t>$</w:t>
            </w: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(66)</w:t>
            </w:r>
          </w:p>
        </w:tc>
        <w:tc>
          <w:tcPr>
            <w:tcW w:w="240" w:type="dxa"/>
            <w:vAlign w:val="bottom"/>
            <w:vMerge w:val="restart"/>
          </w:tcPr>
          <w:p>
            <w:pPr>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76"/>
        </w:trPr>
        <w:tc>
          <w:tcPr>
            <w:tcW w:w="2640" w:type="dxa"/>
            <w:vAlign w:val="bottom"/>
          </w:tcPr>
          <w:p>
            <w:pPr>
              <w:ind w:left="20"/>
              <w:spacing w:after="0" w:line="136" w:lineRule="exact"/>
              <w:rPr>
                <w:sz w:val="20"/>
                <w:szCs w:val="20"/>
                <w:color w:val="auto"/>
              </w:rPr>
            </w:pPr>
            <w:r>
              <w:rPr>
                <w:rFonts w:ascii="Arial" w:cs="Arial" w:eastAsia="Arial" w:hAnsi="Arial"/>
                <w:sz w:val="13"/>
                <w:szCs w:val="13"/>
                <w:color w:val="auto"/>
              </w:rPr>
              <w:t>Enterprises</w:t>
            </w:r>
          </w:p>
        </w:tc>
        <w:tc>
          <w:tcPr>
            <w:tcW w:w="20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40" w:type="dxa"/>
            <w:vAlign w:val="bottom"/>
            <w:tcBorders>
              <w:top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color w:val="auto"/>
              </w:rPr>
              <w:t>Supplemental information:</w:t>
            </w:r>
          </w:p>
        </w:tc>
        <w:tc>
          <w:tcPr>
            <w:tcW w:w="2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Capital expenditures</w:t>
            </w: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57</w:t>
            </w:r>
          </w:p>
        </w:tc>
        <w:tc>
          <w:tcPr>
            <w:tcW w:w="14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36</w:t>
            </w:r>
          </w:p>
        </w:tc>
        <w:tc>
          <w:tcPr>
            <w:tcW w:w="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2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6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13"/>
          </w:tcPr>
          <w:p>
            <w:pPr>
              <w:jc w:val="center"/>
              <w:ind w:right="80"/>
              <w:spacing w:after="0"/>
              <w:rPr>
                <w:sz w:val="20"/>
                <w:szCs w:val="20"/>
                <w:color w:val="auto"/>
              </w:rPr>
            </w:pPr>
            <w:r>
              <w:rPr>
                <w:rFonts w:ascii="Arial" w:cs="Arial" w:eastAsia="Arial" w:hAnsi="Arial"/>
                <w:sz w:val="13"/>
                <w:szCs w:val="13"/>
                <w:b w:val="1"/>
                <w:bCs w:val="1"/>
                <w:color w:val="auto"/>
                <w:w w:val="87"/>
              </w:rPr>
              <w:t>Three Months Ended September 30, 2021</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80"/>
              <w:spacing w:after="0" w:line="110" w:lineRule="exact"/>
              <w:rPr>
                <w:sz w:val="20"/>
                <w:szCs w:val="20"/>
                <w:color w:val="auto"/>
              </w:rPr>
            </w:pPr>
            <w:r>
              <w:rPr>
                <w:rFonts w:ascii="Arial" w:cs="Arial" w:eastAsia="Arial" w:hAnsi="Arial"/>
                <w:sz w:val="12"/>
                <w:szCs w:val="12"/>
                <w:b w:val="1"/>
                <w:bCs w:val="1"/>
                <w:color w:val="auto"/>
                <w:w w:val="95"/>
              </w:rPr>
              <w:t>Food</w:t>
            </w:r>
          </w:p>
        </w:tc>
        <w:tc>
          <w:tcPr>
            <w:tcW w:w="48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Real</w:t>
            </w:r>
          </w:p>
        </w:tc>
        <w:tc>
          <w:tcPr>
            <w:tcW w:w="58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Home</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Holding</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rPr>
              <w:t>Investment</w:t>
            </w:r>
          </w:p>
        </w:tc>
        <w:tc>
          <w:tcPr>
            <w:tcW w:w="540" w:type="dxa"/>
            <w:vAlign w:val="bottom"/>
            <w:gridSpan w:val="3"/>
          </w:tcPr>
          <w:p>
            <w:pPr>
              <w:spacing w:after="0"/>
              <w:rPr>
                <w:sz w:val="20"/>
                <w:szCs w:val="20"/>
                <w:color w:val="auto"/>
              </w:rPr>
            </w:pPr>
            <w:r>
              <w:rPr>
                <w:rFonts w:ascii="Arial" w:cs="Arial" w:eastAsia="Arial" w:hAnsi="Arial"/>
                <w:sz w:val="13"/>
                <w:szCs w:val="13"/>
                <w:b w:val="1"/>
                <w:bCs w:val="1"/>
                <w:color w:val="auto"/>
              </w:rPr>
              <w:t>Energy</w:t>
            </w: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w w:val="95"/>
              </w:rPr>
              <w:t>Automotive</w:t>
            </w:r>
          </w:p>
        </w:tc>
        <w:tc>
          <w:tcPr>
            <w:tcW w:w="8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Packaging</w:t>
            </w:r>
          </w:p>
        </w:tc>
        <w:tc>
          <w:tcPr>
            <w:tcW w:w="480" w:type="dxa"/>
            <w:vAlign w:val="bottom"/>
            <w:gridSpan w:val="3"/>
          </w:tcPr>
          <w:p>
            <w:pPr>
              <w:ind w:left="20"/>
              <w:spacing w:after="0"/>
              <w:rPr>
                <w:sz w:val="20"/>
                <w:szCs w:val="20"/>
                <w:color w:val="auto"/>
              </w:rPr>
            </w:pPr>
            <w:r>
              <w:rPr>
                <w:rFonts w:ascii="Arial" w:cs="Arial" w:eastAsia="Arial" w:hAnsi="Arial"/>
                <w:sz w:val="13"/>
                <w:szCs w:val="13"/>
                <w:b w:val="1"/>
                <w:bCs w:val="1"/>
                <w:color w:val="auto"/>
              </w:rPr>
              <w:t>Estate</w:t>
            </w:r>
          </w:p>
        </w:tc>
        <w:tc>
          <w:tcPr>
            <w:tcW w:w="580" w:type="dxa"/>
            <w:vAlign w:val="bottom"/>
            <w:gridSpan w:val="3"/>
          </w:tcPr>
          <w:p>
            <w:pPr>
              <w:ind w:left="20"/>
              <w:spacing w:after="0"/>
              <w:rPr>
                <w:sz w:val="20"/>
                <w:szCs w:val="20"/>
                <w:color w:val="auto"/>
              </w:rPr>
            </w:pPr>
            <w:r>
              <w:rPr>
                <w:rFonts w:ascii="Arial" w:cs="Arial" w:eastAsia="Arial" w:hAnsi="Arial"/>
                <w:sz w:val="13"/>
                <w:szCs w:val="13"/>
                <w:b w:val="1"/>
                <w:bCs w:val="1"/>
                <w:color w:val="auto"/>
              </w:rPr>
              <w:t>Fashion</w:t>
            </w: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rPr>
              <w:t>Pharma</w:t>
            </w:r>
          </w:p>
        </w:tc>
        <w:tc>
          <w:tcPr>
            <w:tcW w:w="520" w:type="dxa"/>
            <w:vAlign w:val="bottom"/>
            <w:gridSpan w:val="3"/>
          </w:tcPr>
          <w:p>
            <w:pPr>
              <w:ind w:left="20"/>
              <w:spacing w:after="0"/>
              <w:rPr>
                <w:sz w:val="20"/>
                <w:szCs w:val="20"/>
                <w:color w:val="auto"/>
              </w:rPr>
            </w:pPr>
            <w:r>
              <w:rPr>
                <w:rFonts w:ascii="Arial" w:cs="Arial" w:eastAsia="Arial" w:hAnsi="Arial"/>
                <w:sz w:val="13"/>
                <w:szCs w:val="13"/>
                <w:b w:val="1"/>
                <w:bCs w:val="1"/>
                <w:color w:val="auto"/>
              </w:rPr>
              <w:t>Metals</w:t>
            </w: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Company</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center"/>
              <w:spacing w:after="0" w:line="115" w:lineRule="exact"/>
              <w:rPr>
                <w:sz w:val="20"/>
                <w:szCs w:val="20"/>
                <w:color w:val="auto"/>
              </w:rPr>
            </w:pPr>
            <w:r>
              <w:rPr>
                <w:rFonts w:ascii="Arial" w:cs="Arial" w:eastAsia="Arial" w:hAnsi="Arial"/>
                <w:sz w:val="13"/>
                <w:szCs w:val="13"/>
                <w:color w:val="auto"/>
                <w:w w:val="94"/>
              </w:rPr>
              <w:t>(in millions)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Revenues:</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Net sales</w:t>
            </w: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w w:val="85"/>
              </w:rPr>
              <w:t>1,883</w:t>
            </w:r>
          </w:p>
        </w:tc>
        <w:tc>
          <w:tcPr>
            <w:tcW w:w="140" w:type="dxa"/>
            <w:vAlign w:val="bottom"/>
          </w:tcPr>
          <w:p>
            <w:pPr>
              <w:spacing w:after="0"/>
              <w:rPr>
                <w:sz w:val="11"/>
                <w:szCs w:val="11"/>
                <w:color w:val="auto"/>
              </w:rPr>
            </w:pP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440</w:t>
            </w:r>
          </w:p>
        </w:tc>
        <w:tc>
          <w:tcPr>
            <w:tcW w:w="60" w:type="dxa"/>
            <w:vAlign w:val="bottom"/>
          </w:tcPr>
          <w:p>
            <w:pPr>
              <w:spacing w:after="0"/>
              <w:rPr>
                <w:sz w:val="11"/>
                <w:szCs w:val="11"/>
                <w:color w:val="auto"/>
              </w:rPr>
            </w:pPr>
          </w:p>
        </w:tc>
        <w:tc>
          <w:tcPr>
            <w:tcW w:w="1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104</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120" w:type="dxa"/>
            <w:vAlign w:val="bottom"/>
          </w:tcPr>
          <w:p>
            <w:pPr>
              <w:spacing w:after="0"/>
              <w:rPr>
                <w:sz w:val="11"/>
                <w:szCs w:val="11"/>
                <w:color w:val="auto"/>
              </w:rPr>
            </w:pPr>
          </w:p>
        </w:tc>
        <w:tc>
          <w:tcPr>
            <w:tcW w:w="2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82"/>
              </w:rPr>
              <w:t>51</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144</w:t>
            </w:r>
          </w:p>
        </w:tc>
        <w:tc>
          <w:tcPr>
            <w:tcW w:w="140" w:type="dxa"/>
            <w:vAlign w:val="bottom"/>
          </w:tcPr>
          <w:p>
            <w:pPr>
              <w:spacing w:after="0"/>
              <w:rPr>
                <w:sz w:val="11"/>
                <w:szCs w:val="11"/>
                <w:color w:val="auto"/>
              </w:rPr>
            </w:pP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2,657</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revenues from operations</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Net (loss) from investment activities</w:t>
            </w:r>
          </w:p>
        </w:tc>
        <w:tc>
          <w:tcPr>
            <w:tcW w:w="20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(148)</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24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(177)</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and dividend income</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Other (loss) income, net</w:t>
            </w:r>
          </w:p>
        </w:tc>
        <w:tc>
          <w:tcPr>
            <w:tcW w:w="20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w:t>
            </w: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28"/>
        </w:trPr>
        <w:tc>
          <w:tcPr>
            <w:tcW w:w="26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1,883</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577</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103</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w:t>
            </w: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51</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144</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2,649</w:t>
            </w:r>
          </w:p>
        </w:tc>
        <w:tc>
          <w:tcPr>
            <w:tcW w:w="0" w:type="dxa"/>
            <w:vAlign w:val="bottom"/>
          </w:tcPr>
          <w:p>
            <w:pPr>
              <w:spacing w:after="0"/>
              <w:rPr>
                <w:sz w:val="1"/>
                <w:szCs w:val="1"/>
                <w:color w:val="auto"/>
              </w:rPr>
            </w:pPr>
          </w:p>
        </w:tc>
      </w:tr>
      <w:tr>
        <w:trPr>
          <w:trHeight w:val="128"/>
        </w:trPr>
        <w:tc>
          <w:tcPr>
            <w:tcW w:w="2640" w:type="dxa"/>
            <w:vAlign w:val="bottom"/>
          </w:tcPr>
          <w:p>
            <w:pPr>
              <w:ind w:left="20"/>
              <w:spacing w:after="0" w:line="129" w:lineRule="exact"/>
              <w:rPr>
                <w:sz w:val="20"/>
                <w:szCs w:val="20"/>
                <w:color w:val="auto"/>
              </w:rPr>
            </w:pPr>
            <w:r>
              <w:rPr>
                <w:rFonts w:ascii="Arial" w:cs="Arial" w:eastAsia="Arial" w:hAnsi="Arial"/>
                <w:sz w:val="13"/>
                <w:szCs w:val="13"/>
                <w:color w:val="auto"/>
              </w:rPr>
              <w:t>Expenses:</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Cost of goods sold</w:t>
            </w:r>
          </w:p>
        </w:tc>
        <w:tc>
          <w:tcPr>
            <w:tcW w:w="2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1,686</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42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2,270</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Other expenses from operations</w:t>
            </w:r>
          </w:p>
        </w:tc>
        <w:tc>
          <w:tcPr>
            <w:tcW w:w="20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121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Selling, general and administrative</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12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316</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Restructuring, net</w:t>
            </w:r>
          </w:p>
        </w:tc>
        <w:tc>
          <w:tcPr>
            <w:tcW w:w="20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expense</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28"/>
        </w:trPr>
        <w:tc>
          <w:tcPr>
            <w:tcW w:w="26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56</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1,746</w:t>
            </w:r>
          </w:p>
        </w:tc>
        <w:tc>
          <w:tcPr>
            <w:tcW w:w="14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649</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100</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w:t>
            </w:r>
          </w:p>
        </w:tc>
        <w:tc>
          <w:tcPr>
            <w:tcW w:w="120" w:type="dxa"/>
            <w:vAlign w:val="bottom"/>
            <w:tcBorders>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54</w:t>
            </w: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137</w:t>
            </w: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83</w:t>
            </w:r>
          </w:p>
        </w:tc>
        <w:tc>
          <w:tcPr>
            <w:tcW w:w="14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2,879</w:t>
            </w:r>
          </w:p>
        </w:tc>
        <w:tc>
          <w:tcPr>
            <w:tcW w:w="0" w:type="dxa"/>
            <w:vAlign w:val="bottom"/>
          </w:tcPr>
          <w:p>
            <w:pPr>
              <w:spacing w:after="0"/>
              <w:rPr>
                <w:sz w:val="1"/>
                <w:szCs w:val="1"/>
                <w:color w:val="auto"/>
              </w:rPr>
            </w:pPr>
          </w:p>
        </w:tc>
      </w:tr>
      <w:tr>
        <w:trPr>
          <w:trHeight w:val="101"/>
        </w:trPr>
        <w:tc>
          <w:tcPr>
            <w:tcW w:w="2640" w:type="dxa"/>
            <w:vAlign w:val="bottom"/>
            <w:shd w:val="clear" w:color="auto" w:fill="CCEEFF"/>
          </w:tcPr>
          <w:p>
            <w:pPr>
              <w:ind w:left="20"/>
              <w:spacing w:after="0" w:line="101" w:lineRule="exact"/>
              <w:rPr>
                <w:sz w:val="20"/>
                <w:szCs w:val="20"/>
                <w:color w:val="auto"/>
              </w:rPr>
            </w:pPr>
            <w:r>
              <w:rPr>
                <w:rFonts w:ascii="Arial" w:cs="Arial" w:eastAsia="Arial" w:hAnsi="Arial"/>
                <w:sz w:val="10"/>
                <w:szCs w:val="10"/>
                <w:color w:val="auto"/>
              </w:rPr>
              <w:t>(Loss) income before income tax (expense)</w:t>
            </w: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benefit</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(110)</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35"/>
        </w:trPr>
        <w:tc>
          <w:tcPr>
            <w:tcW w:w="2640" w:type="dxa"/>
            <w:vAlign w:val="bottom"/>
          </w:tcPr>
          <w:p>
            <w:pPr>
              <w:ind w:left="20"/>
              <w:spacing w:after="0" w:line="135" w:lineRule="exact"/>
              <w:rPr>
                <w:sz w:val="20"/>
                <w:szCs w:val="20"/>
                <w:color w:val="auto"/>
              </w:rPr>
            </w:pPr>
            <w:r>
              <w:rPr>
                <w:rFonts w:ascii="Arial" w:cs="Arial" w:eastAsia="Arial" w:hAnsi="Arial"/>
                <w:sz w:val="13"/>
                <w:szCs w:val="13"/>
                <w:color w:val="auto"/>
              </w:rPr>
              <w:t>Income tax (expense) benefit</w:t>
            </w:r>
          </w:p>
        </w:tc>
        <w:tc>
          <w:tcPr>
            <w:tcW w:w="200" w:type="dxa"/>
            <w:vAlign w:val="bottom"/>
          </w:tcPr>
          <w:p>
            <w:pPr>
              <w:spacing w:after="0"/>
              <w:rPr>
                <w:sz w:val="11"/>
                <w:szCs w:val="11"/>
                <w:color w:val="auto"/>
              </w:rPr>
            </w:pPr>
          </w:p>
        </w:tc>
        <w:tc>
          <w:tcPr>
            <w:tcW w:w="5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(43)</w:t>
            </w: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3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47</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28"/>
        </w:trPr>
        <w:tc>
          <w:tcPr>
            <w:tcW w:w="26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Net (loss) income</w:t>
            </w:r>
          </w:p>
        </w:tc>
        <w:tc>
          <w:tcPr>
            <w:tcW w:w="2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(187)</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94</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21"/>
        </w:trPr>
        <w:tc>
          <w:tcPr>
            <w:tcW w:w="2640" w:type="dxa"/>
            <w:vAlign w:val="bottom"/>
          </w:tcPr>
          <w:p>
            <w:pPr>
              <w:ind w:left="20"/>
              <w:spacing w:after="0" w:line="121" w:lineRule="exact"/>
              <w:rPr>
                <w:sz w:val="20"/>
                <w:szCs w:val="20"/>
                <w:color w:val="auto"/>
              </w:rPr>
            </w:pPr>
            <w:r>
              <w:rPr>
                <w:rFonts w:ascii="Arial" w:cs="Arial" w:eastAsia="Arial" w:hAnsi="Arial"/>
                <w:sz w:val="13"/>
                <w:szCs w:val="13"/>
                <w:color w:val="auto"/>
              </w:rPr>
              <w:t>Less: net (loss) income attributable to non-</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controlling interests</w:t>
            </w:r>
          </w:p>
        </w:tc>
        <w:tc>
          <w:tcPr>
            <w:tcW w:w="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01"/>
        </w:trPr>
        <w:tc>
          <w:tcPr>
            <w:tcW w:w="2640" w:type="dxa"/>
            <w:vAlign w:val="bottom"/>
            <w:shd w:val="clear" w:color="auto" w:fill="CCEEFF"/>
          </w:tcPr>
          <w:p>
            <w:pPr>
              <w:ind w:left="20"/>
              <w:spacing w:after="0" w:line="101" w:lineRule="exact"/>
              <w:rPr>
                <w:sz w:val="20"/>
                <w:szCs w:val="20"/>
                <w:color w:val="auto"/>
              </w:rPr>
            </w:pPr>
            <w:r>
              <w:rPr>
                <w:rFonts w:ascii="Arial" w:cs="Arial" w:eastAsia="Arial" w:hAnsi="Arial"/>
                <w:sz w:val="10"/>
                <w:szCs w:val="10"/>
                <w:color w:val="auto"/>
              </w:rPr>
              <w:t>Net (loss) income attributable to Icahn</w:t>
            </w:r>
          </w:p>
        </w:tc>
        <w:tc>
          <w:tcPr>
            <w:tcW w:w="2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(84)</w:t>
            </w: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82"/>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40" w:type="dxa"/>
            <w:vAlign w:val="bottom"/>
            <w:shd w:val="clear" w:color="auto" w:fill="CCEEFF"/>
          </w:tcPr>
          <w:p>
            <w:pPr>
              <w:spacing w:after="0"/>
              <w:rPr>
                <w:sz w:val="8"/>
                <w:szCs w:val="8"/>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(55)</w:t>
            </w:r>
          </w:p>
        </w:tc>
        <w:tc>
          <w:tcPr>
            <w:tcW w:w="180" w:type="dxa"/>
            <w:vAlign w:val="bottom"/>
            <w:gridSpan w:val="2"/>
            <w:vMerge w:val="restart"/>
            <w:shd w:val="clear" w:color="auto" w:fill="CCEEFF"/>
          </w:tcPr>
          <w:p>
            <w:pPr>
              <w:ind w:left="80"/>
              <w:spacing w:after="0"/>
              <w:rPr>
                <w:sz w:val="20"/>
                <w:szCs w:val="20"/>
                <w:color w:val="auto"/>
              </w:rPr>
            </w:pPr>
            <w:r>
              <w:rPr>
                <w:rFonts w:ascii="Arial" w:cs="Arial" w:eastAsia="Arial" w:hAnsi="Arial"/>
                <w:sz w:val="13"/>
                <w:szCs w:val="13"/>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82"/>
              </w:rPr>
              <w:t>$</w:t>
            </w: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(3)</w:t>
            </w:r>
          </w:p>
        </w:tc>
        <w:tc>
          <w:tcPr>
            <w:tcW w:w="1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(5)</w:t>
            </w:r>
          </w:p>
        </w:tc>
        <w:tc>
          <w:tcPr>
            <w:tcW w:w="1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8"/>
                <w:szCs w:val="8"/>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(63)</w:t>
            </w:r>
          </w:p>
        </w:tc>
        <w:tc>
          <w:tcPr>
            <w:tcW w:w="24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136"/>
        </w:trPr>
        <w:tc>
          <w:tcPr>
            <w:tcW w:w="264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Enterprises</w:t>
            </w:r>
          </w:p>
        </w:tc>
        <w:tc>
          <w:tcPr>
            <w:tcW w:w="200" w:type="dxa"/>
            <w:vAlign w:val="bottom"/>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460" w:type="dxa"/>
            <w:vAlign w:val="bottom"/>
            <w:gridSpan w:val="2"/>
            <w:vMerge w:val="continue"/>
            <w:shd w:val="clear" w:color="auto" w:fill="CCEEFF"/>
          </w:tcPr>
          <w:p>
            <w:pPr>
              <w:spacing w:after="0"/>
              <w:rPr>
                <w:sz w:val="11"/>
                <w:szCs w:val="11"/>
                <w:color w:val="auto"/>
              </w:rPr>
            </w:pPr>
          </w:p>
        </w:tc>
        <w:tc>
          <w:tcPr>
            <w:tcW w:w="180" w:type="dxa"/>
            <w:vAlign w:val="bottom"/>
            <w:gridSpan w:val="2"/>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400" w:type="dxa"/>
            <w:vAlign w:val="bottom"/>
            <w:gridSpan w:val="2"/>
            <w:vMerge w:val="continue"/>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40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Supplemental information: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6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Capital expenditures</w:t>
            </w:r>
          </w:p>
        </w:tc>
        <w:tc>
          <w:tcPr>
            <w:tcW w:w="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60"/>
        </w:trPr>
        <w:tc>
          <w:tcPr>
            <w:tcW w:w="264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83</w:t>
            </w:r>
          </w:p>
        </w:tc>
        <w:tc>
          <w:tcPr>
            <w:tcW w:w="140" w:type="dxa"/>
            <w:vAlign w:val="bottom"/>
          </w:tcPr>
          <w:p>
            <w:pPr>
              <w:spacing w:after="0"/>
              <w:rPr>
                <w:sz w:val="13"/>
                <w:szCs w:val="13"/>
                <w:color w:val="auto"/>
              </w:rPr>
            </w:pPr>
          </w:p>
        </w:tc>
        <w:tc>
          <w:tcPr>
            <w:tcW w:w="240" w:type="dxa"/>
            <w:vAlign w:val="bottom"/>
          </w:tcPr>
          <w:p>
            <w:pPr>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22</w:t>
            </w:r>
          </w:p>
        </w:tc>
        <w:tc>
          <w:tcPr>
            <w:tcW w:w="60" w:type="dxa"/>
            <w:vAlign w:val="bottom"/>
          </w:tcPr>
          <w:p>
            <w:pPr>
              <w:spacing w:after="0"/>
              <w:rPr>
                <w:sz w:val="13"/>
                <w:szCs w:val="13"/>
                <w:color w:val="auto"/>
              </w:rPr>
            </w:pP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260" w:type="dxa"/>
            <w:vAlign w:val="bottom"/>
          </w:tcPr>
          <w:p>
            <w:pPr>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3"/>
                <w:szCs w:val="13"/>
                <w:color w:val="auto"/>
              </w:rPr>
            </w:pPr>
          </w:p>
        </w:tc>
        <w:tc>
          <w:tcPr>
            <w:tcW w:w="240" w:type="dxa"/>
            <w:vAlign w:val="bottom"/>
          </w:tcPr>
          <w:p>
            <w:pPr>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bl>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12"/>
          </w:tcPr>
          <w:p>
            <w:pPr>
              <w:spacing w:after="0"/>
              <w:rPr>
                <w:sz w:val="20"/>
                <w:szCs w:val="20"/>
                <w:color w:val="auto"/>
              </w:rPr>
            </w:pPr>
            <w:r>
              <w:rPr>
                <w:rFonts w:ascii="Arial" w:cs="Arial" w:eastAsia="Arial" w:hAnsi="Arial"/>
                <w:sz w:val="13"/>
                <w:szCs w:val="13"/>
                <w:b w:val="1"/>
                <w:bCs w:val="1"/>
                <w:color w:val="auto"/>
                <w:w w:val="92"/>
              </w:rPr>
              <w:t>Nine Months Ended September 30, 2022</w:t>
            </w: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280"/>
              <w:spacing w:after="0" w:line="110" w:lineRule="exact"/>
              <w:rPr>
                <w:sz w:val="20"/>
                <w:szCs w:val="20"/>
                <w:color w:val="auto"/>
              </w:rPr>
            </w:pPr>
            <w:r>
              <w:rPr>
                <w:rFonts w:ascii="Arial" w:cs="Arial" w:eastAsia="Arial" w:hAnsi="Arial"/>
                <w:sz w:val="12"/>
                <w:szCs w:val="12"/>
                <w:b w:val="1"/>
                <w:bCs w:val="1"/>
                <w:color w:val="auto"/>
                <w:w w:val="95"/>
              </w:rPr>
              <w:t>Food</w:t>
            </w:r>
          </w:p>
        </w:tc>
        <w:tc>
          <w:tcPr>
            <w:tcW w:w="48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Real</w:t>
            </w:r>
          </w:p>
        </w:tc>
        <w:tc>
          <w:tcPr>
            <w:tcW w:w="58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Home</w:t>
            </w: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Holding</w:t>
            </w: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rPr>
              <w:t>Investment</w:t>
            </w:r>
          </w:p>
        </w:tc>
        <w:tc>
          <w:tcPr>
            <w:tcW w:w="540" w:type="dxa"/>
            <w:vAlign w:val="bottom"/>
            <w:gridSpan w:val="3"/>
          </w:tcPr>
          <w:p>
            <w:pPr>
              <w:spacing w:after="0"/>
              <w:rPr>
                <w:sz w:val="20"/>
                <w:szCs w:val="20"/>
                <w:color w:val="auto"/>
              </w:rPr>
            </w:pPr>
            <w:r>
              <w:rPr>
                <w:rFonts w:ascii="Arial" w:cs="Arial" w:eastAsia="Arial" w:hAnsi="Arial"/>
                <w:sz w:val="13"/>
                <w:szCs w:val="13"/>
                <w:b w:val="1"/>
                <w:bCs w:val="1"/>
                <w:color w:val="auto"/>
              </w:rPr>
              <w:t>Energy</w:t>
            </w: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rPr>
              <w:t>Automotive</w:t>
            </w: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Packaging</w:t>
            </w:r>
          </w:p>
        </w:tc>
        <w:tc>
          <w:tcPr>
            <w:tcW w:w="480" w:type="dxa"/>
            <w:vAlign w:val="bottom"/>
            <w:gridSpan w:val="3"/>
          </w:tcPr>
          <w:p>
            <w:pPr>
              <w:ind w:left="20"/>
              <w:spacing w:after="0"/>
              <w:rPr>
                <w:sz w:val="20"/>
                <w:szCs w:val="20"/>
                <w:color w:val="auto"/>
              </w:rPr>
            </w:pPr>
            <w:r>
              <w:rPr>
                <w:rFonts w:ascii="Arial" w:cs="Arial" w:eastAsia="Arial" w:hAnsi="Arial"/>
                <w:sz w:val="13"/>
                <w:szCs w:val="13"/>
                <w:b w:val="1"/>
                <w:bCs w:val="1"/>
                <w:color w:val="auto"/>
              </w:rPr>
              <w:t>Estate</w:t>
            </w:r>
          </w:p>
        </w:tc>
        <w:tc>
          <w:tcPr>
            <w:tcW w:w="580" w:type="dxa"/>
            <w:vAlign w:val="bottom"/>
            <w:gridSpan w:val="3"/>
          </w:tcPr>
          <w:p>
            <w:pPr>
              <w:ind w:left="20"/>
              <w:spacing w:after="0"/>
              <w:rPr>
                <w:sz w:val="20"/>
                <w:szCs w:val="20"/>
                <w:color w:val="auto"/>
              </w:rPr>
            </w:pPr>
            <w:r>
              <w:rPr>
                <w:rFonts w:ascii="Arial" w:cs="Arial" w:eastAsia="Arial" w:hAnsi="Arial"/>
                <w:sz w:val="13"/>
                <w:szCs w:val="13"/>
                <w:b w:val="1"/>
                <w:bCs w:val="1"/>
                <w:color w:val="auto"/>
              </w:rPr>
              <w:t>Fashion</w:t>
            </w: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rPr>
              <w:t>Pharma</w:t>
            </w:r>
          </w:p>
        </w:tc>
        <w:tc>
          <w:tcPr>
            <w:tcW w:w="520" w:type="dxa"/>
            <w:vAlign w:val="bottom"/>
            <w:gridSpan w:val="3"/>
          </w:tcPr>
          <w:p>
            <w:pPr>
              <w:ind w:left="20"/>
              <w:spacing w:after="0"/>
              <w:rPr>
                <w:sz w:val="20"/>
                <w:szCs w:val="20"/>
                <w:color w:val="auto"/>
              </w:rPr>
            </w:pPr>
            <w:r>
              <w:rPr>
                <w:rFonts w:ascii="Arial" w:cs="Arial" w:eastAsia="Arial" w:hAnsi="Arial"/>
                <w:sz w:val="13"/>
                <w:szCs w:val="13"/>
                <w:b w:val="1"/>
                <w:bCs w:val="1"/>
                <w:color w:val="auto"/>
              </w:rPr>
              <w:t>Metals</w:t>
            </w: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Company</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4"/>
          </w:tcPr>
          <w:p>
            <w:pPr>
              <w:jc w:val="right"/>
              <w:ind w:right="157"/>
              <w:spacing w:after="0" w:line="115" w:lineRule="exact"/>
              <w:rPr>
                <w:sz w:val="20"/>
                <w:szCs w:val="20"/>
                <w:color w:val="auto"/>
              </w:rPr>
            </w:pPr>
            <w:r>
              <w:rPr>
                <w:rFonts w:ascii="Arial" w:cs="Arial" w:eastAsia="Arial" w:hAnsi="Arial"/>
                <w:sz w:val="13"/>
                <w:szCs w:val="13"/>
                <w:color w:val="auto"/>
                <w:w w:val="91"/>
              </w:rPr>
              <w:t>(in millions)</w:t>
            </w:r>
          </w:p>
        </w:tc>
        <w:tc>
          <w:tcPr>
            <w:tcW w:w="1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Revenues:</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Net sales</w:t>
            </w:r>
          </w:p>
        </w:tc>
        <w:tc>
          <w:tcPr>
            <w:tcW w:w="2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w w:val="85"/>
              </w:rPr>
              <w:t>8,216</w:t>
            </w:r>
          </w:p>
        </w:tc>
        <w:tc>
          <w:tcPr>
            <w:tcW w:w="140" w:type="dxa"/>
            <w:vAlign w:val="bottom"/>
          </w:tcPr>
          <w:p>
            <w:pPr>
              <w:spacing w:after="0"/>
              <w:rPr>
                <w:sz w:val="11"/>
                <w:szCs w:val="11"/>
                <w:color w:val="auto"/>
              </w:rPr>
            </w:pP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1,293</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322</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48</w:t>
            </w:r>
          </w:p>
        </w:tc>
        <w:tc>
          <w:tcPr>
            <w:tcW w:w="12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173</w:t>
            </w:r>
          </w:p>
        </w:tc>
        <w:tc>
          <w:tcPr>
            <w:tcW w:w="14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46</w:t>
            </w:r>
          </w:p>
        </w:tc>
        <w:tc>
          <w:tcPr>
            <w:tcW w:w="14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10,098</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revenues from operations</w:t>
            </w:r>
          </w:p>
        </w:tc>
        <w:tc>
          <w:tcPr>
            <w:tcW w:w="2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562</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Net gain from investment activities</w:t>
            </w:r>
          </w:p>
        </w:tc>
        <w:tc>
          <w:tcPr>
            <w:tcW w:w="2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262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48</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and dividend income</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Other (loss) income, net</w:t>
            </w:r>
          </w:p>
        </w:tc>
        <w:tc>
          <w:tcPr>
            <w:tcW w:w="220" w:type="dxa"/>
            <w:vAlign w:val="bottom"/>
          </w:tcPr>
          <w:p>
            <w:pPr>
              <w:spacing w:after="0"/>
              <w:rPr>
                <w:sz w:val="11"/>
                <w:szCs w:val="11"/>
                <w:color w:val="auto"/>
              </w:rPr>
            </w:pPr>
          </w:p>
        </w:tc>
        <w:tc>
          <w:tcPr>
            <w:tcW w:w="5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(61)</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(83)</w:t>
            </w: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w:t>
            </w:r>
          </w:p>
        </w:tc>
        <w:tc>
          <w:tcPr>
            <w:tcW w:w="8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28"/>
        </w:trPr>
        <w:tc>
          <w:tcPr>
            <w:tcW w:w="26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364</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8,137</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1,813</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311</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91</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174</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11,000</w:t>
            </w:r>
          </w:p>
        </w:tc>
        <w:tc>
          <w:tcPr>
            <w:tcW w:w="0" w:type="dxa"/>
            <w:vAlign w:val="bottom"/>
          </w:tcPr>
          <w:p>
            <w:pPr>
              <w:spacing w:after="0"/>
              <w:rPr>
                <w:sz w:val="1"/>
                <w:szCs w:val="1"/>
                <w:color w:val="auto"/>
              </w:rPr>
            </w:pPr>
          </w:p>
        </w:tc>
      </w:tr>
      <w:tr>
        <w:trPr>
          <w:trHeight w:val="129"/>
        </w:trPr>
        <w:tc>
          <w:tcPr>
            <w:tcW w:w="2640" w:type="dxa"/>
            <w:vAlign w:val="bottom"/>
          </w:tcPr>
          <w:p>
            <w:pPr>
              <w:ind w:left="20"/>
              <w:spacing w:after="0" w:line="129" w:lineRule="exact"/>
              <w:rPr>
                <w:sz w:val="20"/>
                <w:szCs w:val="20"/>
                <w:color w:val="auto"/>
              </w:rPr>
            </w:pPr>
            <w:r>
              <w:rPr>
                <w:rFonts w:ascii="Arial" w:cs="Arial" w:eastAsia="Arial" w:hAnsi="Arial"/>
                <w:sz w:val="13"/>
                <w:szCs w:val="13"/>
                <w:color w:val="auto"/>
              </w:rPr>
              <w:t>Expenses:</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Cost of goods sold</w:t>
            </w:r>
          </w:p>
        </w:tc>
        <w:tc>
          <w:tcPr>
            <w:tcW w:w="2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7,407</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8,738</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Other expenses from operations</w:t>
            </w:r>
          </w:p>
        </w:tc>
        <w:tc>
          <w:tcPr>
            <w:tcW w:w="22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41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441</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Selling, general and administrative</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130</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921</w:t>
            </w: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Interest expense</w:t>
            </w:r>
          </w:p>
        </w:tc>
        <w:tc>
          <w:tcPr>
            <w:tcW w:w="22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127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70</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219</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424</w:t>
            </w:r>
          </w:p>
        </w:tc>
        <w:tc>
          <w:tcPr>
            <w:tcW w:w="0" w:type="dxa"/>
            <w:vAlign w:val="bottom"/>
          </w:tcPr>
          <w:p>
            <w:pPr>
              <w:spacing w:after="0"/>
              <w:rPr>
                <w:sz w:val="1"/>
                <w:szCs w:val="1"/>
                <w:color w:val="auto"/>
              </w:rPr>
            </w:pPr>
          </w:p>
        </w:tc>
      </w:tr>
      <w:tr>
        <w:trPr>
          <w:trHeight w:val="128"/>
        </w:trPr>
        <w:tc>
          <w:tcPr>
            <w:tcW w:w="26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7,607</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1,899</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308</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83</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183</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236</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10,524</w:t>
            </w:r>
          </w:p>
        </w:tc>
        <w:tc>
          <w:tcPr>
            <w:tcW w:w="0" w:type="dxa"/>
            <w:vAlign w:val="bottom"/>
          </w:tcPr>
          <w:p>
            <w:pPr>
              <w:spacing w:after="0"/>
              <w:rPr>
                <w:sz w:val="1"/>
                <w:szCs w:val="1"/>
                <w:color w:val="auto"/>
              </w:rPr>
            </w:pPr>
          </w:p>
        </w:tc>
      </w:tr>
      <w:tr>
        <w:trPr>
          <w:trHeight w:val="101"/>
        </w:trPr>
        <w:tc>
          <w:tcPr>
            <w:tcW w:w="2640" w:type="dxa"/>
            <w:vAlign w:val="bottom"/>
          </w:tcPr>
          <w:p>
            <w:pPr>
              <w:ind w:left="20"/>
              <w:spacing w:after="0" w:line="101" w:lineRule="exact"/>
              <w:rPr>
                <w:sz w:val="20"/>
                <w:szCs w:val="20"/>
                <w:color w:val="auto"/>
              </w:rPr>
            </w:pPr>
            <w:r>
              <w:rPr>
                <w:rFonts w:ascii="Arial" w:cs="Arial" w:eastAsia="Arial" w:hAnsi="Arial"/>
                <w:sz w:val="10"/>
                <w:szCs w:val="10"/>
                <w:color w:val="auto"/>
              </w:rPr>
              <w:t>Income (loss) before income tax benefit</w:t>
            </w: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20"/>
              <w:spacing w:after="0"/>
              <w:rPr>
                <w:sz w:val="20"/>
                <w:szCs w:val="20"/>
                <w:color w:val="auto"/>
              </w:rPr>
            </w:pPr>
            <w:r>
              <w:rPr>
                <w:rFonts w:ascii="Arial" w:cs="Arial" w:eastAsia="Arial" w:hAnsi="Arial"/>
                <w:sz w:val="13"/>
                <w:szCs w:val="13"/>
                <w:color w:val="auto"/>
              </w:rPr>
              <w:t>(expense)</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530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(9)</w:t>
            </w:r>
          </w:p>
        </w:tc>
        <w:tc>
          <w:tcPr>
            <w:tcW w:w="140" w:type="dxa"/>
            <w:vAlign w:val="bottom"/>
          </w:tcPr>
          <w:p>
            <w:pPr>
              <w:spacing w:after="0"/>
              <w:rPr>
                <w:sz w:val="12"/>
                <w:szCs w:val="1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(15)</w:t>
            </w:r>
          </w:p>
        </w:tc>
        <w:tc>
          <w:tcPr>
            <w:tcW w:w="140" w:type="dxa"/>
            <w:vAlign w:val="bottom"/>
          </w:tcPr>
          <w:p>
            <w:pPr>
              <w:spacing w:after="0"/>
              <w:rPr>
                <w:sz w:val="12"/>
                <w:szCs w:val="12"/>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(176)</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476</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Income tax (expense) benefit</w:t>
            </w:r>
          </w:p>
        </w:tc>
        <w:tc>
          <w:tcPr>
            <w:tcW w:w="2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(94)</w:t>
            </w: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28"/>
        </w:trPr>
        <w:tc>
          <w:tcPr>
            <w:tcW w:w="2640" w:type="dxa"/>
            <w:vAlign w:val="bottom"/>
          </w:tcPr>
          <w:p>
            <w:pPr>
              <w:ind w:left="20"/>
              <w:spacing w:after="0" w:line="129" w:lineRule="exact"/>
              <w:rPr>
                <w:sz w:val="20"/>
                <w:szCs w:val="20"/>
                <w:color w:val="auto"/>
              </w:rPr>
            </w:pPr>
            <w:r>
              <w:rPr>
                <w:rFonts w:ascii="Arial" w:cs="Arial" w:eastAsia="Arial" w:hAnsi="Arial"/>
                <w:sz w:val="13"/>
                <w:szCs w:val="13"/>
                <w:color w:val="auto"/>
              </w:rPr>
              <w:t>Net income (loss)</w:t>
            </w:r>
          </w:p>
        </w:tc>
        <w:tc>
          <w:tcPr>
            <w:tcW w:w="2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221</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436</w:t>
            </w: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(64)</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(10)</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(15)</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(193)</w:t>
            </w: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383</w:t>
            </w:r>
          </w:p>
        </w:tc>
        <w:tc>
          <w:tcPr>
            <w:tcW w:w="0" w:type="dxa"/>
            <w:vAlign w:val="bottom"/>
          </w:tcPr>
          <w:p>
            <w:pPr>
              <w:spacing w:after="0"/>
              <w:rPr>
                <w:sz w:val="1"/>
                <w:szCs w:val="1"/>
                <w:color w:val="auto"/>
              </w:rPr>
            </w:pPr>
          </w:p>
        </w:tc>
      </w:tr>
      <w:tr>
        <w:trPr>
          <w:trHeight w:val="121"/>
        </w:trPr>
        <w:tc>
          <w:tcPr>
            <w:tcW w:w="264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Less: net income (loss) attributable to non-</w:t>
            </w: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controlling interests</w:t>
            </w:r>
          </w:p>
        </w:tc>
        <w:tc>
          <w:tcPr>
            <w:tcW w:w="22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0" w:type="dxa"/>
            <w:vAlign w:val="bottom"/>
          </w:tcPr>
          <w:p>
            <w:pPr>
              <w:spacing w:after="0"/>
              <w:rPr>
                <w:sz w:val="1"/>
                <w:szCs w:val="1"/>
                <w:color w:val="auto"/>
              </w:rPr>
            </w:pPr>
          </w:p>
        </w:tc>
      </w:tr>
      <w:tr>
        <w:trPr>
          <w:trHeight w:val="101"/>
        </w:trPr>
        <w:tc>
          <w:tcPr>
            <w:tcW w:w="2640" w:type="dxa"/>
            <w:vAlign w:val="bottom"/>
          </w:tcPr>
          <w:p>
            <w:pPr>
              <w:ind w:left="20"/>
              <w:spacing w:after="0" w:line="101" w:lineRule="exact"/>
              <w:rPr>
                <w:sz w:val="20"/>
                <w:szCs w:val="20"/>
                <w:color w:val="auto"/>
              </w:rPr>
            </w:pPr>
            <w:r>
              <w:rPr>
                <w:rFonts w:ascii="Arial" w:cs="Arial" w:eastAsia="Arial" w:hAnsi="Arial"/>
                <w:sz w:val="10"/>
                <w:szCs w:val="10"/>
                <w:color w:val="auto"/>
              </w:rPr>
              <w:t>Net income (loss) attributable to Icahn</w:t>
            </w:r>
          </w:p>
        </w:tc>
        <w:tc>
          <w:tcPr>
            <w:tcW w:w="220" w:type="dxa"/>
            <w:vAlign w:val="bottom"/>
            <w:vMerge w:val="restart"/>
          </w:tcPr>
          <w:p>
            <w:pPr>
              <w:spacing w:after="0"/>
              <w:rPr>
                <w:sz w:val="20"/>
                <w:szCs w:val="20"/>
                <w:color w:val="auto"/>
              </w:rPr>
            </w:pPr>
            <w:r>
              <w:rPr>
                <w:rFonts w:ascii="Arial" w:cs="Arial" w:eastAsia="Arial" w:hAnsi="Arial"/>
                <w:sz w:val="13"/>
                <w:szCs w:val="13"/>
                <w:color w:val="auto"/>
              </w:rPr>
              <w:t>$</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115</w:t>
            </w:r>
          </w:p>
        </w:tc>
        <w:tc>
          <w:tcPr>
            <w:tcW w:w="140" w:type="dxa"/>
            <w:vAlign w:val="bottom"/>
          </w:tcPr>
          <w:p>
            <w:pPr>
              <w:spacing w:after="0"/>
              <w:rPr>
                <w:sz w:val="8"/>
                <w:szCs w:val="8"/>
                <w:color w:val="auto"/>
              </w:rPr>
            </w:pP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231</w:t>
            </w:r>
          </w:p>
        </w:tc>
        <w:tc>
          <w:tcPr>
            <w:tcW w:w="140" w:type="dxa"/>
            <w:vAlign w:val="bottom"/>
          </w:tcPr>
          <w:p>
            <w:pPr>
              <w:spacing w:after="0"/>
              <w:rPr>
                <w:sz w:val="8"/>
                <w:szCs w:val="8"/>
                <w:color w:val="auto"/>
              </w:rPr>
            </w:pPr>
          </w:p>
        </w:tc>
        <w:tc>
          <w:tcPr>
            <w:tcW w:w="200" w:type="dxa"/>
            <w:vAlign w:val="bottom"/>
            <w:vMerge w:val="restart"/>
          </w:tcPr>
          <w:p>
            <w:pPr>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(64)</w:t>
            </w:r>
          </w:p>
        </w:tc>
        <w:tc>
          <w:tcPr>
            <w:tcW w:w="100" w:type="dxa"/>
            <w:vAlign w:val="bottom"/>
            <w:vMerge w:val="restart"/>
          </w:tcPr>
          <w:p>
            <w:pPr>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8"/>
                <w:szCs w:val="8"/>
                <w:color w:val="auto"/>
              </w:rPr>
            </w:pPr>
          </w:p>
        </w:tc>
        <w:tc>
          <w:tcPr>
            <w:tcW w:w="140" w:type="dxa"/>
            <w:vAlign w:val="bottom"/>
            <w:vMerge w:val="restart"/>
          </w:tcPr>
          <w:p>
            <w:pPr>
              <w:spacing w:after="0"/>
              <w:rPr>
                <w:sz w:val="20"/>
                <w:szCs w:val="20"/>
                <w:color w:val="auto"/>
              </w:rPr>
            </w:pPr>
            <w:r>
              <w:rPr>
                <w:rFonts w:ascii="Arial" w:cs="Arial" w:eastAsia="Arial" w:hAnsi="Arial"/>
                <w:sz w:val="13"/>
                <w:szCs w:val="13"/>
                <w:color w:val="auto"/>
              </w:rPr>
              <w:t>$</w:t>
            </w: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(10)</w:t>
            </w:r>
          </w:p>
        </w:tc>
        <w:tc>
          <w:tcPr>
            <w:tcW w:w="140" w:type="dxa"/>
            <w:vAlign w:val="bottom"/>
            <w:vMerge w:val="restart"/>
          </w:tcPr>
          <w:p>
            <w:pPr>
              <w:spacing w:after="0"/>
              <w:rPr>
                <w:sz w:val="20"/>
                <w:szCs w:val="20"/>
                <w:color w:val="auto"/>
              </w:rPr>
            </w:pPr>
            <w:r>
              <w:rPr>
                <w:rFonts w:ascii="Arial" w:cs="Arial" w:eastAsia="Arial" w:hAnsi="Arial"/>
                <w:sz w:val="13"/>
                <w:szCs w:val="13"/>
                <w:color w:val="auto"/>
              </w:rPr>
              <w:t>$</w:t>
            </w: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(15)</w:t>
            </w:r>
          </w:p>
        </w:tc>
        <w:tc>
          <w:tcPr>
            <w:tcW w:w="140" w:type="dxa"/>
            <w:vAlign w:val="bottom"/>
            <w:vMerge w:val="restart"/>
          </w:tcPr>
          <w:p>
            <w:pPr>
              <w:spacing w:after="0"/>
              <w:rPr>
                <w:sz w:val="20"/>
                <w:szCs w:val="20"/>
                <w:color w:val="auto"/>
              </w:rPr>
            </w:pPr>
            <w:r>
              <w:rPr>
                <w:rFonts w:ascii="Arial" w:cs="Arial" w:eastAsia="Arial" w:hAnsi="Arial"/>
                <w:sz w:val="13"/>
                <w:szCs w:val="13"/>
                <w:color w:val="auto"/>
              </w:rPr>
              <w:t>$</w:t>
            </w: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(193)</w:t>
            </w:r>
          </w:p>
        </w:tc>
        <w:tc>
          <w:tcPr>
            <w:tcW w:w="200" w:type="dxa"/>
            <w:vAlign w:val="bottom"/>
            <w:vMerge w:val="restart"/>
          </w:tcPr>
          <w:p>
            <w:pPr>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76"/>
        </w:trPr>
        <w:tc>
          <w:tcPr>
            <w:tcW w:w="2640" w:type="dxa"/>
            <w:vAlign w:val="bottom"/>
          </w:tcPr>
          <w:p>
            <w:pPr>
              <w:ind w:left="20"/>
              <w:spacing w:after="0" w:line="136" w:lineRule="exact"/>
              <w:rPr>
                <w:sz w:val="20"/>
                <w:szCs w:val="20"/>
                <w:color w:val="auto"/>
              </w:rPr>
            </w:pPr>
            <w:r>
              <w:rPr>
                <w:rFonts w:ascii="Arial" w:cs="Arial" w:eastAsia="Arial" w:hAnsi="Arial"/>
                <w:sz w:val="13"/>
                <w:szCs w:val="13"/>
                <w:color w:val="auto"/>
              </w:rPr>
              <w:t>Enterprises</w:t>
            </w:r>
          </w:p>
        </w:tc>
        <w:tc>
          <w:tcPr>
            <w:tcW w:w="2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40" w:type="dxa"/>
            <w:vAlign w:val="bottom"/>
            <w:tcBorders>
              <w:top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color w:val="auto"/>
              </w:rPr>
              <w:t>Supplemental information:</w:t>
            </w:r>
          </w:p>
        </w:tc>
        <w:tc>
          <w:tcPr>
            <w:tcW w:w="2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120"/>
              <w:spacing w:after="0" w:line="135" w:lineRule="exact"/>
              <w:rPr>
                <w:sz w:val="20"/>
                <w:szCs w:val="20"/>
                <w:color w:val="auto"/>
              </w:rPr>
            </w:pPr>
            <w:r>
              <w:rPr>
                <w:rFonts w:ascii="Arial" w:cs="Arial" w:eastAsia="Arial" w:hAnsi="Arial"/>
                <w:sz w:val="13"/>
                <w:szCs w:val="13"/>
                <w:color w:val="auto"/>
              </w:rPr>
              <w:t>Capital expenditures</w:t>
            </w:r>
          </w:p>
        </w:tc>
        <w:tc>
          <w:tcPr>
            <w:tcW w:w="2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145</w:t>
            </w:r>
          </w:p>
        </w:tc>
        <w:tc>
          <w:tcPr>
            <w:tcW w:w="140" w:type="dxa"/>
            <w:vAlign w:val="bottom"/>
          </w:tcPr>
          <w:p>
            <w:pPr>
              <w:spacing w:after="0"/>
              <w:rPr>
                <w:sz w:val="11"/>
                <w:szCs w:val="11"/>
                <w:color w:val="auto"/>
              </w:rPr>
            </w:pP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87</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12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254</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2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264</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12"/>
          </w:tcPr>
          <w:p>
            <w:pPr>
              <w:jc w:val="right"/>
              <w:ind w:right="17"/>
              <w:spacing w:after="0"/>
              <w:rPr>
                <w:sz w:val="20"/>
                <w:szCs w:val="20"/>
                <w:color w:val="auto"/>
              </w:rPr>
            </w:pPr>
            <w:r>
              <w:rPr>
                <w:rFonts w:ascii="Arial" w:cs="Arial" w:eastAsia="Arial" w:hAnsi="Arial"/>
                <w:sz w:val="13"/>
                <w:szCs w:val="13"/>
                <w:b w:val="1"/>
                <w:bCs w:val="1"/>
                <w:color w:val="auto"/>
                <w:w w:val="90"/>
              </w:rPr>
              <w:t>Nine Months Ended September 30, 2021</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w w:val="95"/>
              </w:rPr>
              <w:t>Food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jc w:val="right"/>
              <w:spacing w:after="0" w:line="110" w:lineRule="exact"/>
              <w:rPr>
                <w:sz w:val="20"/>
                <w:szCs w:val="20"/>
                <w:color w:val="auto"/>
              </w:rPr>
            </w:pPr>
            <w:r>
              <w:rPr>
                <w:rFonts w:ascii="Arial" w:cs="Arial" w:eastAsia="Arial" w:hAnsi="Arial"/>
                <w:sz w:val="12"/>
                <w:szCs w:val="12"/>
                <w:b w:val="1"/>
                <w:bCs w:val="1"/>
                <w:color w:val="auto"/>
                <w:w w:val="94"/>
              </w:rPr>
              <w:t>Real</w:t>
            </w:r>
          </w:p>
        </w:tc>
        <w:tc>
          <w:tcPr>
            <w:tcW w:w="140" w:type="dxa"/>
            <w:vAlign w:val="bottom"/>
          </w:tcPr>
          <w:p>
            <w:pPr>
              <w:spacing w:after="0"/>
              <w:rPr>
                <w:sz w:val="9"/>
                <w:szCs w:val="9"/>
                <w:color w:val="auto"/>
              </w:rPr>
            </w:pPr>
          </w:p>
        </w:tc>
        <w:tc>
          <w:tcPr>
            <w:tcW w:w="44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Home</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Holding</w:t>
            </w: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w w:val="93"/>
              </w:rPr>
              <w:t>Investment</w:t>
            </w: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b w:val="1"/>
                <w:bCs w:val="1"/>
                <w:color w:val="auto"/>
                <w:w w:val="86"/>
              </w:rPr>
              <w:t>Energy</w:t>
            </w:r>
          </w:p>
        </w:tc>
        <w:tc>
          <w:tcPr>
            <w:tcW w:w="760" w:type="dxa"/>
            <w:vAlign w:val="bottom"/>
            <w:gridSpan w:val="3"/>
          </w:tcPr>
          <w:p>
            <w:pPr>
              <w:jc w:val="right"/>
              <w:spacing w:after="0"/>
              <w:rPr>
                <w:sz w:val="20"/>
                <w:szCs w:val="20"/>
                <w:color w:val="auto"/>
              </w:rPr>
            </w:pPr>
            <w:r>
              <w:rPr>
                <w:rFonts w:ascii="Arial" w:cs="Arial" w:eastAsia="Arial" w:hAnsi="Arial"/>
                <w:sz w:val="13"/>
                <w:szCs w:val="13"/>
                <w:b w:val="1"/>
                <w:bCs w:val="1"/>
                <w:color w:val="auto"/>
              </w:rPr>
              <w:t>Automotive</w:t>
            </w:r>
          </w:p>
        </w:tc>
        <w:tc>
          <w:tcPr>
            <w:tcW w:w="700" w:type="dxa"/>
            <w:vAlign w:val="bottom"/>
            <w:gridSpan w:val="3"/>
          </w:tcPr>
          <w:p>
            <w:pPr>
              <w:ind w:left="140"/>
              <w:spacing w:after="0"/>
              <w:rPr>
                <w:sz w:val="20"/>
                <w:szCs w:val="20"/>
                <w:color w:val="auto"/>
              </w:rPr>
            </w:pPr>
            <w:r>
              <w:rPr>
                <w:rFonts w:ascii="Arial" w:cs="Arial" w:eastAsia="Arial" w:hAnsi="Arial"/>
                <w:sz w:val="13"/>
                <w:szCs w:val="13"/>
                <w:b w:val="1"/>
                <w:bCs w:val="1"/>
                <w:color w:val="auto"/>
                <w:w w:val="82"/>
              </w:rPr>
              <w:t>Packaging</w:t>
            </w:r>
          </w:p>
        </w:tc>
        <w:tc>
          <w:tcPr>
            <w:tcW w:w="12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b w:val="1"/>
                <w:bCs w:val="1"/>
                <w:color w:val="auto"/>
                <w:w w:val="87"/>
              </w:rPr>
              <w:t>Estate</w:t>
            </w:r>
          </w:p>
        </w:tc>
        <w:tc>
          <w:tcPr>
            <w:tcW w:w="580" w:type="dxa"/>
            <w:vAlign w:val="bottom"/>
            <w:gridSpan w:val="3"/>
          </w:tcPr>
          <w:p>
            <w:pPr>
              <w:ind w:left="140"/>
              <w:spacing w:after="0"/>
              <w:rPr>
                <w:sz w:val="20"/>
                <w:szCs w:val="20"/>
                <w:color w:val="auto"/>
              </w:rPr>
            </w:pPr>
            <w:r>
              <w:rPr>
                <w:rFonts w:ascii="Arial" w:cs="Arial" w:eastAsia="Arial" w:hAnsi="Arial"/>
                <w:sz w:val="13"/>
                <w:szCs w:val="13"/>
                <w:b w:val="1"/>
                <w:bCs w:val="1"/>
                <w:color w:val="auto"/>
                <w:w w:val="84"/>
              </w:rPr>
              <w:t>Fashion</w:t>
            </w:r>
          </w:p>
        </w:tc>
        <w:tc>
          <w:tcPr>
            <w:tcW w:w="560" w:type="dxa"/>
            <w:vAlign w:val="bottom"/>
            <w:gridSpan w:val="3"/>
          </w:tcPr>
          <w:p>
            <w:pPr>
              <w:ind w:left="120"/>
              <w:spacing w:after="0"/>
              <w:rPr>
                <w:sz w:val="20"/>
                <w:szCs w:val="20"/>
                <w:color w:val="auto"/>
              </w:rPr>
            </w:pPr>
            <w:r>
              <w:rPr>
                <w:rFonts w:ascii="Arial" w:cs="Arial" w:eastAsia="Arial" w:hAnsi="Arial"/>
                <w:sz w:val="13"/>
                <w:szCs w:val="13"/>
                <w:b w:val="1"/>
                <w:bCs w:val="1"/>
                <w:color w:val="auto"/>
                <w:w w:val="87"/>
              </w:rPr>
              <w:t>Pharma</w:t>
            </w:r>
          </w:p>
        </w:tc>
        <w:tc>
          <w:tcPr>
            <w:tcW w:w="14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b w:val="1"/>
                <w:bCs w:val="1"/>
                <w:color w:val="auto"/>
                <w:w w:val="83"/>
              </w:rPr>
              <w:t>Metals</w:t>
            </w:r>
          </w:p>
        </w:tc>
        <w:tc>
          <w:tcPr>
            <w:tcW w:w="120" w:type="dxa"/>
            <w:vAlign w:val="bottom"/>
          </w:tcPr>
          <w:p>
            <w:pPr>
              <w:spacing w:after="0"/>
              <w:rPr>
                <w:sz w:val="13"/>
                <w:szCs w:val="13"/>
                <w:color w:val="auto"/>
              </w:rPr>
            </w:pPr>
          </w:p>
        </w:tc>
        <w:tc>
          <w:tcPr>
            <w:tcW w:w="1320" w:type="dxa"/>
            <w:vAlign w:val="bottom"/>
            <w:gridSpan w:val="5"/>
          </w:tcPr>
          <w:p>
            <w:pPr>
              <w:ind w:left="20"/>
              <w:spacing w:after="0"/>
              <w:rPr>
                <w:sz w:val="20"/>
                <w:szCs w:val="20"/>
                <w:color w:val="auto"/>
              </w:rPr>
            </w:pPr>
            <w:r>
              <w:rPr>
                <w:rFonts w:ascii="Arial" w:cs="Arial" w:eastAsia="Arial" w:hAnsi="Arial"/>
                <w:sz w:val="13"/>
                <w:szCs w:val="13"/>
                <w:b w:val="1"/>
                <w:bCs w:val="1"/>
                <w:color w:val="auto"/>
                <w:w w:val="88"/>
              </w:rPr>
              <w:t>Company Consolidated</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4"/>
          </w:tcPr>
          <w:p>
            <w:pPr>
              <w:jc w:val="right"/>
              <w:ind w:right="17"/>
              <w:spacing w:after="0" w:line="115" w:lineRule="exact"/>
              <w:rPr>
                <w:sz w:val="20"/>
                <w:szCs w:val="20"/>
                <w:color w:val="auto"/>
              </w:rPr>
            </w:pPr>
            <w:r>
              <w:rPr>
                <w:rFonts w:ascii="Arial" w:cs="Arial" w:eastAsia="Arial" w:hAnsi="Arial"/>
                <w:sz w:val="13"/>
                <w:szCs w:val="13"/>
                <w:color w:val="auto"/>
              </w:rPr>
              <w:t>(in millions)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Revenues:</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100"/>
              <w:spacing w:after="0" w:line="135" w:lineRule="exact"/>
              <w:rPr>
                <w:sz w:val="20"/>
                <w:szCs w:val="20"/>
                <w:color w:val="auto"/>
              </w:rPr>
            </w:pPr>
            <w:r>
              <w:rPr>
                <w:rFonts w:ascii="Arial" w:cs="Arial" w:eastAsia="Arial" w:hAnsi="Arial"/>
                <w:sz w:val="13"/>
                <w:szCs w:val="13"/>
                <w:color w:val="auto"/>
              </w:rPr>
              <w:t>Net sales</w:t>
            </w:r>
          </w:p>
        </w:tc>
        <w:tc>
          <w:tcPr>
            <w:tcW w:w="24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w w:val="79"/>
              </w:rPr>
              <w:t>5,129</w:t>
            </w:r>
          </w:p>
        </w:tc>
        <w:tc>
          <w:tcPr>
            <w:tcW w:w="320" w:type="dxa"/>
            <w:vAlign w:val="bottom"/>
            <w:gridSpan w:val="2"/>
          </w:tcPr>
          <w:p>
            <w:pPr>
              <w:jc w:val="right"/>
              <w:ind w:right="114"/>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1,377</w:t>
            </w:r>
          </w:p>
        </w:tc>
        <w:tc>
          <w:tcPr>
            <w:tcW w:w="24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311</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45</w:t>
            </w:r>
          </w:p>
        </w:tc>
        <w:tc>
          <w:tcPr>
            <w:tcW w:w="26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143</w:t>
            </w:r>
          </w:p>
        </w:tc>
        <w:tc>
          <w:tcPr>
            <w:tcW w:w="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65</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w w:val="92"/>
              </w:rPr>
              <w:t>417</w:t>
            </w:r>
          </w:p>
        </w:tc>
        <w:tc>
          <w:tcPr>
            <w:tcW w:w="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28"/>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7,487</w:t>
            </w:r>
          </w:p>
        </w:tc>
        <w:tc>
          <w:tcPr>
            <w:tcW w:w="0" w:type="dxa"/>
            <w:vAlign w:val="bottom"/>
          </w:tcPr>
          <w:p>
            <w:pPr>
              <w:spacing w:after="0"/>
              <w:rPr>
                <w:sz w:val="1"/>
                <w:szCs w:val="1"/>
                <w:color w:val="auto"/>
              </w:rPr>
            </w:pPr>
          </w:p>
        </w:tc>
      </w:tr>
      <w:tr>
        <w:trPr>
          <w:trHeight w:val="135"/>
        </w:trPr>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revenues from operations</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486</w:t>
            </w:r>
          </w:p>
        </w:tc>
        <w:tc>
          <w:tcPr>
            <w:tcW w:w="0" w:type="dxa"/>
            <w:vAlign w:val="bottom"/>
          </w:tcPr>
          <w:p>
            <w:pPr>
              <w:spacing w:after="0"/>
              <w:rPr>
                <w:sz w:val="1"/>
                <w:szCs w:val="1"/>
                <w:color w:val="auto"/>
              </w:rPr>
            </w:pPr>
          </w:p>
        </w:tc>
      </w:tr>
      <w:tr>
        <w:trPr>
          <w:trHeight w:val="135"/>
        </w:trPr>
        <w:tc>
          <w:tcPr>
            <w:tcW w:w="2600" w:type="dxa"/>
            <w:vAlign w:val="bottom"/>
          </w:tcPr>
          <w:p>
            <w:pPr>
              <w:ind w:left="100"/>
              <w:spacing w:after="0" w:line="135" w:lineRule="exact"/>
              <w:rPr>
                <w:sz w:val="20"/>
                <w:szCs w:val="20"/>
                <w:color w:val="auto"/>
              </w:rPr>
            </w:pPr>
            <w:r>
              <w:rPr>
                <w:rFonts w:ascii="Arial" w:cs="Arial" w:eastAsia="Arial" w:hAnsi="Arial"/>
                <w:sz w:val="13"/>
                <w:szCs w:val="13"/>
                <w:color w:val="auto"/>
              </w:rPr>
              <w:t>Net gain (loss) from investment activities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966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82</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1,035</w:t>
            </w:r>
          </w:p>
        </w:tc>
        <w:tc>
          <w:tcPr>
            <w:tcW w:w="0" w:type="dxa"/>
            <w:vAlign w:val="bottom"/>
          </w:tcPr>
          <w:p>
            <w:pPr>
              <w:spacing w:after="0"/>
              <w:rPr>
                <w:sz w:val="1"/>
                <w:szCs w:val="1"/>
                <w:color w:val="auto"/>
              </w:rPr>
            </w:pPr>
          </w:p>
        </w:tc>
      </w:tr>
      <w:tr>
        <w:trPr>
          <w:trHeight w:val="135"/>
        </w:trPr>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Interest and dividend income</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35"/>
        </w:trPr>
        <w:tc>
          <w:tcPr>
            <w:tcW w:w="260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Other (loss) income, net</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(55)</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(20)</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w:t>
            </w:r>
          </w:p>
        </w:tc>
        <w:tc>
          <w:tcPr>
            <w:tcW w:w="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28"/>
        </w:trPr>
        <w:tc>
          <w:tcPr>
            <w:tcW w:w="2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79"/>
              </w:rPr>
              <w:t>5,212</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1,811</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302</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68</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418</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w:t>
            </w:r>
          </w:p>
        </w:tc>
        <w:tc>
          <w:tcPr>
            <w:tcW w:w="4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9,023</w:t>
            </w:r>
          </w:p>
        </w:tc>
        <w:tc>
          <w:tcPr>
            <w:tcW w:w="0" w:type="dxa"/>
            <w:vAlign w:val="bottom"/>
          </w:tcPr>
          <w:p>
            <w:pPr>
              <w:spacing w:after="0"/>
              <w:rPr>
                <w:sz w:val="1"/>
                <w:szCs w:val="1"/>
                <w:color w:val="auto"/>
              </w:rPr>
            </w:pPr>
          </w:p>
        </w:tc>
      </w:tr>
      <w:tr>
        <w:trPr>
          <w:trHeight w:val="128"/>
        </w:trPr>
        <w:tc>
          <w:tcPr>
            <w:tcW w:w="2600" w:type="dxa"/>
            <w:vAlign w:val="bottom"/>
          </w:tcPr>
          <w:p>
            <w:pPr>
              <w:spacing w:after="0" w:line="129" w:lineRule="exact"/>
              <w:rPr>
                <w:sz w:val="20"/>
                <w:szCs w:val="20"/>
                <w:color w:val="auto"/>
              </w:rPr>
            </w:pPr>
            <w:r>
              <w:rPr>
                <w:rFonts w:ascii="Arial" w:cs="Arial" w:eastAsia="Arial" w:hAnsi="Arial"/>
                <w:sz w:val="13"/>
                <w:szCs w:val="13"/>
                <w:color w:val="auto"/>
              </w:rPr>
              <w:t>Expenses: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Cost of goods sold</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79"/>
              </w:rPr>
              <w:t>5,022</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964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117</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384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6,812</w:t>
            </w:r>
          </w:p>
        </w:tc>
        <w:tc>
          <w:tcPr>
            <w:tcW w:w="0" w:type="dxa"/>
            <w:vAlign w:val="bottom"/>
          </w:tcPr>
          <w:p>
            <w:pPr>
              <w:spacing w:after="0"/>
              <w:rPr>
                <w:sz w:val="1"/>
                <w:szCs w:val="1"/>
                <w:color w:val="auto"/>
              </w:rPr>
            </w:pPr>
          </w:p>
        </w:tc>
      </w:tr>
      <w:tr>
        <w:trPr>
          <w:trHeight w:val="135"/>
        </w:trPr>
        <w:tc>
          <w:tcPr>
            <w:tcW w:w="2600" w:type="dxa"/>
            <w:vAlign w:val="bottom"/>
          </w:tcPr>
          <w:p>
            <w:pPr>
              <w:ind w:left="100"/>
              <w:spacing w:after="0" w:line="135" w:lineRule="exact"/>
              <w:rPr>
                <w:sz w:val="20"/>
                <w:szCs w:val="20"/>
                <w:color w:val="auto"/>
              </w:rPr>
            </w:pPr>
            <w:r>
              <w:rPr>
                <w:rFonts w:ascii="Arial" w:cs="Arial" w:eastAsia="Arial" w:hAnsi="Arial"/>
                <w:sz w:val="13"/>
                <w:szCs w:val="13"/>
                <w:color w:val="auto"/>
              </w:rPr>
              <w:t>Other expenses from operations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352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381</w:t>
            </w:r>
          </w:p>
        </w:tc>
        <w:tc>
          <w:tcPr>
            <w:tcW w:w="0" w:type="dxa"/>
            <w:vAlign w:val="bottom"/>
          </w:tcPr>
          <w:p>
            <w:pPr>
              <w:spacing w:after="0"/>
              <w:rPr>
                <w:sz w:val="1"/>
                <w:szCs w:val="1"/>
                <w:color w:val="auto"/>
              </w:rPr>
            </w:pPr>
          </w:p>
        </w:tc>
      </w:tr>
      <w:tr>
        <w:trPr>
          <w:trHeight w:val="135"/>
        </w:trPr>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Selling, general and administrative</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106</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930</w:t>
            </w:r>
          </w:p>
        </w:tc>
        <w:tc>
          <w:tcPr>
            <w:tcW w:w="0" w:type="dxa"/>
            <w:vAlign w:val="bottom"/>
          </w:tcPr>
          <w:p>
            <w:pPr>
              <w:spacing w:after="0"/>
              <w:rPr>
                <w:sz w:val="1"/>
                <w:szCs w:val="1"/>
                <w:color w:val="auto"/>
              </w:rPr>
            </w:pPr>
          </w:p>
        </w:tc>
      </w:tr>
      <w:tr>
        <w:trPr>
          <w:trHeight w:val="135"/>
        </w:trPr>
        <w:tc>
          <w:tcPr>
            <w:tcW w:w="2600" w:type="dxa"/>
            <w:vAlign w:val="bottom"/>
          </w:tcPr>
          <w:p>
            <w:pPr>
              <w:ind w:left="100"/>
              <w:spacing w:after="0" w:line="135" w:lineRule="exact"/>
              <w:rPr>
                <w:sz w:val="20"/>
                <w:szCs w:val="20"/>
                <w:color w:val="auto"/>
              </w:rPr>
            </w:pPr>
            <w:r>
              <w:rPr>
                <w:rFonts w:ascii="Arial" w:cs="Arial" w:eastAsia="Arial" w:hAnsi="Arial"/>
                <w:sz w:val="13"/>
                <w:szCs w:val="13"/>
                <w:color w:val="auto"/>
              </w:rPr>
              <w:t>Restructuring, net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Interest expense</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170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84</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243</w:t>
            </w:r>
          </w:p>
        </w:tc>
        <w:tc>
          <w:tcPr>
            <w:tcW w:w="4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511</w:t>
            </w:r>
          </w:p>
        </w:tc>
        <w:tc>
          <w:tcPr>
            <w:tcW w:w="0" w:type="dxa"/>
            <w:vAlign w:val="bottom"/>
          </w:tcPr>
          <w:p>
            <w:pPr>
              <w:spacing w:after="0"/>
              <w:rPr>
                <w:sz w:val="1"/>
                <w:szCs w:val="1"/>
                <w:color w:val="auto"/>
              </w:rPr>
            </w:pPr>
          </w:p>
        </w:tc>
      </w:tr>
      <w:tr>
        <w:trPr>
          <w:trHeight w:val="128"/>
        </w:trPr>
        <w:tc>
          <w:tcPr>
            <w:tcW w:w="26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181</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79"/>
              </w:rPr>
              <w:t>5,212</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1,990</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295</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79</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152</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67</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399</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265</w:t>
            </w:r>
          </w:p>
        </w:tc>
        <w:tc>
          <w:tcPr>
            <w:tcW w:w="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8,640</w:t>
            </w:r>
          </w:p>
        </w:tc>
        <w:tc>
          <w:tcPr>
            <w:tcW w:w="0" w:type="dxa"/>
            <w:vAlign w:val="bottom"/>
          </w:tcPr>
          <w:p>
            <w:pPr>
              <w:spacing w:after="0"/>
              <w:rPr>
                <w:sz w:val="1"/>
                <w:szCs w:val="1"/>
                <w:color w:val="auto"/>
              </w:rPr>
            </w:pPr>
          </w:p>
        </w:tc>
      </w:tr>
      <w:tr>
        <w:trPr>
          <w:trHeight w:val="129"/>
        </w:trPr>
        <w:tc>
          <w:tcPr>
            <w:tcW w:w="26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89"/>
              </w:rPr>
              <w:t>Income (loss) before income tax benefit (expense)</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820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(271)</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383</w:t>
            </w:r>
          </w:p>
        </w:tc>
        <w:tc>
          <w:tcPr>
            <w:tcW w:w="0" w:type="dxa"/>
            <w:vAlign w:val="bottom"/>
          </w:tcPr>
          <w:p>
            <w:pPr>
              <w:spacing w:after="0"/>
              <w:rPr>
                <w:sz w:val="1"/>
                <w:szCs w:val="1"/>
                <w:color w:val="auto"/>
              </w:rPr>
            </w:pPr>
          </w:p>
        </w:tc>
      </w:tr>
      <w:tr>
        <w:trPr>
          <w:trHeight w:val="135"/>
        </w:trPr>
        <w:tc>
          <w:tcPr>
            <w:tcW w:w="2600" w:type="dxa"/>
            <w:vAlign w:val="bottom"/>
          </w:tcPr>
          <w:p>
            <w:pPr>
              <w:spacing w:after="0" w:line="135" w:lineRule="exact"/>
              <w:rPr>
                <w:sz w:val="20"/>
                <w:szCs w:val="20"/>
                <w:color w:val="auto"/>
              </w:rPr>
            </w:pPr>
            <w:r>
              <w:rPr>
                <w:rFonts w:ascii="Arial" w:cs="Arial" w:eastAsia="Arial" w:hAnsi="Arial"/>
                <w:sz w:val="13"/>
                <w:szCs w:val="13"/>
                <w:color w:val="auto"/>
              </w:rPr>
              <w:t>Income tax benefit (expense)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(105)</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29"/>
        </w:trPr>
        <w:tc>
          <w:tcPr>
            <w:tcW w:w="26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Net income (loss)</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820</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(139)</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(376)</w:t>
            </w:r>
          </w:p>
        </w:tc>
        <w:tc>
          <w:tcPr>
            <w:tcW w:w="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326</w:t>
            </w:r>
          </w:p>
        </w:tc>
        <w:tc>
          <w:tcPr>
            <w:tcW w:w="0" w:type="dxa"/>
            <w:vAlign w:val="bottom"/>
          </w:tcPr>
          <w:p>
            <w:pPr>
              <w:spacing w:after="0"/>
              <w:rPr>
                <w:sz w:val="1"/>
                <w:szCs w:val="1"/>
                <w:color w:val="auto"/>
              </w:rPr>
            </w:pPr>
          </w:p>
        </w:tc>
      </w:tr>
      <w:tr>
        <w:trPr>
          <w:trHeight w:val="121"/>
        </w:trPr>
        <w:tc>
          <w:tcPr>
            <w:tcW w:w="2600" w:type="dxa"/>
            <w:vAlign w:val="bottom"/>
          </w:tcPr>
          <w:p>
            <w:pPr>
              <w:spacing w:after="0" w:line="121" w:lineRule="exact"/>
              <w:rPr>
                <w:sz w:val="20"/>
                <w:szCs w:val="20"/>
                <w:color w:val="auto"/>
              </w:rPr>
            </w:pPr>
            <w:r>
              <w:rPr>
                <w:rFonts w:ascii="Arial" w:cs="Arial" w:eastAsia="Arial" w:hAnsi="Arial"/>
                <w:sz w:val="13"/>
                <w:szCs w:val="13"/>
                <w:color w:val="auto"/>
                <w:w w:val="95"/>
              </w:rPr>
              <w:t>Less: net income attributable to non-controlling</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interests</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445</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448</w:t>
            </w:r>
          </w:p>
        </w:tc>
        <w:tc>
          <w:tcPr>
            <w:tcW w:w="0" w:type="dxa"/>
            <w:vAlign w:val="bottom"/>
          </w:tcPr>
          <w:p>
            <w:pPr>
              <w:spacing w:after="0"/>
              <w:rPr>
                <w:sz w:val="1"/>
                <w:szCs w:val="1"/>
                <w:color w:val="auto"/>
              </w:rPr>
            </w:pPr>
          </w:p>
        </w:tc>
      </w:tr>
      <w:tr>
        <w:trPr>
          <w:trHeight w:val="128"/>
        </w:trPr>
        <w:tc>
          <w:tcPr>
            <w:tcW w:w="26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w w:val="89"/>
              </w:rPr>
              <w:t>Net income (loss) attributable to Icahn Enterprises</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375</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w:t>
            </w:r>
          </w:p>
        </w:tc>
        <w:tc>
          <w:tcPr>
            <w:tcW w:w="1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5"/>
                <w:szCs w:val="5"/>
                <w:color w:val="auto"/>
                <w:w w:val="70"/>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(139)</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(376)</w:t>
            </w:r>
          </w:p>
        </w:tc>
        <w:tc>
          <w:tcPr>
            <w:tcW w:w="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rPr>
                <w:sz w:val="20"/>
                <w:szCs w:val="20"/>
                <w:color w:val="auto"/>
              </w:rPr>
            </w:pPr>
            <w:r>
              <w:rPr>
                <w:rFonts w:ascii="Arial" w:cs="Arial" w:eastAsia="Arial" w:hAnsi="Arial"/>
                <w:sz w:val="13"/>
                <w:szCs w:val="13"/>
                <w:color w:val="auto"/>
              </w:rPr>
              <w:t>Supplemental information:</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Capital expenditures</w:t>
            </w:r>
          </w:p>
        </w:tc>
        <w:tc>
          <w:tcPr>
            <w:tcW w:w="2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188</w:t>
            </w:r>
          </w:p>
        </w:tc>
        <w:tc>
          <w:tcPr>
            <w:tcW w:w="320" w:type="dxa"/>
            <w:vAlign w:val="bottom"/>
            <w:gridSpan w:val="2"/>
            <w:shd w:val="clear" w:color="auto" w:fill="CCEEFF"/>
          </w:tcPr>
          <w:p>
            <w:pPr>
              <w:jc w:val="right"/>
              <w:ind w:right="114"/>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w:t>
            </w:r>
          </w:p>
        </w:tc>
        <w:tc>
          <w:tcPr>
            <w:tcW w:w="2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26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128"/>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60"/>
        </w:trPr>
        <w:tc>
          <w:tcPr>
            <w:tcW w:w="2600" w:type="dxa"/>
            <w:vAlign w:val="bottom"/>
          </w:tcPr>
          <w:p>
            <w:pPr>
              <w:ind w:left="100"/>
              <w:spacing w:after="0"/>
              <w:rPr>
                <w:sz w:val="20"/>
                <w:szCs w:val="20"/>
                <w:color w:val="auto"/>
              </w:rPr>
            </w:pPr>
            <w:r>
              <w:rPr>
                <w:rFonts w:ascii="Arial" w:cs="Arial" w:eastAsia="Arial" w:hAnsi="Arial"/>
                <w:sz w:val="13"/>
                <w:szCs w:val="13"/>
                <w:color w:val="auto"/>
              </w:rPr>
              <w:t>Depreciation and amortization</w:t>
            </w:r>
          </w:p>
        </w:tc>
        <w:tc>
          <w:tcPr>
            <w:tcW w:w="24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253</w:t>
            </w:r>
          </w:p>
        </w:tc>
        <w:tc>
          <w:tcPr>
            <w:tcW w:w="320" w:type="dxa"/>
            <w:vAlign w:val="bottom"/>
            <w:gridSpan w:val="2"/>
          </w:tcPr>
          <w:p>
            <w:pPr>
              <w:jc w:val="right"/>
              <w:ind w:right="114"/>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66</w:t>
            </w:r>
          </w:p>
        </w:tc>
        <w:tc>
          <w:tcPr>
            <w:tcW w:w="2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21</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7</w:t>
            </w:r>
          </w:p>
        </w:tc>
        <w:tc>
          <w:tcPr>
            <w:tcW w:w="26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5</w:t>
            </w:r>
          </w:p>
        </w:tc>
        <w:tc>
          <w:tcPr>
            <w:tcW w:w="28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21</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11</w:t>
            </w:r>
          </w:p>
        </w:tc>
        <w:tc>
          <w:tcPr>
            <w:tcW w:w="28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1</w:t>
            </w:r>
          </w:p>
        </w:tc>
        <w:tc>
          <w:tcPr>
            <w:tcW w:w="280" w:type="dxa"/>
            <w:vAlign w:val="bottom"/>
            <w:gridSpan w:val="2"/>
          </w:tcPr>
          <w:p>
            <w:pPr>
              <w:jc w:val="right"/>
              <w:ind w:right="128"/>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ind w:left="60" w:right="1099" w:firstLine="324"/>
        <w:spacing w:after="0" w:line="277" w:lineRule="auto"/>
        <w:rPr>
          <w:sz w:val="20"/>
          <w:szCs w:val="20"/>
          <w:color w:val="auto"/>
        </w:rPr>
      </w:pPr>
      <w:r>
        <w:rPr>
          <w:rFonts w:ascii="Arial" w:cs="Arial" w:eastAsia="Arial" w:hAnsi="Arial"/>
          <w:sz w:val="18"/>
          <w:szCs w:val="18"/>
          <w:color w:val="auto"/>
        </w:rPr>
        <w:t>In addition to the condensed statements of operations by reporting segment above, we provide additional disaggregated revenue information for our Energy and Automotive segments below.</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5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Energy</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4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w w:val="92"/>
              </w:rPr>
              <w:t>Three Months Ended September 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89"/>
              </w:rPr>
              <w:t>Nine Months Ended September 30,</w:t>
            </w: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gridSpan w:val="5"/>
          </w:tcPr>
          <w:p>
            <w:pPr>
              <w:ind w:left="720"/>
              <w:spacing w:after="0" w:line="129" w:lineRule="exact"/>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Petroleum products</w:t>
            </w:r>
          </w:p>
        </w:tc>
        <w:tc>
          <w:tcPr>
            <w:tcW w:w="8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54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54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7,593</w:t>
            </w:r>
          </w:p>
        </w:tc>
        <w:tc>
          <w:tcPr>
            <w:tcW w:w="5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0" w:type="dxa"/>
            <w:vAlign w:val="bottom"/>
          </w:tcPr>
          <w:p>
            <w:pPr>
              <w:spacing w:after="0"/>
              <w:rPr>
                <w:sz w:val="1"/>
                <w:szCs w:val="1"/>
                <w:color w:val="auto"/>
              </w:rPr>
            </w:pPr>
          </w:p>
        </w:tc>
      </w:tr>
      <w:tr>
        <w:trPr>
          <w:trHeight w:val="216"/>
        </w:trPr>
        <w:tc>
          <w:tcPr>
            <w:tcW w:w="2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Nitrogen fertilizer products</w:t>
            </w:r>
          </w:p>
        </w:tc>
        <w:tc>
          <w:tcPr>
            <w:tcW w:w="5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9"/>
        </w:trPr>
        <w:tc>
          <w:tcPr>
            <w:tcW w:w="25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8,216</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0" w:type="dxa"/>
            <w:vAlign w:val="bottom"/>
          </w:tcPr>
          <w:p>
            <w:pPr>
              <w:spacing w:after="0"/>
              <w:rPr>
                <w:sz w:val="1"/>
                <w:szCs w:val="1"/>
                <w:color w:val="auto"/>
              </w:rPr>
            </w:pPr>
          </w:p>
        </w:tc>
      </w:tr>
      <w:tr>
        <w:trPr>
          <w:trHeight w:val="20"/>
        </w:trPr>
        <w:tc>
          <w:tcPr>
            <w:tcW w:w="25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Automotive</w:t>
            </w:r>
          </w:p>
        </w:tc>
        <w:tc>
          <w:tcPr>
            <w:tcW w:w="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5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1"/>
              </w:rPr>
              <w:t>Three Months Ended September 30,</w:t>
            </w:r>
          </w:p>
        </w:tc>
        <w:tc>
          <w:tcPr>
            <w:tcW w:w="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89"/>
              </w:rPr>
              <w:t>Nine Months Ended September 30,</w:t>
            </w: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2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5"/>
          </w:tcPr>
          <w:p>
            <w:pPr>
              <w:ind w:left="720"/>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Automotive services</w:t>
            </w:r>
          </w:p>
        </w:tc>
        <w:tc>
          <w:tcPr>
            <w:tcW w:w="8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54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9"/>
              </w:rPr>
              <w:t>355</w:t>
            </w:r>
          </w:p>
        </w:tc>
        <w:tc>
          <w:tcPr>
            <w:tcW w:w="5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5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6"/>
        </w:trPr>
        <w:tc>
          <w:tcPr>
            <w:tcW w:w="2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Aftermarket parts sales</w:t>
            </w:r>
          </w:p>
        </w:tc>
        <w:tc>
          <w:tcPr>
            <w:tcW w:w="5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9"/>
              </w:rPr>
              <w:t>236</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09"/>
        </w:trPr>
        <w:tc>
          <w:tcPr>
            <w:tcW w:w="25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9"/>
              </w:rPr>
              <w:t>591</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Balance Sheets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6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8"/>
          </w:tcPr>
          <w:p>
            <w:pPr>
              <w:ind w:left="380"/>
              <w:spacing w:after="0"/>
              <w:rPr>
                <w:sz w:val="20"/>
                <w:szCs w:val="20"/>
                <w:color w:val="auto"/>
              </w:rPr>
            </w:pPr>
            <w:r>
              <w:rPr>
                <w:rFonts w:ascii="Arial" w:cs="Arial" w:eastAsia="Arial" w:hAnsi="Arial"/>
                <w:sz w:val="13"/>
                <w:szCs w:val="13"/>
                <w:b w:val="1"/>
                <w:bCs w:val="1"/>
                <w:color w:val="auto"/>
              </w:rPr>
              <w:t>September 30, 2022</w:t>
            </w: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r>
      <w:tr>
        <w:trPr>
          <w:trHeight w:val="110"/>
        </w:trPr>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rPr>
              <w:t>Food</w:t>
            </w:r>
          </w:p>
        </w:tc>
        <w:tc>
          <w:tcPr>
            <w:tcW w:w="100" w:type="dxa"/>
            <w:vAlign w:val="bottom"/>
          </w:tcPr>
          <w:p>
            <w:pPr>
              <w:spacing w:after="0"/>
              <w:rPr>
                <w:sz w:val="9"/>
                <w:szCs w:val="9"/>
                <w:color w:val="auto"/>
              </w:rPr>
            </w:pPr>
          </w:p>
        </w:tc>
        <w:tc>
          <w:tcPr>
            <w:tcW w:w="580" w:type="dxa"/>
            <w:vAlign w:val="bottom"/>
            <w:gridSpan w:val="2"/>
          </w:tcPr>
          <w:p>
            <w:pPr>
              <w:ind w:left="60"/>
              <w:spacing w:after="0" w:line="110" w:lineRule="exact"/>
              <w:rPr>
                <w:sz w:val="20"/>
                <w:szCs w:val="20"/>
                <w:color w:val="auto"/>
              </w:rPr>
            </w:pPr>
            <w:r>
              <w:rPr>
                <w:rFonts w:ascii="Arial" w:cs="Arial" w:eastAsia="Arial" w:hAnsi="Arial"/>
                <w:sz w:val="12"/>
                <w:szCs w:val="12"/>
                <w:b w:val="1"/>
                <w:bCs w:val="1"/>
                <w:color w:val="auto"/>
              </w:rPr>
              <w:t>Real</w:t>
            </w:r>
          </w:p>
        </w:tc>
        <w:tc>
          <w:tcPr>
            <w:tcW w:w="80" w:type="dxa"/>
            <w:vAlign w:val="bottom"/>
          </w:tcPr>
          <w:p>
            <w:pPr>
              <w:spacing w:after="0"/>
              <w:rPr>
                <w:sz w:val="9"/>
                <w:szCs w:val="9"/>
                <w:color w:val="auto"/>
              </w:rPr>
            </w:pPr>
          </w:p>
        </w:tc>
        <w:tc>
          <w:tcPr>
            <w:tcW w:w="62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5"/>
              </w:rPr>
              <w:t>Home</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tcPr>
          <w:p>
            <w:pPr>
              <w:jc w:val="right"/>
              <w:ind w:right="200"/>
              <w:spacing w:after="0" w:line="110" w:lineRule="exact"/>
              <w:rPr>
                <w:sz w:val="20"/>
                <w:szCs w:val="20"/>
                <w:color w:val="auto"/>
              </w:rPr>
            </w:pPr>
            <w:r>
              <w:rPr>
                <w:rFonts w:ascii="Arial" w:cs="Arial" w:eastAsia="Arial" w:hAnsi="Arial"/>
                <w:sz w:val="12"/>
                <w:szCs w:val="12"/>
                <w:b w:val="1"/>
                <w:bCs w:val="1"/>
                <w:color w:val="auto"/>
              </w:rPr>
              <w:t>Holding</w:t>
            </w: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53"/>
        </w:trPr>
        <w:tc>
          <w:tcPr>
            <w:tcW w:w="262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Arial" w:cs="Arial" w:eastAsia="Arial" w:hAnsi="Arial"/>
                <w:sz w:val="13"/>
                <w:szCs w:val="13"/>
                <w:b w:val="1"/>
                <w:bCs w:val="1"/>
                <w:color w:val="auto"/>
              </w:rPr>
              <w:t>Investment</w:t>
            </w:r>
          </w:p>
        </w:tc>
        <w:tc>
          <w:tcPr>
            <w:tcW w:w="8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Energy</w:t>
            </w: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rPr>
              <w:t>Automotive</w:t>
            </w:r>
          </w:p>
        </w:tc>
        <w:tc>
          <w:tcPr>
            <w:tcW w:w="700" w:type="dxa"/>
            <w:vAlign w:val="bottom"/>
            <w:gridSpan w:val="3"/>
          </w:tcPr>
          <w:p>
            <w:pPr>
              <w:ind w:left="20"/>
              <w:spacing w:after="0"/>
              <w:rPr>
                <w:sz w:val="20"/>
                <w:szCs w:val="20"/>
                <w:color w:val="auto"/>
              </w:rPr>
            </w:pPr>
            <w:r>
              <w:rPr>
                <w:rFonts w:ascii="Arial" w:cs="Arial" w:eastAsia="Arial" w:hAnsi="Arial"/>
                <w:sz w:val="13"/>
                <w:szCs w:val="13"/>
                <w:b w:val="1"/>
                <w:bCs w:val="1"/>
                <w:color w:val="auto"/>
              </w:rPr>
              <w:t>Packaging</w:t>
            </w:r>
          </w:p>
        </w:tc>
        <w:tc>
          <w:tcPr>
            <w:tcW w:w="10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b w:val="1"/>
                <w:bCs w:val="1"/>
                <w:color w:val="auto"/>
              </w:rPr>
              <w:t>Estate</w:t>
            </w:r>
          </w:p>
        </w:tc>
        <w:tc>
          <w:tcPr>
            <w:tcW w:w="80" w:type="dxa"/>
            <w:vAlign w:val="bottom"/>
          </w:tcPr>
          <w:p>
            <w:pPr>
              <w:spacing w:after="0"/>
              <w:rPr>
                <w:sz w:val="13"/>
                <w:szCs w:val="13"/>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Fashion</w:t>
            </w:r>
          </w:p>
        </w:tc>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Pharma</w:t>
            </w:r>
          </w:p>
        </w:tc>
        <w:tc>
          <w:tcPr>
            <w:tcW w:w="70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1"/>
              </w:rPr>
              <w:t>Company</w:t>
            </w: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w w:val="84"/>
              </w:rPr>
              <w:t>Consolidated</w:t>
            </w:r>
          </w:p>
        </w:tc>
      </w:tr>
      <w:tr>
        <w:trPr>
          <w:trHeight w:val="115"/>
        </w:trPr>
        <w:tc>
          <w:tcPr>
            <w:tcW w:w="26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3"/>
                <w:szCs w:val="13"/>
                <w:color w:val="auto"/>
                <w:w w:val="85"/>
              </w:rPr>
              <w:t>(in millions)</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r>
      <w:tr>
        <w:trPr>
          <w:trHeight w:val="135"/>
        </w:trPr>
        <w:tc>
          <w:tcPr>
            <w:tcW w:w="2620" w:type="dxa"/>
            <w:vAlign w:val="bottom"/>
            <w:shd w:val="clear" w:color="auto" w:fill="CCEEFF"/>
          </w:tcPr>
          <w:p>
            <w:pPr>
              <w:ind w:left="1020"/>
              <w:spacing w:after="0" w:line="135" w:lineRule="exact"/>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rPr>
              <w:t>Cash and cash equivalents</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618</w:t>
            </w:r>
          </w:p>
        </w:tc>
        <w:tc>
          <w:tcPr>
            <w:tcW w:w="120" w:type="dxa"/>
            <w:vAlign w:val="bottom"/>
          </w:tcPr>
          <w:p>
            <w:pPr>
              <w:spacing w:after="0"/>
              <w:rPr>
                <w:sz w:val="11"/>
                <w:szCs w:val="11"/>
                <w:color w:val="auto"/>
              </w:rPr>
            </w:pPr>
          </w:p>
        </w:tc>
        <w:tc>
          <w:tcPr>
            <w:tcW w:w="1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61</w:t>
            </w:r>
          </w:p>
        </w:tc>
        <w:tc>
          <w:tcPr>
            <w:tcW w:w="10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12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26</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100" w:type="dxa"/>
            <w:vAlign w:val="bottom"/>
          </w:tcPr>
          <w:p>
            <w:pPr>
              <w:spacing w:after="0"/>
              <w:rPr>
                <w:sz w:val="11"/>
                <w:szCs w:val="11"/>
                <w:color w:val="auto"/>
              </w:rPr>
            </w:pPr>
          </w:p>
        </w:tc>
        <w:tc>
          <w:tcPr>
            <w:tcW w:w="140" w:type="dxa"/>
            <w:vAlign w:val="bottom"/>
          </w:tcPr>
          <w:p>
            <w:pPr>
              <w:jc w:val="right"/>
              <w:ind w:right="25"/>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1,671</w:t>
            </w:r>
          </w:p>
        </w:tc>
        <w:tc>
          <w:tcPr>
            <w:tcW w:w="120" w:type="dxa"/>
            <w:vAlign w:val="bottom"/>
          </w:tcPr>
          <w:p>
            <w:pPr>
              <w:spacing w:after="0"/>
              <w:rPr>
                <w:sz w:val="11"/>
                <w:szCs w:val="11"/>
                <w:color w:val="auto"/>
              </w:rPr>
            </w:pP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2,432</w:t>
            </w:r>
          </w:p>
        </w:tc>
      </w:tr>
      <w:tr>
        <w:trPr>
          <w:trHeight w:val="121"/>
        </w:trPr>
        <w:tc>
          <w:tcPr>
            <w:tcW w:w="26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3"/>
              </w:rPr>
              <w:t>Cash held at consolidated affiliated partnerships</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49"/>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and restricted cash</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4,778</w:t>
            </w: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rPr>
              <w:t>Investments</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4,786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77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4,877</w:t>
            </w: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Accounts receivable, net</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610</w:t>
            </w: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rPr>
              <w:t>Inventories, net</w:t>
            </w:r>
          </w:p>
        </w:tc>
        <w:tc>
          <w:tcPr>
            <w:tcW w:w="14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632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812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101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106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1,674</w:t>
            </w: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Property, plant and equipment, net</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2,696</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4,057</w:t>
            </w: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rPr>
              <w:t>Goodwill and intangible assets, net</w:t>
            </w:r>
          </w:p>
        </w:tc>
        <w:tc>
          <w:tcPr>
            <w:tcW w:w="14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205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354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233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833</w:t>
            </w: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Other assets</w:t>
            </w: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7,271</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284</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461</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94</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8,259</w:t>
            </w:r>
          </w:p>
        </w:tc>
      </w:tr>
      <w:tr>
        <w:trPr>
          <w:trHeight w:val="168"/>
        </w:trPr>
        <w:tc>
          <w:tcPr>
            <w:tcW w:w="2620" w:type="dxa"/>
            <w:vAlign w:val="bottom"/>
            <w:tcBorders>
              <w:bottom w:val="single" w:sz="8" w:color="CCEEFF"/>
            </w:tcBorders>
          </w:tcPr>
          <w:p>
            <w:pPr>
              <w:ind w:left="100"/>
              <w:spacing w:after="0" w:line="129" w:lineRule="exact"/>
              <w:rPr>
                <w:sz w:val="20"/>
                <w:szCs w:val="20"/>
                <w:color w:val="auto"/>
              </w:rPr>
            </w:pPr>
            <w:r>
              <w:rPr>
                <w:rFonts w:ascii="Arial" w:cs="Arial" w:eastAsia="Arial" w:hAnsi="Arial"/>
                <w:sz w:val="13"/>
                <w:szCs w:val="13"/>
                <w:color w:val="auto"/>
              </w:rPr>
              <w:t>Total assets</w:t>
            </w: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16,762</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4,839</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2,660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448</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515</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231</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1,764</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27,520</w:t>
            </w:r>
          </w:p>
        </w:tc>
      </w:tr>
      <w:tr>
        <w:trPr>
          <w:trHeight w:val="116"/>
        </w:trPr>
        <w:tc>
          <w:tcPr>
            <w:tcW w:w="2620" w:type="dxa"/>
            <w:vAlign w:val="bottom"/>
            <w:shd w:val="clear" w:color="auto" w:fill="CCEEFF"/>
          </w:tcPr>
          <w:p>
            <w:pPr>
              <w:ind w:left="460"/>
              <w:spacing w:after="0" w:line="116" w:lineRule="exact"/>
              <w:rPr>
                <w:sz w:val="20"/>
                <w:szCs w:val="20"/>
                <w:color w:val="auto"/>
              </w:rPr>
            </w:pPr>
            <w:r>
              <w:rPr>
                <w:rFonts w:ascii="Arial" w:cs="Arial" w:eastAsia="Arial" w:hAnsi="Arial"/>
                <w:sz w:val="13"/>
                <w:szCs w:val="13"/>
                <w:b w:val="1"/>
                <w:bCs w:val="1"/>
                <w:color w:val="auto"/>
              </w:rPr>
              <w:t>LIABILITIES AND EQUITY</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1"/>
        </w:trPr>
        <w:tc>
          <w:tcPr>
            <w:tcW w:w="2620" w:type="dxa"/>
            <w:vAlign w:val="bottom"/>
          </w:tcPr>
          <w:p>
            <w:pPr>
              <w:ind w:left="20"/>
              <w:spacing w:after="0" w:line="121" w:lineRule="exact"/>
              <w:rPr>
                <w:sz w:val="20"/>
                <w:szCs w:val="20"/>
                <w:color w:val="auto"/>
              </w:rPr>
            </w:pPr>
            <w:r>
              <w:rPr>
                <w:rFonts w:ascii="Arial" w:cs="Arial" w:eastAsia="Arial" w:hAnsi="Arial"/>
                <w:sz w:val="13"/>
                <w:szCs w:val="13"/>
                <w:color w:val="auto"/>
                <w:w w:val="94"/>
              </w:rPr>
              <w:t>Accounts payable, accrued expenses and other</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9"/>
        </w:trPr>
        <w:tc>
          <w:tcPr>
            <w:tcW w:w="2620" w:type="dxa"/>
            <w:vAlign w:val="bottom"/>
          </w:tcPr>
          <w:p>
            <w:pPr>
              <w:ind w:left="20"/>
              <w:spacing w:after="0"/>
              <w:rPr>
                <w:sz w:val="20"/>
                <w:szCs w:val="20"/>
                <w:color w:val="auto"/>
              </w:rPr>
            </w:pPr>
            <w:r>
              <w:rPr>
                <w:rFonts w:ascii="Arial" w:cs="Arial" w:eastAsia="Arial" w:hAnsi="Arial"/>
                <w:sz w:val="13"/>
                <w:szCs w:val="13"/>
                <w:color w:val="auto"/>
              </w:rPr>
              <w:t>liabilities</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1,785</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1,933</w:t>
            </w:r>
          </w:p>
        </w:tc>
        <w:tc>
          <w:tcPr>
            <w:tcW w:w="12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1,012</w:t>
            </w:r>
          </w:p>
        </w:tc>
        <w:tc>
          <w:tcPr>
            <w:tcW w:w="10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138</w:t>
            </w:r>
          </w:p>
        </w:tc>
        <w:tc>
          <w:tcPr>
            <w:tcW w:w="12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2"/>
                <w:szCs w:val="12"/>
                <w:color w:val="auto"/>
              </w:rPr>
            </w:pPr>
          </w:p>
        </w:tc>
        <w:tc>
          <w:tcPr>
            <w:tcW w:w="140" w:type="dxa"/>
            <w:vAlign w:val="bottom"/>
          </w:tcPr>
          <w:p>
            <w:pPr>
              <w:jc w:val="right"/>
              <w:ind w:right="25"/>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108</w:t>
            </w:r>
          </w:p>
        </w:tc>
        <w:tc>
          <w:tcPr>
            <w:tcW w:w="12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5,144</w:t>
            </w: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5"/>
              </w:rPr>
              <w:t>Securities sold, not yet purchased, at fair value</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5,382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5,382</w:t>
            </w: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rPr>
              <w:t>Debt</w:t>
            </w:r>
          </w:p>
        </w:tc>
        <w:tc>
          <w:tcPr>
            <w:tcW w:w="14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1,593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163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5,310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7,127</w:t>
            </w:r>
          </w:p>
        </w:tc>
      </w:tr>
      <w:tr>
        <w:trPr>
          <w:trHeight w:val="128"/>
        </w:trPr>
        <w:tc>
          <w:tcPr>
            <w:tcW w:w="262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Total liabilities</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7,167</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3,526</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1,027</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301</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53</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105</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5,418</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17,653</w:t>
            </w:r>
          </w:p>
        </w:tc>
      </w:tr>
      <w:tr>
        <w:trPr>
          <w:trHeight w:val="128"/>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Equity attributable to Icahn Enterprises</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4,387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674</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1,633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(3,654)</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4,003</w:t>
            </w: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3"/>
                <w:szCs w:val="13"/>
                <w:color w:val="auto"/>
                <w:w w:val="99"/>
              </w:rPr>
              <w:t>Equity attributable to non-controlling interests</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5,208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639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5,864</w:t>
            </w:r>
          </w:p>
        </w:tc>
      </w:tr>
      <w:tr>
        <w:trPr>
          <w:trHeight w:val="128"/>
        </w:trPr>
        <w:tc>
          <w:tcPr>
            <w:tcW w:w="262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Total equity</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9,595</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1,313</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1,633</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147</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462</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126</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245</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(3,654)</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9,867</w:t>
            </w:r>
          </w:p>
        </w:tc>
      </w:tr>
      <w:tr>
        <w:trPr>
          <w:trHeight w:val="128"/>
        </w:trPr>
        <w:tc>
          <w:tcPr>
            <w:tcW w:w="2620" w:type="dxa"/>
            <w:vAlign w:val="bottom"/>
          </w:tcPr>
          <w:p>
            <w:pPr>
              <w:ind w:left="100"/>
              <w:spacing w:after="0" w:line="129" w:lineRule="exact"/>
              <w:rPr>
                <w:sz w:val="20"/>
                <w:szCs w:val="20"/>
                <w:color w:val="auto"/>
              </w:rPr>
            </w:pPr>
            <w:r>
              <w:rPr>
                <w:rFonts w:ascii="Arial" w:cs="Arial" w:eastAsia="Arial" w:hAnsi="Arial"/>
                <w:sz w:val="13"/>
                <w:szCs w:val="13"/>
                <w:color w:val="auto"/>
              </w:rPr>
              <w:t>Total liabilities and equity</w:t>
            </w: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16,762</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4,839</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2,660</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448</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515</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231</w:t>
            </w:r>
          </w:p>
        </w:tc>
        <w:tc>
          <w:tcPr>
            <w:tcW w:w="1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301</w:t>
            </w:r>
          </w:p>
        </w:tc>
        <w:tc>
          <w:tcPr>
            <w:tcW w:w="100" w:type="dxa"/>
            <w:vAlign w:val="bottom"/>
          </w:tcPr>
          <w:p>
            <w:pPr>
              <w:spacing w:after="0"/>
              <w:rPr>
                <w:sz w:val="11"/>
                <w:szCs w:val="11"/>
                <w:color w:val="auto"/>
              </w:rPr>
            </w:pPr>
          </w:p>
        </w:tc>
        <w:tc>
          <w:tcPr>
            <w:tcW w:w="140" w:type="dxa"/>
            <w:vAlign w:val="bottom"/>
            <w:tcBorders>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1,764</w:t>
            </w:r>
          </w:p>
        </w:tc>
        <w:tc>
          <w:tcPr>
            <w:tcW w:w="120" w:type="dxa"/>
            <w:vAlign w:val="bottom"/>
          </w:tcPr>
          <w:p>
            <w:pPr>
              <w:spacing w:after="0"/>
              <w:rPr>
                <w:sz w:val="11"/>
                <w:szCs w:val="11"/>
                <w:color w:val="auto"/>
              </w:rPr>
            </w:pPr>
          </w:p>
        </w:tc>
        <w:tc>
          <w:tcPr>
            <w:tcW w:w="200" w:type="dxa"/>
            <w:vAlign w:val="bottom"/>
            <w:tcBorders>
              <w:bottom w:val="single" w:sz="8" w:color="auto"/>
            </w:tcBorders>
          </w:tcPr>
          <w:p>
            <w:pPr>
              <w:jc w:val="right"/>
              <w:ind w:right="8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27,520</w:t>
            </w:r>
          </w:p>
        </w:tc>
      </w:tr>
      <w:tr>
        <w:trPr>
          <w:trHeight w:val="20"/>
        </w:trPr>
        <w:tc>
          <w:tcPr>
            <w:tcW w:w="2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8"/>
          </w:tcPr>
          <w:p>
            <w:pPr>
              <w:jc w:val="right"/>
              <w:ind w:right="357"/>
              <w:spacing w:after="0"/>
              <w:rPr>
                <w:sz w:val="20"/>
                <w:szCs w:val="20"/>
                <w:color w:val="auto"/>
              </w:rPr>
            </w:pPr>
            <w:r>
              <w:rPr>
                <w:rFonts w:ascii="Arial" w:cs="Arial" w:eastAsia="Arial" w:hAnsi="Arial"/>
                <w:sz w:val="13"/>
                <w:szCs w:val="13"/>
                <w:b w:val="1"/>
                <w:bCs w:val="1"/>
                <w:color w:val="auto"/>
              </w:rPr>
              <w:t>December 31, 2021</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rPr>
              <w:t>Food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ind w:left="60"/>
              <w:spacing w:after="0" w:line="110" w:lineRule="exact"/>
              <w:rPr>
                <w:sz w:val="20"/>
                <w:szCs w:val="20"/>
                <w:color w:val="auto"/>
              </w:rPr>
            </w:pPr>
            <w:r>
              <w:rPr>
                <w:rFonts w:ascii="Arial" w:cs="Arial" w:eastAsia="Arial" w:hAnsi="Arial"/>
                <w:sz w:val="12"/>
                <w:szCs w:val="12"/>
                <w:b w:val="1"/>
                <w:bCs w:val="1"/>
                <w:color w:val="auto"/>
              </w:rPr>
              <w:t>Real</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rPr>
              <w:t>Home</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3"/>
          </w:tcPr>
          <w:p>
            <w:pPr>
              <w:jc w:val="center"/>
              <w:ind w:right="160"/>
              <w:spacing w:after="0" w:line="110" w:lineRule="exact"/>
              <w:rPr>
                <w:sz w:val="20"/>
                <w:szCs w:val="20"/>
                <w:color w:val="auto"/>
              </w:rPr>
            </w:pPr>
            <w:r>
              <w:rPr>
                <w:rFonts w:ascii="Arial" w:cs="Arial" w:eastAsia="Arial" w:hAnsi="Arial"/>
                <w:sz w:val="12"/>
                <w:szCs w:val="12"/>
                <w:b w:val="1"/>
                <w:bCs w:val="1"/>
                <w:color w:val="auto"/>
                <w:w w:val="98"/>
              </w:rPr>
              <w:t>Holding</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700" w:type="dxa"/>
            <w:vAlign w:val="bottom"/>
            <w:gridSpan w:val="3"/>
          </w:tcPr>
          <w:p>
            <w:pPr>
              <w:ind w:left="80"/>
              <w:spacing w:after="0"/>
              <w:rPr>
                <w:sz w:val="20"/>
                <w:szCs w:val="20"/>
                <w:color w:val="auto"/>
              </w:rPr>
            </w:pPr>
            <w:r>
              <w:rPr>
                <w:rFonts w:ascii="Arial" w:cs="Arial" w:eastAsia="Arial" w:hAnsi="Arial"/>
                <w:sz w:val="13"/>
                <w:szCs w:val="13"/>
                <w:b w:val="1"/>
                <w:bCs w:val="1"/>
                <w:color w:val="auto"/>
                <w:w w:val="87"/>
              </w:rPr>
              <w:t>Investment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b w:val="1"/>
                <w:bCs w:val="1"/>
                <w:color w:val="auto"/>
                <w:w w:val="86"/>
              </w:rPr>
              <w:t>Energy</w:t>
            </w:r>
          </w:p>
        </w:tc>
        <w:tc>
          <w:tcPr>
            <w:tcW w:w="12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w w:val="86"/>
              </w:rPr>
              <w:t>Automotive</w:t>
            </w:r>
          </w:p>
        </w:tc>
        <w:tc>
          <w:tcPr>
            <w:tcW w:w="680" w:type="dxa"/>
            <w:vAlign w:val="bottom"/>
            <w:gridSpan w:val="3"/>
          </w:tcPr>
          <w:p>
            <w:pPr>
              <w:jc w:val="right"/>
              <w:spacing w:after="0"/>
              <w:rPr>
                <w:sz w:val="20"/>
                <w:szCs w:val="20"/>
                <w:color w:val="auto"/>
              </w:rPr>
            </w:pPr>
            <w:r>
              <w:rPr>
                <w:rFonts w:ascii="Arial" w:cs="Arial" w:eastAsia="Arial" w:hAnsi="Arial"/>
                <w:sz w:val="13"/>
                <w:szCs w:val="13"/>
                <w:b w:val="1"/>
                <w:bCs w:val="1"/>
                <w:color w:val="auto"/>
              </w:rPr>
              <w:t>Packaging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Estate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b w:val="1"/>
                <w:bCs w:val="1"/>
                <w:color w:val="auto"/>
                <w:w w:val="84"/>
              </w:rPr>
              <w:t>Fashion</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b w:val="1"/>
                <w:bCs w:val="1"/>
                <w:color w:val="auto"/>
                <w:w w:val="87"/>
              </w:rPr>
              <w:t>Pharma</w:t>
            </w:r>
          </w:p>
        </w:tc>
        <w:tc>
          <w:tcPr>
            <w:tcW w:w="120" w:type="dxa"/>
            <w:vAlign w:val="bottom"/>
          </w:tcPr>
          <w:p>
            <w:pPr>
              <w:spacing w:after="0"/>
              <w:rPr>
                <w:sz w:val="13"/>
                <w:szCs w:val="13"/>
                <w:color w:val="auto"/>
              </w:rPr>
            </w:pPr>
          </w:p>
        </w:tc>
        <w:tc>
          <w:tcPr>
            <w:tcW w:w="6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7"/>
              </w:rPr>
              <w:t>Company</w:t>
            </w:r>
          </w:p>
        </w:tc>
        <w:tc>
          <w:tcPr>
            <w:tcW w:w="2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w w:val="82"/>
              </w:rPr>
              <w:t>Consolidated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3"/>
                <w:szCs w:val="13"/>
                <w:color w:val="auto"/>
                <w:w w:val="82"/>
              </w:rPr>
              <w:t>(in millions)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ind w:left="960"/>
              <w:spacing w:after="0" w:line="135" w:lineRule="exact"/>
              <w:rPr>
                <w:sz w:val="20"/>
                <w:szCs w:val="20"/>
                <w:color w:val="auto"/>
              </w:rPr>
            </w:pPr>
            <w:r>
              <w:rPr>
                <w:rFonts w:ascii="Arial" w:cs="Arial" w:eastAsia="Arial" w:hAnsi="Arial"/>
                <w:sz w:val="13"/>
                <w:szCs w:val="13"/>
                <w:b w:val="1"/>
                <w:bCs w:val="1"/>
                <w:color w:val="auto"/>
              </w:rPr>
              <w:t>ASSETS</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Cash and cash equivalents</w:t>
            </w:r>
          </w:p>
        </w:tc>
        <w:tc>
          <w:tcPr>
            <w:tcW w:w="22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510</w:t>
            </w:r>
          </w:p>
        </w:tc>
        <w:tc>
          <w:tcPr>
            <w:tcW w:w="300" w:type="dxa"/>
            <w:vAlign w:val="bottom"/>
            <w:gridSpan w:val="2"/>
          </w:tcPr>
          <w:p>
            <w:pPr>
              <w:jc w:val="right"/>
              <w:ind w:right="64"/>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28</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100" w:type="dxa"/>
            <w:vAlign w:val="bottom"/>
          </w:tcPr>
          <w:p>
            <w:pPr>
              <w:spacing w:after="0"/>
              <w:rPr>
                <w:sz w:val="11"/>
                <w:szCs w:val="11"/>
                <w:color w:val="auto"/>
              </w:rPr>
            </w:pPr>
          </w:p>
        </w:tc>
        <w:tc>
          <w:tcPr>
            <w:tcW w:w="8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240" w:type="dxa"/>
            <w:vAlign w:val="bottom"/>
            <w:gridSpan w:val="2"/>
          </w:tcPr>
          <w:p>
            <w:pPr>
              <w:jc w:val="right"/>
              <w:ind w:right="4"/>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1,707</w:t>
            </w:r>
          </w:p>
        </w:tc>
        <w:tc>
          <w:tcPr>
            <w:tcW w:w="100" w:type="dxa"/>
            <w:vAlign w:val="bottom"/>
          </w:tcPr>
          <w:p>
            <w:pPr>
              <w:spacing w:after="0"/>
              <w:rPr>
                <w:sz w:val="11"/>
                <w:szCs w:val="11"/>
                <w:color w:val="auto"/>
              </w:rPr>
            </w:pPr>
          </w:p>
        </w:tc>
        <w:tc>
          <w:tcPr>
            <w:tcW w:w="220" w:type="dxa"/>
            <w:vAlign w:val="bottom"/>
            <w:gridSpan w:val="2"/>
          </w:tcPr>
          <w:p>
            <w:pPr>
              <w:jc w:val="right"/>
              <w:ind w:right="12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2,321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8"/>
              </w:rPr>
              <w:t>Cash held at consolidated affiliated partnerships</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and restricted cash</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Investments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8,952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79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105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9,151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Accounts receivable, net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299</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Inventories, net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484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780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93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106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1,478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Property, plant and equipment, net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2,735</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Goodwill and intangible assets, net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221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362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254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885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assets</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6,156</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252</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506</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7,165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60" w:type="dxa"/>
            <w:vAlign w:val="bottom"/>
            <w:tcBorders>
              <w:bottom w:val="single" w:sz="8" w:color="CCEEFF"/>
            </w:tcBorders>
          </w:tcPr>
          <w:p>
            <w:pPr>
              <w:ind w:left="80"/>
              <w:spacing w:after="0" w:line="129" w:lineRule="exact"/>
              <w:rPr>
                <w:sz w:val="20"/>
                <w:szCs w:val="20"/>
                <w:color w:val="auto"/>
              </w:rPr>
            </w:pPr>
            <w:r>
              <w:rPr>
                <w:rFonts w:ascii="Arial" w:cs="Arial" w:eastAsia="Arial" w:hAnsi="Arial"/>
                <w:sz w:val="13"/>
                <w:szCs w:val="13"/>
                <w:color w:val="auto"/>
              </w:rPr>
              <w:t>Total assets</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17,135</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4,587</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2,582</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458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526</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243</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309</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1,906</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122"/>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27,746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shd w:val="clear" w:color="auto" w:fill="CCEEFF"/>
          </w:tcPr>
          <w:p>
            <w:pPr>
              <w:ind w:left="400"/>
              <w:spacing w:after="0" w:line="116" w:lineRule="exact"/>
              <w:rPr>
                <w:sz w:val="20"/>
                <w:szCs w:val="20"/>
                <w:color w:val="auto"/>
              </w:rPr>
            </w:pPr>
            <w:r>
              <w:rPr>
                <w:rFonts w:ascii="Arial" w:cs="Arial" w:eastAsia="Arial" w:hAnsi="Arial"/>
                <w:sz w:val="13"/>
                <w:szCs w:val="13"/>
                <w:b w:val="1"/>
                <w:bCs w:val="1"/>
                <w:color w:val="auto"/>
              </w:rPr>
              <w:t>LIABILITIES AND EQUITY</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60" w:type="dxa"/>
            <w:vAlign w:val="bottom"/>
          </w:tcPr>
          <w:p>
            <w:pPr>
              <w:spacing w:after="0" w:line="121" w:lineRule="exact"/>
              <w:rPr>
                <w:sz w:val="20"/>
                <w:szCs w:val="20"/>
                <w:color w:val="auto"/>
              </w:rPr>
            </w:pPr>
            <w:r>
              <w:rPr>
                <w:rFonts w:ascii="Arial" w:cs="Arial" w:eastAsia="Arial" w:hAnsi="Arial"/>
                <w:sz w:val="13"/>
                <w:szCs w:val="13"/>
                <w:color w:val="auto"/>
                <w:w w:val="89"/>
              </w:rPr>
              <w:t>Accounts payable, accrued expenses and other</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80" w:type="dxa"/>
            <w:vAlign w:val="bottom"/>
            <w:gridSpan w:val="2"/>
          </w:tcPr>
          <w:p>
            <w:pPr>
              <w:spacing w:after="0"/>
              <w:rPr>
                <w:sz w:val="20"/>
                <w:szCs w:val="20"/>
                <w:color w:val="auto"/>
              </w:rPr>
            </w:pPr>
            <w:r>
              <w:rPr>
                <w:rFonts w:ascii="Arial" w:cs="Arial" w:eastAsia="Arial" w:hAnsi="Arial"/>
                <w:sz w:val="13"/>
                <w:szCs w:val="13"/>
                <w:color w:val="auto"/>
              </w:rPr>
              <w:t>liabilities</w:t>
            </w:r>
          </w:p>
        </w:tc>
        <w:tc>
          <w:tcPr>
            <w:tcW w:w="22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2,405</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1,579</w:t>
            </w:r>
          </w:p>
        </w:tc>
        <w:tc>
          <w:tcPr>
            <w:tcW w:w="300" w:type="dxa"/>
            <w:vAlign w:val="bottom"/>
            <w:gridSpan w:val="2"/>
          </w:tcPr>
          <w:p>
            <w:pPr>
              <w:jc w:val="right"/>
              <w:ind w:right="64"/>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981</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146</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71</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50</w:t>
            </w:r>
          </w:p>
        </w:tc>
        <w:tc>
          <w:tcPr>
            <w:tcW w:w="240" w:type="dxa"/>
            <w:vAlign w:val="bottom"/>
            <w:gridSpan w:val="2"/>
          </w:tcPr>
          <w:p>
            <w:pPr>
              <w:jc w:val="right"/>
              <w:ind w:right="4"/>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2"/>
                <w:szCs w:val="12"/>
                <w:color w:val="auto"/>
              </w:rPr>
            </w:pPr>
          </w:p>
        </w:tc>
        <w:tc>
          <w:tcPr>
            <w:tcW w:w="220" w:type="dxa"/>
            <w:vAlign w:val="bottom"/>
            <w:gridSpan w:val="2"/>
          </w:tcPr>
          <w:p>
            <w:pPr>
              <w:jc w:val="right"/>
              <w:ind w:right="12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5,371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0"/>
              </w:rPr>
              <w:t>Securities sold, not yet purchased, at fair value</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5,340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Debt</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1,660</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155</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40</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5,810</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7,692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Total liabilities</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7,745</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3,239</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1,007</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301</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5,900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18,403</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Equity attributable to Icahn Enterprises</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4,271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686</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1,575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(3,994)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w w:val="93"/>
              </w:rPr>
              <w:t>Equity attributable to non-controlling interests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5,119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662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5,799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Borders>
              <w:top w:val="single" w:sz="8" w:color="CCEEFF"/>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Total equity</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9,390</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1,348</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1,575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476</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132</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259</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(3,994)</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9,343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ind w:left="80"/>
              <w:spacing w:after="0" w:line="129" w:lineRule="exact"/>
              <w:rPr>
                <w:sz w:val="20"/>
                <w:szCs w:val="20"/>
                <w:color w:val="auto"/>
              </w:rPr>
            </w:pPr>
            <w:r>
              <w:rPr>
                <w:rFonts w:ascii="Arial" w:cs="Arial" w:eastAsia="Arial" w:hAnsi="Arial"/>
                <w:sz w:val="13"/>
                <w:szCs w:val="13"/>
                <w:color w:val="auto"/>
              </w:rPr>
              <w:t>Total liabilities and equity</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17,135</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4,587</w:t>
            </w:r>
          </w:p>
        </w:tc>
        <w:tc>
          <w:tcPr>
            <w:tcW w:w="120" w:type="dxa"/>
            <w:vAlign w:val="bottom"/>
          </w:tcPr>
          <w:p>
            <w:pPr>
              <w:spacing w:after="0"/>
              <w:rPr>
                <w:sz w:val="11"/>
                <w:szCs w:val="11"/>
                <w:color w:val="auto"/>
              </w:rPr>
            </w:pPr>
          </w:p>
        </w:tc>
        <w:tc>
          <w:tcPr>
            <w:tcW w:w="18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2,582</w:t>
            </w: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458</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243</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309</w:t>
            </w:r>
          </w:p>
        </w:tc>
        <w:tc>
          <w:tcPr>
            <w:tcW w:w="120" w:type="dxa"/>
            <w:vAlign w:val="bottom"/>
          </w:tcPr>
          <w:p>
            <w:pPr>
              <w:spacing w:after="0"/>
              <w:rPr>
                <w:sz w:val="11"/>
                <w:szCs w:val="11"/>
                <w:color w:val="auto"/>
              </w:rPr>
            </w:pPr>
          </w:p>
        </w:tc>
        <w:tc>
          <w:tcPr>
            <w:tcW w:w="1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1,906</w:t>
            </w: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ind w:right="122"/>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left="60" w:right="100" w:firstLine="324"/>
        <w:spacing w:after="0" w:line="259" w:lineRule="auto"/>
        <w:rPr>
          <w:sz w:val="20"/>
          <w:szCs w:val="20"/>
          <w:color w:val="auto"/>
        </w:rPr>
      </w:pPr>
      <w:r>
        <w:rPr>
          <w:rFonts w:ascii="Arial" w:cs="Arial" w:eastAsia="Arial" w:hAnsi="Arial"/>
          <w:sz w:val="18"/>
          <w:szCs w:val="18"/>
          <w:color w:val="auto"/>
        </w:rPr>
        <w:t>For the three months ended September 30, 2022, we recorded an income tax benefit of $7 million on pre-tax loss of $222 million compared to an income tax benefit of $19 million on pre-tax loss of $230 million for the three months ended September 30, 2021. Our effective income tax rate was 3.2% and 8.3% for the three months ended September 30, 2022 and 2021, respectively.</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For the three months ended September 30, 2022, the effective tax rate was lower than the statutory federal rate of 21%, for corporations, primarily due to partnership loss for which there was no tax expense, as such income is allocated to the partners and from changes in the valuation allowance. For the three months ended September 30, 2021, the effective tax rate was lower than the statutory federal tax rate of 21%, primarily due to partnership loss for which there was no tax benefit, as such loss is allocated to the partners.</w:t>
      </w:r>
    </w:p>
    <w:p>
      <w:pPr>
        <w:spacing w:after="0" w:line="188" w:lineRule="exact"/>
        <w:rPr>
          <w:sz w:val="20"/>
          <w:szCs w:val="20"/>
          <w:color w:val="auto"/>
        </w:rPr>
      </w:pPr>
    </w:p>
    <w:p>
      <w:pPr>
        <w:jc w:val="both"/>
        <w:ind w:left="60" w:right="159" w:firstLine="324"/>
        <w:spacing w:after="0" w:line="259" w:lineRule="auto"/>
        <w:rPr>
          <w:sz w:val="20"/>
          <w:szCs w:val="20"/>
          <w:color w:val="auto"/>
        </w:rPr>
      </w:pPr>
      <w:r>
        <w:rPr>
          <w:rFonts w:ascii="Arial" w:cs="Arial" w:eastAsia="Arial" w:hAnsi="Arial"/>
          <w:sz w:val="18"/>
          <w:szCs w:val="18"/>
          <w:color w:val="auto"/>
        </w:rPr>
        <w:t>For the nine months ended September 30, 2022, we recorded an income tax expense of $93 million on pre-tax income of $476 million compared to an income tax expense of $57 million on pre-tax income of $383 million for the nine months ended September 30, 2021. Our effective income tax rate was 19.5% and 14.9% for the nine months ended September 30, 2022 and 2021, respectively.</w:t>
      </w:r>
    </w:p>
    <w:p>
      <w:pPr>
        <w:spacing w:after="0" w:line="187" w:lineRule="exact"/>
        <w:rPr>
          <w:sz w:val="20"/>
          <w:szCs w:val="20"/>
          <w:color w:val="auto"/>
        </w:rPr>
      </w:pPr>
    </w:p>
    <w:p>
      <w:pPr>
        <w:ind w:left="60" w:right="59" w:firstLine="324"/>
        <w:spacing w:after="0" w:line="275" w:lineRule="auto"/>
        <w:rPr>
          <w:sz w:val="20"/>
          <w:szCs w:val="20"/>
          <w:color w:val="auto"/>
        </w:rPr>
      </w:pPr>
      <w:r>
        <w:rPr>
          <w:rFonts w:ascii="Arial" w:cs="Arial" w:eastAsia="Arial" w:hAnsi="Arial"/>
          <w:sz w:val="17"/>
          <w:szCs w:val="17"/>
          <w:color w:val="auto"/>
        </w:rPr>
        <w:t>For the nine months ended September 30, 2022, the effective tax rate was lower than the statutory federal rate of 21%, for corporations, primarily due to partnership loss for which there was no tax expense, as such income is allocated to the partners and from changes in the valuation allowance. For the nine months ended September 30, 2021, the effective tax rate was lower than the statutory federal rate of 21%, for corporations, primarily due to partnership income for which there was no tax expense, as such income is allocated to the partners.</w:t>
      </w:r>
    </w:p>
    <w:p>
      <w:pPr>
        <w:spacing w:after="0" w:line="172" w:lineRule="exact"/>
        <w:rPr>
          <w:sz w:val="20"/>
          <w:szCs w:val="20"/>
          <w:color w:val="auto"/>
        </w:rPr>
      </w:pPr>
    </w:p>
    <w:p>
      <w:pPr>
        <w:ind w:left="360" w:hanging="310"/>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Accumulated Other Comprehensive Loss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Changes in accumulated other comprehensive loss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Translation</w:t>
            </w:r>
          </w:p>
        </w:tc>
        <w:tc>
          <w:tcPr>
            <w:tcW w:w="100" w:type="dxa"/>
            <w:vAlign w:val="bottom"/>
          </w:tcPr>
          <w:p>
            <w:pPr>
              <w:spacing w:after="0"/>
              <w:rPr>
                <w:sz w:val="18"/>
                <w:szCs w:val="18"/>
                <w:color w:val="auto"/>
              </w:rPr>
            </w:pPr>
          </w:p>
        </w:tc>
        <w:tc>
          <w:tcPr>
            <w:tcW w:w="144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0"/>
              </w:rPr>
              <w:t>Post-Retirement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0"/>
              </w:rPr>
              <w:t>Adjustments,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Benefits and</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of Tax</w:t>
            </w:r>
          </w:p>
        </w:tc>
        <w:tc>
          <w:tcPr>
            <w:tcW w:w="100" w:type="dxa"/>
            <w:vAlign w:val="bottom"/>
          </w:tcPr>
          <w:p>
            <w:pPr>
              <w:spacing w:after="0"/>
              <w:rPr>
                <w:sz w:val="20"/>
                <w:szCs w:val="20"/>
                <w:color w:val="auto"/>
              </w:rPr>
            </w:pPr>
          </w:p>
        </w:tc>
        <w:tc>
          <w:tcPr>
            <w:tcW w:w="144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Other, Net of Tax</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28"/>
        </w:trPr>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400"/>
              <w:spacing w:after="0" w:line="129" w:lineRule="exact"/>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380" w:type="dxa"/>
            <w:vAlign w:val="bottom"/>
            <w:gridSpan w:val="3"/>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60" w:type="dxa"/>
            <w:vAlign w:val="bottom"/>
            <w:gridSpan w:val="4"/>
          </w:tcPr>
          <w:p>
            <w:pPr>
              <w:ind w:left="20"/>
              <w:spacing w:after="0" w:line="201" w:lineRule="exact"/>
              <w:rPr>
                <w:sz w:val="20"/>
                <w:szCs w:val="20"/>
                <w:color w:val="auto"/>
              </w:rPr>
            </w:pPr>
            <w:r>
              <w:rPr>
                <w:rFonts w:ascii="Arial" w:cs="Arial" w:eastAsia="Arial" w:hAnsi="Arial"/>
                <w:sz w:val="18"/>
                <w:szCs w:val="18"/>
                <w:color w:val="auto"/>
                <w:w w:val="90"/>
              </w:rPr>
              <w:t>Other comprehensive (loss) income before reclassifications,</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8"/>
                <w:szCs w:val="18"/>
                <w:color w:val="auto"/>
              </w:rPr>
              <w:t>Balance, September 30, 2022</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15. Other (Loss) Income, Net</w:t>
            </w: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0" w:type="dxa"/>
            <w:vAlign w:val="bottom"/>
            <w:gridSpan w:val="3"/>
          </w:tcPr>
          <w:p>
            <w:pPr>
              <w:ind w:left="340"/>
              <w:spacing w:after="0"/>
              <w:rPr>
                <w:sz w:val="20"/>
                <w:szCs w:val="20"/>
                <w:color w:val="auto"/>
              </w:rPr>
            </w:pPr>
            <w:r>
              <w:rPr>
                <w:rFonts w:ascii="Arial" w:cs="Arial" w:eastAsia="Arial" w:hAnsi="Arial"/>
                <w:sz w:val="18"/>
                <w:szCs w:val="18"/>
                <w:color w:val="auto"/>
                <w:w w:val="92"/>
              </w:rPr>
              <w:t>Other (loss) income, net consists of the following:</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7"/>
          </w:tcPr>
          <w:p>
            <w:pPr>
              <w:ind w:left="20"/>
              <w:spacing w:after="0"/>
              <w:rPr>
                <w:sz w:val="20"/>
                <w:szCs w:val="20"/>
                <w:color w:val="auto"/>
              </w:rPr>
            </w:pPr>
            <w:r>
              <w:rPr>
                <w:rFonts w:ascii="Arial" w:cs="Arial" w:eastAsia="Arial" w:hAnsi="Arial"/>
                <w:sz w:val="18"/>
                <w:szCs w:val="18"/>
                <w:b w:val="1"/>
                <w:bCs w:val="1"/>
                <w:color w:val="auto"/>
                <w:w w:val="94"/>
              </w:rPr>
              <w:t>Three Months Ended September 30,</w:t>
            </w:r>
          </w:p>
        </w:tc>
        <w:tc>
          <w:tcPr>
            <w:tcW w:w="100" w:type="dxa"/>
            <w:vAlign w:val="bottom"/>
          </w:tcPr>
          <w:p>
            <w:pPr>
              <w:spacing w:after="0"/>
              <w:rPr>
                <w:sz w:val="24"/>
                <w:szCs w:val="24"/>
                <w:color w:val="auto"/>
              </w:rPr>
            </w:pPr>
          </w:p>
        </w:tc>
        <w:tc>
          <w:tcPr>
            <w:tcW w:w="2800" w:type="dxa"/>
            <w:vAlign w:val="bottom"/>
            <w:gridSpan w:val="9"/>
          </w:tcPr>
          <w:p>
            <w:pPr>
              <w:ind w:left="2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gridSpan w:val="5"/>
          </w:tcPr>
          <w:p>
            <w:pPr>
              <w:jc w:val="right"/>
              <w:ind w:right="951"/>
              <w:spacing w:after="0" w:line="129" w:lineRule="exact"/>
              <w:rPr>
                <w:sz w:val="20"/>
                <w:szCs w:val="20"/>
                <w:color w:val="auto"/>
              </w:rPr>
            </w:pPr>
            <w:r>
              <w:rPr>
                <w:rFonts w:ascii="Arial" w:cs="Arial" w:eastAsia="Arial" w:hAnsi="Arial"/>
                <w:sz w:val="14"/>
                <w:szCs w:val="14"/>
                <w:color w:val="auto"/>
              </w:rPr>
              <w:t>(in millions)</w:t>
            </w:r>
          </w:p>
        </w:tc>
        <w:tc>
          <w:tcPr>
            <w:tcW w:w="18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Dividend expense</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tcPr>
          <w:p>
            <w:pPr>
              <w:spacing w:after="0" w:line="201" w:lineRule="exact"/>
              <w:rPr>
                <w:sz w:val="20"/>
                <w:szCs w:val="20"/>
                <w:color w:val="auto"/>
              </w:rPr>
            </w:pPr>
            <w:r>
              <w:rPr>
                <w:rFonts w:ascii="Arial" w:cs="Arial" w:eastAsia="Arial" w:hAnsi="Arial"/>
                <w:sz w:val="18"/>
                <w:szCs w:val="18"/>
                <w:color w:val="auto"/>
                <w:w w:val="95"/>
              </w:rPr>
              <w:t>Equity earnings from non-consolidated</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affiliates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2"/>
              </w:rPr>
              <w:t>(Loss) gain on disposition of assets, net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Foreign currency transaction loss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Legal settlement loss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w w:val="99"/>
              </w:rPr>
              <w:t>(Loss) on extinguishment of debt, net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60" w:type="dxa"/>
            <w:vAlign w:val="bottom"/>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gridSpan w:val="2"/>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9"/>
              </w:rPr>
              <w:t>29</w:t>
            </w: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Due to the nature of our business, certain of our subsidiaries’ operations are subject to numerous existing and proposed laws and governmental regulations designed to protect the environment, particularly regarding plant wastes and emissions and solid waste disposal. Our consolidated environmental liabilities on an undiscounted basis were $24 million and $13 million as of September 30, 2022 and December 31, 2021, respectively, primarily within our Energy segment, which are included in accrued expenses and other liabilities in our condensed consolidated balance sheets. We do not believe that environmental matters will have a material adverse impact on our consolidated results of operations and financial condition.</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59" w:firstLine="324"/>
        <w:spacing w:after="0" w:line="261" w:lineRule="auto"/>
        <w:rPr>
          <w:sz w:val="20"/>
          <w:szCs w:val="20"/>
          <w:color w:val="auto"/>
        </w:rPr>
      </w:pPr>
      <w:r>
        <w:rPr>
          <w:rFonts w:ascii="Arial" w:cs="Arial" w:eastAsia="Arial" w:hAnsi="Arial"/>
          <w:sz w:val="17"/>
          <w:szCs w:val="17"/>
          <w:color w:val="auto"/>
        </w:rPr>
        <w:t>A wholly-owned subsidiary of CVR Refining is party to proceedings relating to claims by United States Department of Justice (the “DOJ”) on behalf of the U.S. Environmental Protection Agency (the “EPA”) and the Kansas Department of Health and Environment (“KDHE”) (a) alleging violations of the Clean Air Act and a 2012 Consent Decree (“CD”) between CVR Refining, the United States (on behalf of the EPA) and KDHE at its Coffeyville refinery primarily relating to flares and seeking stipulated penalties under the CD of $6.8 million (the “Stipulated Penalty”), which amount CVR Refining previously deposited into a commercial escrow account (the “Stipulated Claims”) and (b) alleging violations of the CAA, the Kansas State Implementation Plan, Kansas law, Part 63 of the National Emission Standards for Hazardous Air Pollutants from Petroleum Refineries Subparts CC and R (“NESHAP”) and Coffeyville Resources Refining and Marketing, LLC’s permits relating to flares, heaters, and related matters and seeking civil penalties, injunctive and related relief under an amended complaint filed by the United States (on behalf of the EPA) and KDHE on February 17, 2022 (collectively, the “Statutory Claims”). In August 2022, the United States Court of Appeals for the Tenth Circuit (the “10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Circuit”) granted CVR Refining’s motion to stay its appeal of the March 2022 decision of the United States District Court for the District of Kansas (“D. Kan.”) denying CVR Refining’s petition for judicial review of the Stipulated Claims. The Stipulated Penalty remains in escrow, which escrowed funds are legally restricted for use and are included in other assets in our condensed consolidated balance sheets. Motion practice in the lawsuit filed in the D. Kan by the United States (on behalf of the EPA) and KDHE, which complaint was amended on February 17, 2022 (the “Amended Complaint”), is ongoing. In October 2022, the D. Kan granted CVR Refining’s motion to dismiss counts 1 through 17 of the Amended Complaint alleging violations of certain provisions of the Kansas Air Quality Act but denied its motion to dismiss all other Statutory Claims. CVR Refining expects to file an answer to the Amended Complaint in November 2022. As negotiations and proceedings relating to the Stipulated Claims and the Statutory Claims are ongoing, CVR Energy cannot at this time determine the outcome of these matters, including whether such outcome, or any subsequent enforcement or litigation relating thereto would have a material impact on our Energy segment’s financial position, results of operations, or cash flows.</w:t>
      </w:r>
    </w:p>
    <w:p>
      <w:pPr>
        <w:spacing w:after="0" w:line="195" w:lineRule="exact"/>
        <w:rPr>
          <w:sz w:val="20"/>
          <w:szCs w:val="20"/>
          <w:color w:val="auto"/>
        </w:rPr>
      </w:pPr>
    </w:p>
    <w:p>
      <w:pPr>
        <w:ind w:left="60" w:right="359" w:firstLine="324"/>
        <w:spacing w:after="0" w:line="308" w:lineRule="auto"/>
        <w:rPr>
          <w:sz w:val="20"/>
          <w:szCs w:val="20"/>
          <w:color w:val="auto"/>
        </w:rPr>
      </w:pPr>
      <w:r>
        <w:rPr>
          <w:rFonts w:ascii="Arial" w:cs="Arial" w:eastAsia="Arial" w:hAnsi="Arial"/>
          <w:sz w:val="17"/>
          <w:szCs w:val="17"/>
          <w:color w:val="auto"/>
        </w:rPr>
        <w:t>As of September 30, 2022 and December 31, 2021, our Energy segment had environmental accruals of $23 million and $12 million, respectively, representing estimated costs for future remediation efforts at certain sites.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Renewable Fuel Standards</w:t>
      </w:r>
    </w:p>
    <w:p>
      <w:pPr>
        <w:spacing w:after="0" w:line="225"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CVR Refining is subject to the Renewable Fuel Standard (“RFS”) implemented primarily by the EPA which requires refiners to either blend renewable fuels into their transportation fuels or purchase renewable fuel credits, known as RINs, in lieu of blending. CVR Refining is not able to blend the majority of its transportation fuels and has to purchase RINs on the open market and may have to obtain waiver credits for cellulosic biofuels or other exemptions from the EPA, to the extent available, in order to comply with the RFS. Wholly owned subsidiaries of CVR Refining have filed a number of petitions in the United States Court of Appeals for the Fifth Circuit (the “Fifth Circuit”) and the United States Court of Appeals for the District of Colombia Circuit (the “DC Circuit”) challenging the EPA’s denial of small refinery exemptions (“SREs”) sought by Wynnewood for the 2017 through 2021 compliance periods, the EPA’s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April 2022 and June 2022 alternate compliance rulings and the EPA’s Final Rule filed in July 2022 establishing RVO, and also intervened in an action filed by certain biofuels producers relating to the RFS. As each of these proceedings is in its earliest stages, we cannot currently estimate the outcome, impact or timing of resolution of these matters. However, while CVR Refining intends to prosecute these actions vigorously, if these matters are ultimately concluded in a manner adverse to CVR Refining, they could have a material effect on our Energy business’ financial position, results of operations, or cash flows.</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three months ended September 30, 2022 and 2021, our Energy segment recognized an expense of $86 million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and a benefit of $16 million, respectively, for CVR Refining’s compliance with the RFS (based on our Energy segment’s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revised 2020 and finalized 2021 and 2022 annual renewal volume obligation (“RVO”) and excluding the impacts of any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exemptions or waivers to which our Energy segment may be entitled). For the nine months ended September 30, 2022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2021, such expenses were $328 million and $335 million, respectively. These recognized amounts are included in cost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goods sold in the condensed consolidated statements of operations and represent costs to comply with the RFS obligation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through purchasing of RINs not otherwise reduced by blending of ethanol or biodiesel. At each reporting period, to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extent RINs purchased or generated through blending are less than the RFS obligation (excluding the impact of exemptions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or waivers to which CVR Refining may be entitled), the remaining position is marked-to-market using RIN market prices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at period end. As of September 30, 2022 and December 31, 2021, CVR Refining’s RFS position was $715 million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$494 million, respectively, and is included in accrued expenses and other liabilities in the condensed consolidated balance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sheets.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i w:val="1"/>
          <w:iCs w:val="1"/>
          <w:color w:val="auto"/>
        </w:rPr>
        <w:t xml:space="preserve">Call Option Lawsuits </w:t>
      </w:r>
      <w:r>
        <w:rPr>
          <w:rFonts w:ascii="Arial" w:cs="Arial" w:eastAsia="Arial" w:hAnsi="Arial"/>
          <w:sz w:val="17"/>
          <w:szCs w:val="17"/>
          <w:color w:val="auto"/>
        </w:rPr>
        <w:t>– On August 19, 2022, CVR Energy and certain of its affiliates (the “Call Defendants”) who are</w:t>
      </w:r>
      <w:r>
        <w:rPr>
          <w:rFonts w:ascii="Arial" w:cs="Arial" w:eastAsia="Arial" w:hAnsi="Arial"/>
          <w:sz w:val="17"/>
          <w:szCs w:val="17"/>
          <w:i w:val="1"/>
          <w:iCs w:val="1"/>
          <w:color w:val="auto"/>
        </w:rPr>
        <w:t xml:space="preserve"> </w:t>
      </w:r>
      <w:r>
        <w:rPr>
          <w:rFonts w:ascii="Arial" w:cs="Arial" w:eastAsia="Arial" w:hAnsi="Arial"/>
          <w:sz w:val="17"/>
          <w:szCs w:val="17"/>
          <w:color w:val="auto"/>
        </w:rPr>
        <w:t>parties to the consolidated lawsuits (collectively, the “Call Option Lawsuits”) pending before the Delaware Court of Chancery (the “Chancery Court”) filed by purported former unitholders of CVR Refining on behalf of themselves and an alleged class of similarly situated unitholders relating to CVR Energy’s exercise of the call option (“Call Option”) under the CVR Refining Amended and Restated Agreement of Limited Partnership assigned to it by CVR Refining’s general partner, entered into a Stipulation, Compromise and Release (the “Settlement”) in connection with its expected settlement of the Call Option Lawsuits for $79 million. Final approval of the Settlement is pending before the Chancery Court. If finalized, the settlement of the Call Option Lawsuits is not currently expected to have any further impact on our Energy business’ financial position or results of operations beyond the $79 million recognized within Other loss, net for the nine months ending September 30, 2022 to reflect the estimated probable loss.</w:t>
      </w:r>
    </w:p>
    <w:p>
      <w:pPr>
        <w:spacing w:after="0" w:line="185"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In October 2022, the Call Defendants filed a First Amended Complaint in Chancery Court alleging Breach of Contract and Breach of the Implied Covenant of Good Faith and Fair Dealing against their primary and excess insurers (the “insurers”) relating to their denial of coverage of the Call Defendants’ defense expenses and indemnity, as well as other conduct of the Insurers relating to the Call Option Lawsuits. Also in October 2022, the Call Defendants filed motions to oppose the Insurers’ Motion for Partial Summary Judgement in the lawsuit filed by the Insurers on January 27, 2021, in the 434</w:t>
      </w:r>
      <w:r>
        <w:rPr>
          <w:rFonts w:ascii="Arial" w:cs="Arial" w:eastAsia="Arial" w:hAnsi="Arial"/>
          <w:sz w:val="17"/>
          <w:szCs w:val="17"/>
          <w:color w:val="auto"/>
          <w:vertAlign w:val="superscript"/>
        </w:rPr>
        <w:t>th</w:t>
      </w:r>
      <w:r>
        <w:rPr>
          <w:rFonts w:ascii="Arial" w:cs="Arial" w:eastAsia="Arial" w:hAnsi="Arial"/>
          <w:sz w:val="17"/>
          <w:szCs w:val="17"/>
          <w:color w:val="auto"/>
        </w:rPr>
        <w:t xml:space="preserve"> Judicial District Court of Fort Bend County, Texas seeking a declaratory judgment determining that they owe no indemnity coverage for the Call Option Lawsuits in relation to insurance policies that have coverage limits of $50 million. As both lawsuits are in their early stages, CVR Energy cannot determine at this time the outcome of these lawsuits, including whether the outcome would have a material impact on our Energy business’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Pension Obligations</w:t>
      </w:r>
    </w:p>
    <w:p>
      <w:pPr>
        <w:spacing w:after="0" w:line="225" w:lineRule="exact"/>
        <w:rPr>
          <w:sz w:val="20"/>
          <w:szCs w:val="20"/>
          <w:color w:val="auto"/>
        </w:rPr>
      </w:pPr>
    </w:p>
    <w:p>
      <w:pPr>
        <w:ind w:left="60" w:right="59" w:firstLine="324"/>
        <w:spacing w:after="0" w:line="254" w:lineRule="auto"/>
        <w:rPr>
          <w:sz w:val="20"/>
          <w:szCs w:val="20"/>
          <w:color w:val="auto"/>
        </w:rPr>
      </w:pPr>
      <w:r>
        <w:rPr>
          <w:rFonts w:ascii="Arial" w:cs="Arial" w:eastAsia="Arial" w:hAnsi="Arial"/>
          <w:sz w:val="18"/>
          <w:szCs w:val="18"/>
          <w:color w:val="auto"/>
        </w:rPr>
        <w:t>Mr. Icahn, through certain affiliates, owns 100% of Icahn Enterprises GP and approximately 86% of Icahn Enterprises’ outstanding depositary units as of September 30, 2022.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192" w:lineRule="exact"/>
        <w:rPr>
          <w:sz w:val="20"/>
          <w:szCs w:val="20"/>
          <w:color w:val="auto"/>
        </w:rPr>
      </w:pPr>
    </w:p>
    <w:p>
      <w:pPr>
        <w:ind w:left="60" w:right="119" w:firstLine="324"/>
        <w:spacing w:after="0" w:line="268" w:lineRule="auto"/>
        <w:rPr>
          <w:sz w:val="20"/>
          <w:szCs w:val="20"/>
          <w:color w:val="auto"/>
        </w:rPr>
      </w:pPr>
      <w:r>
        <w:rPr>
          <w:rFonts w:ascii="Arial" w:cs="Arial" w:eastAsia="Arial" w:hAnsi="Arial"/>
          <w:sz w:val="17"/>
          <w:szCs w:val="17"/>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Viskase and ACF Industries LLC (“ACF”), an affiliate of Mr. Icahn. All the minimum funding requirements of the Internal Revenue Code, as amended, and the Employee Retirement Income Security Act of 1974, as amended, for the Viskase and ACF plans have been met as of September 30, 2022. If the plans were voluntarily terminated, they would be underfunded by an aggregate of approximately $44 million as of September 30, 2022.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Viskase or ACF to make ongoing pension contributions or to pay the unfunded liabilities upon a termination of the Viskase or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184"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The current underfunded status of the pension plans of Viskase and ACF requires them to notify the PBGC of certain “reportable events,” such as if we cease to be a member of the Viskase or ACF controlled group, or if we make certain extraordinary dividends or stock redemptions. The obligation to report could cause us to seek to delay or reconsider the occurrence of such reportable events.</w:t>
      </w:r>
    </w:p>
    <w:p>
      <w:pPr>
        <w:spacing w:after="0" w:line="187"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60" w:right="139" w:firstLine="324"/>
        <w:spacing w:after="0" w:line="273" w:lineRule="auto"/>
        <w:rPr>
          <w:sz w:val="20"/>
          <w:szCs w:val="20"/>
          <w:color w:val="auto"/>
        </w:rPr>
      </w:pPr>
      <w:r>
        <w:rPr>
          <w:rFonts w:ascii="Arial" w:cs="Arial" w:eastAsia="Arial" w:hAnsi="Arial"/>
          <w:sz w:val="17"/>
          <w:szCs w:val="17"/>
          <w:color w:val="auto"/>
        </w:rPr>
        <w:t>The U.S. Attorney’s office for the Southern District of New York contacted Icahn Enterprises L.P. in June 2018 seeking production of information pertaining to trading in Manitowoc Company, Inc. securities. We cooperated with the request and provided documents in response to the subpoena. The U.S. Attorney’s office has not made any claims or allegations against us or Mr. Icahn with respect to the foregoing inquiry. We believe that we maintain a strong compliance program and, while no assurances can be made, we do not believe this inquiry will have a material impact on our business, financial condition, results of operations or cash flows.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17. Supplemental Cash Flow Information</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5740" w:type="dxa"/>
            <w:vAlign w:val="bottom"/>
          </w:tcPr>
          <w:p>
            <w:pPr>
              <w:ind w:left="320"/>
              <w:spacing w:after="0"/>
              <w:rPr>
                <w:sz w:val="20"/>
                <w:szCs w:val="20"/>
                <w:color w:val="auto"/>
              </w:rPr>
            </w:pPr>
            <w:r>
              <w:rPr>
                <w:rFonts w:ascii="Arial" w:cs="Arial" w:eastAsia="Arial" w:hAnsi="Arial"/>
                <w:sz w:val="18"/>
                <w:szCs w:val="18"/>
                <w:color w:val="auto"/>
              </w:rPr>
              <w:t>Supplemental cash flow information consists of the following:</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6"/>
        </w:trPr>
        <w:tc>
          <w:tcPr>
            <w:tcW w:w="5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09"/>
        </w:trPr>
        <w:tc>
          <w:tcPr>
            <w:tcW w:w="5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128"/>
        </w:trPr>
        <w:tc>
          <w:tcPr>
            <w:tcW w:w="5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3"/>
          </w:tcPr>
          <w:p>
            <w:pPr>
              <w:jc w:val="center"/>
              <w:ind w:left="13"/>
              <w:spacing w:after="0" w:line="129" w:lineRule="exact"/>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1"/>
                <w:szCs w:val="1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payments for interest, net of amounts capitalized</w:t>
            </w:r>
          </w:p>
        </w:tc>
        <w:tc>
          <w:tcPr>
            <w:tcW w:w="12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(303)</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Cash payments receipts for income taxes, net of payments</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(139)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Non-cash dividends to non-controlling interests in subsidiary</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Partnership contributions receivable</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7"/>
              </w:rPr>
              <w:t>Non-cash Investment segment contributions from non-controlling interests</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LP Unit Distribution</w:t>
      </w:r>
    </w:p>
    <w:p>
      <w:pPr>
        <w:spacing w:after="0" w:line="225"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On November 2, 2022, the Board of Directors of the general partner of Icahn Enterprises declared a quarterly distribution in the amount of $2.00 per depositary unit, which will be paid on or about December 21, 2022 to depositary unitholders of record at the close of business on November 18, 2022. Depositary unitholders will have until December 9, 2022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December 16, 2022. Icahn Enterprises will make a cash payment in lieu of issuing fractional depositary units to any unitholders electing to receive (or who are deemed to have elected to receive) depositary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199" w:firstLine="324"/>
        <w:spacing w:after="0" w:line="296" w:lineRule="auto"/>
        <w:rPr>
          <w:sz w:val="20"/>
          <w:szCs w:val="20"/>
          <w:color w:val="auto"/>
        </w:rPr>
      </w:pPr>
      <w:r>
        <w:rPr>
          <w:rFonts w:ascii="Arial" w:cs="Arial" w:eastAsia="Arial" w:hAnsi="Arial"/>
          <w:sz w:val="16"/>
          <w:szCs w:val="16"/>
          <w:i w:val="1"/>
          <w:iCs w:val="1"/>
          <w:color w:val="auto"/>
        </w:rPr>
        <w:t>The following discussion is intended to assist you in understanding our present business and the results of operations together with our present financial condition. This section should be read in conjunction with our unaudited condensed consolidated financial statements and the accompanying notes contained in this Quarterly Report on Form 10-Q for the period ended September 30, 2022 (this “Report”), as well as our Annual Report on Form 10-K for the year ended December 31, 2021 filed with the Securities and Exchange Commission on February 25, 2022.</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ind w:left="60" w:right="179" w:firstLine="324"/>
        <w:spacing w:after="0" w:line="291" w:lineRule="auto"/>
        <w:rPr>
          <w:sz w:val="20"/>
          <w:szCs w:val="20"/>
          <w:color w:val="auto"/>
        </w:rPr>
      </w:pPr>
      <w:r>
        <w:rPr>
          <w:rFonts w:ascii="Arial" w:cs="Arial" w:eastAsia="Arial" w:hAnsi="Arial"/>
          <w:sz w:val="16"/>
          <w:szCs w:val="16"/>
          <w:color w:val="auto"/>
        </w:rPr>
        <w:t>Icahn Enterprises L.P. (“Icahn Enterprises”) is a master limited partnership formed in Delaware on February 17, 1987 and headquartered in Sunny Isles Beach, Florida. We are a diversified holding company owning subsidiaries currently engaged in the following continuing operating businesses: Investment, Energy, Automotive, Food Packaging, Real Estate, Home Fashion and Pharma. In addition, we operated our Metals segment until it was sold in December 2021. We also report the results of our Holding Company, which includes the results of certain subsidiaries of Icahn Enterprises (unless otherwise noted), and investment activity and expenses associated with our Holding Company. References to “we,” “our” or “us” herein include Icahn Enterprises and its subsidiaries, unless the context otherwise requires.</w:t>
      </w:r>
    </w:p>
    <w:p>
      <w:pPr>
        <w:spacing w:after="0" w:line="166"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Icahn Enterprises owns a 99% limited partner interest in Icahn Enterprises Holdings L.P. (“Icahn Enterprises Holdings”). Icahn Enterprises Holdings and its subsidiaries own substantially all of our assets and liabilities and conduct substantially all of our operations. Icahn Enterprises G.P. Inc. (“Icahn Enterprises GP”), which is indirectly owned and controlled by Mr. Carl C. Icahn, owns a 1% general partner interest in each of Icahn Enterprises and Icahn Enterprises Holdings as of September 30, 2022, representing an aggregate 1.99% general partner interest in Icahn Enterprises Holdings and us. Mr. Icahn and his affiliates owned approximately 86% of Icahn Enterprises’ outstanding depositary units as of September 30, 2022.</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Transactions and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Tender Offer</w:t>
      </w:r>
    </w:p>
    <w:p>
      <w:pPr>
        <w:spacing w:after="0" w:line="225"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On October 27, 2021, IEP Utility Holdings LLC (“IEP Utility”), a wholly owned subsidiary of Icahn Enterprises Holdings, commenced a cash offer (the “SWX Tender Offer”) to acquire, subject to certain terms and conditions, all of the issued and outstanding shares of common stock of Southwest Gas Holdings, Inc. (“Southwest Gas”) not held by affiliates of Icahn Enterprises Holdings at a price of $75.00 per share. On March 14, 2022, IEP Utility amended its SWX Tender Offer purchase price to $82.50 per share. On May 23, 2022, IEP Utility announced the completion of the SWX Tender Offer resulting in the acquisition by IEP Utility of 2,191,027 shares of Southwest Gas tendered representing approximately 3.3% of the outstanding shares of Southwest Gas, as of April 29, 2022.</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Debt Repayments</w:t>
      </w:r>
    </w:p>
    <w:p>
      <w:pPr>
        <w:spacing w:after="0" w:line="225"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In February 2022, we redeemed all of our $500 million aggregate principal amount of 6.750% senior unsecured notes due 2024 at par.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225"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Our operating businesses comprise consolidated subsidiaries which operate in various industries and are managed on a decentralized basis. In addition to our Investment segment’s revenues from investment transactions, revenues for our operating businesses primarily consist of net sales of various products, services revenue, franchisor operations and leasing of real estate. Due to the structure and nature of our business, we primarily discuss the results of operations by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39"/>
        <w:spacing w:after="0" w:line="259" w:lineRule="auto"/>
        <w:rPr>
          <w:sz w:val="20"/>
          <w:szCs w:val="20"/>
          <w:color w:val="auto"/>
        </w:rPr>
      </w:pPr>
      <w:r>
        <w:rPr>
          <w:rFonts w:ascii="Arial" w:cs="Arial" w:eastAsia="Arial" w:hAnsi="Arial"/>
          <w:sz w:val="18"/>
          <w:szCs w:val="18"/>
          <w:color w:val="auto"/>
        </w:rPr>
        <w:t>individual reporting segment in order to better understand our consolidated operating performance. In addition to the summarized financial results below, refer to Note 12, “Segment Reporting,” to the condensed consolidated financial statements for a reconciliation of each of our reporting segment’s results of continuing operations to our consolidated results.</w:t>
      </w:r>
    </w:p>
    <w:p>
      <w:pPr>
        <w:spacing w:after="0" w:line="187" w:lineRule="exact"/>
        <w:rPr>
          <w:sz w:val="20"/>
          <w:szCs w:val="20"/>
          <w:color w:val="auto"/>
        </w:rPr>
      </w:pPr>
    </w:p>
    <w:p>
      <w:pPr>
        <w:ind w:left="60" w:right="119" w:firstLine="324"/>
        <w:spacing w:after="0" w:line="289" w:lineRule="auto"/>
        <w:rPr>
          <w:sz w:val="20"/>
          <w:szCs w:val="20"/>
          <w:color w:val="auto"/>
        </w:rPr>
      </w:pPr>
      <w:r>
        <w:rPr>
          <w:rFonts w:ascii="Arial" w:cs="Arial" w:eastAsia="Arial" w:hAnsi="Arial"/>
          <w:sz w:val="16"/>
          <w:szCs w:val="16"/>
          <w:color w:val="auto"/>
        </w:rPr>
        <w:t>Throughout 2020, 2021 and continuing in 2022, the COVID-19 pandemic, and actions taken by governments and others in response thereto, has negatively impacted the global economy, financial markets, and certain of the industries in which our subsidiaries operate. Our consolidated results of operations and financial condition have been impacted primarily by the volatility in the fair value of investments held by our Investment segment and the Holding Company as well as volatility in the global demand for refined products, especially gasoline and diesel fuels, with respect to our Energy segment. The impact on our businesses has also included the acceleration of selective planned store closures in our Automotive segment and recording write-downs to inventories. The economic conditions that persisted for much of 2020 have improved in 2021 and 2022 as more governments reduce restrictions and more businesses resume operations, although supply chain issues have continued to persist. Recent interest rate increases have increased the cost of borrowing.</w:t>
      </w:r>
    </w:p>
    <w:p>
      <w:pPr>
        <w:spacing w:after="0" w:line="166"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In February 2022, Russia invaded Ukraine, disrupting the global oil, fertilizer, and agriculture markets, and leading to heightened uncertainty in the worldwide economy recovering from the COVID-19 pandemic. In response, many Western countries have formally or informally adopted sanctions on a number of Russian exports, including Russian oil and natural gas, and individuals affiliated with Russian government leadership. These sanctions, thus far, have resulted in oil prices and supply becoming volatile, continued elevation of natural gas prices, and are likely to continue to impact commodity prices in the near-term, which could have a material effect on our financial condition, cash flows, or results of operations. A global recession stemming from market volatility could result in a reduction in demand, thereby lowering commodity prices. The ultimate outcome of the Russia-Ukraine conflict and any associated market disruptions are difficult to predict and may materially affect our business, operations, and cash flows in unforeseen ways.</w:t>
      </w:r>
    </w:p>
    <w:p>
      <w:pPr>
        <w:spacing w:after="0" w:line="166"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The comparability of our summarized consolidated financial results presented below is affected primarily by the performance of the Investment Funds (as defined below), and the results of operations of our Energy segment, impacted by the demand and pricing for its products. Refer to our respective segment discussions and “Other Consolidated Results of Operations,” below for further discussion.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vMerge w:val="restart"/>
          </w:tcPr>
          <w:p>
            <w:pPr>
              <w:jc w:val="right"/>
              <w:ind w:right="29"/>
              <w:spacing w:after="0"/>
              <w:rPr>
                <w:sz w:val="20"/>
                <w:szCs w:val="20"/>
                <w:color w:val="auto"/>
              </w:rPr>
            </w:pPr>
            <w:r>
              <w:rPr>
                <w:rFonts w:ascii="Arial" w:cs="Arial" w:eastAsia="Arial" w:hAnsi="Arial"/>
                <w:sz w:val="14"/>
                <w:szCs w:val="14"/>
                <w:b w:val="1"/>
                <w:bCs w:val="1"/>
                <w:color w:val="auto"/>
              </w:rPr>
              <w:t>Revenues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5"/>
            <w:vMerge w:val="restart"/>
          </w:tcPr>
          <w:p>
            <w:pPr>
              <w:jc w:val="right"/>
              <w:ind w:right="720"/>
              <w:spacing w:after="0"/>
              <w:rPr>
                <w:sz w:val="20"/>
                <w:szCs w:val="20"/>
                <w:color w:val="auto"/>
              </w:rPr>
            </w:pPr>
            <w:r>
              <w:rPr>
                <w:rFonts w:ascii="Arial" w:cs="Arial" w:eastAsia="Arial" w:hAnsi="Arial"/>
                <w:sz w:val="14"/>
                <w:szCs w:val="14"/>
                <w:b w:val="1"/>
                <w:bCs w:val="1"/>
                <w:color w:val="auto"/>
              </w:rPr>
              <w:t>Net Income (Loss)</w:t>
            </w:r>
          </w:p>
        </w:tc>
        <w:tc>
          <w:tcPr>
            <w:tcW w:w="100" w:type="dxa"/>
            <w:vAlign w:val="bottom"/>
          </w:tcPr>
          <w:p>
            <w:pPr>
              <w:spacing w:after="0"/>
              <w:rPr>
                <w:sz w:val="14"/>
                <w:szCs w:val="14"/>
                <w:color w:val="auto"/>
              </w:rPr>
            </w:pPr>
          </w:p>
        </w:tc>
        <w:tc>
          <w:tcPr>
            <w:tcW w:w="22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Net Income (Loss)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Attributable to Icahn Enterprises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Borders>
              <w:top w:val="single" w:sz="8" w:color="auto"/>
              <w:bottom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2"/>
                <w:szCs w:val="12"/>
                <w:color w:val="auto"/>
              </w:rPr>
            </w:pPr>
          </w:p>
        </w:tc>
        <w:tc>
          <w:tcPr>
            <w:tcW w:w="2300" w:type="dxa"/>
            <w:vAlign w:val="bottom"/>
            <w:tcBorders>
              <w:top w:val="single" w:sz="8" w:color="auto"/>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Pr>
          <w:p>
            <w:pPr>
              <w:spacing w:after="0"/>
              <w:rPr>
                <w:sz w:val="12"/>
                <w:szCs w:val="12"/>
                <w:color w:val="auto"/>
              </w:rPr>
            </w:pPr>
          </w:p>
        </w:tc>
        <w:tc>
          <w:tcPr>
            <w:tcW w:w="2340" w:type="dxa"/>
            <w:vAlign w:val="bottom"/>
            <w:tcBorders>
              <w:top w:val="single" w:sz="8" w:color="auto"/>
              <w:bottom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3"/>
              </w:rPr>
              <w:t>Three Months Ended September 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Investment</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(137)</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(131)</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(181)</w:t>
            </w:r>
          </w:p>
        </w:tc>
        <w:tc>
          <w:tcPr>
            <w:tcW w:w="3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4"/>
                <w:szCs w:val="14"/>
                <w:color w:val="auto"/>
              </w:rPr>
              <w:t>Holding Company</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22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w:t>
            </w:r>
          </w:p>
        </w:tc>
        <w:tc>
          <w:tcPr>
            <w:tcW w:w="3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w:t>
            </w:r>
          </w:p>
        </w:tc>
        <w:tc>
          <w:tcPr>
            <w:tcW w:w="10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w:t>
            </w: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gridSpan w:val="3"/>
          </w:tcPr>
          <w:p>
            <w:pPr>
              <w:spacing w:after="0" w:line="135" w:lineRule="exact"/>
              <w:rPr>
                <w:sz w:val="20"/>
                <w:szCs w:val="20"/>
                <w:color w:val="auto"/>
              </w:rPr>
            </w:pPr>
            <w:r>
              <w:rPr>
                <w:rFonts w:ascii="Arial" w:cs="Arial" w:eastAsia="Arial" w:hAnsi="Arial"/>
                <w:sz w:val="14"/>
                <w:szCs w:val="14"/>
                <w:color w:val="auto"/>
              </w:rPr>
              <w:t>Other Operating</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color w:val="auto"/>
              </w:rPr>
              <w:t>Segments:</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Energy</w:t>
            </w:r>
          </w:p>
        </w:tc>
        <w:tc>
          <w:tcPr>
            <w:tcW w:w="1100" w:type="dxa"/>
            <w:vAlign w:val="bottom"/>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2,704</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1,883</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68</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4"/>
                <w:szCs w:val="14"/>
                <w:color w:val="auto"/>
              </w:rPr>
              <w:t>Automotive</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627</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577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w:t>
            </w:r>
          </w:p>
        </w:tc>
        <w:tc>
          <w:tcPr>
            <w:tcW w:w="3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w:t>
            </w:r>
          </w:p>
        </w:tc>
        <w:tc>
          <w:tcPr>
            <w:tcW w:w="10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w:t>
            </w: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Food Packaging</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4"/>
                <w:szCs w:val="14"/>
                <w:color w:val="auto"/>
              </w:rPr>
              <w:t>Real Estate</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Home Fashion</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w:t>
            </w: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4"/>
                <w:szCs w:val="14"/>
                <w:color w:val="auto"/>
              </w:rPr>
              <w:t>Pharma</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w:t>
            </w:r>
          </w:p>
        </w:tc>
        <w:tc>
          <w:tcPr>
            <w:tcW w:w="3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w:t>
            </w: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Metals</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color w:val="auto"/>
              </w:rPr>
              <w:t>Other operating segments</w:t>
            </w: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3,533</w:t>
            </w:r>
          </w:p>
        </w:tc>
        <w:tc>
          <w:tcPr>
            <w:tcW w:w="2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2,807</w:t>
            </w:r>
          </w:p>
        </w:tc>
        <w:tc>
          <w:tcPr>
            <w:tcW w:w="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w:t>
            </w:r>
          </w:p>
        </w:tc>
        <w:tc>
          <w:tcPr>
            <w:tcW w:w="2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w:t>
            </w:r>
          </w:p>
        </w:tc>
        <w:tc>
          <w:tcPr>
            <w:tcW w:w="2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Consolidated</w:t>
            </w:r>
          </w:p>
        </w:tc>
        <w:tc>
          <w:tcPr>
            <w:tcW w:w="22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3,404</w:t>
            </w: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2,649</w:t>
            </w: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(215)</w:t>
            </w:r>
          </w:p>
        </w:tc>
        <w:tc>
          <w:tcPr>
            <w:tcW w:w="2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(211)</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w:t>
            </w:r>
          </w:p>
        </w:tc>
        <w:tc>
          <w:tcPr>
            <w:tcW w:w="2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vMerge w:val="restart"/>
          </w:tcPr>
          <w:p>
            <w:pPr>
              <w:jc w:val="right"/>
              <w:ind w:right="28"/>
              <w:spacing w:after="0"/>
              <w:rPr>
                <w:sz w:val="20"/>
                <w:szCs w:val="20"/>
                <w:color w:val="auto"/>
              </w:rPr>
            </w:pPr>
            <w:r>
              <w:rPr>
                <w:rFonts w:ascii="Arial" w:cs="Arial" w:eastAsia="Arial" w:hAnsi="Arial"/>
                <w:sz w:val="14"/>
                <w:szCs w:val="14"/>
                <w:b w:val="1"/>
                <w:bCs w:val="1"/>
                <w:color w:val="auto"/>
              </w:rPr>
              <w:t>Revenues</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Net Income (Loss)</w:t>
            </w:r>
          </w:p>
        </w:tc>
        <w:tc>
          <w:tcPr>
            <w:tcW w:w="220" w:type="dxa"/>
            <w:vAlign w:val="bottom"/>
          </w:tcPr>
          <w:p>
            <w:pPr>
              <w:spacing w:after="0"/>
              <w:rPr>
                <w:sz w:val="14"/>
                <w:szCs w:val="14"/>
                <w:color w:val="auto"/>
              </w:rPr>
            </w:pPr>
          </w:p>
        </w:tc>
        <w:tc>
          <w:tcPr>
            <w:tcW w:w="2040" w:type="dxa"/>
            <w:vAlign w:val="bottom"/>
            <w:gridSpan w:val="5"/>
          </w:tcPr>
          <w:p>
            <w:pPr>
              <w:ind w:left="340"/>
              <w:spacing w:after="0"/>
              <w:rPr>
                <w:sz w:val="20"/>
                <w:szCs w:val="20"/>
                <w:color w:val="auto"/>
              </w:rPr>
            </w:pPr>
            <w:r>
              <w:rPr>
                <w:rFonts w:ascii="Arial" w:cs="Arial" w:eastAsia="Arial" w:hAnsi="Arial"/>
                <w:sz w:val="14"/>
                <w:szCs w:val="14"/>
                <w:b w:val="1"/>
                <w:bCs w:val="1"/>
                <w:color w:val="auto"/>
              </w:rPr>
              <w:t>Net Income (Loss)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5"/>
            <w:vMerge w:val="continue"/>
          </w:tcPr>
          <w:p>
            <w:pPr>
              <w:spacing w:after="0"/>
              <w:rPr>
                <w:sz w:val="14"/>
                <w:szCs w:val="14"/>
                <w:color w:val="auto"/>
              </w:rPr>
            </w:pPr>
          </w:p>
        </w:tc>
        <w:tc>
          <w:tcPr>
            <w:tcW w:w="22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4"/>
              </w:rPr>
              <w:t>Attributable to Icahn Enterprises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0" w:type="dxa"/>
            <w:vAlign w:val="bottom"/>
            <w:tcBorders>
              <w:top w:val="single" w:sz="8" w:color="auto"/>
              <w:bottom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w w:val="94"/>
              </w:rPr>
              <w:t>Nine Months Ended September 30,</w:t>
            </w:r>
          </w:p>
        </w:tc>
        <w:tc>
          <w:tcPr>
            <w:tcW w:w="140" w:type="dxa"/>
            <w:vAlign w:val="bottom"/>
          </w:tcPr>
          <w:p>
            <w:pPr>
              <w:spacing w:after="0"/>
              <w:rPr>
                <w:sz w:val="12"/>
                <w:szCs w:val="12"/>
                <w:color w:val="auto"/>
              </w:rPr>
            </w:pPr>
          </w:p>
        </w:tc>
        <w:tc>
          <w:tcPr>
            <w:tcW w:w="2220" w:type="dxa"/>
            <w:vAlign w:val="bottom"/>
            <w:tcBorders>
              <w:top w:val="single" w:sz="8" w:color="auto"/>
              <w:bottom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w w:val="94"/>
              </w:rPr>
              <w:t>Nine Months Ended September 30,</w:t>
            </w:r>
          </w:p>
        </w:tc>
        <w:tc>
          <w:tcPr>
            <w:tcW w:w="140" w:type="dxa"/>
            <w:vAlign w:val="bottom"/>
          </w:tcPr>
          <w:p>
            <w:pPr>
              <w:spacing w:after="0"/>
              <w:rPr>
                <w:sz w:val="12"/>
                <w:szCs w:val="12"/>
                <w:color w:val="auto"/>
              </w:rPr>
            </w:pPr>
          </w:p>
        </w:tc>
        <w:tc>
          <w:tcPr>
            <w:tcW w:w="2240" w:type="dxa"/>
            <w:vAlign w:val="bottom"/>
            <w:tcBorders>
              <w:top w:val="single" w:sz="8" w:color="auto"/>
              <w:bottom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2"/>
              </w:rPr>
              <w:t>Nine Months Ended September 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w w:val="96"/>
              </w:rPr>
              <w:t>2021</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3"/>
          </w:tcPr>
          <w:p>
            <w:pPr>
              <w:jc w:val="right"/>
              <w:spacing w:after="0" w:line="129" w:lineRule="exact"/>
              <w:rPr>
                <w:sz w:val="20"/>
                <w:szCs w:val="20"/>
                <w:color w:val="auto"/>
              </w:rPr>
            </w:pPr>
            <w:r>
              <w:rPr>
                <w:rFonts w:ascii="Arial" w:cs="Arial" w:eastAsia="Arial" w:hAnsi="Arial"/>
                <w:sz w:val="14"/>
                <w:szCs w:val="14"/>
                <w:color w:val="auto"/>
              </w:rPr>
              <w:t>(in millions)</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Holding Company</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(193)</w:t>
            </w:r>
          </w:p>
        </w:tc>
        <w:tc>
          <w:tcPr>
            <w:tcW w:w="3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(376)</w:t>
            </w: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(193)</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gridSpan w:val="3"/>
          </w:tcPr>
          <w:p>
            <w:pPr>
              <w:ind w:left="20"/>
              <w:spacing w:after="0" w:line="135" w:lineRule="exact"/>
              <w:rPr>
                <w:sz w:val="20"/>
                <w:szCs w:val="20"/>
                <w:color w:val="auto"/>
              </w:rPr>
            </w:pPr>
            <w:r>
              <w:rPr>
                <w:rFonts w:ascii="Arial" w:cs="Arial" w:eastAsia="Arial" w:hAnsi="Arial"/>
                <w:sz w:val="14"/>
                <w:szCs w:val="14"/>
                <w:color w:val="auto"/>
              </w:rPr>
              <w:t>Other Operating Segments:</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6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Energy</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8,137</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5,212</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436</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231</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Automotive</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1,813</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1,811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(64)</w:t>
            </w:r>
          </w:p>
        </w:tc>
        <w:tc>
          <w:tcPr>
            <w:tcW w:w="3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(139)</w:t>
            </w: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(64)</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Food Packaging</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Real Estate</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91</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74</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Home Fashion</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Pharma</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w:t>
            </w:r>
          </w:p>
        </w:tc>
        <w:tc>
          <w:tcPr>
            <w:tcW w:w="3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Metals</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tcBorders>
              <w:bottom w:val="single" w:sz="8" w:color="CCEEFF"/>
            </w:tcBorders>
            <w:gridSpan w:val="3"/>
          </w:tcPr>
          <w:p>
            <w:pPr>
              <w:ind w:left="20"/>
              <w:spacing w:after="0" w:line="142" w:lineRule="exact"/>
              <w:rPr>
                <w:sz w:val="20"/>
                <w:szCs w:val="20"/>
                <w:color w:val="auto"/>
              </w:rPr>
            </w:pPr>
            <w:r>
              <w:rPr>
                <w:rFonts w:ascii="Arial" w:cs="Arial" w:eastAsia="Arial" w:hAnsi="Arial"/>
                <w:sz w:val="14"/>
                <w:szCs w:val="14"/>
                <w:color w:val="auto"/>
              </w:rPr>
              <w:t>Other operating segments</w:t>
            </w: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10,576</w:t>
            </w:r>
          </w:p>
        </w:tc>
        <w:tc>
          <w:tcPr>
            <w:tcW w:w="2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8,028</w:t>
            </w:r>
          </w:p>
        </w:tc>
        <w:tc>
          <w:tcPr>
            <w:tcW w:w="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355</w:t>
            </w:r>
          </w:p>
        </w:tc>
        <w:tc>
          <w:tcPr>
            <w:tcW w:w="24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(118)</w:t>
            </w:r>
          </w:p>
        </w:tc>
        <w:tc>
          <w:tcPr>
            <w:tcW w:w="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w:t>
            </w:r>
          </w:p>
        </w:tc>
        <w:tc>
          <w:tcPr>
            <w:tcW w:w="2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tcBorders>
              <w:bottom w:val="single" w:sz="8" w:color="CCEEFF"/>
            </w:tcBorders>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Consolidated</w:t>
            </w:r>
          </w:p>
        </w:tc>
        <w:tc>
          <w:tcPr>
            <w:tcW w:w="20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11,000</w:t>
            </w: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9,023</w:t>
            </w: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383</w:t>
            </w:r>
          </w:p>
        </w:tc>
        <w:tc>
          <w:tcPr>
            <w:tcW w:w="2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326</w:t>
            </w: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w:t>
            </w:r>
          </w:p>
        </w:tc>
        <w:tc>
          <w:tcPr>
            <w:tcW w:w="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w:t>
      </w:r>
    </w:p>
    <w:p>
      <w:pPr>
        <w:spacing w:after="0" w:line="225" w:lineRule="exact"/>
        <w:rPr>
          <w:sz w:val="20"/>
          <w:szCs w:val="20"/>
          <w:color w:val="auto"/>
        </w:rPr>
      </w:pPr>
    </w:p>
    <w:p>
      <w:pPr>
        <w:ind w:left="60" w:right="279" w:firstLine="324"/>
        <w:spacing w:after="0" w:line="257" w:lineRule="auto"/>
        <w:rPr>
          <w:sz w:val="20"/>
          <w:szCs w:val="20"/>
          <w:color w:val="auto"/>
        </w:rPr>
      </w:pPr>
      <w:r>
        <w:rPr>
          <w:rFonts w:ascii="Arial" w:cs="Arial" w:eastAsia="Arial" w:hAnsi="Arial"/>
          <w:sz w:val="18"/>
          <w:szCs w:val="18"/>
          <w:color w:val="auto"/>
        </w:rPr>
        <w:t>We invest our proprietary capital through various private investment funds (“Investment Funds”). As of September 30, 2022 and December 31, 2021, we had investments with a fair market value of approximately $4.4 billion and $4.2 billion, respectively, in the Investment Funds. As of September 30, 2022 and December 31, 2021, the total fair market value of investments in the Investment Funds made by Mr. Icahn and his affiliates (excluding us and Brett Icahn) was approximately $5.2 billion and $5.0 billion, respectively.</w:t>
      </w:r>
    </w:p>
    <w:p>
      <w:pPr>
        <w:spacing w:after="0" w:line="188" w:lineRule="exact"/>
        <w:rPr>
          <w:sz w:val="20"/>
          <w:szCs w:val="20"/>
          <w:color w:val="auto"/>
        </w:rPr>
      </w:pPr>
    </w:p>
    <w:p>
      <w:pPr>
        <w:ind w:left="60" w:right="79" w:firstLine="324"/>
        <w:spacing w:after="0" w:line="288" w:lineRule="auto"/>
        <w:rPr>
          <w:sz w:val="20"/>
          <w:szCs w:val="20"/>
          <w:color w:val="auto"/>
        </w:rPr>
      </w:pPr>
      <w:r>
        <w:rPr>
          <w:rFonts w:ascii="Arial" w:cs="Arial" w:eastAsia="Arial" w:hAnsi="Arial"/>
          <w:sz w:val="16"/>
          <w:szCs w:val="16"/>
          <w:color w:val="auto"/>
        </w:rPr>
        <w:t>Our Investment segment’s results of operations are reflected in net income in the condensed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 Mr. Icahn and his affiliates and by Brett Icahn, Mr. Icahn’s son.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section of our “Liquidity and Capital Resources” discussion for additional information regarding our Investment segment’s exposure as of September 30, 2022.</w:t>
      </w:r>
    </w:p>
    <w:p>
      <w:pPr>
        <w:spacing w:after="0" w:line="170" w:lineRule="exact"/>
        <w:rPr>
          <w:sz w:val="20"/>
          <w:szCs w:val="20"/>
          <w:color w:val="auto"/>
        </w:rPr>
      </w:pPr>
    </w:p>
    <w:p>
      <w:pPr>
        <w:ind w:left="60" w:right="399" w:firstLine="324"/>
        <w:spacing w:after="0" w:line="291" w:lineRule="auto"/>
        <w:rPr>
          <w:sz w:val="20"/>
          <w:szCs w:val="20"/>
          <w:color w:val="auto"/>
        </w:rPr>
      </w:pPr>
      <w:r>
        <w:rPr>
          <w:rFonts w:ascii="Arial" w:cs="Arial" w:eastAsia="Arial" w:hAnsi="Arial"/>
          <w:sz w:val="16"/>
          <w:szCs w:val="16"/>
          <w:color w:val="auto"/>
        </w:rPr>
        <w:t>For the three months ended September 30, 2022 and 2021, our Investment Funds’ returns were (1.9)% and (1.8)%, respectively. For the nine months ended September 30, 2022 and 2021, our Investment Funds’ returns were 2.4% and</w:t>
      </w:r>
    </w:p>
    <w:p>
      <w:pPr>
        <w:ind w:left="60" w:right="299"/>
        <w:spacing w:after="0" w:line="260" w:lineRule="auto"/>
        <w:rPr>
          <w:sz w:val="20"/>
          <w:szCs w:val="20"/>
          <w:color w:val="auto"/>
        </w:rPr>
      </w:pPr>
      <w:r>
        <w:rPr>
          <w:rFonts w:ascii="Arial" w:cs="Arial" w:eastAsia="Arial" w:hAnsi="Arial"/>
          <w:sz w:val="18"/>
          <w:szCs w:val="18"/>
          <w:color w:val="auto"/>
        </w:rPr>
        <w:t>8.8%, respectively. Our Investment Funds’ returns represent a weighted-average composite of the average returns, net of expenses.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performance attribution for the Investment Funds’ returns.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330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0"/>
              </w:rPr>
              <w:t>Three Months Ended September 30,</w:t>
            </w:r>
          </w:p>
        </w:tc>
        <w:tc>
          <w:tcPr>
            <w:tcW w:w="30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10"/>
        </w:trPr>
        <w:tc>
          <w:tcPr>
            <w:tcW w:w="256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CEEFF"/>
            </w:tcBorders>
          </w:tcPr>
          <w:p>
            <w:pPr>
              <w:spacing w:after="0"/>
              <w:rPr>
                <w:sz w:val="18"/>
                <w:szCs w:val="18"/>
                <w:color w:val="auto"/>
              </w:rPr>
            </w:pPr>
          </w:p>
        </w:tc>
      </w:tr>
      <w:tr>
        <w:trPr>
          <w:trHeight w:val="209"/>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Long positions</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(1.6)%</w:t>
            </w:r>
          </w:p>
        </w:tc>
        <w:tc>
          <w:tcPr>
            <w:tcW w:w="1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Short positions</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2.7 %</w:t>
            </w:r>
          </w:p>
        </w:tc>
        <w:tc>
          <w:tcPr>
            <w:tcW w:w="1660" w:type="dxa"/>
            <w:vAlign w:val="bottom"/>
            <w:gridSpan w:val="2"/>
          </w:tcPr>
          <w:p>
            <w:pPr>
              <w:jc w:val="right"/>
              <w:ind w:right="190"/>
              <w:spacing w:after="0"/>
              <w:rPr>
                <w:sz w:val="20"/>
                <w:szCs w:val="20"/>
                <w:color w:val="auto"/>
              </w:rPr>
            </w:pPr>
            <w:r>
              <w:rPr>
                <w:rFonts w:ascii="Arial" w:cs="Arial" w:eastAsia="Arial" w:hAnsi="Arial"/>
                <w:sz w:val="18"/>
                <w:szCs w:val="18"/>
                <w:color w:val="auto"/>
              </w:rPr>
              <w:t>(0.1)%</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10.9 %</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(18.8)%</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0.3 %</w:t>
            </w:r>
          </w:p>
        </w:tc>
        <w:tc>
          <w:tcPr>
            <w:tcW w:w="1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c>
          <w:tcPr>
            <w:tcW w:w="1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0.1 %</w:t>
            </w:r>
          </w:p>
        </w:tc>
        <w:tc>
          <w:tcPr>
            <w:tcW w:w="1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r>
      <w:tr>
        <w:trPr>
          <w:trHeight w:val="210"/>
        </w:trPr>
        <w:tc>
          <w:tcPr>
            <w:tcW w:w="256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r>
      <w:tr>
        <w:trPr>
          <w:trHeight w:val="20"/>
        </w:trPr>
        <w:tc>
          <w:tcPr>
            <w:tcW w:w="25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639" w:firstLine="324"/>
        <w:spacing w:after="0" w:line="277" w:lineRule="auto"/>
        <w:rPr>
          <w:sz w:val="20"/>
          <w:szCs w:val="20"/>
          <w:color w:val="auto"/>
        </w:rPr>
      </w:pPr>
      <w:r>
        <w:rPr>
          <w:rFonts w:ascii="Arial" w:cs="Arial" w:eastAsia="Arial" w:hAnsi="Arial"/>
          <w:sz w:val="18"/>
          <w:szCs w:val="18"/>
          <w:color w:val="auto"/>
        </w:rPr>
        <w:t>The following table presents net income (loss) for our Investment segment for the three and nine months ended September 30, 2022 and 2021, respectively.</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6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2"/>
              </w:rPr>
              <w:t>Three Months Ended September 30,</w:t>
            </w:r>
          </w:p>
        </w:tc>
        <w:tc>
          <w:tcPr>
            <w:tcW w:w="180" w:type="dxa"/>
            <w:vAlign w:val="bottom"/>
          </w:tcPr>
          <w:p>
            <w:pPr>
              <w:spacing w:after="0"/>
              <w:rPr>
                <w:sz w:val="20"/>
                <w:szCs w:val="20"/>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10"/>
        </w:trPr>
        <w:tc>
          <w:tcPr>
            <w:tcW w:w="2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129"/>
        </w:trPr>
        <w:tc>
          <w:tcPr>
            <w:tcW w:w="2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3"/>
          </w:tcPr>
          <w:p>
            <w:pPr>
              <w:jc w:val="right"/>
              <w:ind w:right="18"/>
              <w:spacing w:after="0" w:line="129" w:lineRule="exact"/>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Long positions</w:t>
            </w:r>
          </w:p>
        </w:tc>
        <w:tc>
          <w:tcPr>
            <w:tcW w:w="18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(431)</w:t>
            </w:r>
          </w:p>
        </w:tc>
        <w:tc>
          <w:tcPr>
            <w:tcW w:w="5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52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Short positions</w:t>
            </w: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(1,886)</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0"/>
        </w:trPr>
        <w:tc>
          <w:tcPr>
            <w:tcW w:w="2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(181)</w:t>
            </w:r>
          </w:p>
        </w:tc>
        <w:tc>
          <w:tcPr>
            <w:tcW w:w="26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18"/>
                <w:szCs w:val="18"/>
                <w:color w:val="auto"/>
              </w:rPr>
            </w:pPr>
          </w:p>
        </w:tc>
        <w:tc>
          <w:tcPr>
            <w:tcW w:w="340" w:type="dxa"/>
            <w:vAlign w:val="bottom"/>
            <w:tcBorders>
              <w:bottom w:val="single" w:sz="8" w:color="auto"/>
            </w:tcBorders>
          </w:tcPr>
          <w:p>
            <w:pPr>
              <w:jc w:val="right"/>
              <w:ind w:right="178"/>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r>
      <w:tr>
        <w:trPr>
          <w:trHeight w:val="20"/>
        </w:trPr>
        <w:tc>
          <w:tcPr>
            <w:tcW w:w="2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2022 and 2021</w:t>
      </w:r>
    </w:p>
    <w:p>
      <w:pPr>
        <w:spacing w:after="0" w:line="225" w:lineRule="exact"/>
        <w:rPr>
          <w:sz w:val="20"/>
          <w:szCs w:val="20"/>
          <w:color w:val="auto"/>
        </w:rPr>
      </w:pPr>
    </w:p>
    <w:p>
      <w:pPr>
        <w:ind w:left="60" w:right="119" w:firstLine="324"/>
        <w:spacing w:after="0" w:line="290" w:lineRule="auto"/>
        <w:rPr>
          <w:sz w:val="20"/>
          <w:szCs w:val="20"/>
          <w:color w:val="auto"/>
        </w:rPr>
      </w:pPr>
      <w:r>
        <w:rPr>
          <w:rFonts w:ascii="Arial" w:cs="Arial" w:eastAsia="Arial" w:hAnsi="Arial"/>
          <w:sz w:val="16"/>
          <w:szCs w:val="16"/>
          <w:color w:val="auto"/>
        </w:rPr>
        <w:t>For the three months ended September 30, 2022, the Investment Funds’ negative performance was primarily driven by net losses in long positions and credit default swaps, offset in part by other net gains in short positions. The negative performance of our Investment segment’s long positions was driven primarily by losses from a consumer, cyclical sector investment of $163 million, a utility sector investment of $133 million and the aggregate performance of long positions with net losses across various sectors. The negative performance of our Investment segment’s long positions was offset in part by gains from two energy sector investments aggregating $196 million. The positive performance of our Investment segment’s short positions was driven primarily by the positive performance of broad market hedges of $398 million offset in part by the negative performance of certain credit default swaps positions totaling $298 million.</w:t>
      </w:r>
    </w:p>
    <w:p>
      <w:pPr>
        <w:spacing w:after="0" w:line="165"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For the three months ended September 30, 2021, the Investment Funds’ negative performance was primarily driven by net losses in long positions. The negative performance of our Investment segment’s long positions was driven primarily by losses from a consumer, cyclical sector investment of $223 million and an energy sector investment of $141 million. The aggregate performance of investments with net losses across various sectors accounted for an additional negative performance of our Investment segment’s long positions. The negative performance of our Investment segment’s long positions was offset in part by gains from a consumer, non-cyclical sector investment of $231 million and an energy sector investment of $177 million. The negative performance of our Investment segment’s short positions was driven primarily by the net negative performance of various short equity positions aggregating $80 million offset in part by the net positive performance of short credit positions aggregating $73 million.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2022 and 2021</w:t>
      </w:r>
    </w:p>
    <w:p>
      <w:pPr>
        <w:spacing w:after="0" w:line="225" w:lineRule="exact"/>
        <w:rPr>
          <w:sz w:val="20"/>
          <w:szCs w:val="20"/>
          <w:color w:val="auto"/>
        </w:rPr>
      </w:pPr>
    </w:p>
    <w:p>
      <w:pPr>
        <w:ind w:left="60" w:right="159" w:firstLine="324"/>
        <w:spacing w:after="0" w:line="342" w:lineRule="auto"/>
        <w:rPr>
          <w:sz w:val="20"/>
          <w:szCs w:val="20"/>
          <w:color w:val="auto"/>
        </w:rPr>
      </w:pPr>
      <w:r>
        <w:rPr>
          <w:rFonts w:ascii="Arial" w:cs="Arial" w:eastAsia="Arial" w:hAnsi="Arial"/>
          <w:sz w:val="16"/>
          <w:szCs w:val="16"/>
          <w:color w:val="auto"/>
        </w:rPr>
        <w:t>For the nine months ended September 30, 2022, the Investments Funds’ positive performance was driven by net gains in their short positions, offset in part by net losses in certain long positions and credit default swaps. The positive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performance of our Investment segment’s short positions was driven primarily by a broad market hedge totaling $1.4</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billion and the aggregate performance of short positions with net gains across various sectors. The negative performance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Investment segment’s long positions was driven primarily by the negative performance of one healthcare investment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approximately $1.2 billion and the aggregate performance of investments with net losses across various sectors accounted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additional negative performance, offset in part by gains in two energy sector investments aggregating approximately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 billion. The positive performance of short positions was offset in part by the negative performance of an energy sector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hedge totaling $407 million and the negative performance of certain credit default swap positions of $704 million.</w:t>
      </w:r>
    </w:p>
    <w:p>
      <w:pPr>
        <w:spacing w:after="0" w:line="222" w:lineRule="exact"/>
        <w:rPr>
          <w:sz w:val="20"/>
          <w:szCs w:val="20"/>
          <w:color w:val="auto"/>
        </w:rPr>
      </w:pPr>
    </w:p>
    <w:p>
      <w:pPr>
        <w:ind w:left="60" w:right="99" w:firstLine="324"/>
        <w:spacing w:after="0" w:line="288" w:lineRule="auto"/>
        <w:rPr>
          <w:sz w:val="20"/>
          <w:szCs w:val="20"/>
          <w:color w:val="auto"/>
        </w:rPr>
      </w:pPr>
      <w:r>
        <w:rPr>
          <w:rFonts w:ascii="Arial" w:cs="Arial" w:eastAsia="Arial" w:hAnsi="Arial"/>
          <w:sz w:val="16"/>
          <w:szCs w:val="16"/>
          <w:color w:val="auto"/>
        </w:rPr>
        <w:t>For the nine months ended September 30, 2021, the Investment Funds’ positive performance was driven by net gains in their long positions, offset in part by net losses in their short positions. The positive performance of our Investment segment’s long positions was driven primarily by gains from two energy sector investments aggregating $1.6 billion and a consumer, non-cyclical sector investment of $436 million. The aggregate performance of investments with net gains across various sectors accounted for an additional positive performance of our Investment segment’s long positions. The negative performance of our Investment segment’s short positions was driven primarily by the negative performance of an energy sector investment of $757 million and broad market hedges of $669 million and a consumer, cyclical sector investment of $216 million. The aggregate performance of investments with net losses across various sectors accounted for an additional negative performance of our Investment segment’s short positions. The negative performance of our Investment segment’s short positions was offset in part by gains from a consumer, cyclical sector investment of $199 million.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Energy</w:t>
      </w:r>
    </w:p>
    <w:p>
      <w:pPr>
        <w:spacing w:after="0" w:line="225" w:lineRule="exact"/>
        <w:rPr>
          <w:sz w:val="20"/>
          <w:szCs w:val="20"/>
          <w:color w:val="auto"/>
        </w:rPr>
      </w:pPr>
    </w:p>
    <w:p>
      <w:pPr>
        <w:jc w:val="both"/>
        <w:ind w:left="60" w:right="179" w:firstLine="324"/>
        <w:spacing w:after="0" w:line="263" w:lineRule="auto"/>
        <w:rPr>
          <w:sz w:val="20"/>
          <w:szCs w:val="20"/>
          <w:color w:val="auto"/>
        </w:rPr>
      </w:pPr>
      <w:r>
        <w:rPr>
          <w:rFonts w:ascii="Arial" w:cs="Arial" w:eastAsia="Arial" w:hAnsi="Arial"/>
          <w:sz w:val="18"/>
          <w:szCs w:val="18"/>
          <w:color w:val="auto"/>
        </w:rPr>
        <w:t>Our Energy segment is primarily engaged in the petroleum refining and nitrogen fertilizer manufacturing businesses. The petroleum business accounted for approximately 92% and 93% of our Energy segment’s net sales for the nine months ended September 30, 2022 and 2021, respectively.</w:t>
      </w:r>
    </w:p>
    <w:p>
      <w:pPr>
        <w:spacing w:after="0" w:line="184"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and other refined products. This supply and demand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accounting to value its inventory, crude oil price movements may impact gross margin in the short-term fluctuations in the market price of inventory. The effect of changes in crude oil prices on the petroleum business’ results of operations is influenced by the rate at which the prices of refined products adjust to reflect these changes.</w:t>
      </w:r>
    </w:p>
    <w:p>
      <w:pPr>
        <w:spacing w:after="0" w:line="182"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In addition to recent market conditions, including the impact of the Russia/Ukraine conflict,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of the United States Environmental Protection Agency, which requires the operating companies in our Energy segment to either blend “renewable fuels” with their transportation fuels or purchase renewable identification numbers (“RINs”), to the extent available, in lieu of blending, or to seek other exemptions. The price of RINs has been extremely volatile and the future cost of RINs for the petroleum business is difficult to estimate.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 Refer to Note 16, “Commitments and Contingencies,” to the condensed consolidated financial statements for further discussion of RINs.</w:t>
      </w:r>
    </w:p>
    <w:p>
      <w:pPr>
        <w:spacing w:after="0" w:line="179" w:lineRule="exact"/>
        <w:rPr>
          <w:sz w:val="20"/>
          <w:szCs w:val="20"/>
          <w:color w:val="auto"/>
        </w:rPr>
      </w:pPr>
    </w:p>
    <w:p>
      <w:pPr>
        <w:ind w:left="60" w:right="199" w:firstLine="324"/>
        <w:spacing w:after="0" w:line="308" w:lineRule="auto"/>
        <w:rPr>
          <w:sz w:val="20"/>
          <w:szCs w:val="20"/>
          <w:color w:val="auto"/>
        </w:rPr>
      </w:pPr>
      <w:r>
        <w:rPr>
          <w:rFonts w:ascii="Arial" w:cs="Arial" w:eastAsia="Arial" w:hAnsi="Arial"/>
          <w:sz w:val="17"/>
          <w:szCs w:val="17"/>
          <w:color w:val="auto"/>
        </w:rPr>
        <w:t>In April 2022, our Energy segment completed a renewable diesel project at one of its refineries, which converted the refinery’s hydrocracker to a renewable diesel unit (“RDU”) capable of producing 100 million gallons of renewable</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color w:val="auto"/>
        </w:rPr>
        <w:t>diesel per year and approximately 170 million RINs annually. When operated in renewable diesel service, the crude oil capacity of the refinery would be decreased by approximately 5,000 barrels per day. Further, the conversion enables our Energy segment to capture additional benefits associated with the existing blenders’ tax credit that is currently set to expire at the end of 2024 and low carbon fuel standard programs in states such as California. Our Energy segment has additional plans to add pretreating capabilities for the RDU and is exploring potential additional renewables projects at its other facilities. These collective renewable diesel efforts could reduce our Energy segment’s Renewable Fuels Standard (“RFS”) exposure. However, any actions taken by the courts, the EPA or the Biden administration, and/or market conditions could significantly impact the amount by which our Energy segment’s renewables business could mitigate our costs to comply with the RFS, if at all.</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3040" w:type="dxa"/>
            <w:vAlign w:val="bottom"/>
            <w:gridSpan w:val="6"/>
          </w:tcPr>
          <w:p>
            <w:pPr>
              <w:spacing w:after="0"/>
              <w:rPr>
                <w:sz w:val="20"/>
                <w:szCs w:val="20"/>
                <w:color w:val="auto"/>
              </w:rPr>
            </w:pPr>
            <w:r>
              <w:rPr>
                <w:rFonts w:ascii="Arial" w:cs="Arial" w:eastAsia="Arial" w:hAnsi="Arial"/>
                <w:sz w:val="18"/>
                <w:szCs w:val="18"/>
                <w:b w:val="1"/>
                <w:bCs w:val="1"/>
                <w:color w:val="auto"/>
                <w:w w:val="98"/>
              </w:rPr>
              <w:t>Three Months Ended September 30,</w:t>
            </w:r>
          </w:p>
        </w:tc>
        <w:tc>
          <w:tcPr>
            <w:tcW w:w="278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10"/>
        </w:trPr>
        <w:tc>
          <w:tcPr>
            <w:tcW w:w="30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128"/>
        </w:trPr>
        <w:tc>
          <w:tcPr>
            <w:tcW w:w="3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gridSpan w:val="3"/>
          </w:tcPr>
          <w:p>
            <w:pPr>
              <w:jc w:val="right"/>
              <w:ind w:right="21"/>
              <w:spacing w:after="0" w:line="129" w:lineRule="exact"/>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w:t>
            </w:r>
          </w:p>
        </w:tc>
      </w:tr>
      <w:tr>
        <w:trPr>
          <w:trHeight w:val="216"/>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7,407</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w:t>
            </w:r>
          </w:p>
        </w:tc>
      </w:tr>
      <w:tr>
        <w:trPr>
          <w:trHeight w:val="209"/>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September 30, 2022 and 2021</w:t>
      </w:r>
    </w:p>
    <w:p>
      <w:pPr>
        <w:spacing w:after="0" w:line="225"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color w:val="auto"/>
        </w:rPr>
        <w:t>Net sales for our Energy segment increased by $816 million (43%) for the three months ended September 30, 2022 as compared to the comparable prior year period due to an increase in our petroleum business’ net sales, which increased $805 million, as well as an increase in our nitrogen fertilizer business’ net sales, which increased $11 million over the comparable periods. The increase in the petroleum business’ net sales was primarily due to increased prices of gasoline and distillates mainly attributable to the ongoing conflict in Ukraine resulting in a global increase in commodity prices. Volumes were lower in the comparable prior year period due to the reduced utilization of the refineries resulting from the startup of the RDU and minor plant outages in the current period. Our nitrogen fertilizer business’ net sales increased primarily due to an increase in urea ammonium nitrate (“UAN”) sales primarily due to favorable pricing conditions.</w:t>
      </w:r>
    </w:p>
    <w:p>
      <w:pPr>
        <w:spacing w:after="0" w:line="165"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color w:val="auto"/>
        </w:rPr>
        <w:t>Cost of goods sold for our Energy segment increased by $883 million (52%) for the three months ended September 30, 2022 as compared to the comparable prior year period. The increase was primarily due to our petroleum business as a result of higher cost of consumed crude oil. The higher costs of consumed crude oil was due to higher crude oil prices, offset in part by higher derivative performance of $25 million compared to the prior period. Gross margin for our Energy segment decreased by $67 million for the three months ended September 30, 2022 as compared to the comparable</w:t>
      </w:r>
    </w:p>
    <w:p>
      <w:pPr>
        <w:spacing w:after="0" w:line="2"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prior year period. Gross margin as a percentage of net sales was 5% and 10% for the three months ended September 30, 2022 and 2021, respectively. The decrease in the gross margin as a percentage of net sales was primarily attributable to the petroleum business, which was primarily due to an increase in the net cost of RINs offset in part by higher derivative performance.</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September 30, 2022 and 2021</w:t>
      </w:r>
    </w:p>
    <w:p>
      <w:pPr>
        <w:spacing w:after="0" w:line="225"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Net sales for our Energy segment increased by $3.1 billion (60%) for the nine months ended September 30, 2022 as compared to the comparable prior year period due to an increase in our petroleum business’ net sales, which increased $2.8 billion, as well as an increase in our nitrogen fertilizer business’ net sales, which increased $279 million over the comparable periods. The increase in the petroleum business’ net sales was primarily due to an increase in prices of gasoline and distillates mainly attributable to the ongoing conflict in Ukraine resulting in a global increase in commodity prices. Volumes were lower in the current year period due to the planned turnaround at one of the refineries, the startup of the RDU, and minor plant outages. Our nitrogen fertilizer business’ net sales increased primarily due to an increase in urea ammonium nitrate (“UAN”) sales primarily due to favorable pricing conditions.</w:t>
      </w:r>
    </w:p>
    <w:p>
      <w:pPr>
        <w:spacing w:after="0" w:line="178"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Cost of goods sold for our Energy segment increased by $2.4 billion (47%) for the nine months ended September 30, 2022 as compared to the comparable prior year period. The increase was primarily due to our petroleum business as a result of higher cost of consumed crude oil. The higher cost of consumed crude oil was due to an increase in higher crude oil prices. Gross margin for our Energy segment improved by $702 million for the nine months ended September 30, 2022 as compared to the comparable prior year period. Gross margin as a percentage of net sales was 10% and 2%</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for the nine months ended September 30, 2022 and 2021, respectively. The improvement in the gross margin as</w:t>
      </w:r>
    </w:p>
    <w:p>
      <w:pPr>
        <w:spacing w:after="0" w:line="35" w:lineRule="exact"/>
        <w:rPr>
          <w:sz w:val="20"/>
          <w:szCs w:val="20"/>
          <w:color w:val="auto"/>
        </w:rPr>
      </w:pPr>
    </w:p>
    <w:p>
      <w:pPr>
        <w:ind w:left="60" w:right="439"/>
        <w:spacing w:after="0" w:line="260" w:lineRule="auto"/>
        <w:rPr>
          <w:sz w:val="20"/>
          <w:szCs w:val="20"/>
          <w:color w:val="auto"/>
        </w:rPr>
      </w:pPr>
      <w:r>
        <w:rPr>
          <w:rFonts w:ascii="Arial" w:cs="Arial" w:eastAsia="Arial" w:hAnsi="Arial"/>
          <w:sz w:val="18"/>
          <w:szCs w:val="18"/>
          <w:color w:val="auto"/>
        </w:rPr>
        <w:t>a percentage of net sales was primarily attributable to the petroleum business, which was primarily due to higher crack spreads, in addition to higher net sales and pricing in the nitrogen fertilizer business.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Our Automotive segment’s results of operations are generally driven by the demand for automotive service and maintenance and the distribution and installation of automotive aftermarket parts, and is affected by the relative strength of automotive part replacement trends, among other factors.</w:t>
      </w:r>
    </w:p>
    <w:p>
      <w:pPr>
        <w:spacing w:after="0" w:line="184"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color w:val="auto"/>
        </w:rPr>
        <w:t>Our Automotive segment has been in the process of implementing a multi-year transformation plan, which includes the restructuring of its businesses. The transformation plan includes operating the automotive services and aftermarket parts businesses as separate businesses, streamlining Icahn Automotive’s corporate and field support teams, facility closures, consolidations and conversions, inventory optimization actions, and the re-focusing of its automotive parts business on certain core markets. As part of this plan, in 2021 Icahn Automotive sold certain inventory assets relating to its aftermarket parts business at 109 locations and a distribution center in California and certain other inventory and fixed assets in California. Costs to implement the transformation plan include restructuring charges, which are recorded when specific plans are approved, and which may be significant.</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Automotive segment’s priorities include:</w:t>
      </w:r>
    </w:p>
    <w:p>
      <w:pPr>
        <w:spacing w:after="0" w:line="225" w:lineRule="exact"/>
        <w:rPr>
          <w:sz w:val="20"/>
          <w:szCs w:val="20"/>
          <w:color w:val="auto"/>
        </w:rPr>
      </w:pPr>
    </w:p>
    <w:p>
      <w:pPr>
        <w:ind w:left="720" w:hanging="319"/>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Positioning the service business to take advantage of opportunities in the do-it-for-me market and vehicle fleets;</w:t>
      </w:r>
    </w:p>
    <w:p>
      <w:pPr>
        <w:spacing w:after="0" w:line="46" w:lineRule="exact"/>
        <w:rPr>
          <w:rFonts w:ascii="Arial" w:cs="Arial" w:eastAsia="Arial" w:hAnsi="Arial"/>
          <w:sz w:val="16"/>
          <w:szCs w:val="16"/>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Optimizing the value of the commercial parts distribution business in certain high-volume core markets;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Exiting the automotive parts distribution business in certain low volume, non-core markets;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Improving inventory management across Icahn Automotive’s parts and tire distribution network;</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 in customer experience initiatives and selective upgrades in facilities;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 in employees with focus on training and career development investments; and</w:t>
      </w:r>
    </w:p>
    <w:p>
      <w:pPr>
        <w:spacing w:after="0" w:line="9" w:lineRule="exact"/>
        <w:rPr>
          <w:rFonts w:ascii="Arial" w:cs="Arial" w:eastAsia="Arial" w:hAnsi="Arial"/>
          <w:sz w:val="18"/>
          <w:szCs w:val="18"/>
          <w:color w:val="auto"/>
        </w:rPr>
      </w:pPr>
    </w:p>
    <w:p>
      <w:pPr>
        <w:ind w:left="720" w:right="839" w:hanging="319"/>
        <w:spacing w:after="0" w:line="26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process improvements, including investments in our supply chain and information technology capabilities.</w:t>
      </w:r>
    </w:p>
    <w:p>
      <w:pPr>
        <w:spacing w:after="0" w:line="185"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The following table presents our Automotive segment’s operating revenue, cost of revenue and gross margin. Our Automotive segment’s results of operations also include automotive services labor. Automotive services labor revenues are included in other revenues from operations in our condensed consolidated statements of operations, however, the sale of any installed parts or materials related to automotive services are included in net sales. Automotive rental revenues are included in other revenues from operations in our condensed consolidated statements of operations, however, are excluded from the table below. Therefore, we discuss the combined results of our automotive net sales and automotive services labor revenues below.</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304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278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09"/>
        </w:trPr>
        <w:tc>
          <w:tcPr>
            <w:tcW w:w="30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129"/>
        </w:trPr>
        <w:tc>
          <w:tcPr>
            <w:tcW w:w="3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3"/>
          </w:tcPr>
          <w:p>
            <w:pPr>
              <w:ind w:left="740"/>
              <w:spacing w:after="0" w:line="129" w:lineRule="exact"/>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02"/>
        </w:trPr>
        <w:tc>
          <w:tcPr>
            <w:tcW w:w="30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sales and other revenues from</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9"/>
              </w:rPr>
              <w:t>591</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r>
      <w:tr>
        <w:trPr>
          <w:trHeight w:val="202"/>
        </w:trPr>
        <w:tc>
          <w:tcPr>
            <w:tcW w:w="3080" w:type="dxa"/>
            <w:vAlign w:val="bottom"/>
          </w:tcPr>
          <w:p>
            <w:pPr>
              <w:ind w:left="20"/>
              <w:spacing w:after="0" w:line="201" w:lineRule="exact"/>
              <w:rPr>
                <w:sz w:val="20"/>
                <w:szCs w:val="20"/>
                <w:color w:val="auto"/>
              </w:rPr>
            </w:pPr>
            <w:r>
              <w:rPr>
                <w:rFonts w:ascii="Arial" w:cs="Arial" w:eastAsia="Arial" w:hAnsi="Arial"/>
                <w:sz w:val="18"/>
                <w:szCs w:val="18"/>
                <w:color w:val="auto"/>
                <w:w w:val="97"/>
              </w:rPr>
              <w:t>Cost of goods sold and other expenses</w:t>
            </w: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from operations</w:t>
            </w:r>
          </w:p>
        </w:tc>
        <w:tc>
          <w:tcPr>
            <w:tcW w:w="8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9"/>
              </w:rPr>
              <w:t>422</w:t>
            </w:r>
          </w:p>
        </w:tc>
        <w:tc>
          <w:tcPr>
            <w:tcW w:w="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r>
      <w:tr>
        <w:trPr>
          <w:trHeight w:val="21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9"/>
              </w:rPr>
              <w:t>169</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0"/>
        </w:trPr>
        <w:tc>
          <w:tcPr>
            <w:tcW w:w="3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2022 and 2021</w:t>
      </w:r>
    </w:p>
    <w:p>
      <w:pPr>
        <w:spacing w:after="0" w:line="225" w:lineRule="exact"/>
        <w:rPr>
          <w:sz w:val="20"/>
          <w:szCs w:val="20"/>
          <w:color w:val="auto"/>
        </w:rPr>
      </w:pPr>
    </w:p>
    <w:p>
      <w:pPr>
        <w:jc w:val="both"/>
        <w:ind w:left="60" w:right="239" w:firstLine="324"/>
        <w:spacing w:after="0" w:line="311" w:lineRule="auto"/>
        <w:rPr>
          <w:sz w:val="20"/>
          <w:szCs w:val="20"/>
          <w:color w:val="auto"/>
        </w:rPr>
      </w:pPr>
      <w:r>
        <w:rPr>
          <w:rFonts w:ascii="Arial" w:cs="Arial" w:eastAsia="Arial" w:hAnsi="Arial"/>
          <w:sz w:val="16"/>
          <w:szCs w:val="16"/>
          <w:color w:val="auto"/>
        </w:rPr>
        <w:t>Net sales and other revenues from operations for our Automotive segment for the three months ended September 30, 2022 increased by $21 million (4%) as compared to the comparable prior year period. The increase was attributable to an increase in automotive services revenue of $55 million (15%), offset in part by a decrease in aftermarket parts sales of</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$34 million (14%). The increase in automotive service revenues was driven by increases in price and volume over the comparable prior year period.</w:t>
      </w:r>
    </w:p>
    <w:p>
      <w:pPr>
        <w:spacing w:after="0" w:line="170"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Cost of goods sold and other expenses from operations for the three months ended September 30, 2022 increased by $21 million (5%) as compared to the comparable prior year period. The increase was primarily due to higher material and labor costs in automotive services. Gross margin on net sales and other revenue from operations for the three months ended September 30, 2022 was flat as compared to the comparable prior year period. Gross margin as a percentage of net sales and other revenue from operations was 28% and 29% for the three months ended September 30, 2022 and 2021, respectively.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2022 and 2021</w:t>
      </w:r>
    </w:p>
    <w:p>
      <w:pPr>
        <w:spacing w:after="0" w:line="225" w:lineRule="exact"/>
        <w:rPr>
          <w:sz w:val="20"/>
          <w:szCs w:val="20"/>
          <w:color w:val="auto"/>
        </w:rPr>
      </w:pPr>
    </w:p>
    <w:p>
      <w:pPr>
        <w:jc w:val="both"/>
        <w:ind w:left="60" w:right="279" w:firstLine="324"/>
        <w:spacing w:after="0" w:line="255" w:lineRule="auto"/>
        <w:rPr>
          <w:sz w:val="20"/>
          <w:szCs w:val="20"/>
          <w:color w:val="auto"/>
        </w:rPr>
      </w:pPr>
      <w:r>
        <w:rPr>
          <w:rFonts w:ascii="Arial" w:cs="Arial" w:eastAsia="Arial" w:hAnsi="Arial"/>
          <w:sz w:val="18"/>
          <w:szCs w:val="18"/>
          <w:color w:val="auto"/>
        </w:rPr>
        <w:t>Net sales and other revenues from operations for our Automotive segment for the nine months ended September 30, 2022 decreased by $52 million (3%) as compared to the comparable prior year period. The decrease was attributable to a decrease in aftermarket parts sales of $184 million (23%), offset in part by an increase in automotive services revenue of $132 million (13%). The decrease in aftermarket parts is mainly related to the impact of store closures throughout 2021. The increase in automotive service revenue was driven by increases in price and volume over the comparable prior year period.</w:t>
      </w:r>
    </w:p>
    <w:p>
      <w:pPr>
        <w:spacing w:after="0" w:line="192" w:lineRule="exact"/>
        <w:rPr>
          <w:sz w:val="20"/>
          <w:szCs w:val="20"/>
          <w:color w:val="auto"/>
        </w:rPr>
      </w:pPr>
    </w:p>
    <w:p>
      <w:pPr>
        <w:ind w:left="60" w:right="119" w:firstLine="324"/>
        <w:spacing w:after="0" w:line="293" w:lineRule="auto"/>
        <w:rPr>
          <w:sz w:val="20"/>
          <w:szCs w:val="20"/>
          <w:color w:val="auto"/>
        </w:rPr>
      </w:pPr>
      <w:r>
        <w:rPr>
          <w:rFonts w:ascii="Arial" w:cs="Arial" w:eastAsia="Arial" w:hAnsi="Arial"/>
          <w:sz w:val="16"/>
          <w:szCs w:val="16"/>
          <w:color w:val="auto"/>
        </w:rPr>
        <w:t>Cost of goods sold and other expenses from operations for the nine months ended September 30, 2022 decreased by $58 million (4%) as compared to the comparable prior year period. The decrease was primarily due to lower costs attributable to lower aftermarket part sales which exceeded higher material and labor costs in automotive services. Gross margin on net sales and other revenue from operations for the nine months ended September 30, 2022 increased by $6 million (1%) as compared to the comparable prior year period. Gross margin as a percentage of net sales and other revenue from operations was 29% and 28% for the nine months ended September 30, 2022 and 2021, respectively.</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Food Packaging</w:t>
      </w:r>
    </w:p>
    <w:p>
      <w:pPr>
        <w:spacing w:after="0" w:line="225" w:lineRule="exact"/>
        <w:rPr>
          <w:sz w:val="20"/>
          <w:szCs w:val="20"/>
          <w:color w:val="auto"/>
        </w:rPr>
      </w:pPr>
    </w:p>
    <w:p>
      <w:pPr>
        <w:jc w:val="both"/>
        <w:ind w:left="60" w:right="419" w:firstLine="324"/>
        <w:spacing w:after="0" w:line="263" w:lineRule="auto"/>
        <w:rPr>
          <w:sz w:val="20"/>
          <w:szCs w:val="20"/>
          <w:color w:val="auto"/>
        </w:rPr>
      </w:pPr>
      <w:r>
        <w:rPr>
          <w:rFonts w:ascii="Arial" w:cs="Arial" w:eastAsia="Arial" w:hAnsi="Arial"/>
          <w:sz w:val="18"/>
          <w:szCs w:val="18"/>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2022 and 2021</w:t>
      </w:r>
    </w:p>
    <w:p>
      <w:pPr>
        <w:spacing w:after="0" w:line="225" w:lineRule="exact"/>
        <w:rPr>
          <w:sz w:val="20"/>
          <w:szCs w:val="20"/>
          <w:color w:val="auto"/>
        </w:rPr>
      </w:pPr>
    </w:p>
    <w:p>
      <w:pPr>
        <w:ind w:left="60" w:right="279" w:firstLine="324"/>
        <w:spacing w:after="0" w:line="272" w:lineRule="auto"/>
        <w:rPr>
          <w:sz w:val="20"/>
          <w:szCs w:val="20"/>
          <w:color w:val="auto"/>
        </w:rPr>
      </w:pPr>
      <w:r>
        <w:rPr>
          <w:rFonts w:ascii="Arial" w:cs="Arial" w:eastAsia="Arial" w:hAnsi="Arial"/>
          <w:sz w:val="17"/>
          <w:szCs w:val="17"/>
          <w:color w:val="auto"/>
        </w:rPr>
        <w:t>Net sales for the three months ended September 30, 2022 increased $7 million (7%) as compared to the comparable prior year period. The increase was due to an increase of $13 million in price and product mix, offset by a decrease of $1 million due to unfavorable effects of foreign exchange and a decrease of $5 million due to lower volumes. Cost of goods sold for the three months ended September 30, 2022 increased by $7 million (8%) as compared to the comparable prior year period due to the effects of raw material price inflation, manufacturing inefficiencies and distribution costs, offset in part by lower volumes. Gross margin as a percentage of net sales was 17% and 18% for the three months ended September 30, 2022 and 2021, respectively.</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2022 and 2021</w:t>
      </w:r>
    </w:p>
    <w:p>
      <w:pPr>
        <w:spacing w:after="0" w:line="225"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Net sales for the nine months ended September 30, 2022 increased $11 million (4%) as compared to the comparable prior year period. The increase was mostly due to an increase of $42 million in price and product mix, offset by a decrease of $10 million due to unfavorable effects of foreign exchange and a decrease of $21 million due to lower volumes. Cost of goods sold for the nine months ended September 30, 2022 increased by $10 million (4%) as compared to the comparable prior year period due to the effects of raw material price inflation, manufacturing inefficiencies and distribution costs. Gross margin as a percentage of net sales was 18% and 19% for the nine months ended September 30, 2022 and 2021, respectively.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Real Estate</w:t>
      </w:r>
    </w:p>
    <w:p>
      <w:pPr>
        <w:spacing w:after="0" w:line="225" w:lineRule="exact"/>
        <w:rPr>
          <w:sz w:val="20"/>
          <w:szCs w:val="20"/>
          <w:color w:val="auto"/>
        </w:rPr>
      </w:pPr>
    </w:p>
    <w:p>
      <w:pPr>
        <w:ind w:left="60" w:right="59" w:firstLine="324"/>
        <w:spacing w:after="0" w:line="296" w:lineRule="auto"/>
        <w:rPr>
          <w:sz w:val="20"/>
          <w:szCs w:val="20"/>
          <w:color w:val="auto"/>
        </w:rPr>
      </w:pPr>
      <w:r>
        <w:rPr>
          <w:rFonts w:ascii="Arial" w:cs="Arial" w:eastAsia="Arial" w:hAnsi="Arial"/>
          <w:sz w:val="16"/>
          <w:szCs w:val="16"/>
          <w:color w:val="auto"/>
        </w:rPr>
        <w:t>Our Real Estate segment consists primarily of investment properties, the development and sale of single-family homes, and the management of a country club. Sales of single-family homes are included in net sales in our consolidated statements of operations. Results from investment properties and country club operations are included in other revenues from operations in our consolidated statements of operations. Revenue from our real estate operations for each of the nine months ended September 30, 2022 and 2021 were primarily derived from the sale of residential units and rental operations.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Home Fashion</w:t>
      </w:r>
    </w:p>
    <w:p>
      <w:pPr>
        <w:spacing w:after="0" w:line="225" w:lineRule="exact"/>
        <w:rPr>
          <w:sz w:val="20"/>
          <w:szCs w:val="20"/>
          <w:color w:val="auto"/>
        </w:rPr>
      </w:pPr>
    </w:p>
    <w:p>
      <w:pPr>
        <w:ind w:left="60" w:right="459" w:firstLine="324"/>
        <w:spacing w:after="0" w:line="277" w:lineRule="auto"/>
        <w:rPr>
          <w:sz w:val="20"/>
          <w:szCs w:val="20"/>
          <w:color w:val="auto"/>
        </w:rPr>
      </w:pPr>
      <w:r>
        <w:rPr>
          <w:rFonts w:ascii="Arial" w:cs="Arial" w:eastAsia="Arial" w:hAnsi="Arial"/>
          <w:sz w:val="18"/>
          <w:szCs w:val="18"/>
          <w:color w:val="auto"/>
        </w:rPr>
        <w:t>Our Home Fashion segment is significantly influenced by the overall economic environment, including consumer spending, at the retail level, for home textile products.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2022 and 2021</w:t>
      </w:r>
    </w:p>
    <w:p>
      <w:pPr>
        <w:spacing w:after="0" w:line="225" w:lineRule="exact"/>
        <w:rPr>
          <w:sz w:val="20"/>
          <w:szCs w:val="20"/>
          <w:color w:val="auto"/>
        </w:rPr>
      </w:pPr>
    </w:p>
    <w:p>
      <w:pPr>
        <w:ind w:left="60" w:right="119" w:firstLine="324"/>
        <w:spacing w:after="0" w:line="255" w:lineRule="auto"/>
        <w:rPr>
          <w:sz w:val="20"/>
          <w:szCs w:val="20"/>
          <w:color w:val="auto"/>
        </w:rPr>
      </w:pPr>
      <w:r>
        <w:rPr>
          <w:rFonts w:ascii="Arial" w:cs="Arial" w:eastAsia="Arial" w:hAnsi="Arial"/>
          <w:sz w:val="18"/>
          <w:szCs w:val="18"/>
          <w:color w:val="auto"/>
        </w:rPr>
        <w:t>Net sales for the three months ended September 30, 2022 decreased by $2 million (4%) compared to the comparable prior year period primarily due to a decrease in demand on our Home Fashion segment’s retail business partially offset by an increase in demand on our Home Fashion segment’s hospitality business. Cost of goods sold for the three months ended September 30, 2022 was flat compared to the comparable prior year period. Gross margin as a percentage of net sales was 14% and 18% for the three months ended September 30, 2022 and 2021, respectively. The decrease is due to lower retail sales.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2022 and 2021</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sales for the nine months ended September 30, 2022 increased by $30 million (21%) compared to the comparable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prior year period primarily due to an increase in demand as leisure and business travel have increased due to the reduced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impact of the COVID-19 pandemic on our Home Fashion segment’s hospitality business. Cost of goods sold for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nine months ended September 30, 2022 increased $27 million (23%) compared to the comparable prior year period due to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higher material and freight costs. Gross margin as a percentage of net sales was 17% and 18% for the nine months ended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2022 and 2021, respectively.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Pharma</w:t>
      </w:r>
    </w:p>
    <w:p>
      <w:pPr>
        <w:spacing w:after="0" w:line="225"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Our Pharma segment derives revenues primarily from the sale of its products directly to customers, wholesalers and pharmacies.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2022 and 2021</w:t>
      </w:r>
    </w:p>
    <w:p>
      <w:pPr>
        <w:spacing w:after="0" w:line="225"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Net sales for the three months ended September 30, 2022 decreased by $5 million (28%) compared to the comparable prior year period primarily due to lower revenue resulting from increased rebates and customer chargebacks. Cost of goods sold for the three months ended September 30, 2022 was down $1 million (8%) compared to the prior year period due to lower volumes. Gross margin as a percentage of net sales was 15% and 33% for both of three months ending September 30, 2022 and 2021,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2022 and 2021</w:t>
      </w:r>
    </w:p>
    <w:p>
      <w:pPr>
        <w:spacing w:after="0" w:line="225"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color w:val="auto"/>
        </w:rPr>
        <w:t>Net sales for the nine months ended September 30, 2022 decreased $19 million (29%) compared to the comparable prior year period primarily due to the absence of a $13 million one-time sale of product to a single customer in the first quarter of 2021. Cost of goods sold for the nine months ended September 30, 2022 decreased $3 million (8%) compared to the prior year period due to lower volumes. Gross margin as a percentage of net sales was 24% and 42% for the nine months ending September 30, 2022 and 2021, respectively. The decrease is mostly due to the absence of the one-time sale in the first quarter of 2021 mentioned above.</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Holding Company</w:t>
      </w:r>
    </w:p>
    <w:p>
      <w:pPr>
        <w:spacing w:after="0" w:line="225" w:lineRule="exact"/>
        <w:rPr>
          <w:sz w:val="20"/>
          <w:szCs w:val="20"/>
          <w:color w:val="auto"/>
        </w:rPr>
      </w:pPr>
    </w:p>
    <w:p>
      <w:pPr>
        <w:ind w:left="60" w:right="259" w:firstLine="324"/>
        <w:spacing w:after="0" w:line="342" w:lineRule="auto"/>
        <w:rPr>
          <w:sz w:val="20"/>
          <w:szCs w:val="20"/>
          <w:color w:val="auto"/>
        </w:rPr>
      </w:pPr>
      <w:r>
        <w:rPr>
          <w:rFonts w:ascii="Arial" w:cs="Arial" w:eastAsia="Arial" w:hAnsi="Arial"/>
          <w:sz w:val="16"/>
          <w:szCs w:val="16"/>
          <w:color w:val="auto"/>
        </w:rPr>
        <w:t>Our Holding Company’s results of operations primarily reflect the interest expense on its senior unsecured notes and investment gains and losses from equity investments for each of the three months ended September 30, 2022 and 2021.</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2022 and 2021</w:t>
      </w:r>
    </w:p>
    <w:p>
      <w:pPr>
        <w:spacing w:after="0" w:line="225" w:lineRule="exact"/>
        <w:rPr>
          <w:sz w:val="20"/>
          <w:szCs w:val="20"/>
          <w:color w:val="auto"/>
        </w:rPr>
      </w:pPr>
    </w:p>
    <w:p>
      <w:pPr>
        <w:ind w:left="60" w:right="379" w:firstLine="324"/>
        <w:spacing w:after="0" w:line="311" w:lineRule="auto"/>
        <w:rPr>
          <w:sz w:val="20"/>
          <w:szCs w:val="20"/>
          <w:color w:val="auto"/>
        </w:rPr>
      </w:pPr>
      <w:r>
        <w:rPr>
          <w:rFonts w:ascii="Arial" w:cs="Arial" w:eastAsia="Arial" w:hAnsi="Arial"/>
          <w:sz w:val="16"/>
          <w:szCs w:val="16"/>
          <w:color w:val="auto"/>
        </w:rPr>
        <w:t>Our consolidated selling, general and administrative costs during the three months ended September 30, 2022 decreased by $11 million (3%) as compared to the comparable prior year period primarily due to lower expenses of our Automotive segment mainly related to decreased personnel costs driven by the transformation plan.</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2022 and 2021</w:t>
      </w:r>
    </w:p>
    <w:p>
      <w:pPr>
        <w:spacing w:after="0" w:line="225" w:lineRule="exact"/>
        <w:rPr>
          <w:sz w:val="20"/>
          <w:szCs w:val="20"/>
          <w:color w:val="auto"/>
        </w:rPr>
      </w:pPr>
    </w:p>
    <w:p>
      <w:pPr>
        <w:ind w:left="60" w:right="479" w:firstLine="324"/>
        <w:spacing w:after="0" w:line="279" w:lineRule="auto"/>
        <w:rPr>
          <w:sz w:val="20"/>
          <w:szCs w:val="20"/>
          <w:color w:val="auto"/>
        </w:rPr>
      </w:pPr>
      <w:r>
        <w:rPr>
          <w:rFonts w:ascii="Arial" w:cs="Arial" w:eastAsia="Arial" w:hAnsi="Arial"/>
          <w:sz w:val="17"/>
          <w:szCs w:val="17"/>
          <w:color w:val="auto"/>
        </w:rPr>
        <w:t>Our consolidated selling, general and administrative costs during the nine months ended September 30, 2022 decreased by $9 million (1%) as compared to the comparable prior year period primarily due to lower expenses of our Automotive segment mainly related to its transformation plan offset in part by higher expenses at our Energy segment mainly related to increased personnel costs driven by higher share-based compensation.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September 30, 2022 and 2021</w:t>
      </w:r>
    </w:p>
    <w:p>
      <w:pPr>
        <w:spacing w:after="0" w:line="225"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color w:val="auto"/>
        </w:rPr>
        <w:t>Our consolidated interest expense during the three months ended September 30, 2022 decreased by $19 million (12%) as compared to the comparable prior year period. The decrease was primarily due to lower interest expense for our Investment segment due to lower balances on certain credit default swap positions and lower interest expense for our Holding Company due to the $500 million debt repayment in February 2022.</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Nine Months Ended September 30, 2022 and 2021</w:t>
      </w:r>
    </w:p>
    <w:p>
      <w:pPr>
        <w:spacing w:after="0" w:line="225" w:lineRule="exact"/>
        <w:rPr>
          <w:sz w:val="20"/>
          <w:szCs w:val="20"/>
          <w:color w:val="auto"/>
        </w:rPr>
      </w:pPr>
    </w:p>
    <w:p>
      <w:pPr>
        <w:ind w:left="60" w:right="179" w:firstLine="324"/>
        <w:spacing w:after="0" w:line="279" w:lineRule="auto"/>
        <w:rPr>
          <w:sz w:val="20"/>
          <w:szCs w:val="20"/>
          <w:color w:val="auto"/>
        </w:rPr>
      </w:pPr>
      <w:r>
        <w:rPr>
          <w:rFonts w:ascii="Arial" w:cs="Arial" w:eastAsia="Arial" w:hAnsi="Arial"/>
          <w:sz w:val="17"/>
          <w:szCs w:val="17"/>
          <w:color w:val="auto"/>
        </w:rPr>
        <w:t>Our consolidated interest expense during the nine months ended September 30, 2022 decreased by $87 million (17%) as compared to the comparable prior year period. The decrease was primarily due to lower interest expense from our Investment segment due to lower balances on certain credit default swap positions and lower interest expense for our Holding Company due to the $500 million debt repayment in February 2022.</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Certain of our subsidiaries are partnerships not subject to taxation in our condensed consolidated financial statements and certain other subsidiaries are corporations, or subsidiaries of corporations, subject to taxation in our condensed consolidated financial statements. Therefore, our consolidated effective tax rate generally differs from the statutory federal tax rate. Refer to Note 13, “Income Taxes,” to the condensed consolidated financial statements for a discussion of income taxes.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Holding Company Liquidity</w:t>
      </w:r>
    </w:p>
    <w:p>
      <w:pPr>
        <w:spacing w:after="0" w:line="225" w:lineRule="exact"/>
        <w:rPr>
          <w:sz w:val="20"/>
          <w:szCs w:val="20"/>
          <w:color w:val="auto"/>
        </w:rPr>
      </w:pPr>
    </w:p>
    <w:p>
      <w:pPr>
        <w:jc w:val="both"/>
        <w:ind w:left="60" w:right="179" w:firstLine="324"/>
        <w:spacing w:after="0" w:line="301" w:lineRule="auto"/>
        <w:rPr>
          <w:sz w:val="20"/>
          <w:szCs w:val="20"/>
          <w:color w:val="auto"/>
        </w:rPr>
      </w:pPr>
      <w:r>
        <w:rPr>
          <w:rFonts w:ascii="Arial" w:cs="Arial" w:eastAsia="Arial" w:hAnsi="Arial"/>
          <w:sz w:val="16"/>
          <w:szCs w:val="16"/>
          <w:color w:val="auto"/>
        </w:rPr>
        <w:t>We are a holding company. Our cash flow and our ability to meet our debt service obligations and make distributions with respect to depositary units depends on the cash flow resulting from divestitures, equity offerings and debt financings, interest income, returns on our interests in the Investment Funds and the payment of funds to us by our subsidiaries in the form of loans, dividends and distributions. We may pursue various means to raise cash from our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color w:val="auto"/>
        </w:rPr>
        <w:t>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177" w:lineRule="exact"/>
        <w:rPr>
          <w:sz w:val="20"/>
          <w:szCs w:val="20"/>
          <w:color w:val="auto"/>
        </w:rPr>
      </w:pPr>
    </w:p>
    <w:p>
      <w:pPr>
        <w:ind w:left="60" w:right="59" w:firstLine="324"/>
        <w:spacing w:after="0" w:line="255" w:lineRule="auto"/>
        <w:rPr>
          <w:sz w:val="20"/>
          <w:szCs w:val="20"/>
          <w:color w:val="auto"/>
        </w:rPr>
      </w:pPr>
      <w:r>
        <w:rPr>
          <w:rFonts w:ascii="Arial" w:cs="Arial" w:eastAsia="Arial" w:hAnsi="Arial"/>
          <w:sz w:val="18"/>
          <w:szCs w:val="18"/>
          <w:color w:val="auto"/>
        </w:rPr>
        <w:t>As of September 30, 2022, our Holding Company had cash and cash equivalents of approximately $1.7 billion and total debt of approximately $5.3 billion. As of September 30, 2022, our Holding Company had investments in the Investment Funds with a total fair market value of approximately $4.4 billion. We may redeem our direct investment in the Investment Funds upon notice. See “Investment Segment Liquidity” below for additional information with respect to our Investment segment liquidity. See “Consolidated Cash Flows” below for additional information with respect to our Holding Company liquidity.</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60" w:type="dxa"/>
            <w:vAlign w:val="bottom"/>
          </w:tcPr>
          <w:p>
            <w:pPr>
              <w:ind w:left="20"/>
              <w:spacing w:after="0"/>
              <w:rPr>
                <w:sz w:val="20"/>
                <w:szCs w:val="20"/>
                <w:color w:val="auto"/>
              </w:rPr>
            </w:pPr>
            <w:r>
              <w:rPr>
                <w:rFonts w:ascii="Arial" w:cs="Arial" w:eastAsia="Arial" w:hAnsi="Arial"/>
                <w:sz w:val="18"/>
                <w:szCs w:val="18"/>
                <w:i w:val="1"/>
                <w:iCs w:val="1"/>
                <w:color w:val="auto"/>
              </w:rPr>
              <w:t>Holding Company Borrowings and Availability</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27"/>
        </w:trPr>
        <w:tc>
          <w:tcPr>
            <w:tcW w:w="646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r>
      <w:tr>
        <w:trPr>
          <w:trHeight w:val="128"/>
        </w:trPr>
        <w:tc>
          <w:tcPr>
            <w:tcW w:w="6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tcPr>
          <w:p>
            <w:pPr>
              <w:ind w:left="620"/>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6.750% senior unsecured notes due 2024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4.750% senior unsecured notes due 2024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1,105</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6.375% senior unsecured notes due 2025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6.250% senior unsecured notes due 2026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5.250% senior unsecured notes due 2027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4.375% senior unsecured notes due 2029</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r>
      <w:tr>
        <w:trPr>
          <w:trHeight w:val="210"/>
        </w:trPr>
        <w:tc>
          <w:tcPr>
            <w:tcW w:w="64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w:t>
            </w:r>
          </w:p>
        </w:tc>
      </w:tr>
      <w:tr>
        <w:trPr>
          <w:trHeight w:val="20"/>
        </w:trPr>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Holding Company debt consists of various issues of fixed-rate senior unsecured notes issued by Icahn Enterprises and Icahn Enterprises Finance Corp. (together the “Issuers”) and guaranteed by Icahn Enterprises Holdings (the “Guarantor”). Interest on each tranche of senior unsecured notes is payable semi-annually.</w:t>
      </w:r>
    </w:p>
    <w:p>
      <w:pPr>
        <w:spacing w:after="0" w:line="184" w:lineRule="exact"/>
        <w:rPr>
          <w:sz w:val="20"/>
          <w:szCs w:val="20"/>
          <w:color w:val="auto"/>
        </w:rPr>
      </w:pPr>
    </w:p>
    <w:p>
      <w:pPr>
        <w:ind w:left="60" w:right="419" w:firstLine="324"/>
        <w:spacing w:after="0" w:line="263" w:lineRule="auto"/>
        <w:rPr>
          <w:sz w:val="20"/>
          <w:szCs w:val="20"/>
          <w:color w:val="auto"/>
        </w:rPr>
      </w:pPr>
      <w:r>
        <w:rPr>
          <w:rFonts w:ascii="Arial" w:cs="Arial" w:eastAsia="Arial" w:hAnsi="Arial"/>
          <w:sz w:val="18"/>
          <w:szCs w:val="18"/>
          <w:color w:val="auto"/>
        </w:rPr>
        <w:t>In February 2022, we redeemed all of our $500 million in aggregate principal amount of 6.750% senior unsecured notes due 2024 at par. This transaction is expected to result in annual savings of approximately $34 million in future interest expense.</w:t>
      </w:r>
    </w:p>
    <w:p>
      <w:pPr>
        <w:spacing w:after="0" w:line="184"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Each of our senior unsecured notes and the related guarantees are the senior unsecured obligations of the Issuers and rank equally with all of the Issuers’ and the Guarantor’s existing and future senior unsecured indebtedness and senior to all of the Issuers’ and the Guarantor’s existing and future subordinated indebtedness. Each of our senior unsecured notes and the related guarantees are effectively subordinated to the Issuers’ and the Guarantor’s existing and future secured indebtedness to the extent of the collateral securing such indebtedness. Each of our senior unsecured notes and the related guarantees are also effectively subordinated to all indebtedness and other liabilities of the Issuers’ subsidiaries other than the Guarantor.</w:t>
      </w:r>
    </w:p>
    <w:p>
      <w:pPr>
        <w:spacing w:after="0" w:line="177" w:lineRule="exact"/>
        <w:rPr>
          <w:sz w:val="20"/>
          <w:szCs w:val="20"/>
          <w:color w:val="auto"/>
        </w:rPr>
      </w:pPr>
    </w:p>
    <w:p>
      <w:pPr>
        <w:ind w:left="60" w:right="159" w:firstLine="324"/>
        <w:spacing w:after="0" w:line="288" w:lineRule="auto"/>
        <w:rPr>
          <w:sz w:val="20"/>
          <w:szCs w:val="20"/>
          <w:color w:val="auto"/>
        </w:rPr>
      </w:pPr>
      <w:r>
        <w:rPr>
          <w:rFonts w:ascii="Arial" w:cs="Arial" w:eastAsia="Arial" w:hAnsi="Arial"/>
          <w:sz w:val="16"/>
          <w:szCs w:val="16"/>
          <w:color w:val="auto"/>
        </w:rPr>
        <w:t>The indentures governing our senior unsecured notes described above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Icahn Enterprises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Additionally, each of the senior unsecured notes outstanding as of September 30, 2022, except for the 4.750% senior unsecured notes due 2024, the 5.250% senior unsecured notes due 2027 and 4.375% senior unsecured notes due 2029, are subject to optional redemption premiums in the event we redeem any of the notes prior to certain dates as described in the indentures.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firstLine="324"/>
        <w:spacing w:after="0" w:line="279" w:lineRule="auto"/>
        <w:rPr>
          <w:sz w:val="20"/>
          <w:szCs w:val="20"/>
          <w:color w:val="auto"/>
        </w:rPr>
      </w:pPr>
      <w:r>
        <w:rPr>
          <w:rFonts w:ascii="Arial" w:cs="Arial" w:eastAsia="Arial" w:hAnsi="Arial"/>
          <w:sz w:val="17"/>
          <w:szCs w:val="17"/>
          <w:color w:val="auto"/>
        </w:rPr>
        <w:t>As of September 30, 2022 and December 31, 2021, we were in compliance with all covenants, including maintaining certain minimum financial ratios, as defined in the indentures. Additionally, as of September 30, 2022, based on covenants in the indentures governing our senior unsecured notes, we are not permitted to incur additional indebtedness; however, we are permitted to issue new notes in connection with debt refinancings of existing notes.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At-The-Market Offerings</w:t>
      </w:r>
    </w:p>
    <w:p>
      <w:pPr>
        <w:spacing w:after="0" w:line="225"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During the nine months ended September 30, 2022, Icahn Enterprises sold 10,677,046 depositary units pursuant to its Open Market Sale Agreement, resulting in gross proceeds of $557 million. As of September 30, 2022, we continue to have an active Open Market Sale Agreement and Icahn Enterprises may sell its depositary units for up to an additional $128 million in aggregate gross sale proceeds pursuant to this agreement. No assurance can be made that any or all amounts will be sold during the term of the agreement, and we have no obligation to sell additional depositary units under the Open Market Sale Agreement. Depending on market conditions, we may continue to sell depositary units under the Open Market Sale Agreement, and, if appropriate, enter into a new Open Market Sale Agreement to continue our “at-the-market” sales program once we have sold the full amount of our existing Open Market Sale Agreement. Our ability to access remaining capital under our “at-the-market” program may be limited by market conditions at the time of any future potential sale. While we were able to sell shares during the nine months ended September 30, 2022, there can be no assurance that any future capital will be available on acceptable terms or at all under this program.</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LP Unit Distributions</w:t>
      </w:r>
    </w:p>
    <w:p>
      <w:pPr>
        <w:spacing w:after="0" w:line="225"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During the nine months ended September, 30, 2022, Icahn Enterprises declared three quarterly distributions aggregating $6.00 per depositary unit in which each depositary unitholder had the option to make an election to receive either cash or additional depositary units. In connection with this distribution, aggregate cash distributions to all depositary unitholders that made a timely election to receive cash was $158 million during the nine months ended September 30, 2022.</w:t>
      </w:r>
    </w:p>
    <w:p>
      <w:pPr>
        <w:spacing w:after="0" w:line="188"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On November 2, 2022, the Board of Directors of the general partner of Icahn Enterprises declared a quarterly distribution in the amount of $2.00 per depositary unit, which will be paid on or about December 21, 2022 to depositary unitholders of record at the close of business on November 18, 2022. Depositary unitholders will have until December 9, 2022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December 16, 2022. Icahn Enterprises will make a cash payment in lieu of issuing fractional depositary units to any unitholders electing to receive (or who are deemed to have elected to receive) depositary units.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 of Investments</w:t>
      </w:r>
    </w:p>
    <w:p>
      <w:pPr>
        <w:spacing w:after="0" w:line="225" w:lineRule="exact"/>
        <w:rPr>
          <w:sz w:val="20"/>
          <w:szCs w:val="20"/>
          <w:color w:val="auto"/>
        </w:rPr>
      </w:pPr>
    </w:p>
    <w:p>
      <w:pPr>
        <w:ind w:left="60" w:right="499" w:firstLine="324"/>
        <w:spacing w:after="0" w:line="277" w:lineRule="auto"/>
        <w:rPr>
          <w:sz w:val="20"/>
          <w:szCs w:val="20"/>
          <w:color w:val="auto"/>
        </w:rPr>
      </w:pPr>
      <w:r>
        <w:rPr>
          <w:rFonts w:ascii="Arial" w:cs="Arial" w:eastAsia="Arial" w:hAnsi="Arial"/>
          <w:sz w:val="18"/>
          <w:szCs w:val="18"/>
          <w:color w:val="auto"/>
        </w:rPr>
        <w:t>During the nine months ended September 30, 2022, we received proceeds of $153 million from the sale of equity investments held by the Holding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Segment Liquidity</w:t>
      </w:r>
    </w:p>
    <w:p>
      <w:pPr>
        <w:spacing w:after="0" w:line="225" w:lineRule="exact"/>
        <w:rPr>
          <w:sz w:val="20"/>
          <w:szCs w:val="20"/>
          <w:color w:val="auto"/>
        </w:rPr>
      </w:pPr>
    </w:p>
    <w:p>
      <w:pPr>
        <w:ind w:left="60" w:right="79" w:firstLine="324"/>
        <w:spacing w:after="0" w:line="308" w:lineRule="auto"/>
        <w:rPr>
          <w:sz w:val="20"/>
          <w:szCs w:val="20"/>
          <w:color w:val="auto"/>
        </w:rPr>
      </w:pPr>
      <w:r>
        <w:rPr>
          <w:rFonts w:ascii="Arial" w:cs="Arial" w:eastAsia="Arial" w:hAnsi="Arial"/>
          <w:sz w:val="17"/>
          <w:szCs w:val="17"/>
          <w:color w:val="auto"/>
        </w:rPr>
        <w:t>In addition to investments by us and Mr. Icahn, the Investment Funds historically have access to significant amounts of cash available from prime brokerage lines of credit, subject to customary terms and market conditions.</w:t>
      </w:r>
    </w:p>
    <w:p>
      <w:pPr>
        <w:spacing w:after="0" w:line="146"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Additionally, our Investment segment liquidity is driven by the investment activities and performance of the Investment Funds. As of September 30, 2022, the Investment Funds had a net short notional exposure of 54%. The Investment Funds’ long exposure was 66% (66% long equity) and its short exposure was 120% (111% short equity and 9% short credit). The notional exposure represents the ratio of the notional exposure of the Investment Funds’ invested capital to the net asset value of the Investment Funds at September 30,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color w:val="auto"/>
        </w:rPr>
        <w:t>Of the Investment Funds’ 66% long exposure, 50% was comprised of the fair value of its long positions and 16% was comprised mostly of single name equity forward and swap contracts. Of the Investment Funds’ 120% short exposure, 56% was comprised of the fair value of its short positions (with certain adjustments) and 64% was comprised mostly of short broad market index swap derivative contracts and short credit default swap contracts.</w:t>
      </w:r>
    </w:p>
    <w:p>
      <w:pPr>
        <w:spacing w:after="0" w:line="171" w:lineRule="exact"/>
        <w:rPr>
          <w:sz w:val="20"/>
          <w:szCs w:val="20"/>
          <w:color w:val="auto"/>
        </w:rPr>
      </w:pPr>
    </w:p>
    <w:p>
      <w:pPr>
        <w:ind w:left="60" w:right="199" w:firstLine="324"/>
        <w:spacing w:after="0" w:line="275" w:lineRule="auto"/>
        <w:rPr>
          <w:sz w:val="20"/>
          <w:szCs w:val="20"/>
          <w:color w:val="auto"/>
        </w:rPr>
      </w:pPr>
      <w:r>
        <w:rPr>
          <w:rFonts w:ascii="Arial" w:cs="Arial" w:eastAsia="Arial" w:hAnsi="Arial"/>
          <w:sz w:val="17"/>
          <w:szCs w:val="17"/>
          <w:color w:val="auto"/>
        </w:rPr>
        <w:t>With respect to both our long positions that are not notionalized (50% long exposure) and our short positions that are not notionalized (56% short exposure),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176"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With respect to the notional value of our other short positions (64%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Segment Liquidity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Cash and Cash Equivalents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Segment cash and cash equivalents (excluding our Investment segment)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6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28"/>
        </w:trPr>
        <w:tc>
          <w:tcPr>
            <w:tcW w:w="6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tcPr>
          <w:p>
            <w:pPr>
              <w:ind w:left="620"/>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Fashion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Pharma</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64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Segment Borrowings and Availability</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6460" w:type="dxa"/>
            <w:vAlign w:val="bottom"/>
          </w:tcPr>
          <w:p>
            <w:pPr>
              <w:ind w:left="340"/>
              <w:spacing w:after="0"/>
              <w:rPr>
                <w:sz w:val="20"/>
                <w:szCs w:val="20"/>
                <w:color w:val="auto"/>
              </w:rPr>
            </w:pPr>
            <w:r>
              <w:rPr>
                <w:rFonts w:ascii="Arial" w:cs="Arial" w:eastAsia="Arial" w:hAnsi="Arial"/>
                <w:sz w:val="18"/>
                <w:szCs w:val="18"/>
                <w:color w:val="auto"/>
              </w:rPr>
              <w:t>Segment debt consists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3980" w:type="dxa"/>
            <w:vAlign w:val="bottom"/>
            <w:gridSpan w:val="4"/>
          </w:tcPr>
          <w:p>
            <w:pPr>
              <w:ind w:left="266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38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r>
      <w:tr>
        <w:trPr>
          <w:trHeight w:val="128"/>
        </w:trPr>
        <w:tc>
          <w:tcPr>
            <w:tcW w:w="38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4"/>
          </w:tcPr>
          <w:p>
            <w:pPr>
              <w:jc w:val="right"/>
              <w:spacing w:after="0" w:line="129" w:lineRule="exact"/>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1"/>
                <w:szCs w:val="1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Energy</w:t>
            </w:r>
          </w:p>
        </w:tc>
        <w:tc>
          <w:tcPr>
            <w:tcW w:w="29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Automotive</w:t>
            </w:r>
          </w:p>
        </w:tc>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Food Packaging</w:t>
            </w:r>
          </w:p>
        </w:tc>
        <w:tc>
          <w:tcPr>
            <w:tcW w:w="2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Real Estate</w:t>
            </w:r>
          </w:p>
        </w:tc>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Home Fashion</w:t>
            </w:r>
          </w:p>
        </w:tc>
        <w:tc>
          <w:tcPr>
            <w:tcW w:w="26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9"/>
        </w:trPr>
        <w:tc>
          <w:tcPr>
            <w:tcW w:w="38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38"/>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w:t>
            </w:r>
          </w:p>
        </w:tc>
      </w:tr>
      <w:tr>
        <w:trPr>
          <w:trHeight w:val="20"/>
        </w:trPr>
        <w:tc>
          <w:tcPr>
            <w:tcW w:w="3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299" w:firstLine="324"/>
        <w:spacing w:after="0" w:line="263" w:lineRule="auto"/>
        <w:rPr>
          <w:sz w:val="20"/>
          <w:szCs w:val="20"/>
          <w:color w:val="auto"/>
        </w:rPr>
      </w:pPr>
      <w:r>
        <w:rPr>
          <w:rFonts w:ascii="Arial" w:cs="Arial" w:eastAsia="Arial" w:hAnsi="Arial"/>
          <w:sz w:val="18"/>
          <w:szCs w:val="18"/>
          <w:color w:val="auto"/>
        </w:rPr>
        <w:t>Refer to our Annual Report on Form 10-K for the year ended December 31, 2021 for information concerning terms, restrictions and covenants pertaining to our subsidiaries’ debt. As of September 30, 2022, all of our subsidiaries were in compliance with all debt covenants.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Our segments have additional borrowing availability under certain revolving credit facilities as summarized below: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Energy</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Food Packaging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Home Fashion</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September 30,</w:t>
      </w:r>
    </w:p>
    <w:p>
      <w:pPr>
        <w:spacing w:after="0" w:line="50" w:lineRule="exact"/>
        <w:rPr>
          <w:sz w:val="20"/>
          <w:szCs w:val="20"/>
          <w:color w:val="auto"/>
        </w:rPr>
      </w:pPr>
    </w:p>
    <w:p>
      <w:pPr>
        <w:ind w:left="408"/>
        <w:spacing w:after="0"/>
        <w:rPr>
          <w:sz w:val="20"/>
          <w:szCs w:val="20"/>
          <w:color w:val="auto"/>
        </w:rPr>
      </w:pP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46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ind w:left="228"/>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635</wp:posOffset>
            </wp:positionV>
            <wp:extent cx="564896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848" w:hanging="848"/>
        <w:spacing w:after="0"/>
        <w:tabs>
          <w:tab w:leader="none" w:pos="848" w:val="left"/>
        </w:tabs>
        <w:numPr>
          <w:ilvl w:val="0"/>
          <w:numId w:val="10"/>
        </w:numPr>
        <w:rPr>
          <w:rFonts w:ascii="Arial" w:cs="Arial" w:eastAsia="Arial" w:hAnsi="Arial"/>
          <w:sz w:val="16"/>
          <w:szCs w:val="16"/>
          <w:color w:val="auto"/>
        </w:rPr>
      </w:pPr>
      <w:r>
        <w:rPr>
          <w:rFonts w:ascii="Arial" w:cs="Arial" w:eastAsia="Arial" w:hAnsi="Arial"/>
          <w:sz w:val="16"/>
          <w:szCs w:val="16"/>
          <w:color w:val="auto"/>
        </w:rPr>
        <w:t>282</w:t>
      </w:r>
    </w:p>
    <w:p>
      <w:pPr>
        <w:spacing w:after="0" w:line="30" w:lineRule="exact"/>
        <w:rPr>
          <w:rFonts w:ascii="Arial" w:cs="Arial" w:eastAsia="Arial" w:hAnsi="Arial"/>
          <w:sz w:val="16"/>
          <w:szCs w:val="16"/>
          <w:color w:val="auto"/>
        </w:rPr>
      </w:pPr>
    </w:p>
    <w:p>
      <w:pPr>
        <w:ind w:left="1028"/>
        <w:spacing w:after="0"/>
        <w:rPr>
          <w:rFonts w:ascii="Arial" w:cs="Arial" w:eastAsia="Arial" w:hAnsi="Arial"/>
          <w:sz w:val="16"/>
          <w:szCs w:val="16"/>
          <w:color w:val="auto"/>
        </w:rPr>
      </w:pPr>
      <w:r>
        <w:rPr>
          <w:rFonts w:ascii="Arial" w:cs="Arial" w:eastAsia="Arial" w:hAnsi="Arial"/>
          <w:sz w:val="17"/>
          <w:szCs w:val="17"/>
          <w:color w:val="auto"/>
        </w:rPr>
        <w:t>6</w:t>
      </w:r>
    </w:p>
    <w:p>
      <w:pPr>
        <w:spacing w:after="0" w:line="20" w:lineRule="exact"/>
        <w:rPr>
          <w:rFonts w:ascii="Arial" w:cs="Arial" w:eastAsia="Arial" w:hAnsi="Arial"/>
          <w:sz w:val="16"/>
          <w:szCs w:val="16"/>
          <w:color w:val="auto"/>
        </w:rPr>
      </w:pPr>
    </w:p>
    <w:p>
      <w:pPr>
        <w:ind w:left="1028"/>
        <w:spacing w:after="0"/>
        <w:rPr>
          <w:rFonts w:ascii="Arial" w:cs="Arial" w:eastAsia="Arial" w:hAnsi="Arial"/>
          <w:sz w:val="16"/>
          <w:szCs w:val="16"/>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-123190</wp:posOffset>
            </wp:positionV>
            <wp:extent cx="564896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1" w:lineRule="exact"/>
        <w:rPr>
          <w:sz w:val="20"/>
          <w:szCs w:val="20"/>
          <w:color w:val="auto"/>
        </w:rPr>
      </w:pPr>
    </w:p>
    <w:p>
      <w:pPr>
        <w:ind w:left="848" w:hanging="848"/>
        <w:spacing w:after="0"/>
        <w:tabs>
          <w:tab w:leader="none" w:pos="848" w:val="left"/>
        </w:tabs>
        <w:numPr>
          <w:ilvl w:val="0"/>
          <w:numId w:val="11"/>
        </w:numPr>
        <w:rPr>
          <w:rFonts w:ascii="Arial" w:cs="Arial" w:eastAsia="Arial" w:hAnsi="Arial"/>
          <w:sz w:val="16"/>
          <w:szCs w:val="16"/>
          <w:color w:val="auto"/>
        </w:rPr>
      </w:pPr>
      <w:r>
        <w:rPr>
          <w:rFonts w:ascii="Arial" w:cs="Arial" w:eastAsia="Arial" w:hAnsi="Arial"/>
          <w:sz w:val="16"/>
          <w:szCs w:val="16"/>
          <w:color w:val="auto"/>
        </w:rPr>
        <w:t>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461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7461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52" w:space="720"/>
            <w:col w:w="1247"/>
          </w:cols>
          <w:pgMar w:left="1440" w:top="517" w:right="1440" w:bottom="1440" w:gutter="0" w:footer="0" w:header="0"/>
          <w:type w:val="continuous"/>
        </w:sectPr>
      </w:pPr>
    </w:p>
    <w:p>
      <w:pPr>
        <w:spacing w:after="0" w:line="88" w:lineRule="exact"/>
        <w:rPr>
          <w:sz w:val="20"/>
          <w:szCs w:val="20"/>
          <w:color w:val="auto"/>
        </w:rPr>
      </w:pPr>
    </w:p>
    <w:p>
      <w:pPr>
        <w:ind w:left="60" w:right="479" w:firstLine="324"/>
        <w:spacing w:after="0" w:line="277" w:lineRule="auto"/>
        <w:rPr>
          <w:sz w:val="20"/>
          <w:szCs w:val="20"/>
          <w:color w:val="auto"/>
        </w:rPr>
      </w:pPr>
      <w:r>
        <w:rPr>
          <w:rFonts w:ascii="Arial" w:cs="Arial" w:eastAsia="Arial" w:hAnsi="Arial"/>
          <w:sz w:val="18"/>
          <w:szCs w:val="18"/>
          <w:color w:val="auto"/>
        </w:rPr>
        <w:t>The above outstanding debt and borrowing availability with respect to each of our continuing operating segments reflects third-party obligations.</w:t>
      </w:r>
    </w:p>
    <w:p>
      <w:pPr>
        <w:spacing w:after="0" w:line="170" w:lineRule="exact"/>
        <w:rPr>
          <w:sz w:val="20"/>
          <w:szCs w:val="20"/>
          <w:color w:val="auto"/>
        </w:rPr>
      </w:pPr>
    </w:p>
    <w:p>
      <w:pPr>
        <w:jc w:val="both"/>
        <w:ind w:left="60" w:right="199" w:firstLine="324"/>
        <w:spacing w:after="0" w:line="263" w:lineRule="auto"/>
        <w:rPr>
          <w:sz w:val="20"/>
          <w:szCs w:val="20"/>
          <w:color w:val="auto"/>
        </w:rPr>
      </w:pPr>
      <w:r>
        <w:rPr>
          <w:rFonts w:ascii="Arial" w:cs="Arial" w:eastAsia="Arial" w:hAnsi="Arial"/>
          <w:sz w:val="18"/>
          <w:szCs w:val="18"/>
          <w:color w:val="auto"/>
        </w:rPr>
        <w:t>In February 2022, CVR Partners redeemed the remaining $65 million aggregate principal amount of its 9.25% senior secured notes due June 2023 at par. This transaction is expected to result in annual savings of approximately $6 million in future interest expense.</w:t>
      </w:r>
    </w:p>
    <w:p>
      <w:pPr>
        <w:spacing w:after="0" w:line="184" w:lineRule="exact"/>
        <w:rPr>
          <w:sz w:val="20"/>
          <w:szCs w:val="20"/>
          <w:color w:val="auto"/>
        </w:rPr>
      </w:pPr>
    </w:p>
    <w:p>
      <w:pPr>
        <w:ind w:left="60" w:right="99" w:firstLine="324"/>
        <w:spacing w:after="0" w:line="311" w:lineRule="auto"/>
        <w:rPr>
          <w:sz w:val="20"/>
          <w:szCs w:val="20"/>
          <w:color w:val="auto"/>
        </w:rPr>
      </w:pPr>
      <w:r>
        <w:rPr>
          <w:rFonts w:ascii="Arial" w:cs="Arial" w:eastAsia="Arial" w:hAnsi="Arial"/>
          <w:sz w:val="16"/>
          <w:szCs w:val="16"/>
          <w:color w:val="auto"/>
        </w:rPr>
        <w:t>As of September 30, 2022 and December 31, 2021, total availability under CVR Refining and CVR Partners variable rate asset based revolving credit facilities aggregated $282 million and $396 million, respectively. CVR Refining also had $28 million and $39 million of letters of credit outstanding as of September 30, 2022 and December 31, 2021, respectively.</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Subsidiary Stock Repurchase Program</w:t>
      </w:r>
    </w:p>
    <w:p>
      <w:pPr>
        <w:spacing w:after="0" w:line="225"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On May 6, 2020, the Board of Directors of CVR Partners’ general partner approved a unit repurchase program which would enable it to repurchase up to $10 million of its common units from time to time through open market transactions, block trades, privately negotiated transactions or otherwise in accordance with applicable securities laws. On February 22, 2021, the Board of Directors of CVR Partners authorized an additional $10 million under the unit repurchase program. During the three months ended September 30, 2022 and 2021, CVR Partners did not repurchase any common units. During the nine months ended September 30, 2022 and 2021, CVR Partners repurchased 111,695 and 24,378 common units, respectively, on the open market at a cost of $12 million and $1 million, respectively. As of September 30, 2022, CVR Partners has a nominal amount remaining under its unit repurchase program.</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Subsidiary Dividends</w:t>
      </w:r>
    </w:p>
    <w:p>
      <w:pPr>
        <w:spacing w:after="0" w:line="225" w:lineRule="exact"/>
        <w:rPr>
          <w:sz w:val="20"/>
          <w:szCs w:val="20"/>
          <w:color w:val="auto"/>
        </w:rPr>
      </w:pPr>
    </w:p>
    <w:p>
      <w:pPr>
        <w:jc w:val="both"/>
        <w:ind w:left="60" w:right="379" w:firstLine="324"/>
        <w:spacing w:after="0" w:line="263" w:lineRule="auto"/>
        <w:rPr>
          <w:sz w:val="20"/>
          <w:szCs w:val="20"/>
          <w:color w:val="auto"/>
        </w:rPr>
      </w:pPr>
      <w:r>
        <w:rPr>
          <w:rFonts w:ascii="Arial" w:cs="Arial" w:eastAsia="Arial" w:hAnsi="Arial"/>
          <w:sz w:val="18"/>
          <w:szCs w:val="18"/>
          <w:color w:val="auto"/>
        </w:rPr>
        <w:t>For the first quarter of 2022, our Energy segment paid a cash dividend of $0.40 per share, which was paid May 23, 2022 to shareholders of record as of May 13, 2022. Our portion of the dividend included approximately $28 million in cash.</w:t>
      </w:r>
    </w:p>
    <w:p>
      <w:pPr>
        <w:spacing w:after="0" w:line="184" w:lineRule="exact"/>
        <w:rPr>
          <w:sz w:val="20"/>
          <w:szCs w:val="20"/>
          <w:color w:val="auto"/>
        </w:rPr>
      </w:pPr>
    </w:p>
    <w:p>
      <w:pPr>
        <w:jc w:val="both"/>
        <w:ind w:left="60" w:right="179" w:firstLine="324"/>
        <w:spacing w:after="0" w:line="263" w:lineRule="auto"/>
        <w:rPr>
          <w:sz w:val="20"/>
          <w:szCs w:val="20"/>
          <w:color w:val="auto"/>
        </w:rPr>
      </w:pPr>
      <w:r>
        <w:rPr>
          <w:rFonts w:ascii="Arial" w:cs="Arial" w:eastAsia="Arial" w:hAnsi="Arial"/>
          <w:sz w:val="18"/>
          <w:szCs w:val="18"/>
          <w:color w:val="auto"/>
        </w:rPr>
        <w:t>For the second quarter of 2022, our Energy segment paid a cash dividend of $0.40 per share, which was paid August 22, 2022 to shareholders of record as of August 12, 2022. Our portion of the dividend included approximately $28 million in cash.</w:t>
      </w:r>
    </w:p>
    <w:p>
      <w:pPr>
        <w:spacing w:after="0" w:line="184"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For the second quarter of 2022, our Energy segment paid a special dividend of $2.60 per share, which was paid August 22, 2022 to shareholders of record as of August 12, 2022. Our portion of the dividend included approximately $185 million in cash.</w:t>
      </w:r>
    </w:p>
    <w:p>
      <w:pPr>
        <w:spacing w:after="0" w:line="184"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For the third quarter of 2022, our Energy segment declared a cash dividend of $0.40 per share, or $40 million, which is payable November 21, 2022 to shareholders of record as of November 14, 2022. Our portion of the dividend will include approximately $28 million in cash.</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firstLine="324"/>
        <w:spacing w:after="0" w:line="263" w:lineRule="auto"/>
        <w:rPr>
          <w:sz w:val="20"/>
          <w:szCs w:val="20"/>
          <w:color w:val="auto"/>
        </w:rPr>
      </w:pPr>
      <w:r>
        <w:rPr>
          <w:rFonts w:ascii="Arial" w:cs="Arial" w:eastAsia="Arial" w:hAnsi="Arial"/>
          <w:sz w:val="18"/>
          <w:szCs w:val="18"/>
          <w:color w:val="auto"/>
        </w:rPr>
        <w:t>In addition, for the third quarter, our Energy segment declared a special dividend of $1.00 per share, or $101 million, which is payable November 21, 2022 to shareholders of record as of November 14, 2022. Our portion of the dividend will include approximately $71 million in cash.</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225"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Our Holding Company’s cash flows are generally driven by payments and proceeds associated with our senior unsecured debt obligations and payments and proceeds associated with issuances of equity by Icahn Enterprises. Additionally, our Holding Company’s cash flows include transactions with our Investment and other operating segments.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and Brett Icahn, which are included in net cash flows from financing activities. Our other operating segments’ cash flows are driven by the activities and performance of each business as well as transactions with our Holding Company, as discussed below.</w:t>
      </w:r>
    </w:p>
    <w:p>
      <w:pPr>
        <w:spacing w:after="0" w:line="165"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The following table summarizes cash flow information for Icahn Enterprises’ reporting segments and our Holding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3"/>
              </w:rPr>
              <w:t>Nine Months Ended September 30, 2022</w:t>
            </w:r>
          </w:p>
        </w:tc>
        <w:tc>
          <w:tcPr>
            <w:tcW w:w="80" w:type="dxa"/>
            <w:vAlign w:val="bottom"/>
          </w:tcPr>
          <w:p>
            <w:pPr>
              <w:spacing w:after="0"/>
              <w:rPr>
                <w:sz w:val="14"/>
                <w:szCs w:val="14"/>
                <w:color w:val="auto"/>
              </w:rPr>
            </w:pPr>
          </w:p>
        </w:tc>
        <w:tc>
          <w:tcPr>
            <w:tcW w:w="272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2"/>
              </w:rPr>
              <w:t>Nine Months Ended September 30, 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620" w:type="dxa"/>
            <w:vAlign w:val="bottom"/>
            <w:tcBorders>
              <w:top w:val="single" w:sz="8" w:color="auto"/>
              <w:bottom w:val="single" w:sz="8" w:color="auto"/>
            </w:tcBorders>
            <w:gridSpan w:val="7"/>
          </w:tcPr>
          <w:p>
            <w:pPr>
              <w:jc w:val="center"/>
              <w:ind w:right="14"/>
              <w:spacing w:after="0" w:line="142" w:lineRule="exact"/>
              <w:rPr>
                <w:sz w:val="20"/>
                <w:szCs w:val="20"/>
                <w:color w:val="auto"/>
              </w:rPr>
            </w:pPr>
            <w:r>
              <w:rPr>
                <w:rFonts w:ascii="Arial" w:cs="Arial" w:eastAsia="Arial" w:hAnsi="Arial"/>
                <w:sz w:val="14"/>
                <w:szCs w:val="14"/>
                <w:b w:val="1"/>
                <w:bCs w:val="1"/>
                <w:color w:val="auto"/>
                <w:w w:val="93"/>
              </w:rPr>
              <w:t>Net Cash Provided By (Used In)</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700" w:type="dxa"/>
            <w:vAlign w:val="bottom"/>
            <w:tcBorders>
              <w:top w:val="single" w:sz="8" w:color="auto"/>
              <w:bottom w:val="single" w:sz="8" w:color="auto"/>
            </w:tcBorders>
            <w:gridSpan w:val="7"/>
          </w:tcPr>
          <w:p>
            <w:pPr>
              <w:jc w:val="center"/>
              <w:spacing w:after="0" w:line="142" w:lineRule="exact"/>
              <w:rPr>
                <w:sz w:val="20"/>
                <w:szCs w:val="20"/>
                <w:color w:val="auto"/>
              </w:rPr>
            </w:pPr>
            <w:r>
              <w:rPr>
                <w:rFonts w:ascii="Arial" w:cs="Arial" w:eastAsia="Arial" w:hAnsi="Arial"/>
                <w:sz w:val="14"/>
                <w:szCs w:val="14"/>
                <w:b w:val="1"/>
                <w:bCs w:val="1"/>
                <w:color w:val="auto"/>
                <w:w w:val="94"/>
              </w:rPr>
              <w:t>Net Cash Provided By (Used In)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Operating</w:t>
            </w:r>
          </w:p>
        </w:tc>
        <w:tc>
          <w:tcPr>
            <w:tcW w:w="120" w:type="dxa"/>
            <w:vAlign w:val="bottom"/>
          </w:tcPr>
          <w:p>
            <w:pPr>
              <w:spacing w:after="0"/>
              <w:rPr>
                <w:sz w:val="10"/>
                <w:szCs w:val="10"/>
                <w:color w:val="auto"/>
              </w:rPr>
            </w:pPr>
          </w:p>
        </w:tc>
        <w:tc>
          <w:tcPr>
            <w:tcW w:w="8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Investing</w:t>
            </w:r>
          </w:p>
        </w:tc>
        <w:tc>
          <w:tcPr>
            <w:tcW w:w="100" w:type="dxa"/>
            <w:vAlign w:val="bottom"/>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Financing</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Operating</w:t>
            </w:r>
          </w:p>
        </w:tc>
        <w:tc>
          <w:tcPr>
            <w:tcW w:w="120" w:type="dxa"/>
            <w:vAlign w:val="bottom"/>
          </w:tcPr>
          <w:p>
            <w:pPr>
              <w:spacing w:after="0"/>
              <w:rPr>
                <w:sz w:val="10"/>
                <w:szCs w:val="10"/>
                <w:color w:val="auto"/>
              </w:rPr>
            </w:pPr>
          </w:p>
        </w:tc>
        <w:tc>
          <w:tcPr>
            <w:tcW w:w="8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Investing</w:t>
            </w:r>
          </w:p>
        </w:tc>
        <w:tc>
          <w:tcPr>
            <w:tcW w:w="120" w:type="dxa"/>
            <w:vAlign w:val="bottom"/>
          </w:tcPr>
          <w:p>
            <w:pPr>
              <w:spacing w:after="0"/>
              <w:rPr>
                <w:sz w:val="10"/>
                <w:szCs w:val="10"/>
                <w:color w:val="auto"/>
              </w:rPr>
            </w:pPr>
          </w:p>
        </w:tc>
        <w:tc>
          <w:tcPr>
            <w:tcW w:w="72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w w:val="97"/>
              </w:rPr>
              <w:t>Financing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Activities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3"/>
              </w:rPr>
              <w:t>Activities</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Activities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3"/>
              </w:rPr>
              <w:t>Activities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4"/>
          </w:tcPr>
          <w:p>
            <w:pPr>
              <w:jc w:val="right"/>
              <w:ind w:right="415"/>
              <w:spacing w:after="0" w:line="129" w:lineRule="exact"/>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Holding Company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ind w:left="20"/>
              <w:spacing w:after="0"/>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Other Operating Segments: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Energy</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(543)</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Automotive</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Food Packaging</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Metals</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Home Fashion</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Pharma</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1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operating segments</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before eliminations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Eliminations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Consolidated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Eliminations</w:t>
      </w:r>
    </w:p>
    <w:p>
      <w:pPr>
        <w:spacing w:after="0" w:line="225"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Eliminations in the table above relate to certain of our Holding Company’s transactions with our Investment and other operating segments. Our Holding Company’s net (investments in) distributions from the Investments Funds, when applicable, are included in cash flows from investing activities for our Holding Company and cash flows from financing 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Holding Company</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Holding Company’s cash flows from operating activities for each of nine months ended September 30, 2022 and 2021 were primarily attributable to our semi-annual interest payments on our senior unsecured notes. The decrease in interest payments over the comparable period is primarily due to the redemption of $500 million of senior unsecured notes in February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Our Holding Company’s cash flows from investing activities for the nine months ended September 30, 2022 were primarily attributable to proceeds from the sale of equity investments aggregating $153 million, dividends from our Energy segment of $242 million offset in part by contributions to our operating subsidiaries aggregating $110 million. Our Holding Company’s cash flows from investing activities for the nine months ended September 30, 2021 were primarily attributable to proceeds from the sale of equity investments and debt securities aggregating $396 million and dividends from our Energy segment of $171 million offset in part by a net investment in our Automotive segment of $405 million.</w:t>
      </w:r>
    </w:p>
    <w:p>
      <w:pPr>
        <w:spacing w:after="0" w:line="164"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Our Holding Company’s cash flows used in financing activities for the nine months ended September 30, 2022 were due to the redemption of $500 million of senior unsecured notes offset in part by proceeds from our “at-the-market” offering. Our Holding Company’s cash flows from financing activities for the nine months ended September 30, 2021 were due to proceeds from our “at-the-market” offering, offset in part by the aggregate payments on our quarterly distributions.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Segment</w:t>
      </w:r>
    </w:p>
    <w:p>
      <w:pPr>
        <w:spacing w:after="0" w:line="225"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Our Investment segment’s cash flows from operating activities for the comparable periods were attributable to its net investment transactions.</w:t>
      </w:r>
    </w:p>
    <w:p>
      <w:pPr>
        <w:spacing w:after="0" w:line="170" w:lineRule="exact"/>
        <w:rPr>
          <w:sz w:val="20"/>
          <w:szCs w:val="20"/>
          <w:color w:val="auto"/>
        </w:rPr>
      </w:pPr>
    </w:p>
    <w:p>
      <w:pPr>
        <w:jc w:val="both"/>
        <w:ind w:left="60" w:right="339" w:firstLine="324"/>
        <w:spacing w:after="0" w:line="263" w:lineRule="auto"/>
        <w:rPr>
          <w:sz w:val="20"/>
          <w:szCs w:val="20"/>
          <w:color w:val="auto"/>
        </w:rPr>
      </w:pPr>
      <w:r>
        <w:rPr>
          <w:rFonts w:ascii="Arial" w:cs="Arial" w:eastAsia="Arial" w:hAnsi="Arial"/>
          <w:sz w:val="18"/>
          <w:szCs w:val="18"/>
          <w:color w:val="auto"/>
        </w:rPr>
        <w:t>Our Investment segment’s cash flows from financing activities for the nine months ended September 30, 2022 and 2021 were attributable to Brett Icahn’s net redemptions from the Funds of $14 million and contributions to the Funds of $62 million, respectively.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Operating Segments</w:t>
      </w:r>
    </w:p>
    <w:p>
      <w:pPr>
        <w:spacing w:after="0" w:line="225" w:lineRule="exact"/>
        <w:rPr>
          <w:sz w:val="20"/>
          <w:szCs w:val="20"/>
          <w:color w:val="auto"/>
        </w:rPr>
      </w:pPr>
    </w:p>
    <w:p>
      <w:pPr>
        <w:ind w:left="60" w:right="119" w:firstLine="324"/>
        <w:spacing w:after="0" w:line="255" w:lineRule="auto"/>
        <w:rPr>
          <w:sz w:val="20"/>
          <w:szCs w:val="20"/>
          <w:color w:val="auto"/>
        </w:rPr>
      </w:pPr>
      <w:r>
        <w:rPr>
          <w:rFonts w:ascii="Arial" w:cs="Arial" w:eastAsia="Arial" w:hAnsi="Arial"/>
          <w:sz w:val="18"/>
          <w:szCs w:val="18"/>
          <w:color w:val="auto"/>
        </w:rPr>
        <w:t>Our other operating segments’ cash flows from operating activities included net cash flows from operating activities before changes in operating assets and liabilities of $719 million and $137 million for the nine months ended September 30, 2022 and 2021, respectively, primarily due to the results of our Energy and Automotive segment during both periods. The change in cash flows from operating activities for the nine months ended September 30, 2022 as compared to the comparable prior year was primarily due to an increase in the operating results of our Energy segment primarily associated with increased crude oil prices during 2022.</w:t>
      </w:r>
    </w:p>
    <w:p>
      <w:pPr>
        <w:spacing w:after="0" w:line="192" w:lineRule="exact"/>
        <w:rPr>
          <w:sz w:val="20"/>
          <w:szCs w:val="20"/>
          <w:color w:val="auto"/>
        </w:rPr>
      </w:pPr>
    </w:p>
    <w:p>
      <w:pPr>
        <w:jc w:val="both"/>
        <w:ind w:left="60" w:right="439" w:firstLine="324"/>
        <w:spacing w:after="0" w:line="301" w:lineRule="auto"/>
        <w:rPr>
          <w:sz w:val="20"/>
          <w:szCs w:val="20"/>
          <w:color w:val="auto"/>
        </w:rPr>
      </w:pPr>
      <w:r>
        <w:rPr>
          <w:rFonts w:ascii="Arial" w:cs="Arial" w:eastAsia="Arial" w:hAnsi="Arial"/>
          <w:sz w:val="16"/>
          <w:szCs w:val="16"/>
          <w:color w:val="auto"/>
        </w:rPr>
        <w:t>Our other operating segments’ cash flows from investing activities were primarily due to capital expenditures and turnaround expenditures of $219 million in 2022 compared to $190 million in 2021 in our Energy segment and capital expenditures of $85 million in 2022 compared to $33 million in 2021 within our Automotive segment. In addition, our Energy segment acquired a pipeline for cash consideration of $20 million in the first quarter of 2021.</w:t>
      </w:r>
    </w:p>
    <w:p>
      <w:pPr>
        <w:spacing w:after="0" w:line="157"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Our other operating segments’ cash flows from financing activities were primarily due to our Energy segment. For the nine months ended September 30, 2022, our Energy segment paid a distribution to noncontrolling interests of $218 million, compared to $81 million paid in the nine months ended September 30, 2021. In addition, for the nine months ended September 30, 2022, our Energy segment redeemed senior notes of $65 million, compared to $567 million in redemptions during the nine months ended September 30, 2021.</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Capital Expenditures</w:t>
      </w:r>
    </w:p>
    <w:p>
      <w:pPr>
        <w:spacing w:after="0" w:line="225" w:lineRule="exact"/>
        <w:rPr>
          <w:sz w:val="20"/>
          <w:szCs w:val="20"/>
          <w:color w:val="auto"/>
        </w:rPr>
      </w:pPr>
    </w:p>
    <w:p>
      <w:pPr>
        <w:ind w:left="60" w:right="739" w:firstLine="324"/>
        <w:spacing w:after="0" w:line="342" w:lineRule="auto"/>
        <w:rPr>
          <w:sz w:val="20"/>
          <w:szCs w:val="20"/>
          <w:color w:val="auto"/>
        </w:rPr>
      </w:pPr>
      <w:r>
        <w:rPr>
          <w:rFonts w:ascii="Arial" w:cs="Arial" w:eastAsia="Arial" w:hAnsi="Arial"/>
          <w:sz w:val="16"/>
          <w:szCs w:val="16"/>
          <w:color w:val="auto"/>
        </w:rPr>
        <w:t>There have been no material changes to our planned capital expenditures as compared to the estimated capital expenditures for 2022 reported in our Annual Report on Form 10-K for the year ended December 31, 2021.</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The critical accounting estimates used in the preparation of our condensed consolidated financial statements that we believe affect our more significant judgments and estimates used in the preparation of our condensed consolidated financial statements presented in this Report are described in Management’s Discussion and Analysis of Financial Condition and Results of Operations and in the Notes to the consolidated financial statements included in our Annual Report on Form 10-K for the year ended December 31,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59" w:firstLine="324"/>
        <w:spacing w:after="0" w:line="263" w:lineRule="auto"/>
        <w:rPr>
          <w:sz w:val="20"/>
          <w:szCs w:val="20"/>
          <w:color w:val="auto"/>
        </w:rPr>
      </w:pPr>
      <w:r>
        <w:rPr>
          <w:rFonts w:ascii="Arial" w:cs="Arial" w:eastAsia="Arial" w:hAnsi="Arial"/>
          <w:sz w:val="18"/>
          <w:szCs w:val="18"/>
          <w:color w:val="auto"/>
        </w:rPr>
        <w:t>There have been no material changes to our critical accounting policies and estimates during the three months ended September 30, 2022 as compared to those reported in our Annual Report on Form 10-K for the year ended December 31,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left="60" w:right="879" w:firstLine="324"/>
        <w:spacing w:after="0" w:line="342" w:lineRule="auto"/>
        <w:rPr>
          <w:sz w:val="20"/>
          <w:szCs w:val="20"/>
          <w:color w:val="auto"/>
        </w:rPr>
      </w:pPr>
      <w:r>
        <w:rPr>
          <w:rFonts w:ascii="Arial" w:cs="Arial" w:eastAsia="Arial" w:hAnsi="Arial"/>
          <w:sz w:val="16"/>
          <w:szCs w:val="16"/>
          <w:color w:val="auto"/>
        </w:rPr>
        <w:t>Refer to Note 2, “Basis of Presentation and Summary of Significant Accounting Policies,” to the condensed consolidated financial statements for a discussion of recent accounting pronouncements applicable to us.</w:t>
      </w: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Except as discussed below, information about our quantitative and qualitative disclosures about market risk did not differ materially from those disclosed in our Annual Report on Form 10-K for the year ended December 31, 2021.</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pacing w:after="0" w:line="164"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September 30, 2022, we estimate that in the event of a 10% adverse change in the fair value of these investments, the fair values of securities owned, securities sold, not yet purchased and derivatives would be negatively impacted by approximately $479 million, $538 million and $915 million, respectively. However, as of September 30, 2022, we estimate that the impact to our share of the net gain (loss) from investment activities reported in our condensed consolidated statement of operations would be less than the change in fair value since we have an interest of approximately 46% in the Investment Funds.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right="179" w:firstLine="324"/>
        <w:spacing w:after="0" w:line="289" w:lineRule="auto"/>
        <w:rPr>
          <w:sz w:val="20"/>
          <w:szCs w:val="20"/>
          <w:color w:val="auto"/>
        </w:rPr>
      </w:pPr>
      <w:r>
        <w:rPr>
          <w:rFonts w:ascii="Arial" w:cs="Arial" w:eastAsia="Arial" w:hAnsi="Arial"/>
          <w:sz w:val="16"/>
          <w:szCs w:val="16"/>
          <w:color w:val="auto"/>
        </w:rPr>
        <w:t>As of September 30, 2022, our management, including our Chief Executive Officer and Chief Financial Officer, evaluated the effectiveness of the design and operation of Icahn Enterprises’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Securities and Exchange Commission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359" w:firstLine="324"/>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We are, and will continue to be, subject to litigation from time to time in the ordinary course of business. Refer to Note 16, “Commitments and Contingencies” to the condensed consolidated financial statements, which is incorporated by reference into this Part II, Item 1 of this Report, for information regarding our lawsuits and proceedings. Except for the lawsuits and proceedings disclosed in Note 16, there were no material changes to our lawsuits and proceedings as compared to those reported in our Annual Report on Form 10-K for the year ended December 31, 2021.</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359" w:firstLine="324"/>
        <w:spacing w:after="0" w:line="263" w:lineRule="auto"/>
        <w:rPr>
          <w:sz w:val="20"/>
          <w:szCs w:val="20"/>
          <w:color w:val="auto"/>
        </w:rPr>
      </w:pPr>
      <w:r>
        <w:rPr>
          <w:rFonts w:ascii="Arial" w:cs="Arial" w:eastAsia="Arial" w:hAnsi="Arial"/>
          <w:sz w:val="18"/>
          <w:szCs w:val="18"/>
          <w:color w:val="auto"/>
        </w:rPr>
        <w:t>Except for the risk factors updated below there were no material changes to our risk factors during the nine months ended September 30, 2022 as compared to those reported in our Annual Report on Form 10-K for the year ended December 31,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Global economic conditions may have adverse impacts on our businesses and financial condition.</w:t>
      </w:r>
    </w:p>
    <w:p>
      <w:pPr>
        <w:spacing w:after="0" w:line="225"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Changes in economic conditions could adversely affect our financial condition and results of operations. A number of economic factors, including, but not limited to, consumer interest rates, consumer confidence and debt levels, retail trends, housing starts, sales of existing homes, the level and availability of mortgage refinancing, and commodity prices, may generally adversely affect our businesses, financial condition and results of operations. Recessionary economic cycles, higher and protracted unemployment rates, increased fuel and other energy and commodity costs, rising costs of transportation and increased tax rates and general inflationary pressures can have a material adverse impact on our businesses, and may adversely affect demand for sales of our businesses’ products, or the costs of materials and services utilized in their operations, and the performance of our Investment Funds. The ongoing conflict in Ukraine has exacerbated many of these issues, including leading to increased prices of gasoline and distillates as a result of the global increase in commodity prices, which for example, has impacted, and may continue to impact, the input costs for our Energy segment. These factors could have a material adverse effect on our revenues, income from operations and our cash flows.</w:t>
      </w:r>
    </w:p>
    <w:p>
      <w:pPr>
        <w:spacing w:after="0" w:line="172"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We and our subsidiaries are subject to cybersecurity and other technological risks that could disrupt our information technology systems and adversely affect our financial performance.</w:t>
      </w:r>
    </w:p>
    <w:p>
      <w:pPr>
        <w:spacing w:after="0" w:line="170" w:lineRule="exact"/>
        <w:rPr>
          <w:sz w:val="20"/>
          <w:szCs w:val="20"/>
          <w:color w:val="auto"/>
        </w:rPr>
      </w:pPr>
    </w:p>
    <w:p>
      <w:pPr>
        <w:ind w:left="60" w:right="119" w:firstLine="324"/>
        <w:spacing w:after="0" w:line="286" w:lineRule="auto"/>
        <w:rPr>
          <w:sz w:val="20"/>
          <w:szCs w:val="20"/>
          <w:color w:val="auto"/>
        </w:rPr>
      </w:pPr>
      <w:r>
        <w:rPr>
          <w:rFonts w:ascii="Arial" w:cs="Arial" w:eastAsia="Arial" w:hAnsi="Arial"/>
          <w:sz w:val="16"/>
          <w:szCs w:val="16"/>
          <w:color w:val="auto"/>
        </w:rPr>
        <w:t>Threats to information technology systems associated with cybersecurity and other technological risks and cyber incidents or attacks continue to grow. We and our subsidiaries depend on the accuracy, capacity and security of our information technology systems and those used by our third-party service providers. In addition, we and our subsidiaries collect, process and retain sensitive and confidential information in the normal course of business, including information about our employees, customers and other third parties. Despite the security measures we have in place and any additional measures we may implement in the future, our facilities, systems, and networks, and those of our third-party service providers, could be vulnerable to security breaches, computer viruses, lost or misplaced data, programming errors, human errors, employee misconduct, malicious attacks, acts of vandalism or other events. In addition, hardware, software or applications we develop or obtain from third parties may contain defects in design or manufacture or other problems that could result in security breaches or disruptions. Further, the United States government has warned of the potential risk of Russian cyberattacks stemming from the ongoing Russian/Ukraine conflict. These events or any other disruption or compromise of our or our third-party service providers’ information technology systems could negatively impact our business operations or result in the misappropriation, loss or other unauthorized disclosure of sensitive and confidential information. Such events could damage our reputation, expose us to the risks of litigation and liability, disrupt our business or otherwise affect our results of operations, any of which could adversely affect our financial performance.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or Proceeds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We do not have a publicly announced repurchase plan or program in effect. The table below summarizes other repurchases of our depositary units during the quarter ended September 30, 2022, all of which represent units withheld to pay taxes on the vesting of restricted depositary units.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360" w:type="dxa"/>
            <w:vAlign w:val="bottom"/>
          </w:tcPr>
          <w:p>
            <w:pPr>
              <w:spacing w:after="0"/>
              <w:rPr>
                <w:sz w:val="17"/>
                <w:szCs w:val="17"/>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Number of Units</w:t>
            </w:r>
          </w:p>
        </w:tc>
        <w:tc>
          <w:tcPr>
            <w:tcW w:w="10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Average Price</w:t>
            </w:r>
          </w:p>
        </w:tc>
      </w:tr>
      <w:tr>
        <w:trPr>
          <w:trHeight w:val="210"/>
        </w:trPr>
        <w:tc>
          <w:tcPr>
            <w:tcW w:w="236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Repurchased</w:t>
            </w:r>
          </w:p>
        </w:tc>
        <w:tc>
          <w:tcPr>
            <w:tcW w:w="100" w:type="dxa"/>
            <w:vAlign w:val="bottom"/>
          </w:tcPr>
          <w:p>
            <w:pPr>
              <w:spacing w:after="0"/>
              <w:rPr>
                <w:sz w:val="18"/>
                <w:szCs w:val="18"/>
                <w:color w:val="auto"/>
              </w:rPr>
            </w:pPr>
          </w:p>
        </w:tc>
        <w:tc>
          <w:tcPr>
            <w:tcW w:w="1080" w:type="dxa"/>
            <w:vAlign w:val="bottom"/>
          </w:tcPr>
          <w:p>
            <w:pPr>
              <w:jc w:val="right"/>
              <w:ind w:right="219"/>
              <w:spacing w:after="0"/>
              <w:rPr>
                <w:sz w:val="20"/>
                <w:szCs w:val="20"/>
                <w:color w:val="auto"/>
              </w:rPr>
            </w:pPr>
            <w:r>
              <w:rPr>
                <w:rFonts w:ascii="Arial" w:cs="Arial" w:eastAsia="Arial" w:hAnsi="Arial"/>
                <w:sz w:val="16"/>
                <w:szCs w:val="16"/>
                <w:b w:val="1"/>
                <w:bCs w:val="1"/>
                <w:color w:val="auto"/>
              </w:rPr>
              <w:t>Per Unit</w:t>
            </w:r>
          </w:p>
        </w:tc>
      </w:tr>
      <w:tr>
        <w:trPr>
          <w:trHeight w:val="192"/>
        </w:trPr>
        <w:tc>
          <w:tcPr>
            <w:tcW w:w="2360" w:type="dxa"/>
            <w:vAlign w:val="bottom"/>
          </w:tcPr>
          <w:p>
            <w:pPr>
              <w:spacing w:after="0"/>
              <w:rPr>
                <w:sz w:val="20"/>
                <w:szCs w:val="20"/>
                <w:color w:val="auto"/>
              </w:rPr>
            </w:pPr>
            <w:r>
              <w:rPr>
                <w:rFonts w:ascii="Arial" w:cs="Arial" w:eastAsia="Arial" w:hAnsi="Arial"/>
                <w:sz w:val="16"/>
                <w:szCs w:val="16"/>
                <w:color w:val="auto"/>
              </w:rPr>
              <w:t>July 1 through July 31</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360" w:type="dxa"/>
            <w:vAlign w:val="bottom"/>
          </w:tcPr>
          <w:p>
            <w:pPr>
              <w:spacing w:after="0"/>
              <w:rPr>
                <w:sz w:val="20"/>
                <w:szCs w:val="20"/>
                <w:color w:val="auto"/>
              </w:rPr>
            </w:pPr>
            <w:r>
              <w:rPr>
                <w:rFonts w:ascii="Arial" w:cs="Arial" w:eastAsia="Arial" w:hAnsi="Arial"/>
                <w:sz w:val="16"/>
                <w:szCs w:val="16"/>
                <w:color w:val="auto"/>
              </w:rPr>
              <w:t>August 1 through August 31</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2360" w:type="dxa"/>
            <w:vAlign w:val="bottom"/>
          </w:tcPr>
          <w:p>
            <w:pPr>
              <w:spacing w:after="0"/>
              <w:rPr>
                <w:sz w:val="20"/>
                <w:szCs w:val="20"/>
                <w:color w:val="auto"/>
              </w:rPr>
            </w:pPr>
            <w:r>
              <w:rPr>
                <w:rFonts w:ascii="Arial" w:cs="Arial" w:eastAsia="Arial" w:hAnsi="Arial"/>
                <w:sz w:val="16"/>
                <w:szCs w:val="16"/>
                <w:color w:val="auto"/>
                <w:w w:val="91"/>
              </w:rPr>
              <w:t>September 1 through September 30</w:t>
            </w:r>
          </w:p>
        </w:tc>
        <w:tc>
          <w:tcPr>
            <w:tcW w:w="1160" w:type="dxa"/>
            <w:vAlign w:val="bottom"/>
          </w:tcPr>
          <w:p>
            <w:pPr>
              <w:jc w:val="right"/>
              <w:spacing w:after="0"/>
              <w:rPr>
                <w:sz w:val="20"/>
                <w:szCs w:val="20"/>
                <w:color w:val="auto"/>
              </w:rPr>
            </w:pPr>
            <w:r>
              <w:rPr>
                <w:rFonts w:ascii="Arial" w:cs="Arial" w:eastAsia="Arial" w:hAnsi="Arial"/>
                <w:sz w:val="16"/>
                <w:szCs w:val="16"/>
                <w:color w:val="auto"/>
              </w:rPr>
              <w:t>17,920</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49.77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-389890</wp:posOffset>
            </wp:positionV>
            <wp:extent cx="564896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-124460</wp:posOffset>
            </wp:positionV>
            <wp:extent cx="564896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w:t>
            </w:r>
          </w:p>
        </w:tc>
      </w:tr>
      <w:tr>
        <w:trPr>
          <w:trHeight w:val="203"/>
        </w:trPr>
        <w:tc>
          <w:tcPr>
            <w:tcW w:w="19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Total Number of Units</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5"/>
              </w:rPr>
              <w:t>(or Approximate Dollar</w:t>
            </w:r>
          </w:p>
        </w:tc>
      </w:tr>
      <w:tr>
        <w:trPr>
          <w:trHeight w:val="203"/>
        </w:trPr>
        <w:tc>
          <w:tcPr>
            <w:tcW w:w="19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Purchased as Part of</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3"/>
              </w:rPr>
              <w:t>Value) of Units that May</w:t>
            </w:r>
          </w:p>
        </w:tc>
      </w:tr>
      <w:tr>
        <w:trPr>
          <w:trHeight w:val="203"/>
        </w:trPr>
        <w:tc>
          <w:tcPr>
            <w:tcW w:w="19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Publicly Announced</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be Purchased Under the</w:t>
            </w:r>
          </w:p>
        </w:tc>
      </w:tr>
      <w:tr>
        <w:trPr>
          <w:trHeight w:val="213"/>
        </w:trPr>
        <w:tc>
          <w:tcPr>
            <w:tcW w:w="1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Plans or Programs</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1"/>
              </w:rPr>
              <w:t>Plans or Programs</w:t>
            </w:r>
          </w:p>
        </w:tc>
      </w:tr>
      <w:tr>
        <w:trPr>
          <w:trHeight w:val="189"/>
        </w:trPr>
        <w:tc>
          <w:tcPr>
            <w:tcW w:w="1820" w:type="dxa"/>
            <w:vAlign w:val="bottom"/>
            <w:tcBorders>
              <w:top w:val="single" w:sz="8" w:color="auto"/>
            </w:tcBorders>
          </w:tcPr>
          <w:p>
            <w:pPr>
              <w:ind w:left="1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840" w:type="dxa"/>
            <w:vAlign w:val="bottom"/>
            <w:tcBorders>
              <w:top w:val="single" w:sz="8" w:color="auto"/>
            </w:tcBorders>
          </w:tcPr>
          <w:p>
            <w:pPr>
              <w:ind w:left="1640"/>
              <w:spacing w:after="0"/>
              <w:rPr>
                <w:sz w:val="20"/>
                <w:szCs w:val="20"/>
                <w:color w:val="auto"/>
              </w:rPr>
            </w:pPr>
            <w:r>
              <w:rPr>
                <w:rFonts w:ascii="Arial" w:cs="Arial" w:eastAsia="Arial" w:hAnsi="Arial"/>
                <w:sz w:val="16"/>
                <w:szCs w:val="16"/>
                <w:color w:val="auto"/>
              </w:rPr>
              <w:t>—</w:t>
            </w:r>
          </w:p>
        </w:tc>
      </w:tr>
      <w:tr>
        <w:trPr>
          <w:trHeight w:val="203"/>
        </w:trPr>
        <w:tc>
          <w:tcPr>
            <w:tcW w:w="1980" w:type="dxa"/>
            <w:vAlign w:val="bottom"/>
            <w:gridSpan w:val="2"/>
          </w:tcPr>
          <w:p>
            <w:pPr>
              <w:ind w:left="1600"/>
              <w:spacing w:after="0"/>
              <w:rPr>
                <w:sz w:val="20"/>
                <w:szCs w:val="20"/>
                <w:color w:val="auto"/>
              </w:rPr>
            </w:pPr>
            <w:r>
              <w:rPr>
                <w:rFonts w:ascii="Arial" w:cs="Arial" w:eastAsia="Arial" w:hAnsi="Arial"/>
                <w:sz w:val="16"/>
                <w:szCs w:val="16"/>
                <w:color w:val="auto"/>
              </w:rPr>
              <w:t>—</w:t>
            </w:r>
          </w:p>
        </w:tc>
        <w:tc>
          <w:tcPr>
            <w:tcW w:w="1840" w:type="dxa"/>
            <w:vAlign w:val="bottom"/>
          </w:tcPr>
          <w:p>
            <w:pPr>
              <w:ind w:left="1640"/>
              <w:spacing w:after="0"/>
              <w:rPr>
                <w:sz w:val="20"/>
                <w:szCs w:val="20"/>
                <w:color w:val="auto"/>
              </w:rPr>
            </w:pPr>
            <w:r>
              <w:rPr>
                <w:rFonts w:ascii="Arial" w:cs="Arial" w:eastAsia="Arial" w:hAnsi="Arial"/>
                <w:sz w:val="16"/>
                <w:szCs w:val="16"/>
                <w:color w:val="auto"/>
              </w:rPr>
              <w:t>—</w:t>
            </w:r>
          </w:p>
        </w:tc>
      </w:tr>
      <w:tr>
        <w:trPr>
          <w:trHeight w:val="206"/>
        </w:trPr>
        <w:tc>
          <w:tcPr>
            <w:tcW w:w="1980" w:type="dxa"/>
            <w:vAlign w:val="bottom"/>
            <w:gridSpan w:val="2"/>
          </w:tcPr>
          <w:p>
            <w:pPr>
              <w:ind w:left="1600"/>
              <w:spacing w:after="0"/>
              <w:rPr>
                <w:sz w:val="20"/>
                <w:szCs w:val="20"/>
                <w:color w:val="auto"/>
              </w:rPr>
            </w:pPr>
            <w:r>
              <w:rPr>
                <w:rFonts w:ascii="Arial" w:cs="Arial" w:eastAsia="Arial" w:hAnsi="Arial"/>
                <w:sz w:val="16"/>
                <w:szCs w:val="16"/>
                <w:color w:val="auto"/>
              </w:rPr>
              <w:t>—</w:t>
            </w:r>
          </w:p>
        </w:tc>
        <w:tc>
          <w:tcPr>
            <w:tcW w:w="1840" w:type="dxa"/>
            <w:vAlign w:val="bottom"/>
          </w:tcPr>
          <w:p>
            <w:pPr>
              <w:ind w:left="1640"/>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2">
            <w:col w:w="4940" w:space="180"/>
            <w:col w:w="3899"/>
          </w:cols>
          <w:pgMar w:left="1440" w:top="517" w:right="1440" w:bottom="1440" w:gutter="0" w:footer="0" w:header="0"/>
          <w:type w:val="continuous"/>
        </w:sectPr>
      </w:pP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Item 6. Exhibits</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 No.</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0" w:type="dxa"/>
            <w:vAlign w:val="bottom"/>
            <w:gridSpan w:val="6"/>
          </w:tcPr>
          <w:p>
            <w:pPr>
              <w:ind w:left="29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0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 w:type="dxa"/>
            <w:vAlign w:val="bottom"/>
          </w:tcPr>
          <w:p>
            <w:pPr>
              <w:jc w:val="center"/>
              <w:spacing w:after="0" w:line="169" w:lineRule="exact"/>
              <w:rPr>
                <w:sz w:val="20"/>
                <w:szCs w:val="20"/>
                <w:color w:val="auto"/>
              </w:rPr>
            </w:pPr>
            <w:r>
              <w:rPr>
                <w:rFonts w:ascii="Arial" w:cs="Arial" w:eastAsia="Arial" w:hAnsi="Arial"/>
                <w:sz w:val="18"/>
                <w:szCs w:val="18"/>
                <w:color w:val="auto"/>
                <w:w w:val="91"/>
              </w:rPr>
              <w:t>31.1</w:t>
            </w:r>
          </w:p>
        </w:tc>
        <w:tc>
          <w:tcPr>
            <w:tcW w:w="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600" w:type="dxa"/>
            <w:vAlign w:val="bottom"/>
            <w:gridSpan w:val="7"/>
          </w:tcPr>
          <w:p>
            <w:pPr>
              <w:spacing w:after="0" w:line="169" w:lineRule="exact"/>
              <w:rPr>
                <w:sz w:val="20"/>
                <w:szCs w:val="20"/>
                <w:color w:val="auto"/>
              </w:rPr>
            </w:pPr>
            <w:r>
              <w:rPr>
                <w:rFonts w:ascii="Arial" w:cs="Arial" w:eastAsia="Arial" w:hAnsi="Arial"/>
                <w:sz w:val="18"/>
                <w:szCs w:val="18"/>
                <w:color w:val="0000EE"/>
                <w:w w:val="94"/>
              </w:rPr>
              <w:t>Certification of Chief Executive Officer pursuant to Section 302(a) of the Sarbanes-Oxley Act of 2002</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8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and Rule 13a-14(a) of the Securities Exchange Act of 1934.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2"/>
              </w:rPr>
              <w:t>Certification of Chief Financial Officer pursuant to Section 302(a) of the Sarbanes-Oxley Act of 2002</w:t>
            </w:r>
          </w:p>
        </w:tc>
        <w:tc>
          <w:tcPr>
            <w:tcW w:w="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gridSpan w:val="7"/>
          </w:tcPr>
          <w:p>
            <w:pPr>
              <w:spacing w:after="0" w:line="196" w:lineRule="exact"/>
              <w:rPr>
                <w:sz w:val="20"/>
                <w:szCs w:val="20"/>
                <w:color w:val="auto"/>
              </w:rPr>
            </w:pPr>
            <w:r>
              <w:rPr>
                <w:rFonts w:ascii="Arial" w:cs="Arial" w:eastAsia="Arial" w:hAnsi="Arial"/>
                <w:sz w:val="18"/>
                <w:szCs w:val="18"/>
                <w:color w:val="0000EE"/>
              </w:rPr>
              <w:t>and Rule 13a-14(a) of the Securities Exchange Act of 1934.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0000EE"/>
                <w:w w:val="99"/>
              </w:rPr>
              <w:t>Certification of Chief Executive Officer and Chief Financial Officer pursuant to Section 906 of the</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7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gridSpan w:val="7"/>
          </w:tcPr>
          <w:p>
            <w:pPr>
              <w:spacing w:after="0" w:line="196" w:lineRule="exact"/>
              <w:rPr>
                <w:sz w:val="20"/>
                <w:szCs w:val="20"/>
                <w:color w:val="auto"/>
              </w:rPr>
            </w:pPr>
            <w:r>
              <w:rPr>
                <w:rFonts w:ascii="Arial" w:cs="Arial" w:eastAsia="Arial" w:hAnsi="Arial"/>
                <w:sz w:val="18"/>
                <w:szCs w:val="18"/>
                <w:color w:val="0000EE"/>
                <w:w w:val="95"/>
              </w:rPr>
              <w:t>Sarbanes-Oxley Act of 2002 (18 U.S.C. 1350) and Rule 13a-14(b) of the Securities Exchange Act of</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1934.</w:t>
            </w:r>
          </w:p>
        </w:tc>
        <w:tc>
          <w:tcPr>
            <w:tcW w:w="3900" w:type="dxa"/>
            <w:vAlign w:val="bottom"/>
            <w:tcBorders>
              <w:top w:val="single" w:sz="8" w:color="0000EE"/>
            </w:tcBorders>
          </w:tcPr>
          <w:p>
            <w:pPr>
              <w:spacing w:after="0"/>
              <w:rPr>
                <w:sz w:val="17"/>
                <w:szCs w:val="17"/>
                <w:color w:val="auto"/>
              </w:rPr>
            </w:pPr>
          </w:p>
        </w:tc>
        <w:tc>
          <w:tcPr>
            <w:tcW w:w="28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101.SCH</w:t>
            </w:r>
          </w:p>
        </w:tc>
        <w:tc>
          <w:tcPr>
            <w:tcW w:w="40" w:type="dxa"/>
            <w:vAlign w:val="bottom"/>
          </w:tcPr>
          <w:p>
            <w:pPr>
              <w:spacing w:after="0"/>
              <w:rPr>
                <w:sz w:val="21"/>
                <w:szCs w:val="21"/>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101.CAL</w:t>
            </w:r>
          </w:p>
        </w:tc>
        <w:tc>
          <w:tcPr>
            <w:tcW w:w="40" w:type="dxa"/>
            <w:vAlign w:val="bottom"/>
          </w:tcPr>
          <w:p>
            <w:pPr>
              <w:spacing w:after="0"/>
              <w:rPr>
                <w:sz w:val="23"/>
                <w:szCs w:val="23"/>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101.LAB</w:t>
            </w:r>
          </w:p>
        </w:tc>
        <w:tc>
          <w:tcPr>
            <w:tcW w:w="40" w:type="dxa"/>
            <w:vAlign w:val="bottom"/>
          </w:tcPr>
          <w:p>
            <w:pPr>
              <w:spacing w:after="0"/>
              <w:rPr>
                <w:sz w:val="23"/>
                <w:szCs w:val="23"/>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101.PRE</w:t>
            </w:r>
          </w:p>
        </w:tc>
        <w:tc>
          <w:tcPr>
            <w:tcW w:w="40" w:type="dxa"/>
            <w:vAlign w:val="bottom"/>
          </w:tcPr>
          <w:p>
            <w:pPr>
              <w:spacing w:after="0"/>
              <w:rPr>
                <w:sz w:val="23"/>
                <w:szCs w:val="23"/>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101.DEF</w:t>
            </w:r>
          </w:p>
        </w:tc>
        <w:tc>
          <w:tcPr>
            <w:tcW w:w="40" w:type="dxa"/>
            <w:vAlign w:val="bottom"/>
          </w:tcPr>
          <w:p>
            <w:pPr>
              <w:spacing w:after="0"/>
              <w:rPr>
                <w:sz w:val="23"/>
                <w:szCs w:val="23"/>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340" w:hanging="918"/>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99" w:firstLine="324"/>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Icahn Enterprises L.P.</w:t>
      </w:r>
    </w:p>
    <w:p>
      <w:pPr>
        <w:spacing w:after="0" w:line="200" w:lineRule="exact"/>
        <w:rPr>
          <w:sz w:val="20"/>
          <w:szCs w:val="20"/>
          <w:color w:val="auto"/>
        </w:rPr>
      </w:pPr>
    </w:p>
    <w:p>
      <w:pPr>
        <w:spacing w:after="0" w:line="245"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tab/>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tab/>
        <w:t>/s/David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David Willetts,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President, Chief Executive Officer and Director</w:t>
      </w:r>
    </w:p>
    <w:p>
      <w:pPr>
        <w:spacing w:after="0" w:line="200" w:lineRule="exact"/>
        <w:rPr>
          <w:sz w:val="20"/>
          <w:szCs w:val="20"/>
          <w:color w:val="auto"/>
        </w:rPr>
      </w:pPr>
    </w:p>
    <w:p>
      <w:pPr>
        <w:spacing w:after="0" w:line="238"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tab/>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tab/>
        <w:t>/s/Ted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Ted Papapostolou,</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Chief Financial Officer, Chief Accounting Officer</w:t>
      </w:r>
    </w:p>
    <w:p>
      <w:pPr>
        <w:spacing w:after="0" w:line="3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and Director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Willetts, certify that:</w:t>
      </w:r>
    </w:p>
    <w:p>
      <w:pPr>
        <w:spacing w:after="0" w:line="225" w:lineRule="exact"/>
        <w:rPr>
          <w:sz w:val="20"/>
          <w:szCs w:val="20"/>
          <w:color w:val="auto"/>
        </w:rPr>
      </w:pPr>
    </w:p>
    <w:p>
      <w:pPr>
        <w:ind w:left="500" w:hanging="179"/>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Icahn Enterprises L.P. for the period ended September 30, 2022;</w:t>
      </w:r>
    </w:p>
    <w:p>
      <w:pPr>
        <w:spacing w:after="0" w:line="248" w:lineRule="exact"/>
        <w:rPr>
          <w:rFonts w:ascii="Arial" w:cs="Arial" w:eastAsia="Arial" w:hAnsi="Arial"/>
          <w:sz w:val="16"/>
          <w:szCs w:val="16"/>
          <w:color w:val="auto"/>
        </w:rPr>
      </w:pPr>
    </w:p>
    <w:p>
      <w:pPr>
        <w:ind w:right="80" w:firstLine="321"/>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321"/>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3" w:lineRule="exact"/>
        <w:rPr>
          <w:rFonts w:ascii="Arial" w:cs="Arial" w:eastAsia="Arial" w:hAnsi="Arial"/>
          <w:sz w:val="18"/>
          <w:szCs w:val="18"/>
          <w:color w:val="auto"/>
        </w:rPr>
      </w:pPr>
    </w:p>
    <w:p>
      <w:pPr>
        <w:ind w:left="320" w:right="120" w:firstLine="325"/>
        <w:spacing w:after="0" w:line="311" w:lineRule="auto"/>
        <w:tabs>
          <w:tab w:leader="none" w:pos="829"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320" w:right="240" w:firstLine="325"/>
        <w:spacing w:after="0" w:line="311" w:lineRule="auto"/>
        <w:tabs>
          <w:tab w:leader="none" w:pos="8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320" w:right="20" w:firstLine="325"/>
        <w:spacing w:after="0" w:line="263" w:lineRule="auto"/>
        <w:tabs>
          <w:tab w:leader="none" w:pos="829"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20" w:right="140" w:firstLine="325"/>
        <w:spacing w:after="0" w:line="311" w:lineRule="auto"/>
        <w:tabs>
          <w:tab w:leader="none" w:pos="8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6"/>
          <w:szCs w:val="16"/>
          <w:color w:val="auto"/>
        </w:rPr>
      </w:pPr>
    </w:p>
    <w:p>
      <w:pPr>
        <w:ind w:right="220" w:firstLine="321"/>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20" w:right="440" w:firstLine="325"/>
        <w:spacing w:after="0" w:line="263" w:lineRule="auto"/>
        <w:tabs>
          <w:tab w:leader="none" w:pos="82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20" w:right="280" w:firstLine="325"/>
        <w:spacing w:after="0" w:line="277" w:lineRule="auto"/>
        <w:tabs>
          <w:tab w:leader="none" w:pos="83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14605</wp:posOffset>
            </wp:positionV>
            <wp:extent cx="33864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David Willetts</w:t>
      </w:r>
    </w:p>
    <w:p>
      <w:pPr>
        <w:spacing w:after="0" w:line="252" w:lineRule="exact"/>
        <w:rPr>
          <w:sz w:val="20"/>
          <w:szCs w:val="20"/>
          <w:color w:val="auto"/>
        </w:rPr>
      </w:pPr>
    </w:p>
    <w:p>
      <w:pPr>
        <w:ind w:left="4120" w:right="80"/>
        <w:spacing w:after="0" w:line="235" w:lineRule="auto"/>
        <w:rPr>
          <w:sz w:val="20"/>
          <w:szCs w:val="20"/>
          <w:color w:val="auto"/>
        </w:rPr>
      </w:pPr>
      <w:r>
        <w:rPr>
          <w:rFonts w:ascii="Arial" w:cs="Arial" w:eastAsia="Arial" w:hAnsi="Arial"/>
          <w:sz w:val="18"/>
          <w:szCs w:val="18"/>
          <w:color w:val="auto"/>
        </w:rPr>
        <w:t>President and Chief Executive Officer of Icahn Enterprises G.P. Inc., the general partner of Icahn Enterprises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121" w:right="1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Ted Papapostolou, certify that:</w:t>
      </w:r>
    </w:p>
    <w:p>
      <w:pPr>
        <w:spacing w:after="0" w:line="225" w:lineRule="exact"/>
        <w:rPr>
          <w:sz w:val="20"/>
          <w:szCs w:val="20"/>
          <w:color w:val="auto"/>
        </w:rPr>
      </w:pPr>
    </w:p>
    <w:p>
      <w:pPr>
        <w:ind w:left="500" w:hanging="179"/>
        <w:spacing w:after="0"/>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Icahn Enterprises L.P. for the period ended September 30, 2022;</w:t>
      </w:r>
    </w:p>
    <w:p>
      <w:pPr>
        <w:spacing w:after="0" w:line="248" w:lineRule="exact"/>
        <w:rPr>
          <w:rFonts w:ascii="Arial" w:cs="Arial" w:eastAsia="Arial" w:hAnsi="Arial"/>
          <w:sz w:val="16"/>
          <w:szCs w:val="16"/>
          <w:color w:val="auto"/>
        </w:rPr>
      </w:pPr>
    </w:p>
    <w:p>
      <w:pPr>
        <w:ind w:right="80" w:firstLine="321"/>
        <w:spacing w:after="0" w:line="263" w:lineRule="auto"/>
        <w:tabs>
          <w:tab w:leader="none" w:pos="5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321"/>
        <w:spacing w:after="0" w:line="263" w:lineRule="auto"/>
        <w:tabs>
          <w:tab w:leader="none" w:pos="5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3" w:lineRule="exact"/>
        <w:rPr>
          <w:rFonts w:ascii="Arial" w:cs="Arial" w:eastAsia="Arial" w:hAnsi="Arial"/>
          <w:sz w:val="18"/>
          <w:szCs w:val="18"/>
          <w:color w:val="auto"/>
        </w:rPr>
      </w:pPr>
    </w:p>
    <w:p>
      <w:pPr>
        <w:ind w:left="320" w:right="120" w:firstLine="325"/>
        <w:spacing w:after="0" w:line="311" w:lineRule="auto"/>
        <w:tabs>
          <w:tab w:leader="none" w:pos="829"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320" w:right="240" w:firstLine="325"/>
        <w:spacing w:after="0" w:line="311" w:lineRule="auto"/>
        <w:tabs>
          <w:tab w:leader="none" w:pos="8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320" w:right="20" w:firstLine="325"/>
        <w:spacing w:after="0" w:line="263" w:lineRule="auto"/>
        <w:tabs>
          <w:tab w:leader="none" w:pos="829"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20" w:right="140" w:firstLine="325"/>
        <w:spacing w:after="0" w:line="311" w:lineRule="auto"/>
        <w:tabs>
          <w:tab w:leader="none" w:pos="8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6"/>
          <w:szCs w:val="16"/>
          <w:color w:val="auto"/>
        </w:rPr>
      </w:pPr>
    </w:p>
    <w:p>
      <w:pPr>
        <w:ind w:right="20" w:firstLine="321"/>
        <w:spacing w:after="0" w:line="263" w:lineRule="auto"/>
        <w:tabs>
          <w:tab w:leader="none" w:pos="5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20" w:right="440" w:firstLine="325"/>
        <w:spacing w:after="0" w:line="263" w:lineRule="auto"/>
        <w:tabs>
          <w:tab w:leader="none" w:pos="829"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20" w:right="280" w:firstLine="325"/>
        <w:spacing w:after="0" w:line="277" w:lineRule="auto"/>
        <w:tabs>
          <w:tab w:leader="none" w:pos="839"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14605</wp:posOffset>
            </wp:positionV>
            <wp:extent cx="33864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Ted Papapostolou</w:t>
      </w:r>
    </w:p>
    <w:p>
      <w:pPr>
        <w:spacing w:after="0" w:line="50" w:lineRule="exact"/>
        <w:rPr>
          <w:sz w:val="20"/>
          <w:szCs w:val="20"/>
          <w:color w:val="auto"/>
        </w:rPr>
      </w:pPr>
    </w:p>
    <w:p>
      <w:pPr>
        <w:ind w:left="4120" w:right="580"/>
        <w:spacing w:after="0" w:line="235" w:lineRule="auto"/>
        <w:rPr>
          <w:sz w:val="20"/>
          <w:szCs w:val="20"/>
          <w:color w:val="auto"/>
        </w:rPr>
      </w:pPr>
      <w:r>
        <w:rPr>
          <w:rFonts w:ascii="Arial" w:cs="Arial" w:eastAsia="Arial" w:hAnsi="Arial"/>
          <w:sz w:val="18"/>
          <w:szCs w:val="18"/>
          <w:color w:val="auto"/>
        </w:rPr>
        <w:t>Chief Financial Officer of Icahn Enterprises G.P. Inc., the general partner of Icahn Enterprises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121" w:right="1239" w:bottom="1440" w:gutter="0" w:footer="0" w:header="0"/>
        </w:sectPr>
      </w:pPr>
    </w:p>
    <w:bookmarkStart w:id="59" w:name="page60"/>
    <w:bookmarkEnd w:id="59"/>
    <w:p>
      <w:pPr>
        <w:ind w:left="828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In connection with the quarterly report on Form 10-Q of Icahn Enterprises L.P., for the period ended September 30, 2022, the undersigned certify that, to the best of his knowledge, based upon a review of the Icahn Enterprises L.P. quarterly report on Form 10-Q for the period ended September 30, 2022:</w:t>
      </w:r>
    </w:p>
    <w:p>
      <w:pPr>
        <w:spacing w:after="0" w:line="184" w:lineRule="exact"/>
        <w:rPr>
          <w:sz w:val="20"/>
          <w:szCs w:val="20"/>
          <w:color w:val="auto"/>
        </w:rPr>
      </w:pPr>
    </w:p>
    <w:p>
      <w:pPr>
        <w:ind w:right="460" w:firstLine="321"/>
        <w:spacing w:after="0" w:line="277" w:lineRule="auto"/>
        <w:tabs>
          <w:tab w:leader="none" w:pos="57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500" w:firstLine="321"/>
        <w:spacing w:after="0" w:line="277" w:lineRule="auto"/>
        <w:tabs>
          <w:tab w:leader="none" w:pos="57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2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 David Willetts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14605</wp:posOffset>
            </wp:positionV>
            <wp:extent cx="34118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5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David Willetts</w:t>
      </w:r>
    </w:p>
    <w:p>
      <w:pPr>
        <w:spacing w:after="0" w:line="252" w:lineRule="exact"/>
        <w:rPr>
          <w:sz w:val="20"/>
          <w:szCs w:val="20"/>
          <w:color w:val="auto"/>
        </w:rPr>
      </w:pPr>
    </w:p>
    <w:p>
      <w:pPr>
        <w:ind w:left="4080" w:right="120"/>
        <w:spacing w:after="0" w:line="235" w:lineRule="auto"/>
        <w:rPr>
          <w:sz w:val="20"/>
          <w:szCs w:val="20"/>
          <w:color w:val="auto"/>
        </w:rPr>
      </w:pPr>
      <w:r>
        <w:rPr>
          <w:rFonts w:ascii="Arial" w:cs="Arial" w:eastAsia="Arial" w:hAnsi="Arial"/>
          <w:sz w:val="18"/>
          <w:szCs w:val="18"/>
          <w:color w:val="auto"/>
        </w:rPr>
        <w:t>President and Chief Executive Officer of Icahn Enterprises G.P. Inc., the general partner of Icahn Enterprises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2022</w:t>
      </w:r>
    </w:p>
    <w:p>
      <w:pPr>
        <w:spacing w:after="0" w:line="200" w:lineRule="exact"/>
        <w:rPr>
          <w:sz w:val="20"/>
          <w:szCs w:val="20"/>
          <w:color w:val="auto"/>
        </w:rPr>
      </w:pPr>
    </w:p>
    <w:p>
      <w:pPr>
        <w:spacing w:after="0" w:line="29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 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14605</wp:posOffset>
            </wp:positionV>
            <wp:extent cx="33864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Ted Papapostolou</w:t>
      </w:r>
    </w:p>
    <w:p>
      <w:pPr>
        <w:spacing w:after="0" w:line="50" w:lineRule="exact"/>
        <w:rPr>
          <w:sz w:val="20"/>
          <w:szCs w:val="20"/>
          <w:color w:val="auto"/>
        </w:rPr>
      </w:pPr>
    </w:p>
    <w:p>
      <w:pPr>
        <w:ind w:left="4120" w:right="580"/>
        <w:spacing w:after="0" w:line="235" w:lineRule="auto"/>
        <w:rPr>
          <w:sz w:val="20"/>
          <w:szCs w:val="20"/>
          <w:color w:val="auto"/>
        </w:rPr>
      </w:pPr>
      <w:r>
        <w:rPr>
          <w:rFonts w:ascii="Arial" w:cs="Arial" w:eastAsia="Arial" w:hAnsi="Arial"/>
          <w:sz w:val="18"/>
          <w:szCs w:val="18"/>
          <w:color w:val="auto"/>
        </w:rPr>
        <w:t>Chief Financial Officer of Icahn Enterprises G.P. Inc., the general partner of Icahn Enterprises L.P</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sectPr>
      <w:pgSz w:w="11900" w:h="16838" w:orient="portrait"/>
      <w:cols w:equalWidth="0" w:num="1">
        <w:col w:w="9420"/>
      </w:cols>
      <w:pgMar w:left="1240" w:top="121"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lowerRoman"/>
      <w:start w:val="3"/>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1."/>
      <w:numFmt w:val="decimal"/>
      <w:start w:val="14"/>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04"/>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2022-11-04T15:37:32Z</dcterms:created>
  <dcterms:modified xsi:type="dcterms:W3CDTF">2022-11-04T15:37:32Z</dcterms:modified>
</cp:coreProperties>
</file>