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UNITED STATES 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10-Q</w:t>
      </w:r>
    </w:p>
    <w:p>
      <w:pPr>
        <w:spacing w:after="0" w:line="100" w:lineRule="exact"/>
        <w:rPr>
          <w:sz w:val="24"/>
          <w:szCs w:val="24"/>
          <w:color w:val="auto"/>
        </w:rPr>
      </w:pPr>
    </w:p>
    <w:p>
      <w:pPr>
        <w:ind w:left="20"/>
        <w:spacing w:after="0"/>
        <w:rPr>
          <w:sz w:val="20"/>
          <w:szCs w:val="20"/>
          <w:color w:val="auto"/>
        </w:rPr>
      </w:pPr>
      <w:r>
        <w:rPr>
          <w:rFonts w:ascii="Arial" w:cs="Arial" w:eastAsia="Arial" w:hAnsi="Arial"/>
          <w:sz w:val="14"/>
          <w:szCs w:val="14"/>
          <w:color w:val="auto"/>
        </w:rPr>
        <w:t>(Mark one)</w:t>
      </w:r>
    </w:p>
    <w:p>
      <w:pPr>
        <w:spacing w:after="0" w:line="8" w:lineRule="exact"/>
        <w:rPr>
          <w:sz w:val="24"/>
          <w:szCs w:val="24"/>
          <w:color w:val="auto"/>
        </w:rPr>
      </w:pPr>
    </w:p>
    <w:p>
      <w:pPr>
        <w:ind w:left="3640" w:right="2720" w:hanging="3630"/>
        <w:spacing w:after="0" w:line="424" w:lineRule="auto"/>
        <w:tabs>
          <w:tab w:leader="none" w:pos="182"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March 31, 2021</w:t>
      </w:r>
    </w:p>
    <w:p>
      <w:pPr>
        <w:spacing w:after="0" w:line="217" w:lineRule="exact"/>
        <w:rPr>
          <w:sz w:val="24"/>
          <w:szCs w:val="24"/>
          <w:color w:val="auto"/>
        </w:rPr>
      </w:pPr>
    </w:p>
    <w:p>
      <w:pPr>
        <w:ind w:left="180" w:hanging="170"/>
        <w:spacing w:after="0"/>
        <w:tabs>
          <w:tab w:leader="none" w:pos="1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3020" w:type="dxa"/>
            <w:vAlign w:val="bottom"/>
            <w:gridSpan w:val="4"/>
          </w:tcPr>
          <w:p>
            <w:pPr>
              <w:ind w:left="400"/>
              <w:spacing w:after="0"/>
              <w:rPr>
                <w:sz w:val="20"/>
                <w:szCs w:val="20"/>
                <w:color w:val="auto"/>
              </w:rPr>
            </w:pPr>
            <w:r>
              <w:rPr>
                <w:rFonts w:ascii="Arial" w:cs="Arial" w:eastAsia="Arial" w:hAnsi="Arial"/>
                <w:sz w:val="14"/>
                <w:szCs w:val="14"/>
                <w:b w:val="1"/>
                <w:bCs w:val="1"/>
                <w:color w:val="auto"/>
              </w:rPr>
              <w:t>For the Transition Period from</w:t>
            </w:r>
          </w:p>
        </w:tc>
        <w:tc>
          <w:tcPr>
            <w:tcW w:w="500" w:type="dxa"/>
            <w:vAlign w:val="bottom"/>
          </w:tcPr>
          <w:p>
            <w:pPr>
              <w:ind w:left="120"/>
              <w:spacing w:after="0"/>
              <w:rPr>
                <w:sz w:val="20"/>
                <w:szCs w:val="20"/>
                <w:color w:val="auto"/>
              </w:rPr>
            </w:pPr>
            <w:r>
              <w:rPr>
                <w:rFonts w:ascii="Arial" w:cs="Arial" w:eastAsia="Arial" w:hAnsi="Arial"/>
                <w:sz w:val="14"/>
                <w:szCs w:val="14"/>
                <w:b w:val="1"/>
                <w:bCs w:val="1"/>
                <w:color w:val="auto"/>
              </w:rPr>
              <w:t>to</w:t>
            </w: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4"/>
        </w:trPr>
        <w:tc>
          <w:tcPr>
            <w:tcW w:w="3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00" w:type="dxa"/>
            <w:vAlign w:val="bottom"/>
          </w:tcPr>
          <w:p>
            <w:pPr>
              <w:jc w:val="center"/>
              <w:ind w:left="808"/>
              <w:spacing w:after="0"/>
              <w:rPr>
                <w:sz w:val="20"/>
                <w:szCs w:val="20"/>
                <w:color w:val="auto"/>
              </w:rPr>
            </w:pPr>
            <w:r>
              <w:rPr>
                <w:rFonts w:ascii="Arial" w:cs="Arial" w:eastAsia="Arial" w:hAnsi="Arial"/>
                <w:sz w:val="14"/>
                <w:szCs w:val="14"/>
                <w:color w:val="auto"/>
                <w:w w:val="92"/>
              </w:rPr>
              <w:t>(State or Other</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3300" w:type="dxa"/>
            <w:vAlign w:val="bottom"/>
          </w:tcPr>
          <w:p>
            <w:pPr>
              <w:spacing w:after="0"/>
              <w:rPr>
                <w:sz w:val="13"/>
                <w:szCs w:val="13"/>
                <w:color w:val="auto"/>
              </w:rPr>
            </w:pPr>
          </w:p>
        </w:tc>
        <w:tc>
          <w:tcPr>
            <w:tcW w:w="3520" w:type="dxa"/>
            <w:vAlign w:val="bottom"/>
            <w:gridSpan w:val="5"/>
          </w:tcPr>
          <w:p>
            <w:pPr>
              <w:jc w:val="center"/>
              <w:ind w:left="88"/>
              <w:spacing w:after="0" w:line="154" w:lineRule="exact"/>
              <w:rPr>
                <w:sz w:val="20"/>
                <w:szCs w:val="20"/>
                <w:color w:val="auto"/>
              </w:rPr>
            </w:pPr>
            <w:r>
              <w:rPr>
                <w:rFonts w:ascii="Arial" w:cs="Arial" w:eastAsia="Arial" w:hAnsi="Arial"/>
                <w:sz w:val="14"/>
                <w:szCs w:val="14"/>
                <w:color w:val="auto"/>
                <w:w w:val="93"/>
              </w:rPr>
              <w:t>(Exact Name of Registrant as Specified in Its Charter)</w:t>
            </w:r>
          </w:p>
        </w:tc>
        <w:tc>
          <w:tcPr>
            <w:tcW w:w="2100" w:type="dxa"/>
            <w:vAlign w:val="bottom"/>
          </w:tcPr>
          <w:p>
            <w:pPr>
              <w:jc w:val="center"/>
              <w:ind w:left="808"/>
              <w:spacing w:after="0" w:line="154" w:lineRule="exact"/>
              <w:rPr>
                <w:sz w:val="20"/>
                <w:szCs w:val="20"/>
                <w:color w:val="auto"/>
              </w:rPr>
            </w:pPr>
            <w:r>
              <w:rPr>
                <w:rFonts w:ascii="Arial" w:cs="Arial" w:eastAsia="Arial" w:hAnsi="Arial"/>
                <w:sz w:val="14"/>
                <w:szCs w:val="14"/>
                <w:color w:val="auto"/>
                <w:w w:val="95"/>
              </w:rPr>
              <w:t>Jurisdiction of</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3520" w:type="dxa"/>
            <w:vAlign w:val="bottom"/>
            <w:gridSpan w:val="5"/>
          </w:tcPr>
          <w:p>
            <w:pPr>
              <w:jc w:val="center"/>
              <w:ind w:left="68"/>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2100" w:type="dxa"/>
            <w:vAlign w:val="bottom"/>
          </w:tcPr>
          <w:p>
            <w:pPr>
              <w:jc w:val="center"/>
              <w:ind w:left="808"/>
              <w:spacing w:after="0" w:line="149" w:lineRule="exact"/>
              <w:rPr>
                <w:sz w:val="20"/>
                <w:szCs w:val="20"/>
                <w:color w:val="auto"/>
              </w:rPr>
            </w:pPr>
            <w:r>
              <w:rPr>
                <w:rFonts w:ascii="Arial" w:cs="Arial" w:eastAsia="Arial" w:hAnsi="Arial"/>
                <w:sz w:val="14"/>
                <w:szCs w:val="14"/>
                <w:color w:val="auto"/>
                <w:w w:val="95"/>
              </w:rPr>
              <w:t>Incorporation or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4"/>
              </w:rPr>
              <w:t>(IRS Employer</w:t>
            </w:r>
          </w:p>
        </w:tc>
        <w:tc>
          <w:tcPr>
            <w:tcW w:w="0" w:type="dxa"/>
            <w:vAlign w:val="bottom"/>
          </w:tcPr>
          <w:p>
            <w:pPr>
              <w:spacing w:after="0"/>
              <w:rPr>
                <w:sz w:val="1"/>
                <w:szCs w:val="1"/>
                <w:color w:val="auto"/>
              </w:rPr>
            </w:pPr>
          </w:p>
        </w:tc>
      </w:tr>
      <w:tr>
        <w:trPr>
          <w:trHeight w:val="191"/>
        </w:trPr>
        <w:tc>
          <w:tcPr>
            <w:tcW w:w="3300" w:type="dxa"/>
            <w:vAlign w:val="bottom"/>
          </w:tcPr>
          <w:p>
            <w:pPr>
              <w:ind w:left="520"/>
              <w:spacing w:after="0"/>
              <w:rPr>
                <w:sz w:val="20"/>
                <w:szCs w:val="20"/>
                <w:color w:val="auto"/>
              </w:rPr>
            </w:pPr>
            <w:r>
              <w:rPr>
                <w:rFonts w:ascii="Arial" w:cs="Arial" w:eastAsia="Arial" w:hAnsi="Arial"/>
                <w:sz w:val="14"/>
                <w:szCs w:val="14"/>
                <w:color w:val="auto"/>
              </w:rPr>
              <w:t>(Commission File Number)</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(Telephone Number)</w:t>
            </w:r>
          </w:p>
        </w:tc>
        <w:tc>
          <w:tcPr>
            <w:tcW w:w="500" w:type="dxa"/>
            <w:vAlign w:val="bottom"/>
          </w:tcPr>
          <w:p>
            <w:pPr>
              <w:spacing w:after="0"/>
              <w:rPr>
                <w:sz w:val="16"/>
                <w:szCs w:val="16"/>
                <w:color w:val="auto"/>
              </w:rPr>
            </w:pPr>
          </w:p>
        </w:tc>
        <w:tc>
          <w:tcPr>
            <w:tcW w:w="2100" w:type="dxa"/>
            <w:vAlign w:val="bottom"/>
          </w:tcPr>
          <w:p>
            <w:pPr>
              <w:jc w:val="center"/>
              <w:ind w:left="788"/>
              <w:spacing w:after="0"/>
              <w:rPr>
                <w:sz w:val="20"/>
                <w:szCs w:val="20"/>
                <w:color w:val="auto"/>
              </w:rPr>
            </w:pPr>
            <w:r>
              <w:rPr>
                <w:rFonts w:ascii="Arial" w:cs="Arial" w:eastAsia="Arial" w:hAnsi="Arial"/>
                <w:sz w:val="14"/>
                <w:szCs w:val="14"/>
                <w:color w:val="auto"/>
                <w:w w:val="95"/>
              </w:rPr>
              <w:t>Organization)</w:t>
            </w:r>
          </w:p>
        </w:tc>
        <w:tc>
          <w:tcPr>
            <w:tcW w:w="1300" w:type="dxa"/>
            <w:vAlign w:val="bottom"/>
          </w:tcPr>
          <w:p>
            <w:pPr>
              <w:jc w:val="center"/>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297"/>
        </w:trPr>
        <w:tc>
          <w:tcPr>
            <w:tcW w:w="3300" w:type="dxa"/>
            <w:vAlign w:val="bottom"/>
          </w:tcPr>
          <w:p>
            <w:pPr>
              <w:jc w:val="right"/>
              <w:ind w:right="1728"/>
              <w:spacing w:after="0"/>
              <w:rPr>
                <w:sz w:val="20"/>
                <w:szCs w:val="20"/>
                <w:color w:val="auto"/>
              </w:rPr>
            </w:pPr>
            <w:r>
              <w:rPr>
                <w:rFonts w:ascii="Arial" w:cs="Arial" w:eastAsia="Arial" w:hAnsi="Arial"/>
                <w:sz w:val="14"/>
                <w:szCs w:val="14"/>
                <w:b w:val="1"/>
                <w:bCs w:val="1"/>
                <w:color w:val="auto"/>
              </w:rPr>
              <w:t>1-9516</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ICAHN ENTERPRISES L.P.</w:t>
            </w:r>
          </w:p>
        </w:tc>
        <w:tc>
          <w:tcPr>
            <w:tcW w:w="500" w:type="dxa"/>
            <w:vAlign w:val="bottom"/>
          </w:tcPr>
          <w:p>
            <w:pPr>
              <w:spacing w:after="0"/>
              <w:rPr>
                <w:sz w:val="24"/>
                <w:szCs w:val="24"/>
                <w:color w:val="auto"/>
              </w:rPr>
            </w:pPr>
          </w:p>
        </w:tc>
        <w:tc>
          <w:tcPr>
            <w:tcW w:w="2100" w:type="dxa"/>
            <w:vAlign w:val="bottom"/>
          </w:tcPr>
          <w:p>
            <w:pPr>
              <w:jc w:val="center"/>
              <w:ind w:left="808"/>
              <w:spacing w:after="0"/>
              <w:rPr>
                <w:sz w:val="20"/>
                <w:szCs w:val="20"/>
                <w:color w:val="auto"/>
              </w:rPr>
            </w:pPr>
            <w:r>
              <w:rPr>
                <w:rFonts w:ascii="Arial" w:cs="Arial" w:eastAsia="Arial" w:hAnsi="Arial"/>
                <w:sz w:val="14"/>
                <w:szCs w:val="14"/>
                <w:b w:val="1"/>
                <w:bCs w:val="1"/>
                <w:color w:val="auto"/>
                <w:w w:val="94"/>
              </w:rPr>
              <w:t>Delaware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13-3398766</w:t>
            </w:r>
          </w:p>
        </w:tc>
        <w:tc>
          <w:tcPr>
            <w:tcW w:w="0" w:type="dxa"/>
            <w:vAlign w:val="bottom"/>
          </w:tcPr>
          <w:p>
            <w:pPr>
              <w:spacing w:after="0"/>
              <w:rPr>
                <w:sz w:val="1"/>
                <w:szCs w:val="1"/>
                <w:color w:val="auto"/>
              </w:rPr>
            </w:pPr>
          </w:p>
        </w:tc>
      </w:tr>
      <w:tr>
        <w:trPr>
          <w:trHeight w:val="367"/>
        </w:trPr>
        <w:tc>
          <w:tcPr>
            <w:tcW w:w="3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16690 Collins Avenue, PH-1</w:t>
            </w:r>
          </w:p>
        </w:tc>
        <w:tc>
          <w:tcPr>
            <w:tcW w:w="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Sunny Isles Beach, FL 33160</w:t>
            </w: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2780" w:type="dxa"/>
            <w:vAlign w:val="bottom"/>
            <w:gridSpan w:val="3"/>
          </w:tcPr>
          <w:p>
            <w:pPr>
              <w:jc w:val="center"/>
              <w:ind w:left="808"/>
              <w:spacing w:after="0"/>
              <w:rPr>
                <w:sz w:val="20"/>
                <w:szCs w:val="20"/>
                <w:color w:val="auto"/>
              </w:rPr>
            </w:pPr>
            <w:r>
              <w:rPr>
                <w:rFonts w:ascii="Arial" w:cs="Arial" w:eastAsia="Arial" w:hAnsi="Arial"/>
                <w:sz w:val="14"/>
                <w:szCs w:val="14"/>
                <w:b w:val="1"/>
                <w:bCs w:val="1"/>
                <w:color w:val="auto"/>
                <w:w w:val="93"/>
              </w:rPr>
              <w:t>(305) 422-4100</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3300" w:type="dxa"/>
            <w:vAlign w:val="bottom"/>
          </w:tcPr>
          <w:p>
            <w:pPr>
              <w:jc w:val="right"/>
              <w:ind w:right="1488"/>
              <w:spacing w:after="0"/>
              <w:rPr>
                <w:sz w:val="20"/>
                <w:szCs w:val="20"/>
                <w:color w:val="auto"/>
              </w:rPr>
            </w:pPr>
            <w:r>
              <w:rPr>
                <w:rFonts w:ascii="Arial" w:cs="Arial" w:eastAsia="Arial" w:hAnsi="Arial"/>
                <w:sz w:val="14"/>
                <w:szCs w:val="14"/>
                <w:b w:val="1"/>
                <w:bCs w:val="1"/>
                <w:color w:val="auto"/>
              </w:rPr>
              <w:t>333-118021-01</w:t>
            </w:r>
          </w:p>
        </w:tc>
        <w:tc>
          <w:tcPr>
            <w:tcW w:w="3520" w:type="dxa"/>
            <w:vAlign w:val="bottom"/>
            <w:gridSpan w:val="5"/>
          </w:tcPr>
          <w:p>
            <w:pPr>
              <w:jc w:val="center"/>
              <w:ind w:left="88"/>
              <w:spacing w:after="0"/>
              <w:rPr>
                <w:sz w:val="20"/>
                <w:szCs w:val="20"/>
                <w:color w:val="auto"/>
              </w:rPr>
            </w:pPr>
            <w:r>
              <w:rPr>
                <w:rFonts w:ascii="Arial" w:cs="Arial" w:eastAsia="Arial" w:hAnsi="Arial"/>
                <w:sz w:val="14"/>
                <w:szCs w:val="14"/>
                <w:b w:val="1"/>
                <w:bCs w:val="1"/>
                <w:color w:val="auto"/>
              </w:rPr>
              <w:t>ICAHN ENTERPRISES HOLDINGS L.P.</w:t>
            </w:r>
          </w:p>
        </w:tc>
        <w:tc>
          <w:tcPr>
            <w:tcW w:w="2100" w:type="dxa"/>
            <w:vAlign w:val="bottom"/>
          </w:tcPr>
          <w:p>
            <w:pPr>
              <w:jc w:val="center"/>
              <w:ind w:left="808"/>
              <w:spacing w:after="0"/>
              <w:rPr>
                <w:sz w:val="20"/>
                <w:szCs w:val="20"/>
                <w:color w:val="auto"/>
              </w:rPr>
            </w:pPr>
            <w:r>
              <w:rPr>
                <w:rFonts w:ascii="Arial" w:cs="Arial" w:eastAsia="Arial" w:hAnsi="Arial"/>
                <w:sz w:val="14"/>
                <w:szCs w:val="14"/>
                <w:b w:val="1"/>
                <w:bCs w:val="1"/>
                <w:color w:val="auto"/>
                <w:w w:val="94"/>
              </w:rPr>
              <w:t>Delaware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13-3398767</w:t>
            </w:r>
          </w:p>
        </w:tc>
        <w:tc>
          <w:tcPr>
            <w:tcW w:w="0" w:type="dxa"/>
            <w:vAlign w:val="bottom"/>
          </w:tcPr>
          <w:p>
            <w:pPr>
              <w:spacing w:after="0"/>
              <w:rPr>
                <w:sz w:val="1"/>
                <w:szCs w:val="1"/>
                <w:color w:val="auto"/>
              </w:rPr>
            </w:pPr>
          </w:p>
        </w:tc>
      </w:tr>
      <w:tr>
        <w:trPr>
          <w:trHeight w:val="367"/>
        </w:trPr>
        <w:tc>
          <w:tcPr>
            <w:tcW w:w="3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16690 Collins Avenue, PH-1</w:t>
            </w:r>
          </w:p>
        </w:tc>
        <w:tc>
          <w:tcPr>
            <w:tcW w:w="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Sunny Isles Beach, FL 33160</w:t>
            </w: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2780" w:type="dxa"/>
            <w:vAlign w:val="bottom"/>
            <w:gridSpan w:val="3"/>
          </w:tcPr>
          <w:p>
            <w:pPr>
              <w:jc w:val="center"/>
              <w:ind w:left="808"/>
              <w:spacing w:after="0"/>
              <w:rPr>
                <w:sz w:val="20"/>
                <w:szCs w:val="20"/>
                <w:color w:val="auto"/>
              </w:rPr>
            </w:pPr>
            <w:r>
              <w:rPr>
                <w:rFonts w:ascii="Arial" w:cs="Arial" w:eastAsia="Arial" w:hAnsi="Arial"/>
                <w:sz w:val="14"/>
                <w:szCs w:val="14"/>
                <w:b w:val="1"/>
                <w:bCs w:val="1"/>
                <w:color w:val="auto"/>
                <w:w w:val="93"/>
              </w:rPr>
              <w:t>(305) 422-4100</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rPr>
                <w:sz w:val="17"/>
                <w:szCs w:val="17"/>
                <w:color w:val="auto"/>
              </w:rPr>
            </w:pPr>
          </w:p>
        </w:tc>
        <w:tc>
          <w:tcPr>
            <w:tcW w:w="3520" w:type="dxa"/>
            <w:vAlign w:val="bottom"/>
            <w:gridSpan w:val="5"/>
          </w:tcPr>
          <w:p>
            <w:pPr>
              <w:jc w:val="center"/>
              <w:ind w:left="48"/>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2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3300" w:type="dxa"/>
            <w:vAlign w:val="bottom"/>
          </w:tcPr>
          <w:p>
            <w:pPr>
              <w:jc w:val="center"/>
              <w:ind w:left="528"/>
              <w:spacing w:after="0"/>
              <w:rPr>
                <w:sz w:val="20"/>
                <w:szCs w:val="20"/>
                <w:color w:val="auto"/>
              </w:rPr>
            </w:pPr>
            <w:r>
              <w:rPr>
                <w:rFonts w:ascii="Arial" w:cs="Arial" w:eastAsia="Arial" w:hAnsi="Arial"/>
                <w:sz w:val="14"/>
                <w:szCs w:val="14"/>
                <w:b w:val="1"/>
                <w:bCs w:val="1"/>
                <w:color w:val="auto"/>
                <w:w w:val="91"/>
              </w:rPr>
              <w:t>Title of Each Class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Trading Symbol(s)</w:t>
            </w:r>
          </w:p>
        </w:tc>
        <w:tc>
          <w:tcPr>
            <w:tcW w:w="500" w:type="dxa"/>
            <w:vAlign w:val="bottom"/>
          </w:tcPr>
          <w:p>
            <w:pPr>
              <w:spacing w:after="0"/>
              <w:rPr>
                <w:sz w:val="24"/>
                <w:szCs w:val="24"/>
                <w:color w:val="auto"/>
              </w:rPr>
            </w:pPr>
          </w:p>
        </w:tc>
        <w:tc>
          <w:tcPr>
            <w:tcW w:w="340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5"/>
        </w:trPr>
        <w:tc>
          <w:tcPr>
            <w:tcW w:w="3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3300" w:type="dxa"/>
            <w:vAlign w:val="bottom"/>
          </w:tcPr>
          <w:p>
            <w:pPr>
              <w:jc w:val="center"/>
              <w:ind w:left="488"/>
              <w:spacing w:after="0"/>
              <w:rPr>
                <w:sz w:val="20"/>
                <w:szCs w:val="20"/>
                <w:color w:val="auto"/>
              </w:rPr>
            </w:pPr>
            <w:r>
              <w:rPr>
                <w:rFonts w:ascii="Arial" w:cs="Arial" w:eastAsia="Arial" w:hAnsi="Arial"/>
                <w:sz w:val="14"/>
                <w:szCs w:val="14"/>
                <w:color w:val="auto"/>
                <w:w w:val="93"/>
              </w:rPr>
              <w:t>Depositary Units of Icahn Enterprises L.P.</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88"/>
              </w:rPr>
              <w:t>IEP</w:t>
            </w:r>
          </w:p>
        </w:tc>
        <w:tc>
          <w:tcPr>
            <w:tcW w:w="500" w:type="dxa"/>
            <w:vAlign w:val="bottom"/>
          </w:tcPr>
          <w:p>
            <w:pPr>
              <w:spacing w:after="0"/>
              <w:rPr>
                <w:sz w:val="15"/>
                <w:szCs w:val="15"/>
                <w:color w:val="auto"/>
              </w:rPr>
            </w:pPr>
          </w:p>
        </w:tc>
        <w:tc>
          <w:tcPr>
            <w:tcW w:w="3400" w:type="dxa"/>
            <w:vAlign w:val="bottom"/>
            <w:gridSpan w:val="2"/>
            <w:vMerge w:val="restart"/>
          </w:tcPr>
          <w:p>
            <w:pPr>
              <w:ind w:left="680"/>
              <w:spacing w:after="0"/>
              <w:rPr>
                <w:sz w:val="20"/>
                <w:szCs w:val="20"/>
                <w:color w:val="auto"/>
              </w:rPr>
            </w:pPr>
            <w:r>
              <w:rPr>
                <w:rFonts w:ascii="Arial" w:cs="Arial" w:eastAsia="Arial" w:hAnsi="Arial"/>
                <w:sz w:val="14"/>
                <w:szCs w:val="14"/>
                <w:color w:val="auto"/>
              </w:rPr>
              <w:t>Nasdaq  Global Select Market</w:t>
            </w:r>
          </w:p>
        </w:tc>
        <w:tc>
          <w:tcPr>
            <w:tcW w:w="0" w:type="dxa"/>
            <w:vAlign w:val="bottom"/>
          </w:tcPr>
          <w:p>
            <w:pPr>
              <w:spacing w:after="0"/>
              <w:rPr>
                <w:sz w:val="1"/>
                <w:szCs w:val="1"/>
                <w:color w:val="auto"/>
              </w:rPr>
            </w:pPr>
          </w:p>
        </w:tc>
      </w:tr>
      <w:tr>
        <w:trPr>
          <w:trHeight w:val="94"/>
        </w:trPr>
        <w:tc>
          <w:tcPr>
            <w:tcW w:w="3300" w:type="dxa"/>
            <w:vAlign w:val="bottom"/>
            <w:vMerge w:val="restart"/>
          </w:tcPr>
          <w:p>
            <w:pPr>
              <w:jc w:val="center"/>
              <w:ind w:left="528"/>
              <w:spacing w:after="0"/>
              <w:rPr>
                <w:sz w:val="20"/>
                <w:szCs w:val="20"/>
                <w:color w:val="auto"/>
              </w:rPr>
            </w:pPr>
            <w:r>
              <w:rPr>
                <w:rFonts w:ascii="Arial" w:cs="Arial" w:eastAsia="Arial" w:hAnsi="Arial"/>
                <w:sz w:val="14"/>
                <w:szCs w:val="14"/>
                <w:color w:val="auto"/>
                <w:w w:val="92"/>
              </w:rPr>
              <w:t>Representing Limited Partner Interests</w:t>
            </w: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8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3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3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3" w:lineRule="exact"/>
        <w:rPr>
          <w:sz w:val="24"/>
          <w:szCs w:val="24"/>
          <w:color w:val="auto"/>
        </w:rPr>
      </w:pPr>
    </w:p>
    <w:p>
      <w:pPr>
        <w:ind w:left="20" w:right="240"/>
        <w:spacing w:after="0" w:line="290"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3" w:lineRule="exact"/>
        <w:rPr>
          <w:sz w:val="24"/>
          <w:szCs w:val="24"/>
          <w:color w:val="auto"/>
        </w:rPr>
      </w:pPr>
    </w:p>
    <w:p>
      <w:pPr>
        <w:ind w:left="1520"/>
        <w:spacing w:after="0" w:line="161" w:lineRule="exact"/>
        <w:tabs>
          <w:tab w:leader="none" w:pos="6320" w:val="left"/>
        </w:tabs>
        <w:rPr>
          <w:sz w:val="20"/>
          <w:szCs w:val="20"/>
          <w:color w:val="auto"/>
        </w:rPr>
      </w:pPr>
      <w:r>
        <w:rPr>
          <w:rFonts w:ascii="Arial" w:cs="Arial" w:eastAsia="Arial" w:hAnsi="Arial"/>
          <w:sz w:val="14"/>
          <w:szCs w:val="14"/>
          <w:color w:val="auto"/>
        </w:rPr>
        <w:t xml:space="preserve">Icahn Enterprises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Icahn Enterprises Holdings L.P.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44" w:lineRule="exact"/>
        <w:rPr>
          <w:sz w:val="24"/>
          <w:szCs w:val="24"/>
          <w:color w:val="auto"/>
        </w:rPr>
      </w:pPr>
    </w:p>
    <w:p>
      <w:pPr>
        <w:ind w:left="20" w:right="600"/>
        <w:spacing w:after="0" w:line="25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65" w:lineRule="exact"/>
        <w:rPr>
          <w:sz w:val="24"/>
          <w:szCs w:val="24"/>
          <w:color w:val="auto"/>
        </w:rPr>
      </w:pPr>
    </w:p>
    <w:p>
      <w:pPr>
        <w:ind w:left="1520"/>
        <w:spacing w:after="0" w:line="161" w:lineRule="exact"/>
        <w:tabs>
          <w:tab w:leader="none" w:pos="6320" w:val="left"/>
        </w:tabs>
        <w:rPr>
          <w:sz w:val="20"/>
          <w:szCs w:val="20"/>
          <w:color w:val="auto"/>
        </w:rPr>
      </w:pPr>
      <w:r>
        <w:rPr>
          <w:rFonts w:ascii="Arial" w:cs="Arial" w:eastAsia="Arial" w:hAnsi="Arial"/>
          <w:sz w:val="14"/>
          <w:szCs w:val="14"/>
          <w:color w:val="auto"/>
        </w:rPr>
        <w:t xml:space="preserve">Icahn Enterprises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Icahn Enterprises Holdings L.P.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7" w:lineRule="exact"/>
        <w:rPr>
          <w:sz w:val="24"/>
          <w:szCs w:val="24"/>
          <w:color w:val="auto"/>
        </w:rPr>
      </w:pPr>
    </w:p>
    <w:p>
      <w:pPr>
        <w:ind w:left="20" w:right="140"/>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324" w:lineRule="exact"/>
        <w:rPr>
          <w:sz w:val="24"/>
          <w:szCs w:val="24"/>
          <w:color w:val="auto"/>
        </w:rPr>
      </w:pPr>
    </w:p>
    <w:tbl>
      <w:tblPr>
        <w:tblLayout w:type="fixed"/>
        <w:tblInd w:w="88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1580" w:type="dxa"/>
            <w:vAlign w:val="bottom"/>
            <w:gridSpan w:val="4"/>
          </w:tcPr>
          <w:p>
            <w:pPr>
              <w:spacing w:after="0"/>
              <w:rPr>
                <w:sz w:val="20"/>
                <w:szCs w:val="20"/>
                <w:color w:val="auto"/>
              </w:rPr>
            </w:pPr>
            <w:r>
              <w:rPr>
                <w:rFonts w:ascii="Arial" w:cs="Arial" w:eastAsia="Arial" w:hAnsi="Arial"/>
                <w:sz w:val="14"/>
                <w:szCs w:val="14"/>
                <w:color w:val="auto"/>
              </w:rPr>
              <w:t>Icahn Enterprises L.P.</w:t>
            </w:r>
          </w:p>
        </w:tc>
        <w:tc>
          <w:tcPr>
            <w:tcW w:w="2000" w:type="dxa"/>
            <w:vAlign w:val="bottom"/>
          </w:tcPr>
          <w:p>
            <w:pPr>
              <w:spacing w:after="0"/>
              <w:rPr>
                <w:sz w:val="14"/>
                <w:szCs w:val="14"/>
                <w:color w:val="auto"/>
              </w:rPr>
            </w:pPr>
          </w:p>
        </w:tc>
        <w:tc>
          <w:tcPr>
            <w:tcW w:w="4680" w:type="dxa"/>
            <w:vAlign w:val="bottom"/>
            <w:gridSpan w:val="5"/>
          </w:tcPr>
          <w:p>
            <w:pPr>
              <w:ind w:left="1360"/>
              <w:spacing w:after="0"/>
              <w:rPr>
                <w:sz w:val="20"/>
                <w:szCs w:val="20"/>
                <w:color w:val="auto"/>
              </w:rPr>
            </w:pPr>
            <w:r>
              <w:rPr>
                <w:rFonts w:ascii="Arial" w:cs="Arial" w:eastAsia="Arial" w:hAnsi="Arial"/>
                <w:sz w:val="14"/>
                <w:szCs w:val="14"/>
                <w:color w:val="auto"/>
              </w:rPr>
              <w:t>Icahn Enterprises Holdings L.P.</w:t>
            </w: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157" w:lineRule="exact"/>
              <w:rPr>
                <w:sz w:val="20"/>
                <w:szCs w:val="20"/>
                <w:color w:val="auto"/>
              </w:rPr>
            </w:pPr>
            <w:r>
              <w:rPr>
                <w:rFonts w:ascii="Arial" w:cs="Arial" w:eastAsia="Arial" w:hAnsi="Arial"/>
                <w:sz w:val="14"/>
                <w:szCs w:val="14"/>
                <w:color w:val="auto"/>
                <w:w w:val="86"/>
              </w:rPr>
              <w:t>Large Accelerated</w:t>
            </w: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vMerge w:val="restart"/>
          </w:tcPr>
          <w:p>
            <w:pPr>
              <w:spacing w:after="0" w:line="157"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highlight w:val="black"/>
              </w:rPr>
              <w:t>☐</w:t>
            </w:r>
          </w:p>
        </w:tc>
        <w:tc>
          <w:tcPr>
            <w:tcW w:w="1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80" w:type="dxa"/>
            <w:vAlign w:val="bottom"/>
            <w:vMerge w:val="restart"/>
          </w:tcPr>
          <w:p>
            <w:pPr>
              <w:spacing w:after="0" w:line="157"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highlight w:val="black"/>
              </w:rPr>
              <w:t>☐</w:t>
            </w:r>
          </w:p>
        </w:tc>
        <w:tc>
          <w:tcPr>
            <w:tcW w:w="0" w:type="dxa"/>
            <w:vAlign w:val="bottom"/>
          </w:tcPr>
          <w:p>
            <w:pPr>
              <w:spacing w:after="0" w:line="20" w:lineRule="exact"/>
              <w:rPr>
                <w:sz w:val="1"/>
                <w:szCs w:val="1"/>
                <w:color w:val="auto"/>
              </w:rPr>
            </w:pPr>
          </w:p>
        </w:tc>
      </w:tr>
      <w:tr>
        <w:trPr>
          <w:trHeight w:val="136"/>
        </w:trPr>
        <w:tc>
          <w:tcPr>
            <w:tcW w:w="1000" w:type="dxa"/>
            <w:vAlign w:val="bottom"/>
            <w:vMerge w:val="continue"/>
          </w:tcPr>
          <w:p>
            <w:pPr>
              <w:spacing w:after="0"/>
              <w:rPr>
                <w:sz w:val="11"/>
                <w:szCs w:val="11"/>
                <w:color w:val="auto"/>
              </w:rPr>
            </w:pPr>
          </w:p>
        </w:tc>
        <w:tc>
          <w:tcPr>
            <w:tcW w:w="420" w:type="dxa"/>
            <w:vAlign w:val="bottom"/>
          </w:tcPr>
          <w:p>
            <w:pPr>
              <w:jc w:val="right"/>
              <w:spacing w:after="0" w:line="137" w:lineRule="exact"/>
              <w:rPr>
                <w:sz w:val="20"/>
                <w:szCs w:val="20"/>
                <w:color w:val="auto"/>
              </w:rPr>
            </w:pPr>
            <w:r>
              <w:rPr>
                <w:rFonts w:ascii="Arial" w:cs="Arial" w:eastAsia="Arial" w:hAnsi="Arial"/>
                <w:sz w:val="14"/>
                <w:szCs w:val="14"/>
                <w:color w:val="auto"/>
              </w:rPr>
              <w:t>Filer</w:t>
            </w:r>
          </w:p>
        </w:tc>
        <w:tc>
          <w:tcPr>
            <w:tcW w:w="460" w:type="dxa"/>
            <w:vAlign w:val="bottom"/>
          </w:tcPr>
          <w:p>
            <w:pPr>
              <w:ind w:left="60"/>
              <w:spacing w:after="0" w:line="136" w:lineRule="exact"/>
              <w:rPr>
                <w:sz w:val="20"/>
                <w:szCs w:val="20"/>
                <w:color w:val="auto"/>
              </w:rPr>
            </w:pPr>
            <w:r>
              <w:rPr>
                <w:rFonts w:ascii="MS PGothic" w:cs="MS PGothic" w:eastAsia="MS PGothic" w:hAnsi="MS PGothic"/>
                <w:sz w:val="14"/>
                <w:szCs w:val="14"/>
                <w:color w:val="auto"/>
                <w:highlight w:val="black"/>
              </w:rPr>
              <w:t>☒</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1940" w:type="dxa"/>
            <w:vAlign w:val="bottom"/>
            <w:gridSpan w:val="2"/>
          </w:tcPr>
          <w:p>
            <w:pPr>
              <w:jc w:val="right"/>
              <w:spacing w:after="0" w:line="137" w:lineRule="exact"/>
              <w:rPr>
                <w:sz w:val="20"/>
                <w:szCs w:val="20"/>
                <w:color w:val="auto"/>
              </w:rPr>
            </w:pPr>
            <w:r>
              <w:rPr>
                <w:rFonts w:ascii="Arial" w:cs="Arial" w:eastAsia="Arial" w:hAnsi="Arial"/>
                <w:sz w:val="14"/>
                <w:szCs w:val="14"/>
                <w:color w:val="auto"/>
              </w:rPr>
              <w:t>Large Accelerated Filer</w:t>
            </w:r>
          </w:p>
        </w:tc>
        <w:tc>
          <w:tcPr>
            <w:tcW w:w="520" w:type="dxa"/>
            <w:vAlign w:val="bottom"/>
          </w:tcPr>
          <w:p>
            <w:pPr>
              <w:ind w:left="80"/>
              <w:spacing w:after="0" w:line="136" w:lineRule="exact"/>
              <w:rPr>
                <w:sz w:val="20"/>
                <w:szCs w:val="20"/>
                <w:color w:val="auto"/>
              </w:rPr>
            </w:pPr>
            <w:r>
              <w:rPr>
                <w:rFonts w:ascii="MS PGothic" w:cs="MS PGothic" w:eastAsia="MS PGothic" w:hAnsi="MS PGothic"/>
                <w:sz w:val="14"/>
                <w:szCs w:val="14"/>
                <w:color w:val="auto"/>
                <w:highlight w:val="black"/>
              </w:rPr>
              <w:t>☐</w:t>
            </w:r>
          </w:p>
        </w:tc>
        <w:tc>
          <w:tcPr>
            <w:tcW w:w="74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420" w:type="dxa"/>
            <w:vAlign w:val="bottom"/>
            <w:gridSpan w:val="2"/>
          </w:tcPr>
          <w:p>
            <w:pPr>
              <w:jc w:val="right"/>
              <w:spacing w:after="0"/>
              <w:rPr>
                <w:sz w:val="20"/>
                <w:szCs w:val="20"/>
                <w:color w:val="auto"/>
              </w:rPr>
            </w:pPr>
            <w:r>
              <w:rPr>
                <w:rFonts w:ascii="Arial" w:cs="Arial" w:eastAsia="Arial" w:hAnsi="Arial"/>
                <w:sz w:val="14"/>
                <w:szCs w:val="14"/>
                <w:color w:val="auto"/>
              </w:rPr>
              <w:t>Non-accelerated Filer</w:t>
            </w:r>
          </w:p>
        </w:tc>
        <w:tc>
          <w:tcPr>
            <w:tcW w:w="460" w:type="dxa"/>
            <w:vAlign w:val="bottom"/>
          </w:tcPr>
          <w:p>
            <w:pPr>
              <w:ind w:left="6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2700" w:type="dxa"/>
            <w:vAlign w:val="bottom"/>
            <w:gridSpan w:val="3"/>
          </w:tcPr>
          <w:p>
            <w:pPr>
              <w:ind w:left="26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highlight w:val="black"/>
              </w:rPr>
              <w:t>☐</w:t>
            </w: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Non-accelerated Filer</w:t>
            </w:r>
          </w:p>
        </w:tc>
        <w:tc>
          <w:tcPr>
            <w:tcW w:w="52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2220" w:type="dxa"/>
            <w:vAlign w:val="bottom"/>
            <w:gridSpan w:val="2"/>
          </w:tcPr>
          <w:p>
            <w:pPr>
              <w:ind w:left="300"/>
              <w:spacing w:after="0" w:line="161" w:lineRule="exact"/>
              <w:rPr>
                <w:sz w:val="20"/>
                <w:szCs w:val="20"/>
                <w:color w:val="auto"/>
              </w:rPr>
            </w:pPr>
            <w:r>
              <w:rPr>
                <w:rFonts w:ascii="Arial" w:cs="Arial" w:eastAsia="Arial" w:hAnsi="Arial"/>
                <w:sz w:val="14"/>
                <w:szCs w:val="14"/>
                <w:color w:val="auto"/>
                <w:w w:val="96"/>
              </w:rPr>
              <w:t xml:space="preserve">Smaller Reporting Company  </w:t>
            </w:r>
            <w:r>
              <w:rPr>
                <w:rFonts w:ascii="MS PGothic" w:cs="MS PGothic" w:eastAsia="MS PGothic" w:hAnsi="MS PGothic"/>
                <w:sz w:val="14"/>
                <w:szCs w:val="14"/>
                <w:color w:val="auto"/>
                <w:highlight w:val="black"/>
                <w:w w:val="96"/>
              </w:rPr>
              <w:t>☐</w:t>
            </w:r>
          </w:p>
        </w:tc>
        <w:tc>
          <w:tcPr>
            <w:tcW w:w="0" w:type="dxa"/>
            <w:vAlign w:val="bottom"/>
          </w:tcPr>
          <w:p>
            <w:pPr>
              <w:spacing w:after="0"/>
              <w:rPr>
                <w:sz w:val="1"/>
                <w:szCs w:val="1"/>
                <w:color w:val="auto"/>
              </w:rPr>
            </w:pPr>
          </w:p>
        </w:tc>
      </w:tr>
      <w:tr>
        <w:trPr>
          <w:trHeight w:val="226"/>
        </w:trPr>
        <w:tc>
          <w:tcPr>
            <w:tcW w:w="2580" w:type="dxa"/>
            <w:vAlign w:val="bottom"/>
            <w:gridSpan w:val="5"/>
          </w:tcPr>
          <w:p>
            <w:pPr>
              <w:ind w:left="920"/>
              <w:spacing w:after="0"/>
              <w:rPr>
                <w:sz w:val="20"/>
                <w:szCs w:val="20"/>
                <w:color w:val="auto"/>
              </w:rPr>
            </w:pPr>
            <w:r>
              <w:rPr>
                <w:rFonts w:ascii="Arial" w:cs="Arial" w:eastAsia="Arial" w:hAnsi="Arial"/>
                <w:sz w:val="14"/>
                <w:szCs w:val="14"/>
                <w:color w:val="auto"/>
                <w:w w:val="94"/>
              </w:rPr>
              <w:t>Emerging Growth Company</w:t>
            </w:r>
          </w:p>
        </w:tc>
        <w:tc>
          <w:tcPr>
            <w:tcW w:w="20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1360" w:type="dxa"/>
            <w:vAlign w:val="bottom"/>
          </w:tcPr>
          <w:p>
            <w:pPr>
              <w:spacing w:after="0"/>
              <w:rPr>
                <w:sz w:val="19"/>
                <w:szCs w:val="19"/>
                <w:color w:val="auto"/>
              </w:rPr>
            </w:pPr>
          </w:p>
        </w:tc>
        <w:tc>
          <w:tcPr>
            <w:tcW w:w="3320" w:type="dxa"/>
            <w:vAlign w:val="bottom"/>
            <w:gridSpan w:val="4"/>
          </w:tcPr>
          <w:p>
            <w:pPr>
              <w:ind w:left="1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highlight w:val="black"/>
              </w:rPr>
              <w:t>☐</w:t>
            </w:r>
          </w:p>
        </w:tc>
        <w:tc>
          <w:tcPr>
            <w:tcW w:w="0" w:type="dxa"/>
            <w:vAlign w:val="bottom"/>
          </w:tcPr>
          <w:p>
            <w:pPr>
              <w:spacing w:after="0"/>
              <w:rPr>
                <w:sz w:val="1"/>
                <w:szCs w:val="1"/>
                <w:color w:val="auto"/>
              </w:rPr>
            </w:pPr>
          </w:p>
        </w:tc>
      </w:tr>
    </w:tbl>
    <w:p>
      <w:pPr>
        <w:spacing w:after="0" w:line="180" w:lineRule="exact"/>
        <w:rPr>
          <w:sz w:val="24"/>
          <w:szCs w:val="24"/>
          <w:color w:val="auto"/>
        </w:rPr>
      </w:pPr>
    </w:p>
    <w:p>
      <w:pPr>
        <w:ind w:left="20" w:right="2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2" w:lineRule="exact"/>
        <w:rPr>
          <w:sz w:val="24"/>
          <w:szCs w:val="24"/>
          <w:color w:val="auto"/>
        </w:rPr>
      </w:pPr>
    </w:p>
    <w:p>
      <w:pPr>
        <w:ind w:left="2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95" w:lineRule="exact"/>
        <w:rPr>
          <w:sz w:val="24"/>
          <w:szCs w:val="24"/>
          <w:color w:val="auto"/>
        </w:rPr>
      </w:pPr>
    </w:p>
    <w:p>
      <w:pPr>
        <w:ind w:left="1520"/>
        <w:spacing w:after="0" w:line="161" w:lineRule="exact"/>
        <w:tabs>
          <w:tab w:leader="none" w:pos="6320" w:val="left"/>
        </w:tabs>
        <w:rPr>
          <w:sz w:val="20"/>
          <w:szCs w:val="20"/>
          <w:color w:val="auto"/>
        </w:rPr>
      </w:pPr>
      <w:r>
        <w:rPr>
          <w:rFonts w:ascii="Arial" w:cs="Arial" w:eastAsia="Arial" w:hAnsi="Arial"/>
          <w:sz w:val="14"/>
          <w:szCs w:val="14"/>
          <w:color w:val="auto"/>
        </w:rPr>
        <w:t xml:space="preserve">Icahn Enterprises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Icahn Enterprises Holdings L.P.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7"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May 7, 2021, there were 252,493,080 of Icahn Enterprises’ depositary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483870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72390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106680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5" w:right="8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15"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40" w:type="dxa"/>
            <w:vAlign w:val="bottom"/>
            <w:gridSpan w:val="6"/>
            <w:vMerge w:val="restart"/>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Explanatory Note and Forward-Looking Statements</w:t>
              </w:r>
            </w:hyperlink>
          </w:p>
        </w:tc>
        <w:tc>
          <w:tcPr>
            <w:tcW w:w="3160" w:type="dxa"/>
            <w:vAlign w:val="bottom"/>
            <w:gridSpan w:val="3"/>
            <w:vMerge w:val="restart"/>
          </w:tcPr>
          <w:p>
            <w:pPr>
              <w:spacing w:after="0"/>
              <w:rPr>
                <w:sz w:val="14"/>
                <w:szCs w:val="14"/>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 No</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740" w:type="dxa"/>
            <w:vAlign w:val="bottom"/>
            <w:tcBorders>
              <w:bottom w:val="single" w:sz="8" w:color="0000EE"/>
            </w:tcBorders>
            <w:gridSpan w:val="6"/>
            <w:vMerge w:val="continue"/>
          </w:tcPr>
          <w:p>
            <w:pPr>
              <w:spacing w:after="0"/>
              <w:rPr>
                <w:sz w:val="15"/>
                <w:szCs w:val="15"/>
                <w:color w:val="auto"/>
              </w:rPr>
            </w:pPr>
          </w:p>
        </w:tc>
        <w:tc>
          <w:tcPr>
            <w:tcW w:w="3160" w:type="dxa"/>
            <w:vAlign w:val="bottom"/>
            <w:gridSpan w:val="3"/>
            <w:vMerge w:val="continue"/>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49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40" w:type="dxa"/>
            <w:vAlign w:val="bottom"/>
            <w:gridSpan w:val="5"/>
          </w:tcPr>
          <w:p>
            <w:pPr>
              <w:jc w:val="center"/>
              <w:ind w:right="1800"/>
              <w:spacing w:after="0"/>
              <w:rPr>
                <w:sz w:val="20"/>
                <w:szCs w:val="20"/>
                <w:color w:val="auto"/>
              </w:rPr>
            </w:pPr>
            <w:r>
              <w:rPr>
                <w:rFonts w:ascii="Arial" w:cs="Arial" w:eastAsia="Arial" w:hAnsi="Arial"/>
                <w:sz w:val="18"/>
                <w:szCs w:val="18"/>
                <w:b w:val="1"/>
                <w:bCs w:val="1"/>
                <w:color w:val="auto"/>
              </w:rPr>
              <w:t>PART I. FINANCIAL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00" w:type="dxa"/>
            <w:vAlign w:val="bottom"/>
            <w:gridSpan w:val="3"/>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6900" w:type="dxa"/>
            <w:vAlign w:val="bottom"/>
            <w:gridSpan w:val="9"/>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940" w:type="dxa"/>
            <w:vAlign w:val="bottom"/>
          </w:tcPr>
          <w:p>
            <w:pPr>
              <w:jc w:val="center"/>
              <w:spacing w:after="0" w:line="190"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3"/>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Item 2.</w:t>
              </w:r>
            </w:hyperlink>
          </w:p>
        </w:tc>
        <w:tc>
          <w:tcPr>
            <w:tcW w:w="6900" w:type="dxa"/>
            <w:vAlign w:val="bottom"/>
            <w:gridSpan w:val="9"/>
          </w:tcPr>
          <w:p>
            <w:pPr>
              <w:spacing w:after="0" w:line="196" w:lineRule="exact"/>
              <w:rPr>
                <w:rFonts w:ascii="Arial" w:cs="Arial" w:eastAsia="Arial" w:hAnsi="Arial"/>
                <w:sz w:val="18"/>
                <w:szCs w:val="18"/>
                <w:color w:val="0000EE"/>
                <w:w w:val="97"/>
              </w:rPr>
            </w:pPr>
            <w:hyperlink w:anchor="page41">
              <w:r>
                <w:rPr>
                  <w:rFonts w:ascii="Arial" w:cs="Arial" w:eastAsia="Arial" w:hAnsi="Arial"/>
                  <w:sz w:val="18"/>
                  <w:szCs w:val="18"/>
                  <w:color w:val="0000EE"/>
                  <w:w w:val="97"/>
                </w:rPr>
                <w:t>Management’s Discussion and Analysis of Financial Condition and Results of Operations</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Item 3.</w:t>
              </w:r>
            </w:hyperlink>
          </w:p>
        </w:tc>
        <w:tc>
          <w:tcPr>
            <w:tcW w:w="6900" w:type="dxa"/>
            <w:vAlign w:val="bottom"/>
            <w:gridSpan w:val="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Item 4.</w:t>
              </w:r>
            </w:hyperlink>
          </w:p>
        </w:tc>
        <w:tc>
          <w:tcPr>
            <w:tcW w:w="6900" w:type="dxa"/>
            <w:vAlign w:val="bottom"/>
            <w:gridSpan w:val="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Controls and Procedures</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492"/>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140" w:type="dxa"/>
            <w:vAlign w:val="bottom"/>
            <w:gridSpan w:val="5"/>
          </w:tcPr>
          <w:p>
            <w:pPr>
              <w:jc w:val="center"/>
              <w:ind w:right="1820"/>
              <w:spacing w:after="0"/>
              <w:rPr>
                <w:sz w:val="20"/>
                <w:szCs w:val="20"/>
                <w:color w:val="auto"/>
              </w:rPr>
            </w:pPr>
            <w:r>
              <w:rPr>
                <w:rFonts w:ascii="Arial" w:cs="Arial" w:eastAsia="Arial" w:hAnsi="Arial"/>
                <w:sz w:val="18"/>
                <w:szCs w:val="18"/>
                <w:b w:val="1"/>
                <w:bCs w:val="1"/>
                <w:color w:val="auto"/>
              </w:rPr>
              <w:t>PART II. OTHER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00" w:type="dxa"/>
            <w:vAlign w:val="bottom"/>
            <w:gridSpan w:val="3"/>
          </w:tcPr>
          <w:p>
            <w:pPr>
              <w:spacing w:after="0" w:line="190" w:lineRule="exact"/>
              <w:rPr>
                <w:rFonts w:ascii="Arial" w:cs="Arial" w:eastAsia="Arial" w:hAnsi="Arial"/>
                <w:sz w:val="18"/>
                <w:szCs w:val="18"/>
                <w:color w:val="0000EE"/>
              </w:rPr>
            </w:pPr>
            <w:hyperlink w:anchor="page56">
              <w:r>
                <w:rPr>
                  <w:rFonts w:ascii="Arial" w:cs="Arial" w:eastAsia="Arial" w:hAnsi="Arial"/>
                  <w:sz w:val="18"/>
                  <w:szCs w:val="18"/>
                  <w:color w:val="0000EE"/>
                </w:rPr>
                <w:t>Item 1.</w:t>
              </w:r>
            </w:hyperlink>
          </w:p>
        </w:tc>
        <w:tc>
          <w:tcPr>
            <w:tcW w:w="6900" w:type="dxa"/>
            <w:vAlign w:val="bottom"/>
            <w:gridSpan w:val="9"/>
          </w:tcPr>
          <w:p>
            <w:pPr>
              <w:spacing w:after="0" w:line="190" w:lineRule="exact"/>
              <w:rPr>
                <w:rFonts w:ascii="Arial" w:cs="Arial" w:eastAsia="Arial" w:hAnsi="Arial"/>
                <w:sz w:val="18"/>
                <w:szCs w:val="18"/>
                <w:color w:val="0000EE"/>
              </w:rPr>
            </w:pPr>
            <w:hyperlink w:anchor="page56">
              <w:r>
                <w:rPr>
                  <w:rFonts w:ascii="Arial" w:cs="Arial" w:eastAsia="Arial" w:hAnsi="Arial"/>
                  <w:sz w:val="18"/>
                  <w:szCs w:val="18"/>
                  <w:color w:val="0000EE"/>
                </w:rPr>
                <w:t>Legal Proceedings</w:t>
              </w:r>
            </w:hyperlink>
          </w:p>
        </w:tc>
        <w:tc>
          <w:tcPr>
            <w:tcW w:w="940" w:type="dxa"/>
            <w:vAlign w:val="bottom"/>
          </w:tcPr>
          <w:p>
            <w:pPr>
              <w:jc w:val="center"/>
              <w:spacing w:after="0" w:line="190"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Item 1A.</w:t>
              </w:r>
            </w:hyperlink>
          </w:p>
        </w:tc>
        <w:tc>
          <w:tcPr>
            <w:tcW w:w="360" w:type="dxa"/>
            <w:vAlign w:val="bottom"/>
          </w:tcPr>
          <w:p>
            <w:pPr>
              <w:spacing w:after="0"/>
              <w:rPr>
                <w:sz w:val="17"/>
                <w:szCs w:val="17"/>
                <w:color w:val="auto"/>
              </w:rPr>
            </w:pPr>
          </w:p>
        </w:tc>
        <w:tc>
          <w:tcPr>
            <w:tcW w:w="6900" w:type="dxa"/>
            <w:vAlign w:val="bottom"/>
            <w:gridSpan w:val="9"/>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Risk Factors</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Item 6.</w:t>
              </w:r>
            </w:hyperlink>
          </w:p>
        </w:tc>
        <w:tc>
          <w:tcPr>
            <w:tcW w:w="360" w:type="dxa"/>
            <w:vAlign w:val="bottom"/>
          </w:tcPr>
          <w:p>
            <w:pPr>
              <w:spacing w:after="0"/>
              <w:rPr>
                <w:sz w:val="17"/>
                <w:szCs w:val="17"/>
                <w:color w:val="auto"/>
              </w:rPr>
            </w:pPr>
          </w:p>
        </w:tc>
        <w:tc>
          <w:tcPr>
            <w:tcW w:w="9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6000" w:type="dxa"/>
            <w:vAlign w:val="bottom"/>
            <w:gridSpan w:val="7"/>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This Quarterly Report on Form 10-Q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119" w:firstLine="324"/>
        <w:spacing w:after="0" w:line="287" w:lineRule="auto"/>
        <w:rPr>
          <w:sz w:val="20"/>
          <w:szCs w:val="20"/>
          <w:color w:val="auto"/>
        </w:rPr>
      </w:pPr>
      <w:r>
        <w:rPr>
          <w:rFonts w:ascii="Arial" w:cs="Arial" w:eastAsia="Arial" w:hAnsi="Arial"/>
          <w:sz w:val="16"/>
          <w:szCs w:val="16"/>
          <w:color w:val="auto"/>
        </w:rPr>
        <w:t>This Report contains certain statements that are, or may be deemed to be, “forward-looking statements” within the meaning of Section 27A of the Securities Act of 1933, as amended, and Section 21E of the Securities Exchange Act of 1934, as amended (the “Exchange Act”), or by Public Law 104-67.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including the impact of the COVID-19 pandemic,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spacing w:after="0" w:line="172"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Forward-looking statements include certain statements made under the caption, “Management’s Discussion and Analysis of Financial Condition and Results of Operations,” under Part I, Item 2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include risks related to economic downturns, substantial competition and rising operating costs; risks related to the severity, magnitude and duration of the COVID-19 pandemic and its impact on the global economy, financial markets and industries in which our subsidiaries operate; risks related to our investment activities, including the nature of the investments made by the private funds in which we invest, declines in the fair value of our investments as a result of the COVID-19 pandemic, losses in the private funds and loss of key employees; risks related to our ability to continue to conduct our activities in a manner so as to not be deemed an investment company under the Investment Company Act of 1940, as amended; risks related to our energy business, including the volatility and availability of crude oil, declines in global demand for crude oil, refined products and liquid transportation fuels as result of the COVID-19 pandemic, other feed stocks and refined products, unfavorable refining margin (crack spread), interrupted access to pipelines, significant fluctuations in nitrogen fertilizer demand in the agricultural industry and seasonality of results; risks related to our automotive activities and exposure to adverse conditions in the automotive industry, including as a result of the COVID-19 pandemic; risks related to our food packaging activities, including competition from better capitalized competitors, inability of its suppliers to timely deliver raw materials, and the failure to effectively respond to industry changes in casings technology; risks related to our scrap metals activities, including potential environmental exposure; risks related to our real estate activities, including the extent of any tenant bankruptcies and insolvencies; risks related to our home fashion operations, including changes in the availability and price of raw materials, and changes in transportation costs and delivery times. These risks and uncertainties also include the risks and uncertainties described in our Annual Report on Form 10-K for the year ended December 31, 2020 and those set forth in this Report, including under the caption “Risk Factors,” under Part II, Item 1A of this Report. Additionally, there may be other factors not presently known to us or which we currently consider to be immaterial that may cause our actual results to differ materially from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60" w:type="dxa"/>
            <w:vAlign w:val="bottom"/>
          </w:tcPr>
          <w:p>
            <w:pPr>
              <w:jc w:val="center"/>
              <w:ind w:left="229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tcPr>
          <w:p>
            <w:pPr>
              <w:jc w:val="center"/>
              <w:ind w:left="227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0" w:type="dxa"/>
            <w:vAlign w:val="bottom"/>
            <w:gridSpan w:val="4"/>
          </w:tcPr>
          <w:p>
            <w:pPr>
              <w:jc w:val="center"/>
              <w:ind w:left="1050"/>
              <w:spacing w:after="0"/>
              <w:rPr>
                <w:sz w:val="20"/>
                <w:szCs w:val="20"/>
                <w:color w:val="auto"/>
              </w:rPr>
            </w:pPr>
            <w:r>
              <w:rPr>
                <w:rFonts w:ascii="Arial" w:cs="Arial" w:eastAsia="Arial" w:hAnsi="Arial"/>
                <w:sz w:val="18"/>
                <w:szCs w:val="18"/>
                <w:b w:val="1"/>
                <w:bCs w:val="1"/>
                <w:color w:val="auto"/>
                <w:w w:val="99"/>
              </w:rPr>
              <w:t>CONDENSED CONSOLIDATED BALANCE SHEETS (UNAUDITED)</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March 31,</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6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spacing w:after="0" w:line="129" w:lineRule="exact"/>
              <w:rPr>
                <w:sz w:val="20"/>
                <w:szCs w:val="20"/>
                <w:color w:val="auto"/>
              </w:rPr>
            </w:pPr>
            <w:r>
              <w:rPr>
                <w:rFonts w:ascii="Arial" w:cs="Arial" w:eastAsia="Arial" w:hAnsi="Arial"/>
                <w:sz w:val="14"/>
                <w:szCs w:val="14"/>
                <w:color w:val="auto"/>
                <w:w w:val="96"/>
              </w:rPr>
              <w:t>(In millions, except</w:t>
            </w:r>
          </w:p>
        </w:tc>
        <w:tc>
          <w:tcPr>
            <w:tcW w:w="1100" w:type="dxa"/>
            <w:vAlign w:val="bottom"/>
            <w:gridSpan w:val="2"/>
          </w:tcPr>
          <w:p>
            <w:pPr>
              <w:jc w:val="right"/>
              <w:ind w:right="90"/>
              <w:spacing w:after="0" w:line="129" w:lineRule="exact"/>
              <w:rPr>
                <w:sz w:val="20"/>
                <w:szCs w:val="20"/>
                <w:color w:val="auto"/>
              </w:rPr>
            </w:pPr>
            <w:r>
              <w:rPr>
                <w:rFonts w:ascii="Arial" w:cs="Arial" w:eastAsia="Arial" w:hAnsi="Arial"/>
                <w:sz w:val="14"/>
                <w:szCs w:val="14"/>
                <w:color w:val="auto"/>
              </w:rPr>
              <w:t>unit amounts)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8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1,942</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11,480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brokers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on derivative contracts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28,297</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204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Unrealized loss on derivative contracts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Due to brokers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8,056</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Commitments and contingencies (Note 16)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Limited partners: Depositary units: 244,448,180 units issued and outstanding at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March 31, 2021 and 241,338,835 units issued and outstanding at December 31, 2020</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(856)</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Icahn Enterprises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6,352</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9,582</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28,297</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00" w:type="dxa"/>
            <w:vAlign w:val="bottom"/>
          </w:tcPr>
          <w:p>
            <w:pPr>
              <w:ind w:left="2460"/>
              <w:spacing w:after="0"/>
              <w:rPr>
                <w:sz w:val="20"/>
                <w:szCs w:val="20"/>
                <w:color w:val="auto"/>
              </w:rPr>
            </w:pPr>
            <w:r>
              <w:rPr>
                <w:rFonts w:ascii="Arial" w:cs="Arial" w:eastAsia="Arial" w:hAnsi="Arial"/>
                <w:sz w:val="18"/>
                <w:szCs w:val="18"/>
                <w:b w:val="1"/>
                <w:bCs w:val="1"/>
                <w:color w:val="auto"/>
              </w:rPr>
              <w:t>ICAHN ENTERPRISES L.P. AND SUBSIDIARIES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00" w:type="dxa"/>
            <w:vAlign w:val="bottom"/>
            <w:gridSpan w:val="4"/>
          </w:tcPr>
          <w:p>
            <w:pPr>
              <w:ind w:left="1140"/>
              <w:spacing w:after="0"/>
              <w:rPr>
                <w:sz w:val="20"/>
                <w:szCs w:val="20"/>
                <w:color w:val="auto"/>
              </w:rPr>
            </w:pPr>
            <w:r>
              <w:rPr>
                <w:rFonts w:ascii="Arial" w:cs="Arial" w:eastAsia="Arial" w:hAnsi="Arial"/>
                <w:sz w:val="18"/>
                <w:szCs w:val="18"/>
                <w:b w:val="1"/>
                <w:bCs w:val="1"/>
                <w:color w:val="auto"/>
              </w:rPr>
              <w:t>CONDENSED CONSOLIDATED STATEMENTS OF OPERATIONS (UNAUDITED)</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6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390"/>
              <w:spacing w:after="0"/>
              <w:rPr>
                <w:sz w:val="20"/>
                <w:szCs w:val="20"/>
                <w:color w:val="auto"/>
              </w:rPr>
            </w:pPr>
            <w:r>
              <w:rPr>
                <w:rFonts w:ascii="Arial" w:cs="Arial" w:eastAsia="Arial" w:hAnsi="Arial"/>
                <w:sz w:val="18"/>
                <w:szCs w:val="18"/>
                <w:b w:val="1"/>
                <w:bCs w:val="1"/>
                <w:color w:val="auto"/>
                <w:w w:val="93"/>
              </w:rPr>
              <w:t>March 31,</w:t>
            </w:r>
          </w:p>
        </w:tc>
        <w:tc>
          <w:tcPr>
            <w:tcW w:w="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670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4"/>
                <w:szCs w:val="14"/>
                <w:color w:val="auto"/>
              </w:rPr>
              <w:t>(In millions, except</w:t>
            </w:r>
          </w:p>
        </w:tc>
        <w:tc>
          <w:tcPr>
            <w:tcW w:w="1020" w:type="dxa"/>
            <w:vAlign w:val="bottom"/>
            <w:gridSpan w:val="2"/>
          </w:tcPr>
          <w:p>
            <w:pPr>
              <w:spacing w:after="0" w:line="129" w:lineRule="exact"/>
              <w:rPr>
                <w:sz w:val="20"/>
                <w:szCs w:val="20"/>
                <w:color w:val="auto"/>
              </w:rPr>
            </w:pPr>
            <w:r>
              <w:rPr>
                <w:rFonts w:ascii="Arial" w:cs="Arial" w:eastAsia="Arial" w:hAnsi="Arial"/>
                <w:sz w:val="14"/>
                <w:szCs w:val="14"/>
                <w:color w:val="auto"/>
                <w:w w:val="91"/>
              </w:rPr>
              <w:t>per unit amounts)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Net sales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2,218</w:t>
            </w:r>
          </w:p>
        </w:tc>
        <w:tc>
          <w:tcPr>
            <w:tcW w:w="2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revenues from operations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Net gain (loss) from investment activities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and dividend income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Other loss, net</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goods sold</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Other expenses from operations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Restructuring, net</w:t>
            </w: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 (expense) benefit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Icahn Enterprises</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Icahn Enterprises allocated to:</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Limited partners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General partner</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7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income (loss) per LP unit</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7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Basic weighted average LP units outstanding</w:t>
            </w: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242</w:t>
            </w: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income (loss) per LP unit</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20"/>
              <w:spacing w:after="0"/>
              <w:rPr>
                <w:sz w:val="20"/>
                <w:szCs w:val="20"/>
                <w:color w:val="auto"/>
              </w:rPr>
            </w:pPr>
            <w:r>
              <w:rPr>
                <w:rFonts w:ascii="Arial" w:cs="Arial" w:eastAsia="Arial" w:hAnsi="Arial"/>
                <w:sz w:val="18"/>
                <w:szCs w:val="18"/>
                <w:color w:val="auto"/>
              </w:rPr>
              <w:t>Diluted weighted average LP units outstanding</w:t>
            </w: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7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w:t>
            </w:r>
          </w:p>
        </w:tc>
        <w:tc>
          <w:tcPr>
            <w:tcW w:w="2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7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distributions declared per LP unit</w:t>
            </w: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w:t>
            </w: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(LOSS) (UNAUDITED)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6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391"/>
              <w:spacing w:after="0"/>
              <w:rPr>
                <w:sz w:val="20"/>
                <w:szCs w:val="20"/>
                <w:color w:val="auto"/>
              </w:rPr>
            </w:pPr>
            <w:r>
              <w:rPr>
                <w:rFonts w:ascii="Arial" w:cs="Arial" w:eastAsia="Arial" w:hAnsi="Arial"/>
                <w:sz w:val="18"/>
                <w:szCs w:val="18"/>
                <w:b w:val="1"/>
                <w:bCs w:val="1"/>
                <w:color w:val="auto"/>
                <w:w w:val="93"/>
              </w:rPr>
              <w:t>March 31,</w:t>
            </w:r>
          </w:p>
        </w:tc>
        <w:tc>
          <w:tcPr>
            <w:tcW w:w="700" w:type="dxa"/>
            <w:vAlign w:val="bottom"/>
            <w:tcBorders>
              <w:bottom w:val="single" w:sz="8" w:color="auto"/>
            </w:tcBorders>
          </w:tcPr>
          <w:p>
            <w:pPr>
              <w:spacing w:after="0"/>
              <w:rPr>
                <w:sz w:val="20"/>
                <w:szCs w:val="20"/>
                <w:color w:val="auto"/>
              </w:rPr>
            </w:pPr>
          </w:p>
        </w:tc>
      </w:tr>
      <w:tr>
        <w:trPr>
          <w:trHeight w:val="210"/>
        </w:trPr>
        <w:tc>
          <w:tcPr>
            <w:tcW w:w="6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2020</w:t>
            </w:r>
          </w:p>
        </w:tc>
      </w:tr>
      <w:tr>
        <w:trPr>
          <w:trHeight w:val="128"/>
        </w:trPr>
        <w:tc>
          <w:tcPr>
            <w:tcW w:w="6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tcPr>
          <w:p>
            <w:pPr>
              <w:jc w:val="center"/>
              <w:ind w:left="411"/>
              <w:spacing w:after="0" w:line="129" w:lineRule="exact"/>
              <w:rPr>
                <w:sz w:val="20"/>
                <w:szCs w:val="20"/>
                <w:color w:val="auto"/>
              </w:rPr>
            </w:pPr>
            <w:r>
              <w:rPr>
                <w:rFonts w:ascii="Arial" w:cs="Arial" w:eastAsia="Arial" w:hAnsi="Arial"/>
                <w:sz w:val="14"/>
                <w:szCs w:val="14"/>
                <w:color w:val="auto"/>
              </w:rPr>
              <w:t>(in millions)</w:t>
            </w:r>
          </w:p>
        </w:tc>
        <w:tc>
          <w:tcPr>
            <w:tcW w:w="700" w:type="dxa"/>
            <w:vAlign w:val="bottom"/>
          </w:tcPr>
          <w:p>
            <w:pPr>
              <w:spacing w:after="0"/>
              <w:rPr>
                <w:sz w:val="11"/>
                <w:szCs w:val="1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Translation adjustments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Post-retirement benefits and other</w:t>
            </w: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670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(2,309)</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r>
      <w:tr>
        <w:trPr>
          <w:trHeight w:val="24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income (loss) attributable to Icahn Enterprises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w:t>
            </w:r>
          </w:p>
        </w:tc>
      </w:tr>
      <w:tr>
        <w:trPr>
          <w:trHeight w:val="197"/>
        </w:trPr>
        <w:tc>
          <w:tcPr>
            <w:tcW w:w="6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Icahn Enterprises allocated to:</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Limited partners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r>
      <w:tr>
        <w:trPr>
          <w:trHeight w:val="216"/>
        </w:trPr>
        <w:tc>
          <w:tcPr>
            <w:tcW w:w="67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partner</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10"/>
        </w:trPr>
        <w:tc>
          <w:tcPr>
            <w:tcW w:w="67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0" w:type="dxa"/>
            <w:vAlign w:val="bottom"/>
            <w:gridSpan w:val="12"/>
          </w:tcPr>
          <w:p>
            <w:pPr>
              <w:jc w:val="center"/>
              <w:ind w:right="36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vMerge w:val="restart"/>
          </w:tcPr>
          <w:p>
            <w:pPr>
              <w:jc w:val="center"/>
              <w:ind w:right="300"/>
              <w:spacing w:after="0"/>
              <w:rPr>
                <w:sz w:val="20"/>
                <w:szCs w:val="20"/>
                <w:color w:val="auto"/>
              </w:rPr>
            </w:pPr>
            <w:r>
              <w:rPr>
                <w:rFonts w:ascii="Arial" w:cs="Arial" w:eastAsia="Arial" w:hAnsi="Arial"/>
                <w:sz w:val="18"/>
                <w:szCs w:val="18"/>
                <w:b w:val="1"/>
                <w:bCs w:val="1"/>
                <w:color w:val="auto"/>
                <w:w w:val="92"/>
              </w:rPr>
              <w:t>Non-</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3"/>
          </w:tcPr>
          <w:p>
            <w:pPr>
              <w:ind w:left="120"/>
              <w:spacing w:after="0" w:line="191" w:lineRule="exact"/>
              <w:rPr>
                <w:sz w:val="20"/>
                <w:szCs w:val="20"/>
                <w:color w:val="auto"/>
              </w:rPr>
            </w:pPr>
            <w:r>
              <w:rPr>
                <w:rFonts w:ascii="Arial" w:cs="Arial" w:eastAsia="Arial" w:hAnsi="Arial"/>
                <w:sz w:val="18"/>
                <w:szCs w:val="18"/>
                <w:b w:val="1"/>
                <w:bCs w:val="1"/>
                <w:color w:val="auto"/>
              </w:rPr>
              <w:t>General</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Limited</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Partner’s</w:t>
            </w:r>
          </w:p>
        </w:tc>
        <w:tc>
          <w:tcPr>
            <w:tcW w:w="20" w:type="dxa"/>
            <w:vAlign w:val="bottom"/>
          </w:tcPr>
          <w:p>
            <w:pPr>
              <w:spacing w:after="0"/>
              <w:rPr>
                <w:sz w:val="18"/>
                <w:szCs w:val="18"/>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4"/>
              </w:rPr>
              <w:t>Partners’</w:t>
            </w:r>
          </w:p>
        </w:tc>
        <w:tc>
          <w:tcPr>
            <w:tcW w:w="20" w:type="dxa"/>
            <w:vAlign w:val="bottom"/>
          </w:tcPr>
          <w:p>
            <w:pPr>
              <w:spacing w:after="0"/>
              <w:rPr>
                <w:sz w:val="18"/>
                <w:szCs w:val="18"/>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Total Partners’</w:t>
            </w:r>
          </w:p>
        </w:tc>
        <w:tc>
          <w:tcPr>
            <w:tcW w:w="1100" w:type="dxa"/>
            <w:vAlign w:val="bottom"/>
            <w:gridSpan w:val="5"/>
          </w:tcPr>
          <w:p>
            <w:pPr>
              <w:ind w:left="20"/>
              <w:spacing w:after="0"/>
              <w:rPr>
                <w:sz w:val="20"/>
                <w:szCs w:val="20"/>
                <w:color w:val="auto"/>
              </w:rPr>
            </w:pPr>
            <w:r>
              <w:rPr>
                <w:rFonts w:ascii="Arial" w:cs="Arial" w:eastAsia="Arial" w:hAnsi="Arial"/>
                <w:sz w:val="18"/>
                <w:szCs w:val="18"/>
                <w:b w:val="1"/>
                <w:bCs w:val="1"/>
                <w:color w:val="auto"/>
              </w:rPr>
              <w:t>controlling</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(Deficit) Equity</w:t>
            </w:r>
          </w:p>
        </w:tc>
        <w:tc>
          <w:tcPr>
            <w:tcW w:w="18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Interests</w:t>
            </w:r>
          </w:p>
        </w:tc>
        <w:tc>
          <w:tcPr>
            <w:tcW w:w="20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Total Equity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180" w:type="dxa"/>
            <w:vAlign w:val="bottom"/>
            <w:gridSpan w:val="2"/>
            <w:shd w:val="clear" w:color="auto" w:fill="CCEEFF"/>
          </w:tcPr>
          <w:p>
            <w:pPr>
              <w:jc w:val="right"/>
              <w:ind w:right="16"/>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(853)</w:t>
            </w:r>
          </w:p>
        </w:tc>
        <w:tc>
          <w:tcPr>
            <w:tcW w:w="1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Partnership distributions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(489)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Investment segment contributions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ind w:left="120"/>
              <w:spacing w:after="0"/>
              <w:rPr>
                <w:sz w:val="20"/>
                <w:szCs w:val="20"/>
                <w:color w:val="auto"/>
              </w:rPr>
            </w:pPr>
            <w:r>
              <w:rPr>
                <w:rFonts w:ascii="Arial" w:cs="Arial" w:eastAsia="Arial" w:hAnsi="Arial"/>
                <w:sz w:val="18"/>
                <w:szCs w:val="18"/>
                <w:color w:val="auto"/>
              </w:rPr>
              <w:t>from non-controlling interests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Changes in subsidiary equity and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8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March 31, 2021</w:t>
            </w:r>
          </w:p>
        </w:tc>
        <w:tc>
          <w:tcPr>
            <w:tcW w:w="180" w:type="dxa"/>
            <w:vAlign w:val="bottom"/>
            <w:tcBorders>
              <w:top w:val="single" w:sz="8" w:color="auto"/>
              <w:bottom w:val="single" w:sz="8" w:color="auto"/>
            </w:tcBorders>
            <w:gridSpan w:val="2"/>
          </w:tcPr>
          <w:p>
            <w:pPr>
              <w:jc w:val="right"/>
              <w:ind w:right="16"/>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3,230</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6,352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0" w:type="dxa"/>
            <w:vAlign w:val="bottom"/>
            <w:gridSpan w:val="12"/>
          </w:tcPr>
          <w:p>
            <w:pPr>
              <w:jc w:val="center"/>
              <w:ind w:right="36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vMerge w:val="restart"/>
          </w:tcPr>
          <w:p>
            <w:pPr>
              <w:jc w:val="center"/>
              <w:ind w:right="300"/>
              <w:spacing w:after="0"/>
              <w:rPr>
                <w:sz w:val="20"/>
                <w:szCs w:val="20"/>
                <w:color w:val="auto"/>
              </w:rPr>
            </w:pPr>
            <w:r>
              <w:rPr>
                <w:rFonts w:ascii="Arial" w:cs="Arial" w:eastAsia="Arial" w:hAnsi="Arial"/>
                <w:sz w:val="18"/>
                <w:szCs w:val="18"/>
                <w:b w:val="1"/>
                <w:bCs w:val="1"/>
                <w:color w:val="auto"/>
                <w:w w:val="92"/>
              </w:rPr>
              <w:t>Non-</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3"/>
          </w:tcPr>
          <w:p>
            <w:pPr>
              <w:ind w:left="120"/>
              <w:spacing w:after="0" w:line="191" w:lineRule="exact"/>
              <w:rPr>
                <w:sz w:val="20"/>
                <w:szCs w:val="20"/>
                <w:color w:val="auto"/>
              </w:rPr>
            </w:pPr>
            <w:r>
              <w:rPr>
                <w:rFonts w:ascii="Arial" w:cs="Arial" w:eastAsia="Arial" w:hAnsi="Arial"/>
                <w:sz w:val="18"/>
                <w:szCs w:val="18"/>
                <w:b w:val="1"/>
                <w:bCs w:val="1"/>
                <w:color w:val="auto"/>
              </w:rPr>
              <w:t>General</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Limited</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4"/>
              </w:rPr>
              <w:t>Partner’s</w:t>
            </w:r>
          </w:p>
        </w:tc>
        <w:tc>
          <w:tcPr>
            <w:tcW w:w="20" w:type="dxa"/>
            <w:vAlign w:val="bottom"/>
          </w:tcPr>
          <w:p>
            <w:pPr>
              <w:spacing w:after="0"/>
              <w:rPr>
                <w:sz w:val="18"/>
                <w:szCs w:val="18"/>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4"/>
              </w:rPr>
              <w:t>Partners’</w:t>
            </w:r>
          </w:p>
        </w:tc>
        <w:tc>
          <w:tcPr>
            <w:tcW w:w="20" w:type="dxa"/>
            <w:vAlign w:val="bottom"/>
          </w:tcPr>
          <w:p>
            <w:pPr>
              <w:spacing w:after="0"/>
              <w:rPr>
                <w:sz w:val="18"/>
                <w:szCs w:val="18"/>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Total Partners’</w:t>
            </w:r>
          </w:p>
        </w:tc>
        <w:tc>
          <w:tcPr>
            <w:tcW w:w="20" w:type="dxa"/>
            <w:vAlign w:val="bottom"/>
          </w:tcPr>
          <w:p>
            <w:pPr>
              <w:spacing w:after="0"/>
              <w:rPr>
                <w:sz w:val="18"/>
                <w:szCs w:val="18"/>
                <w:color w:val="auto"/>
              </w:rPr>
            </w:pPr>
          </w:p>
        </w:tc>
        <w:tc>
          <w:tcPr>
            <w:tcW w:w="10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controlling</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(Deficit) Equity</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4"/>
              </w:rPr>
              <w:t>Equity</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0"/>
              </w:rPr>
              <w:t>Interests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5"/>
              </w:rPr>
              <w:t>Total 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(812)</w:t>
            </w:r>
          </w:p>
        </w:tc>
        <w:tc>
          <w:tcPr>
            <w:tcW w:w="1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(1,356)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Partnership distributions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Partnership contributions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Investment segment contributions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ind w:left="120"/>
              <w:spacing w:after="0"/>
              <w:rPr>
                <w:sz w:val="20"/>
                <w:szCs w:val="20"/>
                <w:color w:val="auto"/>
              </w:rPr>
            </w:pPr>
            <w:r>
              <w:rPr>
                <w:rFonts w:ascii="Arial" w:cs="Arial" w:eastAsia="Arial" w:hAnsi="Arial"/>
                <w:sz w:val="18"/>
                <w:szCs w:val="18"/>
                <w:color w:val="auto"/>
              </w:rPr>
              <w:t>from non-controlling interests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Dividends and distributions to non-</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controlling interests in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subsidiaries</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Changes in subsidiary equity and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ind w:left="1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March 31, 2020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3,635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5,782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9,417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00" w:type="dxa"/>
            <w:vAlign w:val="bottom"/>
            <w:gridSpan w:val="2"/>
          </w:tcPr>
          <w:p>
            <w:pPr>
              <w:ind w:left="2460"/>
              <w:spacing w:after="0"/>
              <w:rPr>
                <w:sz w:val="20"/>
                <w:szCs w:val="20"/>
                <w:color w:val="auto"/>
              </w:rPr>
            </w:pPr>
            <w:r>
              <w:rPr>
                <w:rFonts w:ascii="Arial" w:cs="Arial" w:eastAsia="Arial" w:hAnsi="Arial"/>
                <w:sz w:val="18"/>
                <w:szCs w:val="18"/>
                <w:b w:val="1"/>
                <w:bCs w:val="1"/>
                <w:color w:val="auto"/>
              </w:rPr>
              <w:t>ICAHN ENTERPRISES L.P. AND SUBSIDIARIES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60" w:type="dxa"/>
            <w:vAlign w:val="bottom"/>
            <w:gridSpan w:val="5"/>
          </w:tcPr>
          <w:p>
            <w:pPr>
              <w:ind w:left="1140"/>
              <w:spacing w:after="0"/>
              <w:rPr>
                <w:sz w:val="20"/>
                <w:szCs w:val="20"/>
                <w:color w:val="auto"/>
              </w:rPr>
            </w:pPr>
            <w:r>
              <w:rPr>
                <w:rFonts w:ascii="Arial" w:cs="Arial" w:eastAsia="Arial" w:hAnsi="Arial"/>
                <w:sz w:val="18"/>
                <w:szCs w:val="18"/>
                <w:b w:val="1"/>
                <w:bCs w:val="1"/>
                <w:color w:val="auto"/>
              </w:rPr>
              <w:t>CONDENSED CONSOLIDATED STATEMENTS OF CASH FLOWS (UNAUDITED)</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360" w:type="dxa"/>
            <w:vAlign w:val="bottom"/>
          </w:tcPr>
          <w:p>
            <w:pPr>
              <w:spacing w:after="0"/>
              <w:rPr>
                <w:sz w:val="24"/>
                <w:szCs w:val="24"/>
                <w:color w:val="auto"/>
              </w:rPr>
            </w:pPr>
          </w:p>
        </w:tc>
        <w:tc>
          <w:tcPr>
            <w:tcW w:w="25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10"/>
        </w:trPr>
        <w:tc>
          <w:tcPr>
            <w:tcW w:w="6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96"/>
        </w:trPr>
        <w:tc>
          <w:tcPr>
            <w:tcW w:w="6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599</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Adjustments to reconcile net income (loss) to net cash used in operating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Net (gain) loss from securities transactions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(1,290)</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(1,519)</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Proceeds from sales of securities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to cover securities sold, not yet purchased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Proceeds from securities sold, not yet purchased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receivables and payables relating to securities transactions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Changes in unrealized gains/losses on derivative contracts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6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Changes in other operating assets and liabilities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Acquisition of businesses, net of cash acquired</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investments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Proceeds from sale of investments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Investment segment contributions from non-controlling interests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Dividends and distributions to non-controlling interests in subsidiaries</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Holding Company senior unsecured notes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Repayments of Holding Company senior unsecured notes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(750)</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subsidiary borrowings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Repayments of subsidiary borrowings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2"/>
        </w:trPr>
        <w:tc>
          <w:tcPr>
            <w:tcW w:w="63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1"/>
              </w:rPr>
              <w:t>Effect of exchange rate changes on cash and cash equivalents and restricted cash and</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equivalents</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8"/>
        </w:trPr>
        <w:tc>
          <w:tcPr>
            <w:tcW w:w="6360" w:type="dxa"/>
            <w:vAlign w:val="bottom"/>
          </w:tcPr>
          <w:p>
            <w:pPr>
              <w:ind w:left="20"/>
              <w:spacing w:after="0" w:line="198" w:lineRule="exact"/>
              <w:rPr>
                <w:sz w:val="20"/>
                <w:szCs w:val="20"/>
                <w:color w:val="auto"/>
              </w:rPr>
            </w:pPr>
            <w:r>
              <w:rPr>
                <w:rFonts w:ascii="Arial" w:cs="Arial" w:eastAsia="Arial" w:hAnsi="Arial"/>
                <w:sz w:val="18"/>
                <w:szCs w:val="18"/>
                <w:b w:val="1"/>
                <w:bCs w:val="1"/>
                <w:color w:val="auto"/>
                <w:w w:val="95"/>
              </w:rPr>
              <w:t>Net decrease in cash and cash equivalents and restricted cash and restricted</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60" w:type="dxa"/>
            <w:vAlign w:val="bottom"/>
          </w:tcPr>
          <w:p>
            <w:pPr>
              <w:ind w:left="140"/>
              <w:spacing w:after="0"/>
              <w:rPr>
                <w:sz w:val="20"/>
                <w:szCs w:val="20"/>
                <w:color w:val="auto"/>
              </w:rPr>
            </w:pPr>
            <w:r>
              <w:rPr>
                <w:rFonts w:ascii="Arial" w:cs="Arial" w:eastAsia="Arial" w:hAnsi="Arial"/>
                <w:sz w:val="18"/>
                <w:szCs w:val="18"/>
                <w:b w:val="1"/>
                <w:bCs w:val="1"/>
                <w:color w:val="auto"/>
              </w:rPr>
              <w:t>cash equivalents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(215)</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02"/>
        </w:trPr>
        <w:tc>
          <w:tcPr>
            <w:tcW w:w="63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Cash and cash equivalents and restricted cash and restricted cash equivalents,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of period</w:t>
            </w: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2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0" w:type="dxa"/>
            <w:vAlign w:val="bottom"/>
          </w:tcPr>
          <w:p>
            <w:pPr>
              <w:spacing w:after="0"/>
              <w:rPr>
                <w:sz w:val="1"/>
                <w:szCs w:val="1"/>
                <w:color w:val="auto"/>
              </w:rPr>
            </w:pPr>
          </w:p>
        </w:tc>
      </w:tr>
      <w:tr>
        <w:trPr>
          <w:trHeight w:val="182"/>
        </w:trPr>
        <w:tc>
          <w:tcPr>
            <w:tcW w:w="6360" w:type="dxa"/>
            <w:vAlign w:val="bottom"/>
          </w:tcPr>
          <w:p>
            <w:pPr>
              <w:ind w:left="20"/>
              <w:spacing w:after="0" w:line="182" w:lineRule="exact"/>
              <w:rPr>
                <w:sz w:val="20"/>
                <w:szCs w:val="20"/>
                <w:color w:val="auto"/>
              </w:rPr>
            </w:pPr>
            <w:r>
              <w:rPr>
                <w:rFonts w:ascii="Arial" w:cs="Arial" w:eastAsia="Arial" w:hAnsi="Arial"/>
                <w:sz w:val="18"/>
                <w:szCs w:val="18"/>
                <w:color w:val="auto"/>
                <w:w w:val="92"/>
              </w:rPr>
              <w:t>Cash and cash equivalents and restricted cash and restricted cash equivalents, end of</w:t>
            </w:r>
          </w:p>
        </w:tc>
        <w:tc>
          <w:tcPr>
            <w:tcW w:w="240" w:type="dxa"/>
            <w:vAlign w:val="bottom"/>
            <w:vMerge w:val="restart"/>
          </w:tcPr>
          <w:p>
            <w:pPr>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3,076</w:t>
            </w:r>
          </w:p>
        </w:tc>
        <w:tc>
          <w:tcPr>
            <w:tcW w:w="220" w:type="dxa"/>
            <w:vAlign w:val="bottom"/>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22"/>
        </w:trPr>
        <w:tc>
          <w:tcPr>
            <w:tcW w:w="6360" w:type="dxa"/>
            <w:vAlign w:val="bottom"/>
          </w:tcPr>
          <w:p>
            <w:pPr>
              <w:ind w:left="140"/>
              <w:spacing w:after="0"/>
              <w:rPr>
                <w:sz w:val="20"/>
                <w:szCs w:val="20"/>
                <w:color w:val="auto"/>
              </w:rPr>
            </w:pPr>
            <w:r>
              <w:rPr>
                <w:rFonts w:ascii="Arial" w:cs="Arial" w:eastAsia="Arial" w:hAnsi="Arial"/>
                <w:sz w:val="18"/>
                <w:szCs w:val="18"/>
                <w:color w:val="auto"/>
              </w:rPr>
              <w:t>period</w:t>
            </w:r>
          </w:p>
        </w:tc>
        <w:tc>
          <w:tcPr>
            <w:tcW w:w="2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800" w:type="dxa"/>
            <w:vAlign w:val="bottom"/>
            <w:gridSpan w:val="4"/>
          </w:tcPr>
          <w:p>
            <w:pPr>
              <w:ind w:left="1960"/>
              <w:spacing w:after="0"/>
              <w:rPr>
                <w:sz w:val="20"/>
                <w:szCs w:val="20"/>
                <w:color w:val="auto"/>
              </w:rPr>
            </w:pPr>
            <w:r>
              <w:rPr>
                <w:rFonts w:ascii="Arial" w:cs="Arial" w:eastAsia="Arial" w:hAnsi="Arial"/>
                <w:sz w:val="18"/>
                <w:szCs w:val="18"/>
                <w:b w:val="1"/>
                <w:bCs w:val="1"/>
                <w:color w:val="auto"/>
              </w:rPr>
              <w:t>ICAHN ENTERPRISES HOLDINGS L.P. AND SUBSIDIARIES</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0" w:type="dxa"/>
            <w:vAlign w:val="bottom"/>
            <w:gridSpan w:val="4"/>
          </w:tcPr>
          <w:p>
            <w:pPr>
              <w:ind w:left="1700"/>
              <w:spacing w:after="0"/>
              <w:rPr>
                <w:sz w:val="20"/>
                <w:szCs w:val="20"/>
                <w:color w:val="auto"/>
              </w:rPr>
            </w:pPr>
            <w:r>
              <w:rPr>
                <w:rFonts w:ascii="Arial" w:cs="Arial" w:eastAsia="Arial" w:hAnsi="Arial"/>
                <w:sz w:val="18"/>
                <w:szCs w:val="18"/>
                <w:b w:val="1"/>
                <w:bCs w:val="1"/>
                <w:color w:val="auto"/>
              </w:rPr>
              <w:t>CONDENSED CONSOLIDATED BALANCE SHEETS (UNAUDITED)</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March 31,</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ind w:left="720"/>
              <w:spacing w:after="0" w:line="142"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8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1,942</w:t>
            </w:r>
          </w:p>
        </w:tc>
        <w:tc>
          <w:tcPr>
            <w:tcW w:w="2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11,480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8,913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brokers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on derivative contracts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09"/>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28,297</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24,985</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204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Unrealized loss on derivative contracts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Due to brokers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8,058</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8,061</w:t>
            </w: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18,717</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15,729</w:t>
            </w: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Commitments and contingencies (Note 16)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Limited partner</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(897)</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Icahn Enterprises Holdings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6,352</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9,580</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9,256</w:t>
            </w: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28,297</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24,985</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700" w:type="dxa"/>
            <w:vAlign w:val="bottom"/>
            <w:gridSpan w:val="4"/>
          </w:tcPr>
          <w:p>
            <w:pPr>
              <w:ind w:left="1960"/>
              <w:spacing w:after="0"/>
              <w:rPr>
                <w:sz w:val="20"/>
                <w:szCs w:val="20"/>
                <w:color w:val="auto"/>
              </w:rPr>
            </w:pPr>
            <w:r>
              <w:rPr>
                <w:rFonts w:ascii="Arial" w:cs="Arial" w:eastAsia="Arial" w:hAnsi="Arial"/>
                <w:sz w:val="18"/>
                <w:szCs w:val="18"/>
                <w:b w:val="1"/>
                <w:bCs w:val="1"/>
                <w:color w:val="auto"/>
              </w:rPr>
              <w:t>ICAHN ENTERPRISES HOLDINGS L.P. AND SUBSIDIARIES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8060" w:type="dxa"/>
            <w:vAlign w:val="bottom"/>
            <w:gridSpan w:val="5"/>
          </w:tcPr>
          <w:p>
            <w:pPr>
              <w:ind w:left="1140"/>
              <w:spacing w:after="0"/>
              <w:rPr>
                <w:sz w:val="20"/>
                <w:szCs w:val="20"/>
                <w:color w:val="auto"/>
              </w:rPr>
            </w:pPr>
            <w:r>
              <w:rPr>
                <w:rFonts w:ascii="Arial" w:cs="Arial" w:eastAsia="Arial" w:hAnsi="Arial"/>
                <w:sz w:val="18"/>
                <w:szCs w:val="18"/>
                <w:b w:val="1"/>
                <w:bCs w:val="1"/>
                <w:color w:val="auto"/>
              </w:rPr>
              <w:t>CONDENSED CONSOLIDATED STATEMENTS OF OPERATIONS (UNAUDITED)</w:t>
            </w:r>
          </w:p>
        </w:tc>
        <w:tc>
          <w:tcPr>
            <w:tcW w:w="840" w:type="dxa"/>
            <w:vAlign w:val="bottom"/>
          </w:tcPr>
          <w:p>
            <w:pPr>
              <w:spacing w:after="0"/>
              <w:rPr>
                <w:sz w:val="24"/>
                <w:szCs w:val="24"/>
                <w:color w:val="auto"/>
              </w:rPr>
            </w:pPr>
          </w:p>
        </w:tc>
      </w:tr>
      <w:tr>
        <w:trPr>
          <w:trHeight w:val="445"/>
        </w:trPr>
        <w:tc>
          <w:tcPr>
            <w:tcW w:w="6360" w:type="dxa"/>
            <w:vAlign w:val="bottom"/>
          </w:tcPr>
          <w:p>
            <w:pPr>
              <w:spacing w:after="0"/>
              <w:rPr>
                <w:sz w:val="24"/>
                <w:szCs w:val="24"/>
                <w:color w:val="auto"/>
              </w:rPr>
            </w:pPr>
          </w:p>
        </w:tc>
        <w:tc>
          <w:tcPr>
            <w:tcW w:w="25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10"/>
        </w:trPr>
        <w:tc>
          <w:tcPr>
            <w:tcW w:w="6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2020</w:t>
            </w:r>
          </w:p>
        </w:tc>
      </w:tr>
      <w:tr>
        <w:trPr>
          <w:trHeight w:val="128"/>
        </w:trPr>
        <w:tc>
          <w:tcPr>
            <w:tcW w:w="6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1"/>
                <w:szCs w:val="1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Net sales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2,218</w:t>
            </w: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1,860</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revenues from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Net gain (loss) from investment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(2,128)</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and dividend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Other loss,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9"/>
        </w:trPr>
        <w:tc>
          <w:tcPr>
            <w:tcW w:w="6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0"/>
        </w:trPr>
        <w:tc>
          <w:tcPr>
            <w:tcW w:w="6360" w:type="dxa"/>
            <w:vAlign w:val="bottom"/>
          </w:tcPr>
          <w:p>
            <w:pPr>
              <w:ind w:left="20"/>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goods sold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Other expenses from operations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Restructuring, net</w:t>
            </w:r>
          </w:p>
        </w:tc>
        <w:tc>
          <w:tcPr>
            <w:tcW w:w="2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09"/>
        </w:trPr>
        <w:tc>
          <w:tcPr>
            <w:tcW w:w="63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w:t>
            </w:r>
          </w:p>
        </w:tc>
      </w:tr>
      <w:tr>
        <w:trPr>
          <w:trHeight w:val="20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 (expense) benefit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w:t>
            </w: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10"/>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w:t>
            </w:r>
          </w:p>
        </w:tc>
      </w:tr>
      <w:tr>
        <w:trPr>
          <w:trHeight w:val="216"/>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r>
      <w:tr>
        <w:trPr>
          <w:trHeight w:val="21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Icahn Enterprises Holdings</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7"/>
        </w:trPr>
        <w:tc>
          <w:tcPr>
            <w:tcW w:w="6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Icahn Enterprises Holdings allocated to:</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Limited partner</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(1,370)</w:t>
            </w:r>
          </w:p>
        </w:tc>
      </w:tr>
      <w:tr>
        <w:trPr>
          <w:trHeight w:val="216"/>
        </w:trPr>
        <w:tc>
          <w:tcPr>
            <w:tcW w:w="6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General partner</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9"/>
        </w:trPr>
        <w:tc>
          <w:tcPr>
            <w:tcW w:w="636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w:t>
            </w: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(LOSS) (UNAUDITED)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25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09"/>
        </w:trPr>
        <w:tc>
          <w:tcPr>
            <w:tcW w:w="6360" w:type="dxa"/>
            <w:vAlign w:val="bottom"/>
          </w:tcPr>
          <w:p>
            <w:pPr>
              <w:spacing w:after="0"/>
              <w:rPr>
                <w:sz w:val="18"/>
                <w:szCs w:val="18"/>
                <w:color w:val="auto"/>
              </w:rPr>
            </w:pPr>
          </w:p>
        </w:tc>
        <w:tc>
          <w:tcPr>
            <w:tcW w:w="80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94"/>
              </w:rPr>
              <w:t>2021</w:t>
            </w:r>
          </w:p>
        </w:tc>
        <w:tc>
          <w:tcPr>
            <w:tcW w:w="3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2020</w:t>
            </w:r>
          </w:p>
        </w:tc>
      </w:tr>
      <w:tr>
        <w:trPr>
          <w:trHeight w:val="129"/>
        </w:trPr>
        <w:tc>
          <w:tcPr>
            <w:tcW w:w="6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1"/>
                <w:szCs w:val="1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599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Translation adjustments</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Post-retirement benefits and other</w:t>
            </w:r>
          </w:p>
        </w:tc>
        <w:tc>
          <w:tcPr>
            <w:tcW w:w="80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636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598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(2,309)</w:t>
            </w: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8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437</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r>
      <w:tr>
        <w:trPr>
          <w:trHeight w:val="25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income (loss) attributable to Icahn Enterprises Holdings</w:t>
            </w: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161</w:t>
            </w:r>
          </w:p>
        </w:tc>
        <w:tc>
          <w:tcPr>
            <w:tcW w:w="2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w:t>
            </w:r>
          </w:p>
        </w:tc>
      </w:tr>
      <w:tr>
        <w:trPr>
          <w:trHeight w:val="196"/>
        </w:trPr>
        <w:tc>
          <w:tcPr>
            <w:tcW w:w="6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w w:val="93"/>
              </w:rPr>
              <w:t>Comprehensive income (loss) attributable to Icahn Enterprises Holdings allocated to:</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Limited partner</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r>
      <w:tr>
        <w:trPr>
          <w:trHeight w:val="216"/>
        </w:trPr>
        <w:tc>
          <w:tcPr>
            <w:tcW w:w="6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partner</w:t>
            </w: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09"/>
        </w:trPr>
        <w:tc>
          <w:tcPr>
            <w:tcW w:w="63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161</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r>
      <w:tr>
        <w:trPr>
          <w:trHeight w:val="20"/>
        </w:trPr>
        <w:tc>
          <w:tcPr>
            <w:tcW w:w="6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0" w:type="dxa"/>
            <w:vAlign w:val="bottom"/>
            <w:gridSpan w:val="13"/>
          </w:tcPr>
          <w:p>
            <w:pPr>
              <w:jc w:val="center"/>
              <w:ind w:right="300"/>
              <w:spacing w:after="0"/>
              <w:rPr>
                <w:sz w:val="20"/>
                <w:szCs w:val="20"/>
                <w:color w:val="auto"/>
              </w:rPr>
            </w:pPr>
            <w:r>
              <w:rPr>
                <w:rFonts w:ascii="Arial" w:cs="Arial" w:eastAsia="Arial" w:hAnsi="Arial"/>
                <w:sz w:val="18"/>
                <w:szCs w:val="18"/>
                <w:b w:val="1"/>
                <w:bCs w:val="1"/>
                <w:color w:val="auto"/>
                <w:w w:val="91"/>
              </w:rPr>
              <w:t>Equity Attributable to Icahn Enterprises Holdings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vMerge w:val="restart"/>
          </w:tcPr>
          <w:p>
            <w:pPr>
              <w:jc w:val="center"/>
              <w:ind w:right="280"/>
              <w:spacing w:after="0"/>
              <w:rPr>
                <w:sz w:val="20"/>
                <w:szCs w:val="20"/>
                <w:color w:val="auto"/>
              </w:rPr>
            </w:pPr>
            <w:r>
              <w:rPr>
                <w:rFonts w:ascii="Arial" w:cs="Arial" w:eastAsia="Arial" w:hAnsi="Arial"/>
                <w:sz w:val="18"/>
                <w:szCs w:val="18"/>
                <w:b w:val="1"/>
                <w:bCs w:val="1"/>
                <w:color w:val="auto"/>
                <w:w w:val="92"/>
              </w:rPr>
              <w:t>Non-</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3"/>
          </w:tcPr>
          <w:p>
            <w:pPr>
              <w:jc w:val="center"/>
              <w:ind w:right="360"/>
              <w:spacing w:after="0" w:line="191" w:lineRule="exact"/>
              <w:rPr>
                <w:sz w:val="20"/>
                <w:szCs w:val="20"/>
                <w:color w:val="auto"/>
              </w:rPr>
            </w:pPr>
            <w:r>
              <w:rPr>
                <w:rFonts w:ascii="Arial" w:cs="Arial" w:eastAsia="Arial" w:hAnsi="Arial"/>
                <w:sz w:val="18"/>
                <w:szCs w:val="18"/>
                <w:b w:val="1"/>
                <w:bCs w:val="1"/>
                <w:color w:val="auto"/>
                <w:w w:val="92"/>
              </w:rPr>
              <w:t>General</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rPr>
              <w:t>Limited</w:t>
            </w: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Partner’s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Partner’s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3"/>
              </w:rPr>
              <w:t>Total Partners’</w:t>
            </w:r>
          </w:p>
        </w:tc>
        <w:tc>
          <w:tcPr>
            <w:tcW w:w="1080" w:type="dxa"/>
            <w:vAlign w:val="bottom"/>
            <w:gridSpan w:val="5"/>
          </w:tcPr>
          <w:p>
            <w:pPr>
              <w:spacing w:after="0"/>
              <w:rPr>
                <w:sz w:val="20"/>
                <w:szCs w:val="20"/>
                <w:color w:val="auto"/>
              </w:rPr>
            </w:pPr>
            <w:r>
              <w:rPr>
                <w:rFonts w:ascii="Arial" w:cs="Arial" w:eastAsia="Arial" w:hAnsi="Arial"/>
                <w:sz w:val="18"/>
                <w:szCs w:val="18"/>
                <w:b w:val="1"/>
                <w:bCs w:val="1"/>
                <w:color w:val="auto"/>
              </w:rPr>
              <w:t>controlling</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(Deficit) Equity</w:t>
            </w:r>
          </w:p>
        </w:tc>
        <w:tc>
          <w:tcPr>
            <w:tcW w:w="22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4"/>
              </w:rPr>
              <w:t>Equity</w:t>
            </w:r>
          </w:p>
        </w:tc>
        <w:tc>
          <w:tcPr>
            <w:tcW w:w="20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Interests</w:t>
            </w:r>
          </w:p>
        </w:tc>
        <w:tc>
          <w:tcPr>
            <w:tcW w:w="18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Total Equity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gridSpan w:val="6"/>
          </w:tcPr>
          <w:p>
            <w:pPr>
              <w:ind w:left="18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Partnership distributions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ind w:left="20"/>
              <w:spacing w:after="0"/>
              <w:rPr>
                <w:sz w:val="20"/>
                <w:szCs w:val="20"/>
                <w:color w:val="auto"/>
              </w:rPr>
            </w:pPr>
            <w:r>
              <w:rPr>
                <w:rFonts w:ascii="Arial" w:cs="Arial" w:eastAsia="Arial" w:hAnsi="Arial"/>
                <w:sz w:val="18"/>
                <w:szCs w:val="18"/>
                <w:color w:val="auto"/>
              </w:rPr>
              <w:t>payable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(494)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(499)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Investment segment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20"/>
              <w:spacing w:after="0"/>
              <w:rPr>
                <w:sz w:val="20"/>
                <w:szCs w:val="20"/>
                <w:color w:val="auto"/>
              </w:rPr>
            </w:pPr>
            <w:r>
              <w:rPr>
                <w:rFonts w:ascii="Arial" w:cs="Arial" w:eastAsia="Arial" w:hAnsi="Arial"/>
                <w:sz w:val="18"/>
                <w:szCs w:val="18"/>
                <w:color w:val="auto"/>
              </w:rPr>
              <w:t>contributions from non-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Pr>
          <w:p>
            <w:pPr>
              <w:ind w:left="120"/>
              <w:spacing w:after="0"/>
              <w:rPr>
                <w:sz w:val="20"/>
                <w:szCs w:val="20"/>
                <w:color w:val="auto"/>
              </w:rPr>
            </w:pPr>
            <w:r>
              <w:rPr>
                <w:rFonts w:ascii="Arial" w:cs="Arial" w:eastAsia="Arial" w:hAnsi="Arial"/>
                <w:sz w:val="18"/>
                <w:szCs w:val="18"/>
                <w:color w:val="auto"/>
              </w:rPr>
              <w:t>controlling interests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5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Changes in subsidiary equity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other</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5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March 31, 2021</w:t>
            </w: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6,352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gridSpan w:val="2"/>
          </w:tcPr>
          <w:p>
            <w:pPr>
              <w:jc w:val="right"/>
              <w:ind w:right="96"/>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0" w:type="dxa"/>
            <w:vAlign w:val="bottom"/>
            <w:gridSpan w:val="13"/>
          </w:tcPr>
          <w:p>
            <w:pPr>
              <w:jc w:val="center"/>
              <w:ind w:right="280"/>
              <w:spacing w:after="0"/>
              <w:rPr>
                <w:sz w:val="20"/>
                <w:szCs w:val="20"/>
                <w:color w:val="auto"/>
              </w:rPr>
            </w:pPr>
            <w:r>
              <w:rPr>
                <w:rFonts w:ascii="Arial" w:cs="Arial" w:eastAsia="Arial" w:hAnsi="Arial"/>
                <w:sz w:val="18"/>
                <w:szCs w:val="18"/>
                <w:b w:val="1"/>
                <w:bCs w:val="1"/>
                <w:color w:val="auto"/>
                <w:w w:val="92"/>
              </w:rPr>
              <w:t>Equity Attributable to Icahn Enterprises Holdings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3"/>
            <w:vMerge w:val="restart"/>
          </w:tcPr>
          <w:p>
            <w:pPr>
              <w:jc w:val="center"/>
              <w:ind w:right="280"/>
              <w:spacing w:after="0"/>
              <w:rPr>
                <w:sz w:val="20"/>
                <w:szCs w:val="20"/>
                <w:color w:val="auto"/>
              </w:rPr>
            </w:pPr>
            <w:r>
              <w:rPr>
                <w:rFonts w:ascii="Arial" w:cs="Arial" w:eastAsia="Arial" w:hAnsi="Arial"/>
                <w:sz w:val="18"/>
                <w:szCs w:val="18"/>
                <w:b w:val="1"/>
                <w:bCs w:val="1"/>
                <w:color w:val="auto"/>
                <w:w w:val="92"/>
              </w:rPr>
              <w:t>Non-</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3"/>
          </w:tcPr>
          <w:p>
            <w:pPr>
              <w:jc w:val="center"/>
              <w:ind w:right="360"/>
              <w:spacing w:after="0" w:line="191" w:lineRule="exact"/>
              <w:rPr>
                <w:sz w:val="20"/>
                <w:szCs w:val="20"/>
                <w:color w:val="auto"/>
              </w:rPr>
            </w:pPr>
            <w:r>
              <w:rPr>
                <w:rFonts w:ascii="Arial" w:cs="Arial" w:eastAsia="Arial" w:hAnsi="Arial"/>
                <w:sz w:val="18"/>
                <w:szCs w:val="18"/>
                <w:b w:val="1"/>
                <w:bCs w:val="1"/>
                <w:color w:val="auto"/>
                <w:w w:val="92"/>
              </w:rPr>
              <w:t>General</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rPr>
              <w:t>Limited</w:t>
            </w: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Partner’s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Partner’s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Total Partners’</w:t>
            </w:r>
          </w:p>
        </w:tc>
        <w:tc>
          <w:tcPr>
            <w:tcW w:w="20" w:type="dxa"/>
            <w:vAlign w:val="bottom"/>
          </w:tcPr>
          <w:p>
            <w:pPr>
              <w:spacing w:after="0"/>
              <w:rPr>
                <w:sz w:val="18"/>
                <w:szCs w:val="18"/>
                <w:color w:val="auto"/>
              </w:rPr>
            </w:pPr>
          </w:p>
        </w:tc>
        <w:tc>
          <w:tcPr>
            <w:tcW w:w="1060" w:type="dxa"/>
            <w:vAlign w:val="bottom"/>
            <w:gridSpan w:val="4"/>
          </w:tcPr>
          <w:p>
            <w:pPr>
              <w:spacing w:after="0"/>
              <w:rPr>
                <w:sz w:val="20"/>
                <w:szCs w:val="20"/>
                <w:color w:val="auto"/>
              </w:rPr>
            </w:pPr>
            <w:r>
              <w:rPr>
                <w:rFonts w:ascii="Arial" w:cs="Arial" w:eastAsia="Arial" w:hAnsi="Arial"/>
                <w:sz w:val="18"/>
                <w:szCs w:val="18"/>
                <w:b w:val="1"/>
                <w:bCs w:val="1"/>
                <w:color w:val="auto"/>
              </w:rPr>
              <w:t>controlling</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(Deficit) Equity</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4"/>
              </w:rPr>
              <w:t>Equity</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7"/>
              </w:rPr>
              <w:t>Interests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93"/>
              </w:rPr>
              <w:t>Total 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gridSpan w:val="6"/>
          </w:tcPr>
          <w:p>
            <w:pPr>
              <w:ind w:left="18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2019</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6,328</w:t>
            </w:r>
          </w:p>
        </w:tc>
        <w:tc>
          <w:tcPr>
            <w:tcW w:w="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(1,384)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(922)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Partnership distributions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Pr>
          <w:p>
            <w:pPr>
              <w:ind w:left="120"/>
              <w:spacing w:after="0"/>
              <w:rPr>
                <w:sz w:val="20"/>
                <w:szCs w:val="20"/>
                <w:color w:val="auto"/>
              </w:rPr>
            </w:pPr>
            <w:r>
              <w:rPr>
                <w:rFonts w:ascii="Arial" w:cs="Arial" w:eastAsia="Arial" w:hAnsi="Arial"/>
                <w:sz w:val="18"/>
                <w:szCs w:val="18"/>
                <w:color w:val="auto"/>
              </w:rPr>
              <w:t>payable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(433)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Partnership contributions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Investment segment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20"/>
              <w:spacing w:after="0"/>
              <w:rPr>
                <w:sz w:val="20"/>
                <w:szCs w:val="20"/>
                <w:color w:val="auto"/>
              </w:rPr>
            </w:pPr>
            <w:r>
              <w:rPr>
                <w:rFonts w:ascii="Arial" w:cs="Arial" w:eastAsia="Arial" w:hAnsi="Arial"/>
                <w:sz w:val="18"/>
                <w:szCs w:val="18"/>
                <w:color w:val="auto"/>
              </w:rPr>
              <w:t>contributions from non-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Pr>
          <w:p>
            <w:pPr>
              <w:ind w:left="120"/>
              <w:spacing w:after="0"/>
              <w:rPr>
                <w:sz w:val="20"/>
                <w:szCs w:val="20"/>
                <w:color w:val="auto"/>
              </w:rPr>
            </w:pPr>
            <w:r>
              <w:rPr>
                <w:rFonts w:ascii="Arial" w:cs="Arial" w:eastAsia="Arial" w:hAnsi="Arial"/>
                <w:sz w:val="18"/>
                <w:szCs w:val="18"/>
                <w:color w:val="auto"/>
              </w:rPr>
              <w:t>controlling interests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Dividends and distributions to</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non-controlling interests 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subsidiaries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Changes in subsidiary equity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Pr>
          <w:p>
            <w:pPr>
              <w:ind w:left="120"/>
              <w:spacing w:after="0"/>
              <w:rPr>
                <w:sz w:val="20"/>
                <w:szCs w:val="20"/>
                <w:color w:val="auto"/>
              </w:rPr>
            </w:pPr>
            <w:r>
              <w:rPr>
                <w:rFonts w:ascii="Arial" w:cs="Arial" w:eastAsia="Arial" w:hAnsi="Arial"/>
                <w:sz w:val="18"/>
                <w:szCs w:val="18"/>
                <w:color w:val="auto"/>
              </w:rPr>
              <w:t>and other</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March 31, 2020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(893)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4,525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3,632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5,782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9,414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740" w:type="dxa"/>
            <w:vAlign w:val="bottom"/>
            <w:gridSpan w:val="4"/>
          </w:tcPr>
          <w:p>
            <w:pPr>
              <w:ind w:left="1960"/>
              <w:spacing w:after="0"/>
              <w:rPr>
                <w:sz w:val="20"/>
                <w:szCs w:val="20"/>
                <w:color w:val="auto"/>
              </w:rPr>
            </w:pPr>
            <w:r>
              <w:rPr>
                <w:rFonts w:ascii="Arial" w:cs="Arial" w:eastAsia="Arial" w:hAnsi="Arial"/>
                <w:sz w:val="18"/>
                <w:szCs w:val="18"/>
                <w:b w:val="1"/>
                <w:bCs w:val="1"/>
                <w:color w:val="auto"/>
              </w:rPr>
              <w:t>ICAHN ENTERPRISES HOLDINGS L.P. AND SUBSIDIARIES</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60" w:type="dxa"/>
            <w:vAlign w:val="bottom"/>
            <w:gridSpan w:val="5"/>
          </w:tcPr>
          <w:p>
            <w:pPr>
              <w:ind w:left="1140"/>
              <w:spacing w:after="0"/>
              <w:rPr>
                <w:sz w:val="20"/>
                <w:szCs w:val="20"/>
                <w:color w:val="auto"/>
              </w:rPr>
            </w:pPr>
            <w:r>
              <w:rPr>
                <w:rFonts w:ascii="Arial" w:cs="Arial" w:eastAsia="Arial" w:hAnsi="Arial"/>
                <w:sz w:val="18"/>
                <w:szCs w:val="18"/>
                <w:b w:val="1"/>
                <w:bCs w:val="1"/>
                <w:color w:val="auto"/>
              </w:rPr>
              <w:t>CONDENSED CONSOLIDATED STATEMENTS OF CASH FLOWS (UNAUDITED)</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360" w:type="dxa"/>
            <w:vAlign w:val="bottom"/>
          </w:tcPr>
          <w:p>
            <w:pPr>
              <w:spacing w:after="0"/>
              <w:rPr>
                <w:sz w:val="24"/>
                <w:szCs w:val="24"/>
                <w:color w:val="auto"/>
              </w:rPr>
            </w:pPr>
          </w:p>
        </w:tc>
        <w:tc>
          <w:tcPr>
            <w:tcW w:w="25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10"/>
        </w:trPr>
        <w:tc>
          <w:tcPr>
            <w:tcW w:w="6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28"/>
        </w:trPr>
        <w:tc>
          <w:tcPr>
            <w:tcW w:w="6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599</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Adjustments to reconcile net income (loss) to net cash used in operating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Net (gain) loss from securities transactions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(1,290)</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(1,519)</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Proceeds from sales of securities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to cover securities sold, not yet purchased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Proceeds from securities sold, not yet purchased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receivables and payables relating to securities transactions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Changes in unrealized gains/losses on derivative contracts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6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Changes in other operating assets and liabilities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Acquisition of businesses, net of cash acquired</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investments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Proceeds from sale of investments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Investment segment contributions from non-controlling interests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Dividends and distributions to non-controlling interests in subsidiaries</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Holding Company senior unsecured notes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Repayments of Holding Company senior unsecured notes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(750)</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subsidiary borrowings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Repayments of subsidiary borrowings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2"/>
        </w:trPr>
        <w:tc>
          <w:tcPr>
            <w:tcW w:w="63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1"/>
              </w:rPr>
              <w:t>Effect of exchange rate changes on cash and cash equivalents and restricted cash and</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equivalents</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8"/>
        </w:trPr>
        <w:tc>
          <w:tcPr>
            <w:tcW w:w="6360" w:type="dxa"/>
            <w:vAlign w:val="bottom"/>
          </w:tcPr>
          <w:p>
            <w:pPr>
              <w:ind w:left="20"/>
              <w:spacing w:after="0" w:line="198" w:lineRule="exact"/>
              <w:rPr>
                <w:sz w:val="20"/>
                <w:szCs w:val="20"/>
                <w:color w:val="auto"/>
              </w:rPr>
            </w:pPr>
            <w:r>
              <w:rPr>
                <w:rFonts w:ascii="Arial" w:cs="Arial" w:eastAsia="Arial" w:hAnsi="Arial"/>
                <w:sz w:val="18"/>
                <w:szCs w:val="18"/>
                <w:b w:val="1"/>
                <w:bCs w:val="1"/>
                <w:color w:val="auto"/>
                <w:w w:val="89"/>
              </w:rPr>
              <w:t>Net decrease in cash and cash equivalents and restricted cash and restricted cash</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60" w:type="dxa"/>
            <w:vAlign w:val="bottom"/>
          </w:tcPr>
          <w:p>
            <w:pPr>
              <w:ind w:left="140"/>
              <w:spacing w:after="0"/>
              <w:rPr>
                <w:sz w:val="20"/>
                <w:szCs w:val="20"/>
                <w:color w:val="auto"/>
              </w:rPr>
            </w:pPr>
            <w:r>
              <w:rPr>
                <w:rFonts w:ascii="Arial" w:cs="Arial" w:eastAsia="Arial" w:hAnsi="Arial"/>
                <w:sz w:val="18"/>
                <w:szCs w:val="18"/>
                <w:b w:val="1"/>
                <w:bCs w:val="1"/>
                <w:color w:val="auto"/>
              </w:rPr>
              <w:t>equivalents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(215)</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02"/>
        </w:trPr>
        <w:tc>
          <w:tcPr>
            <w:tcW w:w="63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Cash and cash equivalents and restricted cash and restricted cash equivalents,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of period</w:t>
            </w: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2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0" w:type="dxa"/>
            <w:vAlign w:val="bottom"/>
          </w:tcPr>
          <w:p>
            <w:pPr>
              <w:spacing w:after="0"/>
              <w:rPr>
                <w:sz w:val="1"/>
                <w:szCs w:val="1"/>
                <w:color w:val="auto"/>
              </w:rPr>
            </w:pPr>
          </w:p>
        </w:tc>
      </w:tr>
      <w:tr>
        <w:trPr>
          <w:trHeight w:val="182"/>
        </w:trPr>
        <w:tc>
          <w:tcPr>
            <w:tcW w:w="6360" w:type="dxa"/>
            <w:vAlign w:val="bottom"/>
          </w:tcPr>
          <w:p>
            <w:pPr>
              <w:ind w:left="20"/>
              <w:spacing w:after="0" w:line="182" w:lineRule="exact"/>
              <w:rPr>
                <w:sz w:val="20"/>
                <w:szCs w:val="20"/>
                <w:color w:val="auto"/>
              </w:rPr>
            </w:pPr>
            <w:r>
              <w:rPr>
                <w:rFonts w:ascii="Arial" w:cs="Arial" w:eastAsia="Arial" w:hAnsi="Arial"/>
                <w:sz w:val="18"/>
                <w:szCs w:val="18"/>
                <w:color w:val="auto"/>
                <w:w w:val="92"/>
              </w:rPr>
              <w:t>Cash and cash equivalents and restricted cash and restricted cash equivalents, end of</w:t>
            </w:r>
          </w:p>
        </w:tc>
        <w:tc>
          <w:tcPr>
            <w:tcW w:w="240" w:type="dxa"/>
            <w:vAlign w:val="bottom"/>
            <w:vMerge w:val="restart"/>
          </w:tcPr>
          <w:p>
            <w:pPr>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3,076</w:t>
            </w:r>
          </w:p>
        </w:tc>
        <w:tc>
          <w:tcPr>
            <w:tcW w:w="220" w:type="dxa"/>
            <w:vAlign w:val="bottom"/>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22"/>
        </w:trPr>
        <w:tc>
          <w:tcPr>
            <w:tcW w:w="6360" w:type="dxa"/>
            <w:vAlign w:val="bottom"/>
          </w:tcPr>
          <w:p>
            <w:pPr>
              <w:ind w:left="140"/>
              <w:spacing w:after="0"/>
              <w:rPr>
                <w:sz w:val="20"/>
                <w:szCs w:val="20"/>
                <w:color w:val="auto"/>
              </w:rPr>
            </w:pPr>
            <w:r>
              <w:rPr>
                <w:rFonts w:ascii="Arial" w:cs="Arial" w:eastAsia="Arial" w:hAnsi="Arial"/>
                <w:sz w:val="18"/>
                <w:szCs w:val="18"/>
                <w:color w:val="auto"/>
              </w:rPr>
              <w:t>period</w:t>
            </w:r>
          </w:p>
        </w:tc>
        <w:tc>
          <w:tcPr>
            <w:tcW w:w="2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Icahn Enterprises L.P. (“Icahn Enterprises”) is a master limited partnership formed in Delaware on February 17, 1987.</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Icahn Enterprises Holdings L.P. (“Icahn Enterprises Holdings”) is a limited partnership formed in Delaware 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February 17, 1987. References to “we,” “our” or “us” herein include both Icahn Enterprises and Icahn Enterprises Holdings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and their subsidiaries, unless the context otherwise requires.</w:t>
      </w:r>
    </w:p>
    <w:p>
      <w:pPr>
        <w:spacing w:after="0" w:line="211" w:lineRule="exact"/>
        <w:rPr>
          <w:sz w:val="20"/>
          <w:szCs w:val="20"/>
          <w:color w:val="auto"/>
        </w:rPr>
      </w:pPr>
    </w:p>
    <w:p>
      <w:pPr>
        <w:ind w:left="60" w:right="179" w:firstLine="324"/>
        <w:spacing w:after="0" w:line="271" w:lineRule="auto"/>
        <w:rPr>
          <w:sz w:val="20"/>
          <w:szCs w:val="20"/>
          <w:color w:val="auto"/>
        </w:rPr>
      </w:pPr>
      <w:r>
        <w:rPr>
          <w:rFonts w:ascii="Arial" w:cs="Arial" w:eastAsia="Arial" w:hAnsi="Arial"/>
          <w:sz w:val="17"/>
          <w:szCs w:val="17"/>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March 31, 2021.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the allocation of the general partner interest, which is reflected as an aggregate 1.99% general partner interest in the financial statements of Icahn Enterprises. In addition to the above, Mr. Icahn and his affiliates owned approximately 91% of Icahn Enterprises’ outstanding depositary units as of March 31, 2021.</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Description of Continuing Operating Businesses</w:t>
      </w:r>
    </w:p>
    <w:p>
      <w:pPr>
        <w:spacing w:after="0" w:line="225"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We are a diversified holding company owning subsidiaries currently engaged in the following continuing operating businesses: Investment, Energy, Automotive, Food Packaging, Metals, Real Estate, Home Fashion and Pharma. We also report the results of our Holding Company, which includes the results of certain subsidiaries of Icahn Enterprises and Icahn Enterprises Holdings (unless otherwise noted), and investment activity and expenses associated with our Holding Company. See Note 12, “Segment Reporting,” for a reconciliation of each of our reporting segment’s results of operations to our consolidated results. Certain additional information with respect to our segments is discussed below.</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239" w:firstLine="324"/>
        <w:spacing w:after="0" w:line="254" w:lineRule="auto"/>
        <w:rPr>
          <w:sz w:val="20"/>
          <w:szCs w:val="20"/>
          <w:color w:val="auto"/>
        </w:rPr>
      </w:pPr>
      <w:r>
        <w:rPr>
          <w:rFonts w:ascii="Arial" w:cs="Arial" w:eastAsia="Arial" w:hAnsi="Arial"/>
          <w:sz w:val="18"/>
          <w:szCs w:val="18"/>
          <w:color w:val="auto"/>
        </w:rPr>
        <w:t>Our Investment segment is comprised of various private investment funds (“Investment Funds”) in which we have general partner interests and through which we invest our proprietary capital. As general partner, we provide investment advisory and certain administrative and back office services to the Investment Funds but do not provide such services to any other entities, individuals or accounts. We and certain of Mr. Icahn’s family members and affiliates are the only investors in the Investment Funds. Interests in the Investment Funds are not offered to outside investors. We had interests in the Investment Funds with a fair value of approximately $4.7 billion and $4.3 billion as of March 31, 2021 and December 31, 2020, respectively.</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139" w:firstLine="324"/>
        <w:spacing w:after="0" w:line="290" w:lineRule="auto"/>
        <w:rPr>
          <w:sz w:val="20"/>
          <w:szCs w:val="20"/>
          <w:color w:val="auto"/>
        </w:rPr>
      </w:pPr>
      <w:r>
        <w:rPr>
          <w:rFonts w:ascii="Arial" w:cs="Arial" w:eastAsia="Arial" w:hAnsi="Arial"/>
          <w:sz w:val="16"/>
          <w:szCs w:val="16"/>
          <w:color w:val="auto"/>
        </w:rPr>
        <w:t>We conduct our Energy segment through our majority owned subsidiary, CVR Energy, Inc. (“CVR Energy”). CVR Energy is a diversified holding company primarily engaged in the petroleum refining and nitrogen fertilizer manufacturing businesses through its holdings in CVR Refining, LP (“CVR Refining”) and CVR Partners, LP (“CVR Partners”), respectively. CVR Refining is an independent petroleum refiner and marketer of high value transportation fuels. CVR Partners produces and markets nitrogen fertilizers in the form of urea ammonium nitrate and ammonia. CVR Energy has a general partner interest in each of CVR Refining and CVR Partners. In addition, CVR Energy is the sole limited partner of CVR Refining and owns approximately 36% of the outstanding common units of CVR Partners as of March 31, 2021. As of March 31, 2021, we owned approximately 71% of the total outstanding common stock of CVR Energy.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20" w:right="182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w:t>
      </w:r>
    </w:p>
    <w:p>
      <w:pPr>
        <w:spacing w:after="0" w:line="225"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We conduct our Automotive segment through our wholly owned subsidiary, Icahn Automotive Group LLC (“Icahn Automotive”). Icahn Automotive is engaged in the retail and wholesale distribution of automotive parts in the aftermarket (“aftermarket parts”) as well as providing automotive repair and maintenance services (“automotive services”) to its customers. Icahn Automotive’s aftermarket parts and automotive services businesses serve different customer channels and have distinct strategies, opportunities and requirements and therefore are operated as two independent operating companies, each with its own Chief Executive Officer and management teams, and both of which are supported by a central shared service group. Our Automotive segment also includes our separate investment in 767 Auto Leasing LLC (“767 Leasing”), a joint venture created by us to purchase vehicles for lease, as described further in Note 3, “Related Party Transactions.” Our investment in 767 Leasing is included as a component of our Automotive segment due to the nature of the joint venture activities.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Food Packaging</w:t>
      </w:r>
    </w:p>
    <w:p>
      <w:pPr>
        <w:spacing w:after="0" w:line="225" w:lineRule="exact"/>
        <w:rPr>
          <w:sz w:val="20"/>
          <w:szCs w:val="20"/>
          <w:color w:val="auto"/>
        </w:rPr>
      </w:pPr>
    </w:p>
    <w:p>
      <w:pPr>
        <w:ind w:left="60" w:right="359" w:firstLine="324"/>
        <w:spacing w:after="0" w:line="311" w:lineRule="auto"/>
        <w:rPr>
          <w:sz w:val="20"/>
          <w:szCs w:val="20"/>
          <w:color w:val="auto"/>
        </w:rPr>
      </w:pPr>
      <w:r>
        <w:rPr>
          <w:rFonts w:ascii="Arial" w:cs="Arial" w:eastAsia="Arial" w:hAnsi="Arial"/>
          <w:sz w:val="16"/>
          <w:szCs w:val="16"/>
          <w:color w:val="auto"/>
        </w:rPr>
        <w:t>We conduct our Food Packaging segment through our majority owned subsidiary, Viskase Companies, Inc. (“Viskase”). Viskase is a producer of cellulosic, fibrous and plastic casings used to prepare and package processed meat products. As of March 31, 2021, we owned approximately 89% of the total outstanding common stock of Viskase.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Metals</w:t>
      </w:r>
    </w:p>
    <w:p>
      <w:pPr>
        <w:spacing w:after="0" w:line="225" w:lineRule="exact"/>
        <w:rPr>
          <w:sz w:val="20"/>
          <w:szCs w:val="20"/>
          <w:color w:val="auto"/>
        </w:rPr>
      </w:pPr>
    </w:p>
    <w:p>
      <w:pPr>
        <w:ind w:left="60" w:right="139" w:firstLine="324"/>
        <w:spacing w:after="0" w:line="279" w:lineRule="auto"/>
        <w:rPr>
          <w:sz w:val="20"/>
          <w:szCs w:val="20"/>
          <w:color w:val="auto"/>
        </w:rPr>
      </w:pPr>
      <w:r>
        <w:rPr>
          <w:rFonts w:ascii="Arial" w:cs="Arial" w:eastAsia="Arial" w:hAnsi="Arial"/>
          <w:sz w:val="17"/>
          <w:szCs w:val="17"/>
          <w:color w:val="auto"/>
        </w:rPr>
        <w:t>We conduct our Metals segment through our wholly owned subsidiary, PSC Metals LLC (“PSC Metals”). PSC Metals is principally engaged in the business of collecting, processing and selling ferrous and non-ferrous metals, as well as the processing and distribution of steel pipe and plate products. PSC Metals collects industrial and obsolete scrap metal, processes it into reusable forms and supplies the recycled metals to its customers</w:t>
      </w:r>
      <w:r>
        <w:rPr>
          <w:rFonts w:ascii="Arial" w:cs="Arial" w:eastAsia="Arial" w:hAnsi="Arial"/>
          <w:sz w:val="17"/>
          <w:szCs w:val="17"/>
          <w:i w:val="1"/>
          <w:iCs w:val="1"/>
          <w:color w:val="auto"/>
        </w:rPr>
        <w: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Our Real Estate segment consists primarily of investment properties, the development and sale of single-family homes and the management of a country club.</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Home Fashion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conduct our Home Fashion segment through our wholly owned subsidiary, WestPoint Home LLC (“WPH”).</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WPH’s business consists of manufacturing, sourcing, marketing, distributing and selling home fashion consumer products.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Pharma</w:t>
      </w:r>
    </w:p>
    <w:p>
      <w:pPr>
        <w:spacing w:after="0" w:line="225" w:lineRule="exact"/>
        <w:rPr>
          <w:sz w:val="20"/>
          <w:szCs w:val="20"/>
          <w:color w:val="auto"/>
        </w:rPr>
      </w:pPr>
    </w:p>
    <w:p>
      <w:pPr>
        <w:ind w:left="60" w:right="239" w:firstLine="324"/>
        <w:spacing w:after="0" w:line="311" w:lineRule="auto"/>
        <w:rPr>
          <w:sz w:val="20"/>
          <w:szCs w:val="20"/>
          <w:color w:val="auto"/>
        </w:rPr>
      </w:pPr>
      <w:r>
        <w:rPr>
          <w:rFonts w:ascii="Arial" w:cs="Arial" w:eastAsia="Arial" w:hAnsi="Arial"/>
          <w:sz w:val="16"/>
          <w:szCs w:val="16"/>
          <w:color w:val="auto"/>
        </w:rPr>
        <w:t>We conduct our Pharma segment through our wholly owned subsidiary, Vivus, Inc. (“Vivus”). We acquired all of the outstanding common stock of Vivus in December 2020 upon its emergence from bankruptcy. Vivus is a specialty pharmaceutical company with two approved therapies and one product candidate in active clinical development.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29" w:lineRule="exact"/>
        <w:rPr>
          <w:sz w:val="20"/>
          <w:szCs w:val="20"/>
          <w:color w:val="auto"/>
        </w:rPr>
      </w:pPr>
    </w:p>
    <w:p>
      <w:pPr>
        <w:ind w:left="60" w:right="239" w:firstLine="324"/>
        <w:spacing w:after="0" w:line="273" w:lineRule="auto"/>
        <w:rPr>
          <w:sz w:val="20"/>
          <w:szCs w:val="20"/>
          <w:color w:val="auto"/>
        </w:rPr>
      </w:pPr>
      <w:r>
        <w:rPr>
          <w:rFonts w:ascii="Arial" w:cs="Arial" w:eastAsia="Arial" w:hAnsi="Arial"/>
          <w:sz w:val="17"/>
          <w:szCs w:val="17"/>
          <w:color w:val="auto"/>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w:t>
      </w:r>
    </w:p>
    <w:p>
      <w:pPr>
        <w:spacing w:after="0" w:line="178"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Our sales of Federal-Mogul LLC, Tropicana Entertainment Inc., American Railcar Industries, Inc. and Ferrous Resources Ltd. in recent years did not result in our being considered an investment company. However, additional transactions involving the sale of certain assets could result in our being considered an investment company. Following such events or 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pacing w:after="0" w:line="185"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The accompanying condensed consolidated financial statements and related notes should be read in conjunction with our consolidated financial statements and related notes contained in our Annual Report on Form 10-K for the year ended December 31, 2020.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60" w:right="59" w:firstLine="324"/>
        <w:spacing w:after="0" w:line="289" w:lineRule="auto"/>
        <w:rPr>
          <w:sz w:val="20"/>
          <w:szCs w:val="20"/>
          <w:color w:val="auto"/>
        </w:rPr>
      </w:pPr>
      <w:r>
        <w:rPr>
          <w:rFonts w:ascii="Arial" w:cs="Arial" w:eastAsia="Arial" w:hAnsi="Arial"/>
          <w:sz w:val="16"/>
          <w:szCs w:val="16"/>
          <w:color w:val="auto"/>
        </w:rPr>
        <w:t>Our condensed consolidated financial statements include the accounts of (i) Icahn Enterprises and Icahn Enterprises Holdings and (ii) the wholly and majority owned subsidiaries of Icahn Enterprises and Icahn Enterprises Holdings,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w:t>
      </w:r>
    </w:p>
    <w:p>
      <w:pPr>
        <w:spacing w:after="0" w:line="166" w:lineRule="exact"/>
        <w:rPr>
          <w:sz w:val="20"/>
          <w:szCs w:val="20"/>
          <w:color w:val="auto"/>
        </w:rPr>
      </w:pPr>
    </w:p>
    <w:p>
      <w:pPr>
        <w:ind w:left="60" w:right="299" w:firstLine="324"/>
        <w:spacing w:after="0" w:line="263" w:lineRule="auto"/>
        <w:rPr>
          <w:sz w:val="20"/>
          <w:szCs w:val="20"/>
          <w:color w:val="auto"/>
        </w:rPr>
      </w:pPr>
      <w:r>
        <w:rPr>
          <w:rFonts w:ascii="Arial" w:cs="Arial" w:eastAsia="Arial" w:hAnsi="Arial"/>
          <w:sz w:val="18"/>
          <w:szCs w:val="18"/>
          <w:color w:val="auto"/>
        </w:rPr>
        <w:t>Except for our Investment segment and Holding Company, for equity investments in which we own 50% or less but greater than 20%, we generally account for such investments using the equity method. All other equity investments are accounted for at fair value.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60" w:right="199" w:firstLine="324"/>
        <w:spacing w:after="0" w:line="342" w:lineRule="auto"/>
        <w:rPr>
          <w:sz w:val="20"/>
          <w:szCs w:val="20"/>
          <w:color w:val="auto"/>
        </w:rPr>
      </w:pPr>
      <w:r>
        <w:rPr>
          <w:rFonts w:ascii="Arial" w:cs="Arial" w:eastAsia="Arial" w:hAnsi="Arial"/>
          <w:sz w:val="16"/>
          <w:szCs w:val="16"/>
          <w:color w:val="auto"/>
        </w:rPr>
        <w:t>Certain reclassifications from the prior year presentation have been made to conform to the current year presentation, which did not have an impact on previously reported net income and equity and are not deemed material.</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225"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The following is a discussion of variable interest entities in which we are deemed to be the primary beneficiary and in which we therefore consolidate.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Icahn Enterprises Holdings</w:t>
      </w:r>
    </w:p>
    <w:p>
      <w:pPr>
        <w:spacing w:after="0" w:line="225" w:lineRule="exact"/>
        <w:rPr>
          <w:sz w:val="20"/>
          <w:szCs w:val="20"/>
          <w:color w:val="auto"/>
        </w:rPr>
      </w:pPr>
    </w:p>
    <w:p>
      <w:pPr>
        <w:ind w:left="60" w:right="59" w:firstLine="324"/>
        <w:spacing w:after="0" w:line="291" w:lineRule="auto"/>
        <w:rPr>
          <w:sz w:val="20"/>
          <w:szCs w:val="20"/>
          <w:color w:val="auto"/>
        </w:rPr>
      </w:pPr>
      <w:r>
        <w:rPr>
          <w:rFonts w:ascii="Arial" w:cs="Arial" w:eastAsia="Arial" w:hAnsi="Arial"/>
          <w:sz w:val="16"/>
          <w:szCs w:val="16"/>
          <w:color w:val="auto"/>
        </w:rPr>
        <w:t>We determined that Icahn Enterprises Holdings is a VIE because it is a limited partnership that lacks both substantive kick-out and participating rights. Although Icahn Enterprises is not the general partner of Icahn Enterprises Holdings, Icahn Enterprises is deemed to be the primary beneficiary of Icahn Enterprises Holdings principally based on its 99% limited partner interest in Icahn Enterprises Holdings, as well as our related party relationship with the general partner, and therefore continues to consolidate Icahn Enterprises Holdings. The condensed consolidated financial statements of Icahn Enterprises Holdings are included in this Report. The balances with respect to Icahn Enterprises Holdings’ consolidated VIEs are discussed below, comprising the Investment Funds, CVR Partners and Viskase’s joint venture.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299" w:firstLine="324"/>
        <w:spacing w:after="0" w:line="275" w:lineRule="auto"/>
        <w:rPr>
          <w:sz w:val="20"/>
          <w:szCs w:val="20"/>
          <w:color w:val="auto"/>
        </w:rPr>
      </w:pPr>
      <w:r>
        <w:rPr>
          <w:rFonts w:ascii="Arial" w:cs="Arial" w:eastAsia="Arial" w:hAnsi="Arial"/>
          <w:sz w:val="17"/>
          <w:szCs w:val="17"/>
          <w:color w:val="auto"/>
        </w:rPr>
        <w:t>We determined that each of the Investment Funds are considered VIEs because these limited partnerships lack both substantive kick-out and participating rights. Because we have a general partner interest in each of the Investment Funds and have significant limited partner interests in each of the Investment Funds, coupled with our significant exposure to losses and benefits in each of the Investment Funds, we are the primary beneficiary of each of the Investment Funds and therefore continue to consolidate each of the Investment Funds.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CVR Partners is considered a VIE because it is a limited partnership that lacks both substantive kick-out and participating rights. In addition, CVR Energy also concluded that, based upon its general partner’s roles and rights in CVR Partners as afforded by CVR Partners’ partnership agreement, coupled with its exposure to losses and benefits in CVR Partners through its significant limited partner interest, intercompany credit facilities and services agreements, it is the primary beneficiary of CVR Partners.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Food Packaging</w:t>
      </w:r>
    </w:p>
    <w:p>
      <w:pPr>
        <w:spacing w:after="0" w:line="225" w:lineRule="exact"/>
        <w:rPr>
          <w:sz w:val="20"/>
          <w:szCs w:val="20"/>
          <w:color w:val="auto"/>
        </w:rPr>
      </w:pPr>
    </w:p>
    <w:p>
      <w:pPr>
        <w:ind w:left="60" w:right="299" w:firstLine="324"/>
        <w:spacing w:after="0" w:line="286" w:lineRule="auto"/>
        <w:rPr>
          <w:sz w:val="20"/>
          <w:szCs w:val="20"/>
          <w:color w:val="auto"/>
        </w:rPr>
      </w:pPr>
      <w:r>
        <w:rPr>
          <w:rFonts w:ascii="Arial" w:cs="Arial" w:eastAsia="Arial" w:hAnsi="Arial"/>
          <w:sz w:val="17"/>
          <w:szCs w:val="17"/>
          <w:color w:val="auto"/>
        </w:rPr>
        <w:t>Viskase holds a variable interest in a joint venture for which Viskase is the primary beneficiary. Viskase’s interest in the joint venture includes a 50% equity interest and also relates to the sales, operations, administrative and financial support to the joint venture through providing many of the assets used in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659" w:firstLine="324"/>
        <w:spacing w:after="0" w:line="277" w:lineRule="auto"/>
        <w:rPr>
          <w:sz w:val="20"/>
          <w:szCs w:val="20"/>
          <w:color w:val="auto"/>
        </w:rPr>
      </w:pPr>
      <w:r>
        <w:rPr>
          <w:rFonts w:ascii="Arial" w:cs="Arial" w:eastAsia="Arial" w:hAnsi="Arial"/>
          <w:sz w:val="18"/>
          <w:szCs w:val="18"/>
          <w:color w:val="auto"/>
        </w:rPr>
        <w:t>The following table includes balances of assets and liabilities of VIE’s included in Icahn Enterprises Holdings’ condensed consolidated balance sheets.</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5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2020</w:t>
            </w:r>
          </w:p>
        </w:tc>
      </w:tr>
      <w:tr>
        <w:trPr>
          <w:trHeight w:val="128"/>
        </w:trPr>
        <w:tc>
          <w:tcPr>
            <w:tcW w:w="5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ind w:left="580"/>
              <w:spacing w:after="0" w:line="129"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1"/>
                <w:szCs w:val="1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1,558</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8,239</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Due from brokers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4,234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3,437</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Inventories, net</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Unrealized gain on derivative contracts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785</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Other assets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Unrealized loss on derivative contracts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622</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 at fair value</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Due to brokers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1,618</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4, “Investments,” and Note 5, “Fair Value Measurements,” for a detailed discussion of our investments and other non-financial assets and/or liabilities.</w:t>
      </w:r>
    </w:p>
    <w:p>
      <w:pPr>
        <w:spacing w:after="0" w:line="188"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March 31, 2021 was approximately $8.1 billion and $8.1 billion, respectively. The carrying value and estimated fair value of our long-term debt as of December 31, 2020 was approximately $8.1 billion and $8.2 billion, respectively.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jc w:val="both"/>
        <w:ind w:left="60" w:right="819" w:firstLine="324"/>
        <w:spacing w:after="0" w:line="263" w:lineRule="auto"/>
        <w:rPr>
          <w:sz w:val="20"/>
          <w:szCs w:val="20"/>
          <w:color w:val="auto"/>
        </w:rPr>
      </w:pPr>
      <w:r>
        <w:rPr>
          <w:rFonts w:ascii="Arial" w:cs="Arial" w:eastAsia="Arial" w:hAnsi="Arial"/>
          <w:sz w:val="18"/>
          <w:szCs w:val="18"/>
          <w:color w:val="auto"/>
        </w:rPr>
        <w:t>Cash and cash equivalents and restricted cash and restricted cash equivalents on our condensed consolidated statements of cash flows is comprised of (i) cash and cash equivalents and (ii) cash held at consolidated affiliated partnerships and restricted cash.</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Held at Consolidated Affiliated Partnerships and Restricted Cash</w:t>
      </w:r>
    </w:p>
    <w:p>
      <w:pPr>
        <w:spacing w:after="0" w:line="225" w:lineRule="exact"/>
        <w:rPr>
          <w:sz w:val="20"/>
          <w:szCs w:val="20"/>
          <w:color w:val="auto"/>
        </w:rPr>
      </w:pPr>
    </w:p>
    <w:p>
      <w:pPr>
        <w:ind w:left="60" w:right="159" w:firstLine="324"/>
        <w:spacing w:after="0" w:line="301" w:lineRule="auto"/>
        <w:rPr>
          <w:sz w:val="20"/>
          <w:szCs w:val="20"/>
          <w:color w:val="auto"/>
        </w:rPr>
      </w:pPr>
      <w:r>
        <w:rPr>
          <w:rFonts w:ascii="Arial" w:cs="Arial" w:eastAsia="Arial" w:hAnsi="Arial"/>
          <w:sz w:val="16"/>
          <w:szCs w:val="16"/>
          <w:color w:val="auto"/>
        </w:rPr>
        <w:t>Our cash held at consolidated affiliated partnerships balance was $142 million and $686 million as of March 31, 2021 and December 31, 2020, respectively. Cash held at consolidated affiliated partnerships relates to our Investment segment and consists of cash and cash equivalents held by the Investment Funds that, although not legally restricted, are not available to fund the general liquidity needs of the Investment segment or Icahn Enterprises.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Our restricted cash balance was $992 million and $926 million as of March 31, 2021 and December 31, 2020, respectively. Restricted cash primarily relates to our Investment segment’s cash pledged and held for margin requirements on derivative transactions.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From Contracts With Customers and Contract Balances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Due to the nature of our business, we derive revenue from various sources in various industries. With the exception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all of our Investment segment’s and our Holding Company’s revenues, and our Real Estate segment’s leasing revenue, our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revenue is generally derived from contracts with customers in accordance with U.S. GAAP. Such revenue from contracts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with customers is included in net sales and other revenues from operations in the condensed consolidated statements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operations, however, our Real Estate segment’s leasing revenue, as disclosed in Note 9, “Leases,” is also included in other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revenues from operations. Related contract assets are included in accounts receivable, net or other assets and related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contract liabilities are included in accrued expenses and other liabilities in the condensed consolidated balance sheets. Our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disaggregation of revenue information includes our net sales and other revenues from operations for each of our reporting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segments as well as additional disaggregation of revenue information for our Energy and Automotive segments. See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Note 12, “Segment Reporting,” for our complete disaggregation of revenue information. In addition, we disclose additional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information with respect to revenue from contracts with customers and contract balances for our Energy and Automotive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segments below.</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Our Energy segment’s deferred revenue is a contract liability that primarily relates to fertilizer sales contracts requiring 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as discussed above, revenue is recognized at the point in time in which the customer obtains control of the product. Our Energy segment had deferred revenue of $40 million and $31 million as of March 31, 2021 and December 31, 2020, respectively. For the three months ended March 31, 2021 and 2020, our Energy segment recorded revenue of $8 million and $6 million, respectively, with respect to deferred revenue outstanding as of the beginning of each respective period.</w:t>
      </w:r>
    </w:p>
    <w:p>
      <w:pPr>
        <w:spacing w:after="0" w:line="166" w:lineRule="exact"/>
        <w:rPr>
          <w:sz w:val="20"/>
          <w:szCs w:val="20"/>
          <w:color w:val="auto"/>
        </w:rPr>
      </w:pPr>
    </w:p>
    <w:p>
      <w:pPr>
        <w:ind w:left="60" w:right="139" w:firstLine="324"/>
        <w:spacing w:after="0" w:line="286" w:lineRule="auto"/>
        <w:rPr>
          <w:sz w:val="20"/>
          <w:szCs w:val="20"/>
          <w:color w:val="auto"/>
        </w:rPr>
      </w:pPr>
      <w:r>
        <w:rPr>
          <w:rFonts w:ascii="Arial" w:cs="Arial" w:eastAsia="Arial" w:hAnsi="Arial"/>
          <w:sz w:val="17"/>
          <w:szCs w:val="17"/>
          <w:color w:val="auto"/>
        </w:rPr>
        <w:t>As of March 31, 2021, our Energy segment had $6 million of remaining performance obligations for contracts with an original expected duration of more than one year. Our Energy segment expects to recognize approximately $3 million of these performance obligations as revenue by the end of 2021 and the remaining balance thereafter.</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w:t>
      </w:r>
    </w:p>
    <w:p>
      <w:pPr>
        <w:spacing w:after="0" w:line="225"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Our Automotive segment has deferred revenue with respect to extended warranty plans of $40 million and $41 million as of March 31, 2021 and December 31, 2020, respectively, which are included in accrued expenses and other liabilities on the condensed consolidated balance sheets. For the three months ended March 31, 2021 and 2020, our Automotive segment recorded revenue of $6 million and $6 million, respectively, with respect to deferred revenue outstanding as of the beginning of each respective period.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December 2019, the Financial Account Standards Board (“FASB”) issued Accounting Standards Update (“ASU”)</w:t>
      </w:r>
    </w:p>
    <w:p>
      <w:pPr>
        <w:spacing w:after="0" w:line="46" w:lineRule="exact"/>
        <w:rPr>
          <w:sz w:val="20"/>
          <w:szCs w:val="20"/>
          <w:color w:val="auto"/>
        </w:rPr>
      </w:pPr>
    </w:p>
    <w:p>
      <w:pPr>
        <w:ind w:left="60" w:right="399"/>
        <w:spacing w:after="0" w:line="295" w:lineRule="auto"/>
        <w:rPr>
          <w:sz w:val="20"/>
          <w:szCs w:val="20"/>
          <w:color w:val="auto"/>
        </w:rPr>
      </w:pPr>
      <w:r>
        <w:rPr>
          <w:rFonts w:ascii="Arial" w:cs="Arial" w:eastAsia="Arial" w:hAnsi="Arial"/>
          <w:sz w:val="16"/>
          <w:szCs w:val="16"/>
          <w:color w:val="auto"/>
        </w:rPr>
        <w:t xml:space="preserve">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which amends FASB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This ASU simplifies the accounting for income taxes by removing certain exceptions to the general principles in the standard and modifies other areas of the standard to clarify the application of U.S. GAAP. This ASU is effective for fiscal years beginning after December 15, 2020, and interim periods within those fiscal years. We have adopted this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40" w:right="180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standard on January 1, 2021. Certain amendments in this ASU are applied using a retrospective approach and others using the prospective approach. The adoption of this standard did not have a significant impact on our condensed consolidated financial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w:t>
      </w:r>
      <w:r>
        <w:rPr>
          <w:rFonts w:ascii="Arial" w:cs="Arial" w:eastAsia="Arial" w:hAnsi="Arial"/>
          <w:sz w:val="17"/>
          <w:szCs w:val="17"/>
          <w:color w:val="auto"/>
        </w:rPr>
        <w:t>, which amends FASB ASC Topic 848,</w:t>
      </w:r>
      <w:r>
        <w:rPr>
          <w:rFonts w:ascii="Arial" w:cs="Arial" w:eastAsia="Arial" w:hAnsi="Arial"/>
          <w:sz w:val="17"/>
          <w:szCs w:val="17"/>
          <w:i w:val="1"/>
          <w:iCs w:val="1"/>
          <w:color w:val="auto"/>
        </w:rPr>
        <w:t xml:space="preserve"> Reference Rate Reform</w:t>
      </w:r>
      <w:r>
        <w:rPr>
          <w:rFonts w:ascii="Arial" w:cs="Arial" w:eastAsia="Arial" w:hAnsi="Arial"/>
          <w:sz w:val="17"/>
          <w:szCs w:val="17"/>
          <w:color w:val="auto"/>
        </w:rPr>
        <w:t>. By the end of 2021, banks will no longer be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report information that is used to determine London Interbank Offered Rate (“LIBOR”) which is used globally by all types of entities for various types of transactions. As a result, LIBOR could be discontinued, as well as other interest rates used globally. This ASU provides companies with optional expedients for contract modifications under U.S GAAP, excluded components of certain hedging relationships, fair value hedges, and cash flow hedges, as well as certain exceptions, which are intended to help ease the potential accounting burden associated with transitioning away from these reference rates. Companies can apply this ASU immediately and will only be available for a limited time (generally through December 31, 2022). We are currently assessing the impact of this standard on our condensed consolidated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Related Party Transactions</w:t>
      </w:r>
    </w:p>
    <w:p>
      <w:pPr>
        <w:spacing w:after="0" w:line="229"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Our second amended and restated agreement of limited partnership expressly permits us to enter into transactions with our general partner or any of its affiliates, including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Funds</w:t>
      </w:r>
    </w:p>
    <w:p>
      <w:pPr>
        <w:spacing w:after="0" w:line="225"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During the three months ended March 31, 2020, Mr. Icahn and his affiliates (excluding us) contributed $1,241 million to the Investment Funds consisting primarily of in-kind investments previously held directly by Mr. Icahn and his affiliates (excluding us). As of March 31, 2021 and December 31, 2020, the total fair market value of investments in the Investment Funds made by Mr. Icahn and his affiliates (excluding us) was approximately $5.5 billion and $5.0 billion, respectively, representing approximately 54% and 54% of the Investment Funds’ assets under management as of each respective date.</w:t>
      </w:r>
    </w:p>
    <w:p>
      <w:pPr>
        <w:spacing w:after="0" w:line="161" w:lineRule="exact"/>
        <w:rPr>
          <w:sz w:val="20"/>
          <w:szCs w:val="20"/>
          <w:color w:val="auto"/>
        </w:rPr>
      </w:pPr>
    </w:p>
    <w:p>
      <w:pPr>
        <w:ind w:left="60" w:right="279" w:firstLine="324"/>
        <w:spacing w:after="0" w:line="255" w:lineRule="auto"/>
        <w:rPr>
          <w:sz w:val="20"/>
          <w:szCs w:val="20"/>
          <w:color w:val="auto"/>
        </w:rPr>
      </w:pPr>
      <w:r>
        <w:rPr>
          <w:rFonts w:ascii="Arial" w:cs="Arial" w:eastAsia="Arial" w:hAnsi="Arial"/>
          <w:sz w:val="18"/>
          <w:szCs w:val="18"/>
          <w:color w:val="auto"/>
        </w:rPr>
        <w:t>We pay for expenses pertaining to the operation, administration and investment activities of our Investment segment for the benefit of the Investment Funds (including salaries, benefits and rent). Based on an expense-sharing arrangement, certain expenses borne by us are reimbursed by the Investment Funds. For the three months ended March 31, 2021 and 2020, $5 million and $(6) million, respectively, was allocated to the Investment Funds based on this expense-sharing arrangement. For the three months ended March 31, 2020, the allocation was reduced by $8 million relating to certain compensation arrangements.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Hertz Global Holdings, Inc. and 767 Auto Leasing LLC</w:t>
      </w:r>
    </w:p>
    <w:p>
      <w:pPr>
        <w:spacing w:after="0" w:line="225" w:lineRule="exact"/>
        <w:rPr>
          <w:sz w:val="20"/>
          <w:szCs w:val="20"/>
          <w:color w:val="auto"/>
        </w:rPr>
      </w:pPr>
    </w:p>
    <w:p>
      <w:pPr>
        <w:ind w:left="60" w:right="259" w:firstLine="324"/>
        <w:spacing w:after="0" w:line="259" w:lineRule="auto"/>
        <w:rPr>
          <w:sz w:val="20"/>
          <w:szCs w:val="20"/>
          <w:color w:val="auto"/>
        </w:rPr>
      </w:pPr>
      <w:r>
        <w:rPr>
          <w:rFonts w:ascii="Arial" w:cs="Arial" w:eastAsia="Arial" w:hAnsi="Arial"/>
          <w:sz w:val="18"/>
          <w:szCs w:val="18"/>
          <w:color w:val="auto"/>
        </w:rPr>
        <w:t>The Investment Funds had an investment in the common stock of Hertz Global Holdings, Inc. (“Hertz”) measured at fair value that would have otherwise been subject to the equity method of accounting (until sold in the second quarter of 2020). Icahn Automotive provides services to Hertz in the ordinary course of business. Revenue from Hertz was $14 million for the three months ended March 31, 2020.</w:t>
      </w:r>
    </w:p>
    <w:p>
      <w:pPr>
        <w:spacing w:after="0" w:line="187" w:lineRule="exact"/>
        <w:rPr>
          <w:sz w:val="20"/>
          <w:szCs w:val="20"/>
          <w:color w:val="auto"/>
        </w:rPr>
      </w:pPr>
    </w:p>
    <w:p>
      <w:pPr>
        <w:ind w:left="60" w:right="299" w:firstLine="324"/>
        <w:spacing w:after="0" w:line="342" w:lineRule="auto"/>
        <w:rPr>
          <w:sz w:val="20"/>
          <w:szCs w:val="20"/>
          <w:color w:val="auto"/>
        </w:rPr>
      </w:pPr>
      <w:r>
        <w:rPr>
          <w:rFonts w:ascii="Arial" w:cs="Arial" w:eastAsia="Arial" w:hAnsi="Arial"/>
          <w:sz w:val="16"/>
          <w:szCs w:val="16"/>
          <w:color w:val="auto"/>
        </w:rPr>
        <w:t>In addition to our transactions with Hertz disclosed above, in January 2018, we entered into a Master Motor Vehicle Lease and Management Agreement with Hertz, pursuant to which Hertz granted 767 Leasing the option to acquire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20" w:right="182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139"/>
        <w:spacing w:after="0" w:line="267" w:lineRule="auto"/>
        <w:rPr>
          <w:sz w:val="20"/>
          <w:szCs w:val="20"/>
          <w:color w:val="auto"/>
        </w:rPr>
      </w:pPr>
      <w:r>
        <w:rPr>
          <w:rFonts w:ascii="Arial" w:cs="Arial" w:eastAsia="Arial" w:hAnsi="Arial"/>
          <w:sz w:val="17"/>
          <w:szCs w:val="17"/>
          <w:color w:val="auto"/>
        </w:rPr>
        <w:t>certain vehicles from Hertz at rates aligned with the rates at which Hertz sells vehicles to third parties. Under this agreement, as amended, Hertz will lease the vehicles that 767 Leasing purchases from Hertz, or from third parties, under a mutually developed fleet plan and Hertz will manage, service, repair, sell and maintain those leased vehicles on behalf of 767 Leasing. Additionally, Hertz will rent the leased vehicles to transportation network company drivers from rental counters within locations leased or owned by us. This agreement had an initial term of 18 months and is subject to automatic six-month renewals thereafter, unless terminated by either party (with or without cause) prior to the start of any such six-month renewal. Our agreement with Hertz was unanimously approved by the independent directors of Icahn Enterprises’ audit committee. Due to the nature of our involvement with 767 Leasing, which includes Icahn Enterprises and Icahn Enterprises Holdings guaranteeing the payment obligations of 767 Leasing and sharing in the profits of 767 Leasing with Hertz, we determined that 767 Leasing is a variable interest entity. Furthermore, we determined that we are not the primary beneficiary as we do not have the power to direct the activities of 767 Leasing that most significantly impact its economic performance. Therefore, we do not consolidate the results of 767 Leasing. Our exposure to loss with respect to 767 Leasing is primarily limited to our direct investment in 767 Leasing as well as any payment obligations of 767 Leasing that we guarantee, which are not material as of March 31, 2021 and December 31, 2020. For the three months ended March 31, 2021, 767 Leasing distributed $11 million to us. As of March 31, 2021 and December 31, 2020, we had an equity method investment in 767 Leasing of $28 million and $40 million, respectively, which we report in our Automotive segment.</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Related Party Agreements</w:t>
      </w:r>
    </w:p>
    <w:p>
      <w:pPr>
        <w:spacing w:after="0" w:line="225" w:lineRule="exact"/>
        <w:rPr>
          <w:sz w:val="20"/>
          <w:szCs w:val="20"/>
          <w:color w:val="auto"/>
        </w:rPr>
      </w:pPr>
    </w:p>
    <w:p>
      <w:pPr>
        <w:ind w:left="60" w:right="99" w:firstLine="324"/>
        <w:spacing w:after="0" w:line="285" w:lineRule="auto"/>
        <w:rPr>
          <w:sz w:val="20"/>
          <w:szCs w:val="20"/>
          <w:color w:val="auto"/>
        </w:rPr>
      </w:pPr>
      <w:r>
        <w:rPr>
          <w:rFonts w:ascii="Arial" w:cs="Arial" w:eastAsia="Arial" w:hAnsi="Arial"/>
          <w:sz w:val="16"/>
          <w:szCs w:val="16"/>
          <w:color w:val="auto"/>
        </w:rPr>
        <w:t>On October 1, 2020, we entered into a manager agreement with Brett Icahn, the son of Carl C. Icahn, and affiliates of Brett Icahn. Under the manager agreement, Brett Icahn serves as the portfolio manager of a designated portfolio of assets within the Investment Funds over a seven-year term, subject to veto rights by our Investment segment and Carl. C. Icahn. Additionally, Brett Icahn provides certain other services, at our request, which may entail research, analysis and advice with respect to a separate designated portfolio of assets within the Investment Funds. Subject to the terms of the manager agreement, at the end of the seven-year term, Brett Icahn will be entitled to receive a one-time lump sum payment as described in and computed pursuant to the manager agreement. Brett Icahn will not be entitled to receive from us any other compensation (including any salary or bonus) in respect of the services he is to provide under the manager agreement other than restricted depositary units granted under a restricted unit agreement, as discussed below. In accordance with the manager agreement, Brett Icahn will co-invest with the Investment Funds in certain positions, will make cash contributions to the Investment Funds in order to fund such co-investments and will have a special limited partnership interest in the Investment Funds through which the profit and loss attributable to such co-investments will be allocated to him. During 2021, Brett Icahn contributed $40 million in accordance with the manager agreement and has investments in the Investment Funds with a total fair market value of $59 million as of March 31, 2021. We also entered into a guaranty agreement with an affiliate of Brett Icahn, pursuant to which we guaranteed the payment of certain amounts required to be distributed by the Investment Funds to such affiliate pursuant to the terms and conditions of the manager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Investments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w:t>
      </w:r>
    </w:p>
    <w:p>
      <w:pPr>
        <w:spacing w:after="0" w:line="225"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Investments and securities sold, not yet purchased consist of equities, bonds, bank debt and other corporate obligations, all of which are reported at fair value in our condensed consolidated balance sheets. These investments are considered trading securities. In addition, our Investment segment has certain derivative transactions which are discussed in Note 6, “Financial Instruments.” The carrying value and detail by security type, including business sector for equity securities, with respect to investments and securities sold, not yet purchased held by our Investment segment consist of the following:</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1180" w:type="dxa"/>
            <w:vAlign w:val="bottom"/>
            <w:gridSpan w:val="3"/>
          </w:tcPr>
          <w:p>
            <w:pPr>
              <w:ind w:left="80"/>
              <w:spacing w:after="0"/>
              <w:rPr>
                <w:sz w:val="20"/>
                <w:szCs w:val="20"/>
                <w:color w:val="auto"/>
              </w:rPr>
            </w:pPr>
            <w:r>
              <w:rPr>
                <w:rFonts w:ascii="Arial" w:cs="Arial" w:eastAsia="Arial" w:hAnsi="Arial"/>
                <w:sz w:val="18"/>
                <w:szCs w:val="18"/>
                <w:b w:val="1"/>
                <w:bCs w:val="1"/>
                <w:color w:val="auto"/>
              </w:rPr>
              <w:t>March 31,</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2020</w:t>
            </w:r>
          </w:p>
        </w:tc>
      </w:tr>
      <w:tr>
        <w:trPr>
          <w:trHeight w:val="128"/>
        </w:trPr>
        <w:tc>
          <w:tcPr>
            <w:tcW w:w="6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ind w:left="580"/>
              <w:spacing w:after="0" w:line="129"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1"/>
                <w:szCs w:val="11"/>
                <w:color w:val="auto"/>
              </w:rPr>
            </w:pPr>
          </w:p>
        </w:tc>
      </w:tr>
      <w:tr>
        <w:trPr>
          <w:trHeight w:val="216"/>
        </w:trPr>
        <w:tc>
          <w:tcPr>
            <w:tcW w:w="6620" w:type="dxa"/>
            <w:vAlign w:val="bottom"/>
            <w:shd w:val="clear" w:color="auto" w:fill="CCEEFF"/>
          </w:tcPr>
          <w:p>
            <w:pPr>
              <w:ind w:left="298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Consumer, non-cyclical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2,079</w:t>
            </w:r>
          </w:p>
        </w:tc>
        <w:tc>
          <w:tcPr>
            <w:tcW w:w="2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1,548</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cyclical</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Energy</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3,703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2,654</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Utilities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Technology</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1,578</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Industrial</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10"/>
        </w:trPr>
        <w:tc>
          <w:tcPr>
            <w:tcW w:w="6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10,795</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8,118</w:t>
            </w:r>
          </w:p>
        </w:tc>
      </w:tr>
      <w:tr>
        <w:trPr>
          <w:trHeight w:val="210"/>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50"/>
        </w:trPr>
        <w:tc>
          <w:tcPr>
            <w:tcW w:w="66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10,926</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8,239</w:t>
            </w:r>
          </w:p>
        </w:tc>
      </w:tr>
      <w:tr>
        <w:trPr>
          <w:trHeight w:val="196"/>
        </w:trPr>
        <w:tc>
          <w:tcPr>
            <w:tcW w:w="6620" w:type="dxa"/>
            <w:vAlign w:val="bottom"/>
            <w:shd w:val="clear" w:color="auto" w:fill="CCEEFF"/>
          </w:tcPr>
          <w:p>
            <w:pPr>
              <w:ind w:left="2840"/>
              <w:spacing w:after="0" w:line="196" w:lineRule="exact"/>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Consumer, non-cyclical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971</w:t>
            </w:r>
          </w:p>
        </w:tc>
        <w:tc>
          <w:tcPr>
            <w:tcW w:w="2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cyclical</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Energy</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3,091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1,476</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Utilities</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0"/>
        </w:trPr>
        <w:tc>
          <w:tcPr>
            <w:tcW w:w="66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4,863</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w:t>
            </w:r>
          </w:p>
        </w:tc>
      </w:tr>
      <w:tr>
        <w:trPr>
          <w:trHeight w:val="20"/>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139" w:firstLine="324"/>
        <w:spacing w:after="0" w:line="342" w:lineRule="auto"/>
        <w:rPr>
          <w:sz w:val="20"/>
          <w:szCs w:val="20"/>
          <w:color w:val="auto"/>
        </w:rPr>
      </w:pPr>
      <w:r>
        <w:rPr>
          <w:rFonts w:ascii="Arial" w:cs="Arial" w:eastAsia="Arial" w:hAnsi="Arial"/>
          <w:sz w:val="16"/>
          <w:szCs w:val="16"/>
          <w:color w:val="auto"/>
        </w:rPr>
        <w:t>The portion of unrealized gains (losses) that relates to securities still held by our Investment segment, primarily equity securities, was $1,122 million and $(4,170) million for the three months ended March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Segments and Holding Company</w:t>
      </w:r>
    </w:p>
    <w:p>
      <w:pPr>
        <w:spacing w:after="0" w:line="225" w:lineRule="exact"/>
        <w:rPr>
          <w:sz w:val="20"/>
          <w:szCs w:val="20"/>
          <w:color w:val="auto"/>
        </w:rPr>
      </w:pPr>
    </w:p>
    <w:p>
      <w:pPr>
        <w:ind w:left="60" w:right="159" w:firstLine="324"/>
        <w:spacing w:after="0" w:line="311" w:lineRule="auto"/>
        <w:rPr>
          <w:sz w:val="20"/>
          <w:szCs w:val="20"/>
          <w:color w:val="auto"/>
        </w:rPr>
      </w:pPr>
      <w:r>
        <w:rPr>
          <w:rFonts w:ascii="Arial" w:cs="Arial" w:eastAsia="Arial" w:hAnsi="Arial"/>
          <w:sz w:val="16"/>
          <w:szCs w:val="16"/>
          <w:color w:val="auto"/>
        </w:rPr>
        <w:t>With the exception of certain equity method investments at our operating subsidiaries and our Holding Company disclosed in the table below, our investments are measured at fair value in our condensed consolidated balance sheets. The carrying value of investments held by our other segments and our Holding Company consist of the following:</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1180" w:type="dxa"/>
            <w:vAlign w:val="bottom"/>
            <w:gridSpan w:val="3"/>
          </w:tcPr>
          <w:p>
            <w:pPr>
              <w:ind w:left="80"/>
              <w:spacing w:after="0"/>
              <w:rPr>
                <w:sz w:val="20"/>
                <w:szCs w:val="20"/>
                <w:color w:val="auto"/>
              </w:rPr>
            </w:pPr>
            <w:r>
              <w:rPr>
                <w:rFonts w:ascii="Arial" w:cs="Arial" w:eastAsia="Arial" w:hAnsi="Arial"/>
                <w:sz w:val="18"/>
                <w:szCs w:val="18"/>
                <w:b w:val="1"/>
                <w:bCs w:val="1"/>
                <w:color w:val="auto"/>
              </w:rPr>
              <w:t>March 31,</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2020</w:t>
            </w:r>
          </w:p>
        </w:tc>
      </w:tr>
      <w:tr>
        <w:trPr>
          <w:trHeight w:val="128"/>
        </w:trPr>
        <w:tc>
          <w:tcPr>
            <w:tcW w:w="6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ind w:left="580"/>
              <w:spacing w:after="0" w:line="129"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1"/>
                <w:szCs w:val="1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Held to maturity debt investments measured at amortized cost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investments measured at fair value</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09"/>
        </w:trPr>
        <w:tc>
          <w:tcPr>
            <w:tcW w:w="66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r>
      <w:tr>
        <w:trPr>
          <w:trHeight w:val="20"/>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19" w:firstLine="324"/>
        <w:spacing w:after="0" w:line="342" w:lineRule="auto"/>
        <w:rPr>
          <w:sz w:val="20"/>
          <w:szCs w:val="20"/>
          <w:color w:val="auto"/>
        </w:rPr>
      </w:pPr>
      <w:r>
        <w:rPr>
          <w:rFonts w:ascii="Arial" w:cs="Arial" w:eastAsia="Arial" w:hAnsi="Arial"/>
          <w:sz w:val="16"/>
          <w:szCs w:val="16"/>
          <w:color w:val="auto"/>
        </w:rPr>
        <w:t>The portion of unrealized gains (losses) that relates to equity securities still held by our other segments and Holding Company was $58 million and $(312) million for the three months ended March 31, 2021 and 2020, respectively.</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jc w:val="both"/>
        <w:ind w:left="60" w:right="99" w:firstLine="324"/>
        <w:spacing w:after="0" w:line="287" w:lineRule="auto"/>
        <w:rPr>
          <w:sz w:val="20"/>
          <w:szCs w:val="20"/>
          <w:color w:val="auto"/>
        </w:rPr>
      </w:pPr>
      <w:r>
        <w:rPr>
          <w:rFonts w:ascii="Arial" w:cs="Arial" w:eastAsia="Arial" w:hAnsi="Arial"/>
          <w:sz w:val="16"/>
          <w:szCs w:val="16"/>
          <w:color w:val="auto"/>
        </w:rPr>
        <w:t>U.S. GAAP requires enhanced disclosures about investments and non-recurring non-financial assets and liabilities that are measured and reported at fair value and has established a hierarchal disclosure framework that prioritizes and ranks the level of market price observability used in measuring investments or non-financial assets and liabilities at fair value.</w:t>
      </w:r>
    </w:p>
    <w:p>
      <w:pPr>
        <w:spacing w:after="0" w:line="2"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Market price observability is impacted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93"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Investments and non-financial assets and/or liabilities measured and reported at fair value are classified and disclosed in one of the following categories:</w:t>
      </w:r>
    </w:p>
    <w:p>
      <w:pPr>
        <w:spacing w:after="0" w:line="170" w:lineRule="exact"/>
        <w:rPr>
          <w:sz w:val="20"/>
          <w:szCs w:val="20"/>
          <w:color w:val="auto"/>
        </w:rPr>
      </w:pPr>
    </w:p>
    <w:p>
      <w:pPr>
        <w:ind w:left="380" w:right="619"/>
        <w:spacing w:after="0" w:line="277" w:lineRule="auto"/>
        <w:rPr>
          <w:sz w:val="20"/>
          <w:szCs w:val="20"/>
          <w:color w:val="auto"/>
        </w:rPr>
      </w:pPr>
      <w:r>
        <w:rPr>
          <w:rFonts w:ascii="Arial" w:cs="Arial" w:eastAsia="Arial" w:hAnsi="Arial"/>
          <w:sz w:val="18"/>
          <w:szCs w:val="18"/>
          <w:color w:val="auto"/>
        </w:rPr>
        <w:t>Level 1 - Quoted prices are available in active markets for identical investments and non-financial assets and/or liabilities as of the reporting date.</w:t>
      </w:r>
    </w:p>
    <w:p>
      <w:pPr>
        <w:spacing w:after="0" w:line="170" w:lineRule="exact"/>
        <w:rPr>
          <w:sz w:val="20"/>
          <w:szCs w:val="20"/>
          <w:color w:val="auto"/>
        </w:rPr>
      </w:pPr>
    </w:p>
    <w:p>
      <w:pPr>
        <w:ind w:left="380" w:right="159"/>
        <w:spacing w:after="0" w:line="301" w:lineRule="auto"/>
        <w:rPr>
          <w:sz w:val="20"/>
          <w:szCs w:val="20"/>
          <w:color w:val="auto"/>
        </w:rPr>
      </w:pPr>
      <w:r>
        <w:rPr>
          <w:rFonts w:ascii="Arial" w:cs="Arial" w:eastAsia="Arial" w:hAnsi="Arial"/>
          <w:sz w:val="16"/>
          <w:szCs w:val="16"/>
          <w:color w:val="auto"/>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investments are derived from market observable sources including reported trades, broker/dealer quotes and other pertinent data.</w:t>
      </w:r>
    </w:p>
    <w:p>
      <w:pPr>
        <w:spacing w:after="0" w:line="157" w:lineRule="exact"/>
        <w:rPr>
          <w:sz w:val="20"/>
          <w:szCs w:val="20"/>
          <w:color w:val="auto"/>
        </w:rPr>
      </w:pPr>
    </w:p>
    <w:p>
      <w:pPr>
        <w:ind w:left="380" w:right="439"/>
        <w:spacing w:after="0" w:line="257" w:lineRule="auto"/>
        <w:rPr>
          <w:sz w:val="20"/>
          <w:szCs w:val="20"/>
          <w:color w:val="auto"/>
        </w:rPr>
      </w:pPr>
      <w:r>
        <w:rPr>
          <w:rFonts w:ascii="Arial" w:cs="Arial" w:eastAsia="Arial" w:hAnsi="Arial"/>
          <w:sz w:val="18"/>
          <w:szCs w:val="18"/>
          <w:color w:val="auto"/>
        </w:rPr>
        <w:t>Level 3 - Pricing inputs are unobservable for the investment and non-financial asset and/or liability and include situations where there is little, if any, market activity for the investment or non-financial asset and/or liability.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188" w:lineRule="exact"/>
        <w:rPr>
          <w:sz w:val="20"/>
          <w:szCs w:val="20"/>
          <w:color w:val="auto"/>
        </w:rPr>
      </w:pPr>
    </w:p>
    <w:p>
      <w:pPr>
        <w:ind w:left="60" w:right="199" w:firstLine="324"/>
        <w:spacing w:after="0" w:line="273"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the investments’, non-financial assets’ and/or liabilities’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investment. Significant transfers, if any, between the levels within the fair value hierarchy are recognized at the beginning of the reporting period when changes in circumstances require such transfers.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ind w:left="60" w:right="499" w:firstLine="324"/>
        <w:spacing w:after="0" w:line="277" w:lineRule="auto"/>
        <w:rPr>
          <w:sz w:val="20"/>
          <w:szCs w:val="20"/>
          <w:color w:val="auto"/>
        </w:rPr>
      </w:pPr>
      <w:r>
        <w:rPr>
          <w:rFonts w:ascii="Arial" w:cs="Arial" w:eastAsia="Arial" w:hAnsi="Arial"/>
          <w:sz w:val="18"/>
          <w:szCs w:val="18"/>
          <w:color w:val="auto"/>
        </w:rPr>
        <w:t>The following table summarizes the valuation of our assets and liabilities by the above fair value hierarchy levels measured on a recurring basis: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March 31, 2021</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7"/>
          </w:tcPr>
          <w:p>
            <w:pPr>
              <w:ind w:left="120"/>
              <w:spacing w:after="0"/>
              <w:rPr>
                <w:sz w:val="20"/>
                <w:szCs w:val="20"/>
                <w:color w:val="auto"/>
              </w:rPr>
            </w:pPr>
            <w:r>
              <w:rPr>
                <w:rFonts w:ascii="Arial" w:cs="Arial" w:eastAsia="Arial" w:hAnsi="Arial"/>
                <w:sz w:val="18"/>
                <w:szCs w:val="18"/>
                <w:b w:val="1"/>
                <w:bCs w:val="1"/>
                <w:color w:val="auto"/>
                <w:w w:val="96"/>
              </w:rPr>
              <w:t>December 31, 2020</w:t>
            </w:r>
          </w:p>
        </w:tc>
        <w:tc>
          <w:tcPr>
            <w:tcW w:w="580" w:type="dxa"/>
            <w:vAlign w:val="bottom"/>
            <w:tcBorders>
              <w:bottom w:val="single" w:sz="8" w:color="auto"/>
            </w:tcBorders>
          </w:tcPr>
          <w:p>
            <w:pPr>
              <w:spacing w:after="0"/>
              <w:rPr>
                <w:sz w:val="20"/>
                <w:szCs w:val="20"/>
                <w:color w:val="auto"/>
              </w:rPr>
            </w:pPr>
          </w:p>
        </w:tc>
      </w:tr>
      <w:tr>
        <w:trPr>
          <w:trHeight w:val="209"/>
        </w:trPr>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Level 1</w:t>
            </w:r>
          </w:p>
        </w:tc>
        <w:tc>
          <w:tcPr>
            <w:tcW w:w="20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Level 2</w:t>
            </w:r>
          </w:p>
        </w:tc>
        <w:tc>
          <w:tcPr>
            <w:tcW w:w="18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Level 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1"/>
              </w:rPr>
              <w:t>Level 1</w:t>
            </w:r>
          </w:p>
        </w:tc>
        <w:tc>
          <w:tcPr>
            <w:tcW w:w="180" w:type="dxa"/>
            <w:vAlign w:val="bottom"/>
          </w:tcPr>
          <w:p>
            <w:pPr>
              <w:spacing w:after="0"/>
              <w:rPr>
                <w:sz w:val="18"/>
                <w:szCs w:val="18"/>
                <w:color w:val="auto"/>
              </w:rPr>
            </w:pPr>
          </w:p>
        </w:tc>
        <w:tc>
          <w:tcPr>
            <w:tcW w:w="760" w:type="dxa"/>
            <w:vAlign w:val="bottom"/>
            <w:gridSpan w:val="3"/>
          </w:tcPr>
          <w:p>
            <w:pPr>
              <w:spacing w:after="0"/>
              <w:rPr>
                <w:sz w:val="20"/>
                <w:szCs w:val="20"/>
                <w:color w:val="auto"/>
              </w:rPr>
            </w:pPr>
            <w:r>
              <w:rPr>
                <w:rFonts w:ascii="Arial" w:cs="Arial" w:eastAsia="Arial" w:hAnsi="Arial"/>
                <w:sz w:val="18"/>
                <w:szCs w:val="18"/>
                <w:b w:val="1"/>
                <w:bCs w:val="1"/>
                <w:color w:val="auto"/>
              </w:rPr>
              <w:t>Level 2</w:t>
            </w:r>
          </w:p>
        </w:tc>
        <w:tc>
          <w:tcPr>
            <w:tcW w:w="760" w:type="dxa"/>
            <w:vAlign w:val="bottom"/>
            <w:gridSpan w:val="3"/>
          </w:tcPr>
          <w:p>
            <w:pPr>
              <w:spacing w:after="0"/>
              <w:rPr>
                <w:sz w:val="20"/>
                <w:szCs w:val="20"/>
                <w:color w:val="auto"/>
              </w:rPr>
            </w:pPr>
            <w:r>
              <w:rPr>
                <w:rFonts w:ascii="Arial" w:cs="Arial" w:eastAsia="Arial" w:hAnsi="Arial"/>
                <w:sz w:val="18"/>
                <w:szCs w:val="18"/>
                <w:b w:val="1"/>
                <w:bCs w:val="1"/>
                <w:color w:val="auto"/>
              </w:rPr>
              <w:t>Level 3</w:t>
            </w: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0"/>
        </w:trPr>
        <w:tc>
          <w:tcPr>
            <w:tcW w:w="2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128"/>
        </w:trPr>
        <w:tc>
          <w:tcPr>
            <w:tcW w:w="2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3"/>
          </w:tcPr>
          <w:p>
            <w:pPr>
              <w:jc w:val="right"/>
              <w:ind w:right="370"/>
              <w:spacing w:after="0" w:line="129" w:lineRule="exact"/>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216"/>
        </w:trPr>
        <w:tc>
          <w:tcPr>
            <w:tcW w:w="2700" w:type="dxa"/>
            <w:vAlign w:val="bottom"/>
            <w:gridSpan w:val="2"/>
            <w:shd w:val="clear" w:color="auto" w:fill="CCEEFF"/>
          </w:tcPr>
          <w:p>
            <w:pPr>
              <w:ind w:left="104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Investments (Note 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0"/>
              </w:rPr>
              <w:t>11,128</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11,340</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$ 8,546</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$ 8,761</w:t>
            </w:r>
          </w:p>
        </w:tc>
      </w:tr>
      <w:tr>
        <w:trPr>
          <w:trHeight w:val="202"/>
        </w:trPr>
        <w:tc>
          <w:tcPr>
            <w:tcW w:w="27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Derivative contracts, at fair value</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30"/>
        </w:trPr>
        <w:tc>
          <w:tcPr>
            <w:tcW w:w="2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(Note 6)</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r>
      <w:tr>
        <w:trPr>
          <w:trHeight w:val="249"/>
        </w:trPr>
        <w:tc>
          <w:tcPr>
            <w:tcW w:w="224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11,128</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1,026</w:t>
            </w: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12,195</w:t>
            </w:r>
          </w:p>
        </w:tc>
        <w:tc>
          <w:tcPr>
            <w:tcW w:w="18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$ 8,546</w:t>
            </w:r>
          </w:p>
        </w:tc>
        <w:tc>
          <w:tcPr>
            <w:tcW w:w="1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2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$ 9,546</w:t>
            </w:r>
          </w:p>
        </w:tc>
      </w:tr>
      <w:tr>
        <w:trPr>
          <w:trHeight w:val="197"/>
        </w:trPr>
        <w:tc>
          <w:tcPr>
            <w:tcW w:w="2700" w:type="dxa"/>
            <w:vAlign w:val="bottom"/>
            <w:gridSpan w:val="2"/>
            <w:shd w:val="clear" w:color="auto" w:fill="CCEEFF"/>
          </w:tcPr>
          <w:p>
            <w:pPr>
              <w:ind w:left="900"/>
              <w:spacing w:after="0" w:line="196" w:lineRule="exact"/>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02"/>
        </w:trPr>
        <w:tc>
          <w:tcPr>
            <w:tcW w:w="270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8"/>
              </w:rPr>
              <w:t>Securities sold, not yet purchased</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0"/>
        </w:trPr>
        <w:tc>
          <w:tcPr>
            <w:tcW w:w="2700" w:type="dxa"/>
            <w:vAlign w:val="bottom"/>
            <w:gridSpan w:val="2"/>
          </w:tcPr>
          <w:p>
            <w:pPr>
              <w:ind w:left="140"/>
              <w:spacing w:after="0"/>
              <w:rPr>
                <w:sz w:val="20"/>
                <w:szCs w:val="20"/>
                <w:color w:val="auto"/>
              </w:rPr>
            </w:pPr>
            <w:r>
              <w:rPr>
                <w:rFonts w:ascii="Arial" w:cs="Arial" w:eastAsia="Arial" w:hAnsi="Arial"/>
                <w:sz w:val="18"/>
                <w:szCs w:val="18"/>
                <w:color w:val="auto"/>
              </w:rPr>
              <w:t>(Note 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4,863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4,863</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$ 2,521</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$ 2,521</w:t>
            </w:r>
          </w:p>
        </w:tc>
      </w:tr>
      <w:tr>
        <w:trPr>
          <w:trHeight w:val="202"/>
        </w:trPr>
        <w:tc>
          <w:tcPr>
            <w:tcW w:w="27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Derivative contracts, at fair value</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30"/>
        </w:trPr>
        <w:tc>
          <w:tcPr>
            <w:tcW w:w="2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(Note 6)</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216"/>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342</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09"/>
        </w:trPr>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$ 2,532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$ 3,374</w:t>
            </w:r>
          </w:p>
        </w:tc>
      </w:tr>
      <w:tr>
        <w:trPr>
          <w:trHeight w:val="20"/>
        </w:trPr>
        <w:tc>
          <w:tcPr>
            <w:tcW w:w="2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r>
    </w:tbl>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Financial Instruments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177"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its counterparties.</w:t>
      </w:r>
    </w:p>
    <w:p>
      <w:pPr>
        <w:spacing w:after="0" w:line="192" w:lineRule="exact"/>
        <w:rPr>
          <w:sz w:val="20"/>
          <w:szCs w:val="20"/>
          <w:color w:val="auto"/>
        </w:rPr>
      </w:pPr>
    </w:p>
    <w:p>
      <w:pPr>
        <w:ind w:left="60" w:right="219" w:firstLine="324"/>
        <w:spacing w:after="0" w:line="293" w:lineRule="auto"/>
        <w:rPr>
          <w:sz w:val="20"/>
          <w:szCs w:val="20"/>
          <w:color w:val="auto"/>
        </w:rPr>
      </w:pPr>
      <w:r>
        <w:rPr>
          <w:rFonts w:ascii="Arial" w:cs="Arial" w:eastAsia="Arial" w:hAnsi="Arial"/>
          <w:sz w:val="16"/>
          <w:szCs w:val="16"/>
          <w:color w:val="auto"/>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jc w:val="both"/>
        <w:ind w:left="60" w:right="179"/>
        <w:spacing w:after="0" w:line="263" w:lineRule="auto"/>
        <w:rPr>
          <w:sz w:val="20"/>
          <w:szCs w:val="20"/>
          <w:color w:val="auto"/>
        </w:rPr>
      </w:pPr>
      <w:r>
        <w:rPr>
          <w:rFonts w:ascii="Arial" w:cs="Arial" w:eastAsia="Arial" w:hAnsi="Arial"/>
          <w:sz w:val="18"/>
          <w:szCs w:val="18"/>
          <w:color w:val="auto"/>
        </w:rPr>
        <w:t>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184"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7"/>
          <w:szCs w:val="17"/>
          <w:color w:val="auto"/>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spacing w:after="0" w:line="177"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The Investment Funds may utilize forward contracts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condensed consolidated balance sheets.</w:t>
      </w:r>
    </w:p>
    <w:p>
      <w:pPr>
        <w:spacing w:after="0" w:line="188"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161" w:lineRule="exact"/>
        <w:rPr>
          <w:sz w:val="20"/>
          <w:szCs w:val="20"/>
          <w:color w:val="auto"/>
        </w:rPr>
      </w:pPr>
    </w:p>
    <w:p>
      <w:pPr>
        <w:ind w:left="60" w:right="179" w:firstLine="324"/>
        <w:spacing w:after="0" w:line="255" w:lineRule="auto"/>
        <w:rPr>
          <w:sz w:val="20"/>
          <w:szCs w:val="20"/>
          <w:color w:val="auto"/>
        </w:rPr>
      </w:pPr>
      <w:r>
        <w:rPr>
          <w:rFonts w:ascii="Arial" w:cs="Arial" w:eastAsia="Arial" w:hAnsi="Arial"/>
          <w:sz w:val="18"/>
          <w:szCs w:val="18"/>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w:t>
      </w:r>
    </w:p>
    <w:p>
      <w:pPr>
        <w:spacing w:after="0" w:line="192"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 contingent features that are in a liability position as of March 31, 2021 and December 31, 2020 was $2 million and $1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The following table summarizes the volume of our Investment segment’s derivative activities based on their notional exposure, categorized by primary underlying risk:</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w w:val="90"/>
              </w:rPr>
              <w:t>December 31, 2020</w:t>
            </w:r>
          </w:p>
        </w:tc>
        <w:tc>
          <w:tcPr>
            <w:tcW w:w="0" w:type="dxa"/>
            <w:vAlign w:val="bottom"/>
          </w:tcPr>
          <w:p>
            <w:pPr>
              <w:spacing w:after="0"/>
              <w:rPr>
                <w:sz w:val="1"/>
                <w:szCs w:val="1"/>
                <w:color w:val="auto"/>
              </w:rPr>
            </w:pPr>
          </w:p>
        </w:tc>
      </w:tr>
      <w:tr>
        <w:trPr>
          <w:trHeight w:val="191"/>
        </w:trPr>
        <w:tc>
          <w:tcPr>
            <w:tcW w:w="35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0"/>
              </w:rPr>
              <w:t>Long</w:t>
            </w:r>
          </w:p>
        </w:tc>
        <w:tc>
          <w:tcPr>
            <w:tcW w:w="200" w:type="dxa"/>
            <w:vAlign w:val="bottom"/>
          </w:tcPr>
          <w:p>
            <w:pPr>
              <w:spacing w:after="0"/>
              <w:rPr>
                <w:sz w:val="16"/>
                <w:szCs w:val="16"/>
                <w:color w:val="auto"/>
              </w:rPr>
            </w:pPr>
          </w:p>
        </w:tc>
        <w:tc>
          <w:tcPr>
            <w:tcW w:w="7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Short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rPr>
              <w:t>Long</w:t>
            </w:r>
          </w:p>
        </w:tc>
        <w:tc>
          <w:tcPr>
            <w:tcW w:w="200" w:type="dxa"/>
            <w:vAlign w:val="bottom"/>
          </w:tcPr>
          <w:p>
            <w:pPr>
              <w:spacing w:after="0"/>
              <w:rPr>
                <w:sz w:val="16"/>
                <w:szCs w:val="16"/>
                <w:color w:val="auto"/>
              </w:rPr>
            </w:pPr>
          </w:p>
        </w:tc>
        <w:tc>
          <w:tcPr>
            <w:tcW w:w="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Short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2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Notional</w:t>
            </w: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20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200" w:type="dxa"/>
            <w:vAlign w:val="bottom"/>
          </w:tcPr>
          <w:p>
            <w:pPr>
              <w:spacing w:after="0"/>
              <w:rPr>
                <w:sz w:val="20"/>
                <w:szCs w:val="20"/>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Exposure</w:t>
            </w:r>
          </w:p>
        </w:tc>
        <w:tc>
          <w:tcPr>
            <w:tcW w:w="2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0" w:type="dxa"/>
            <w:vAlign w:val="bottom"/>
          </w:tcPr>
          <w:p>
            <w:pPr>
              <w:spacing w:after="0"/>
              <w:rPr>
                <w:sz w:val="1"/>
                <w:szCs w:val="1"/>
                <w:color w:val="auto"/>
              </w:rPr>
            </w:pPr>
          </w:p>
        </w:tc>
      </w:tr>
      <w:tr>
        <w:trPr>
          <w:trHeight w:val="211"/>
        </w:trPr>
        <w:tc>
          <w:tcPr>
            <w:tcW w:w="3500" w:type="dxa"/>
            <w:vAlign w:val="bottom"/>
            <w:vMerge w:val="restart"/>
          </w:tcPr>
          <w:p>
            <w:pPr>
              <w:spacing w:after="0"/>
              <w:rPr>
                <w:sz w:val="20"/>
                <w:szCs w:val="20"/>
                <w:color w:val="auto"/>
              </w:rPr>
            </w:pPr>
            <w:r>
              <w:rPr>
                <w:rFonts w:ascii="Arial" w:cs="Arial" w:eastAsia="Arial" w:hAnsi="Arial"/>
                <w:sz w:val="18"/>
                <w:szCs w:val="18"/>
                <w:color w:val="auto"/>
              </w:rPr>
              <w:t>Primary underlying risk:</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4"/>
          </w:tcPr>
          <w:p>
            <w:pPr>
              <w:jc w:val="right"/>
              <w:ind w:right="37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50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contracts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4,074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8,623</w:t>
            </w:r>
          </w:p>
        </w:tc>
        <w:tc>
          <w:tcPr>
            <w:tcW w:w="0" w:type="dxa"/>
            <w:vAlign w:val="bottom"/>
          </w:tcPr>
          <w:p>
            <w:pPr>
              <w:spacing w:after="0"/>
              <w:rPr>
                <w:sz w:val="1"/>
                <w:szCs w:val="1"/>
                <w:color w:val="auto"/>
              </w:rPr>
            </w:pPr>
          </w:p>
        </w:tc>
      </w:tr>
      <w:tr>
        <w:trPr>
          <w:trHeight w:val="353"/>
        </w:trPr>
        <w:tc>
          <w:tcPr>
            <w:tcW w:w="3500" w:type="dxa"/>
            <w:vAlign w:val="bottom"/>
          </w:tcPr>
          <w:p>
            <w:pPr>
              <w:ind w:left="100"/>
              <w:spacing w:after="0"/>
              <w:rPr>
                <w:sz w:val="20"/>
                <w:szCs w:val="20"/>
                <w:color w:val="auto"/>
              </w:rPr>
            </w:pPr>
            <w:r>
              <w:rPr>
                <w:rFonts w:ascii="Arial" w:cs="Arial" w:eastAsia="Arial" w:hAnsi="Arial"/>
                <w:sz w:val="18"/>
                <w:szCs w:val="18"/>
                <w:color w:val="auto"/>
              </w:rPr>
              <w:t>Credit contracts</w:t>
            </w:r>
            <w:r>
              <w:rPr>
                <w:rFonts w:ascii="Arial" w:cs="Arial" w:eastAsia="Arial" w:hAnsi="Arial"/>
                <w:sz w:val="26"/>
                <w:szCs w:val="26"/>
                <w:color w:val="auto"/>
                <w:vertAlign w:val="superscript"/>
              </w:rPr>
              <w:t>(1)</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4,113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-17780</wp:posOffset>
            </wp:positionV>
            <wp:extent cx="14141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41" w:lineRule="exact"/>
        <w:rPr>
          <w:sz w:val="20"/>
          <w:szCs w:val="20"/>
          <w:color w:val="auto"/>
        </w:rPr>
      </w:pPr>
    </w:p>
    <w:p>
      <w:pPr>
        <w:ind w:left="380" w:right="159" w:hanging="330"/>
        <w:spacing w:after="0" w:line="255" w:lineRule="auto"/>
        <w:tabs>
          <w:tab w:leader="none" w:pos="3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short notional amount on our credit default swap positions was approximately $8.2 billion at March 31, 2021. However, because credit spreads cannot compress below zero, our downside short notional exposure to loss is approximately $4.1 billion as of March 31, 2021. The short notional amount on our credit default swap positions was approximately $6.3 billion as of December 31, 2020. However, because credit spreads cannot compress below zero, our downside short notional exposure to loss is approximately $2.1 billion as of December 31, 2020.</w:t>
      </w:r>
    </w:p>
    <w:p>
      <w:pPr>
        <w:spacing w:after="0" w:line="179"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Certain derivative contracts executed by each of the Investment Funds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w:t>
      </w:r>
    </w:p>
    <w:p>
      <w:pPr>
        <w:spacing w:after="0" w:line="187"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The following table presents the fair values of our Investment segment’s derivatives that are not designated as hedging instruments in accordance with U.S. GAAP:</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8"/>
                <w:szCs w:val="18"/>
                <w:b w:val="1"/>
                <w:bCs w:val="1"/>
                <w:color w:val="auto"/>
                <w:w w:val="87"/>
              </w:rPr>
              <w:t>Asset Derivatives</w:t>
            </w: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Liability Derivatives</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4"/>
              </w:rPr>
              <w:t>March 31, 2021  December 31, 2020</w:t>
            </w:r>
          </w:p>
        </w:tc>
        <w:tc>
          <w:tcPr>
            <w:tcW w:w="200" w:type="dxa"/>
            <w:vAlign w:val="bottom"/>
          </w:tcPr>
          <w:p>
            <w:pPr>
              <w:spacing w:after="0"/>
              <w:rPr>
                <w:sz w:val="18"/>
                <w:szCs w:val="18"/>
                <w:color w:val="auto"/>
              </w:rPr>
            </w:pPr>
          </w:p>
        </w:tc>
        <w:tc>
          <w:tcPr>
            <w:tcW w:w="28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4"/>
              </w:rPr>
              <w:t>March 31, 2021  December 31, 2020</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gridSpan w:val="3"/>
          </w:tcPr>
          <w:p>
            <w:pPr>
              <w:jc w:val="right"/>
              <w:ind w:right="81"/>
              <w:spacing w:after="0"/>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6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1"/>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right="77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0" w:type="dxa"/>
            <w:vAlign w:val="bottom"/>
          </w:tcPr>
          <w:p>
            <w:pPr>
              <w:spacing w:after="0"/>
              <w:rPr>
                <w:sz w:val="18"/>
                <w:szCs w:val="18"/>
                <w:color w:val="auto"/>
              </w:rPr>
            </w:pPr>
          </w:p>
        </w:tc>
      </w:tr>
      <w:tr>
        <w:trPr>
          <w:trHeight w:val="216"/>
        </w:trPr>
        <w:tc>
          <w:tcPr>
            <w:tcW w:w="2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Credit contracts</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0"/>
        </w:trPr>
        <w:tc>
          <w:tcPr>
            <w:tcW w:w="2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0" w:type="dxa"/>
            <w:vAlign w:val="bottom"/>
          </w:tcPr>
          <w:p>
            <w:pPr>
              <w:spacing w:after="0"/>
              <w:rPr>
                <w:sz w:val="18"/>
                <w:szCs w:val="18"/>
                <w:color w:val="auto"/>
              </w:rPr>
            </w:pPr>
          </w:p>
        </w:tc>
      </w:tr>
      <w:tr>
        <w:trPr>
          <w:trHeight w:val="216"/>
        </w:trPr>
        <w:tc>
          <w:tcPr>
            <w:tcW w:w="2960" w:type="dxa"/>
            <w:vAlign w:val="bottom"/>
            <w:gridSpan w:val="2"/>
          </w:tcPr>
          <w:p>
            <w:pPr>
              <w:ind w:left="120"/>
              <w:spacing w:after="0" w:line="216" w:lineRule="exact"/>
              <w:rPr>
                <w:sz w:val="20"/>
                <w:szCs w:val="20"/>
                <w:color w:val="auto"/>
              </w:rPr>
            </w:pPr>
            <w:r>
              <w:rPr>
                <w:rFonts w:ascii="Arial" w:cs="Arial" w:eastAsia="Arial" w:hAnsi="Arial"/>
                <w:sz w:val="17"/>
                <w:szCs w:val="17"/>
                <w:color w:val="auto"/>
              </w:rPr>
              <w:t>Netting across contract types</w:t>
            </w:r>
            <w:r>
              <w:rPr>
                <w:rFonts w:ascii="Arial" w:cs="Arial" w:eastAsia="Arial" w:hAnsi="Arial"/>
                <w:sz w:val="25"/>
                <w:szCs w:val="25"/>
                <w:color w:val="auto"/>
                <w:vertAlign w:val="superscript"/>
              </w:rPr>
              <w:t>(1)</w:t>
            </w:r>
          </w:p>
        </w:tc>
        <w:tc>
          <w:tcPr>
            <w:tcW w:w="4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(218)</w:t>
            </w:r>
          </w:p>
        </w:tc>
        <w:tc>
          <w:tcPr>
            <w:tcW w:w="8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(231)</w:t>
            </w:r>
          </w:p>
        </w:tc>
        <w:tc>
          <w:tcPr>
            <w:tcW w:w="5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(218)</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r>
      <w:tr>
        <w:trPr>
          <w:trHeight w:val="209"/>
        </w:trPr>
        <w:tc>
          <w:tcPr>
            <w:tcW w:w="2960" w:type="dxa"/>
            <w:vAlign w:val="bottom"/>
            <w:tcBorders>
              <w:top w:val="single" w:sz="8" w:color="CCEEFF"/>
              <w:bottom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Total</w:t>
            </w:r>
            <w:r>
              <w:rPr>
                <w:rFonts w:ascii="Arial" w:cs="Arial" w:eastAsia="Arial" w:hAnsi="Arial"/>
                <w:sz w:val="24"/>
                <w:szCs w:val="24"/>
                <w:color w:val="auto"/>
                <w:vertAlign w:val="superscript"/>
              </w:rPr>
              <w:t>(1)</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center"/>
              <w:ind w:right="6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1"/>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6" w:lineRule="exact"/>
        <w:rPr>
          <w:sz w:val="20"/>
          <w:szCs w:val="20"/>
          <w:color w:val="auto"/>
        </w:rPr>
      </w:pPr>
    </w:p>
    <w:p>
      <w:pPr>
        <w:jc w:val="both"/>
        <w:ind w:left="380" w:right="139" w:hanging="330"/>
        <w:spacing w:after="0" w:line="238" w:lineRule="auto"/>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Excludes netting of cash collateral received and posted. The total collateral posted at March 31, 2021 and December 31, 2020 was $936 million and $872 million, respectively, across all counterparties, which are included in cash held at consolidated affiliated partnerships and restricted cash in the condensed consolidated balance sheets.</w:t>
      </w:r>
    </w:p>
    <w:p>
      <w:pPr>
        <w:spacing w:after="0" w:line="187" w:lineRule="exact"/>
        <w:rPr>
          <w:sz w:val="20"/>
          <w:szCs w:val="20"/>
          <w:color w:val="auto"/>
        </w:rPr>
      </w:pPr>
    </w:p>
    <w:p>
      <w:pPr>
        <w:ind w:left="60" w:right="699" w:firstLine="324"/>
        <w:spacing w:after="0" w:line="308" w:lineRule="auto"/>
        <w:rPr>
          <w:sz w:val="20"/>
          <w:szCs w:val="20"/>
          <w:color w:val="auto"/>
        </w:rPr>
      </w:pPr>
      <w:r>
        <w:rPr>
          <w:rFonts w:ascii="Arial" w:cs="Arial" w:eastAsia="Arial" w:hAnsi="Arial"/>
          <w:sz w:val="17"/>
          <w:szCs w:val="17"/>
          <w:color w:val="auto"/>
        </w:rPr>
        <w:t>The following table presents the amount of gain (loss) recognized in the condensed consolidated statements of operations for our Investment segment’s derivatives not designated as hedging instruments: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99"/>
        </w:trPr>
        <w:tc>
          <w:tcPr>
            <w:tcW w:w="22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16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88"/>
              </w:rPr>
              <w:t>Gain (Loss) Recognized in Income</w:t>
            </w:r>
            <w:r>
              <w:rPr>
                <w:rFonts w:ascii="Arial" w:cs="Arial" w:eastAsia="Arial" w:hAnsi="Arial"/>
                <w:sz w:val="26"/>
                <w:szCs w:val="26"/>
                <w:b w:val="1"/>
                <w:bCs w:val="1"/>
                <w:color w:val="auto"/>
                <w:w w:val="88"/>
                <w:vertAlign w:val="superscript"/>
              </w:rPr>
              <w:t>(1)</w:t>
            </w: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140" w:type="dxa"/>
            <w:vAlign w:val="bottom"/>
            <w:tcBorders>
              <w:top w:val="single" w:sz="8" w:color="auto"/>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2"/>
              </w:rPr>
              <w:t>Three Months Ended March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color w:val="auto"/>
              </w:rPr>
              <w:t>(in millions)</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452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Credit contracts</w:t>
            </w:r>
          </w:p>
        </w:tc>
        <w:tc>
          <w:tcPr>
            <w:tcW w:w="35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40" w:type="dxa"/>
            <w:vAlign w:val="bottom"/>
            <w:tcBorders>
              <w:bottom w:val="single" w:sz="8" w:color="CCEEFF"/>
            </w:tcBorders>
            <w:shd w:val="clear" w:color="auto" w:fill="CCEEFF"/>
          </w:tcPr>
          <w:p>
            <w:pPr>
              <w:spacing w:after="0"/>
              <w:rPr>
                <w:sz w:val="18"/>
                <w:szCs w:val="18"/>
                <w:color w:val="auto"/>
              </w:rPr>
            </w:pPr>
          </w:p>
        </w:tc>
        <w:tc>
          <w:tcPr>
            <w:tcW w:w="35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520" w:type="dxa"/>
            <w:vAlign w:val="bottom"/>
            <w:vMerge w:val="restart"/>
          </w:tcPr>
          <w:p>
            <w:pPr>
              <w:jc w:val="right"/>
              <w:ind w:right="1110"/>
              <w:spacing w:after="0"/>
              <w:rPr>
                <w:sz w:val="20"/>
                <w:szCs w:val="20"/>
                <w:color w:val="auto"/>
              </w:rPr>
            </w:pPr>
            <w:r>
              <w:rPr>
                <w:rFonts w:ascii="Arial" w:cs="Arial" w:eastAsia="Arial" w:hAnsi="Arial"/>
                <w:sz w:val="18"/>
                <w:szCs w:val="18"/>
                <w:color w:val="auto"/>
              </w:rPr>
              <w:t>24</w:t>
            </w: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352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2"/>
        </w:trPr>
        <w:tc>
          <w:tcPr>
            <w:tcW w:w="224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2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5" w:lineRule="exact"/>
        <w:rPr>
          <w:sz w:val="20"/>
          <w:szCs w:val="20"/>
          <w:color w:val="auto"/>
        </w:rPr>
      </w:pPr>
    </w:p>
    <w:p>
      <w:pPr>
        <w:ind w:left="380" w:right="419" w:hanging="330"/>
        <w:spacing w:after="0" w:line="253"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Gains (losses) recognized on derivatives are classified in net gain (loss) from investment activities in our condensed consolidated statements of operations for our Investment segment.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CVR Energy’s businesses are subject to price fluctuations caused by supply conditions, weather, economic conditions, interest rate fluctuations and other factors. To manage price risk on crude oil and other inventories and to fix margins on certain future production, CVR Refining regularly enters into various commodity derivative transactions. CVR Refining holds derivative instruments, such as exchange-traded crude oil futures and over-the-counter forward swap agreements, which it believes provide an economic hedge on future transactions, but such instruments are not designated as hedge instruments. CVR Refining may enter into forward purchase or sale contracts associated with renewable identification numbers (“RINs”).</w:t>
      </w:r>
    </w:p>
    <w:p>
      <w:pPr>
        <w:spacing w:after="0" w:line="195" w:lineRule="exact"/>
        <w:rPr>
          <w:sz w:val="20"/>
          <w:szCs w:val="20"/>
          <w:color w:val="auto"/>
        </w:rPr>
      </w:pPr>
    </w:p>
    <w:p>
      <w:pPr>
        <w:jc w:val="both"/>
        <w:ind w:left="60" w:right="159" w:firstLine="324"/>
        <w:spacing w:after="0" w:line="301" w:lineRule="auto"/>
        <w:rPr>
          <w:sz w:val="20"/>
          <w:szCs w:val="20"/>
          <w:color w:val="auto"/>
        </w:rPr>
      </w:pPr>
      <w:r>
        <w:rPr>
          <w:rFonts w:ascii="Arial" w:cs="Arial" w:eastAsia="Arial" w:hAnsi="Arial"/>
          <w:sz w:val="16"/>
          <w:szCs w:val="16"/>
          <w:color w:val="auto"/>
        </w:rPr>
        <w:t>As of March 31, 2021 and December 31, 2020, CVR Refining had 12 million and 7 million, respectively, outstanding commodity swap positions. As of March 31, 2021 and December 31, 2020, CVR Refining had open forward purchase and sale commitments for 4 million barrels and 6 million barrels, respectively. As of March 31, 2021 and December 31, 2020, CVR Refining had open fixed-price commitments to purchase a net 32 million and 13 million RINs, respectively.</w:t>
      </w:r>
    </w:p>
    <w:p>
      <w:pPr>
        <w:spacing w:after="0" w:line="157"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Certain derivative contracts executed by our Energy segment with a single counterparty are reported on a net-by-counterparty basis where a legal right of offset exists under an enforceable netting agreement. As of March 31, 2021 and December 31, 2020, our Energy segment had net asset derivatives of $6 million and net liability derivatives of $63 million, respectively. (Losses) gains recognized on derivatives for our Energy segment were $(32) million and $46 million for the three months ended March 31, 2021 and 2020, respectively. Gains and losses recognized on derivatives for our Energy segment are included in cost of goods sold on the condensed consolidated statements of operations.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7. Inventories, Net</w:t>
            </w:r>
          </w:p>
        </w:tc>
        <w:tc>
          <w:tcPr>
            <w:tcW w:w="2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40" w:type="dxa"/>
            <w:vAlign w:val="bottom"/>
          </w:tcPr>
          <w:p>
            <w:pPr>
              <w:ind w:left="340"/>
              <w:spacing w:after="0"/>
              <w:rPr>
                <w:sz w:val="20"/>
                <w:szCs w:val="20"/>
                <w:color w:val="auto"/>
              </w:rPr>
            </w:pPr>
            <w:r>
              <w:rPr>
                <w:rFonts w:ascii="Arial" w:cs="Arial" w:eastAsia="Arial" w:hAnsi="Arial"/>
                <w:sz w:val="18"/>
                <w:szCs w:val="18"/>
                <w:color w:val="auto"/>
              </w:rPr>
              <w:t>Inventories, net consists of the following:</w:t>
            </w:r>
          </w:p>
        </w:tc>
        <w:tc>
          <w:tcPr>
            <w:tcW w:w="2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8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60" w:type="dxa"/>
            <w:vAlign w:val="bottom"/>
            <w:gridSpan w:val="3"/>
          </w:tcPr>
          <w:p>
            <w:pPr>
              <w:ind w:left="60"/>
              <w:spacing w:after="0"/>
              <w:rPr>
                <w:sz w:val="20"/>
                <w:szCs w:val="20"/>
                <w:color w:val="auto"/>
              </w:rPr>
            </w:pPr>
            <w:r>
              <w:rPr>
                <w:rFonts w:ascii="Arial" w:cs="Arial" w:eastAsia="Arial" w:hAnsi="Arial"/>
                <w:sz w:val="18"/>
                <w:szCs w:val="18"/>
                <w:b w:val="1"/>
                <w:bCs w:val="1"/>
                <w:color w:val="auto"/>
              </w:rPr>
              <w:t>March 31,</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38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ind w:left="580"/>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0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8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800" w:type="dxa"/>
            <w:vAlign w:val="bottom"/>
            <w:vMerge w:val="restart"/>
          </w:tcPr>
          <w:p>
            <w:pPr>
              <w:jc w:val="right"/>
              <w:ind w:right="1990"/>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384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8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jc w:val="center"/>
        <w:ind w:left="380" w:right="5999" w:hanging="330"/>
        <w:spacing w:after="0" w:line="572" w:lineRule="auto"/>
        <w:tabs>
          <w:tab w:leader="none" w:pos="281"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Intangible Assets, Net </w:t>
      </w:r>
      <w:r>
        <w:rPr>
          <w:rFonts w:ascii="Arial" w:cs="Arial" w:eastAsia="Arial" w:hAnsi="Arial"/>
          <w:sz w:val="16"/>
          <w:szCs w:val="16"/>
          <w:color w:val="auto"/>
        </w:rPr>
        <w:t>Goodwill consists of the following:</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5"/>
              </w:rPr>
              <w:t>March 31, 2021</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7"/>
          </w:tcPr>
          <w:p>
            <w:pPr>
              <w:jc w:val="right"/>
              <w:ind w:right="27"/>
              <w:spacing w:after="0"/>
              <w:rPr>
                <w:sz w:val="20"/>
                <w:szCs w:val="20"/>
                <w:color w:val="auto"/>
              </w:rPr>
            </w:pPr>
            <w:r>
              <w:rPr>
                <w:rFonts w:ascii="Arial" w:cs="Arial" w:eastAsia="Arial" w:hAnsi="Arial"/>
                <w:sz w:val="18"/>
                <w:szCs w:val="18"/>
                <w:b w:val="1"/>
                <w:bCs w:val="1"/>
                <w:color w:val="auto"/>
                <w:w w:val="90"/>
              </w:rPr>
              <w:t>December 31, 2020</w:t>
            </w:r>
          </w:p>
        </w:tc>
        <w:tc>
          <w:tcPr>
            <w:tcW w:w="620" w:type="dxa"/>
            <w:vAlign w:val="bottom"/>
            <w:tcBorders>
              <w:bottom w:val="single" w:sz="8" w:color="auto"/>
            </w:tcBorders>
          </w:tcPr>
          <w:p>
            <w:pPr>
              <w:spacing w:after="0"/>
              <w:rPr>
                <w:sz w:val="20"/>
                <w:szCs w:val="20"/>
                <w:color w:val="auto"/>
              </w:rPr>
            </w:pPr>
          </w:p>
        </w:tc>
      </w:tr>
      <w:tr>
        <w:trPr>
          <w:trHeight w:val="191"/>
        </w:trPr>
        <w:tc>
          <w:tcPr>
            <w:tcW w:w="2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52"/>
              <w:spacing w:after="0" w:line="191" w:lineRule="exact"/>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Gross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Net</w:t>
            </w:r>
          </w:p>
        </w:tc>
      </w:tr>
      <w:tr>
        <w:trPr>
          <w:trHeight w:val="216"/>
        </w:trPr>
        <w:tc>
          <w:tcPr>
            <w:tcW w:w="2080" w:type="dxa"/>
            <w:vAlign w:val="bottom"/>
          </w:tcPr>
          <w:p>
            <w:pPr>
              <w:spacing w:after="0"/>
              <w:rPr>
                <w:sz w:val="18"/>
                <w:szCs w:val="18"/>
                <w:color w:val="auto"/>
              </w:rPr>
            </w:pPr>
          </w:p>
        </w:tc>
        <w:tc>
          <w:tcPr>
            <w:tcW w:w="6820" w:type="dxa"/>
            <w:vAlign w:val="bottom"/>
            <w:gridSpan w:val="21"/>
          </w:tcPr>
          <w:p>
            <w:pPr>
              <w:jc w:val="right"/>
              <w:spacing w:after="0"/>
              <w:rPr>
                <w:sz w:val="20"/>
                <w:szCs w:val="20"/>
                <w:color w:val="auto"/>
              </w:rPr>
            </w:pPr>
            <w:r>
              <w:rPr>
                <w:rFonts w:ascii="Arial" w:cs="Arial" w:eastAsia="Arial" w:hAnsi="Arial"/>
                <w:sz w:val="18"/>
                <w:szCs w:val="18"/>
                <w:b w:val="1"/>
                <w:bCs w:val="1"/>
                <w:color w:val="auto"/>
              </w:rPr>
              <w:t>Carrying  Accumulated  Carrying  Carrying  Accumulated  Carrying</w:t>
            </w:r>
          </w:p>
        </w:tc>
      </w:tr>
      <w:tr>
        <w:trPr>
          <w:trHeight w:val="234"/>
        </w:trPr>
        <w:tc>
          <w:tcPr>
            <w:tcW w:w="2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Impairment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Impairment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Value</w:t>
            </w:r>
          </w:p>
        </w:tc>
      </w:tr>
      <w:tr>
        <w:trPr>
          <w:trHeight w:val="196"/>
        </w:trPr>
        <w:tc>
          <w:tcPr>
            <w:tcW w:w="2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4"/>
          </w:tcPr>
          <w:p>
            <w:pPr>
              <w:jc w:val="right"/>
              <w:ind w:right="310"/>
              <w:spacing w:after="0"/>
              <w:rPr>
                <w:sz w:val="20"/>
                <w:szCs w:val="20"/>
                <w:color w:val="auto"/>
              </w:rPr>
            </w:pPr>
            <w:r>
              <w:rPr>
                <w:rFonts w:ascii="Arial" w:cs="Arial" w:eastAsia="Arial" w:hAnsi="Arial"/>
                <w:sz w:val="14"/>
                <w:szCs w:val="14"/>
                <w:color w:val="auto"/>
              </w:rPr>
              <w:t>(in millions)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58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64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Food Packaging</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Metals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Home Fashion</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Pharma</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0"/>
        </w:trPr>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r>
      <w:tr>
        <w:trPr>
          <w:trHeight w:val="20"/>
        </w:trPr>
        <w:tc>
          <w:tcPr>
            <w:tcW w:w="2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Intangible assets, net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9"/>
              </w:rPr>
              <w:t>March 31, 2021</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w w:val="87"/>
              </w:rPr>
              <w:t>December 31, 2020</w:t>
            </w:r>
          </w:p>
        </w:tc>
        <w:tc>
          <w:tcPr>
            <w:tcW w:w="620" w:type="dxa"/>
            <w:vAlign w:val="bottom"/>
            <w:tcBorders>
              <w:bottom w:val="single" w:sz="8" w:color="auto"/>
            </w:tcBorders>
          </w:tcPr>
          <w:p>
            <w:pPr>
              <w:spacing w:after="0"/>
              <w:rPr>
                <w:sz w:val="20"/>
                <w:szCs w:val="20"/>
                <w:color w:val="auto"/>
              </w:rPr>
            </w:pPr>
          </w:p>
        </w:tc>
      </w:tr>
      <w:tr>
        <w:trPr>
          <w:trHeight w:val="191"/>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112"/>
              <w:spacing w:after="0" w:line="191" w:lineRule="exact"/>
              <w:rPr>
                <w:sz w:val="20"/>
                <w:szCs w:val="20"/>
                <w:color w:val="auto"/>
              </w:rPr>
            </w:pPr>
            <w:r>
              <w:rPr>
                <w:rFonts w:ascii="Arial" w:cs="Arial" w:eastAsia="Arial" w:hAnsi="Arial"/>
                <w:sz w:val="18"/>
                <w:szCs w:val="18"/>
                <w:b w:val="1"/>
                <w:bCs w:val="1"/>
                <w:color w:val="auto"/>
              </w:rPr>
              <w:t>Net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9"/>
              </w:rPr>
              <w:t>Net</w:t>
            </w:r>
          </w:p>
        </w:tc>
      </w:tr>
      <w:tr>
        <w:trPr>
          <w:trHeight w:val="216"/>
        </w:trPr>
        <w:tc>
          <w:tcPr>
            <w:tcW w:w="300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Carrying</w:t>
            </w:r>
          </w:p>
        </w:tc>
        <w:tc>
          <w:tcPr>
            <w:tcW w:w="720" w:type="dxa"/>
            <w:vAlign w:val="bottom"/>
            <w:gridSpan w:val="2"/>
          </w:tcPr>
          <w:p>
            <w:pPr>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Carrying</w:t>
            </w:r>
          </w:p>
        </w:tc>
      </w:tr>
      <w:tr>
        <w:trPr>
          <w:trHeight w:val="234"/>
        </w:trPr>
        <w:tc>
          <w:tcPr>
            <w:tcW w:w="3000" w:type="dxa"/>
            <w:vAlign w:val="bottom"/>
          </w:tcPr>
          <w:p>
            <w:pPr>
              <w:spacing w:after="0"/>
              <w:rPr>
                <w:sz w:val="20"/>
                <w:szCs w:val="20"/>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180" w:type="dxa"/>
            <w:vAlign w:val="bottom"/>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Value</w:t>
            </w:r>
          </w:p>
        </w:tc>
      </w:tr>
      <w:tr>
        <w:trPr>
          <w:trHeight w:val="196"/>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4"/>
          </w:tcPr>
          <w:p>
            <w:pPr>
              <w:jc w:val="right"/>
              <w:ind w:right="33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399</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Developed technology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(163)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0"/>
        </w:trPr>
        <w:tc>
          <w:tcPr>
            <w:tcW w:w="30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6"/>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09"/>
        </w:trPr>
        <w:tc>
          <w:tcPr>
            <w:tcW w:w="30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Amortization expense associated with definite-lived intangible assets was $15 million and $11 million for the three months ended March 31, 2021 and 2020, respectively. We utilize the straight-line method of amortization, recognized over the estimated useful lives of the assets.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 Segments and Holding Company</w:t>
      </w:r>
    </w:p>
    <w:p>
      <w:pPr>
        <w:spacing w:after="0" w:line="225" w:lineRule="exact"/>
        <w:rPr>
          <w:sz w:val="20"/>
          <w:szCs w:val="20"/>
          <w:color w:val="auto"/>
        </w:rPr>
      </w:pPr>
    </w:p>
    <w:p>
      <w:pPr>
        <w:ind w:left="60" w:right="219" w:firstLine="324"/>
        <w:spacing w:after="0" w:line="291" w:lineRule="auto"/>
        <w:rPr>
          <w:sz w:val="20"/>
          <w:szCs w:val="20"/>
          <w:color w:val="auto"/>
        </w:rPr>
      </w:pPr>
      <w:r>
        <w:rPr>
          <w:rFonts w:ascii="Arial" w:cs="Arial" w:eastAsia="Arial" w:hAnsi="Arial"/>
          <w:sz w:val="16"/>
          <w:szCs w:val="16"/>
          <w:color w:val="auto"/>
        </w:rPr>
        <w:t>We have operating and finance leases primarily within our Automotive, Energy and Food Packaging segments. Our Automotive segment leases assets, primarily real estate (operating) and vehicles (financing). Our Energy segment leases certain pipelines, storage tanks, railcars, office space, land and equipment (operating and financing). Our Food Packaging segment leases assets, primarily real estate, equipment and vehicles (primarily operating). Our lease agreements do not contain any material residual value guarantees or material restrictive covenants. Right-of-use assets and related liabilities are recorded on the balance sheet for leases with an initial lease term in excess of twelve months and therefore, do not include any lease arrangements with initial lease terms of twelve months or less.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360" w:type="dxa"/>
            <w:vAlign w:val="bottom"/>
          </w:tcPr>
          <w:p>
            <w:pPr>
              <w:ind w:left="340"/>
              <w:spacing w:after="0"/>
              <w:rPr>
                <w:sz w:val="20"/>
                <w:szCs w:val="20"/>
                <w:color w:val="auto"/>
              </w:rPr>
            </w:pPr>
            <w:r>
              <w:rPr>
                <w:rFonts w:ascii="Arial" w:cs="Arial" w:eastAsia="Arial" w:hAnsi="Arial"/>
                <w:sz w:val="18"/>
                <w:szCs w:val="18"/>
                <w:color w:val="auto"/>
              </w:rPr>
              <w:t>Right-of-use assets and lease liabilities are as follows: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27"/>
        </w:trPr>
        <w:tc>
          <w:tcPr>
            <w:tcW w:w="6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2020</w:t>
            </w:r>
          </w:p>
        </w:tc>
      </w:tr>
      <w:tr>
        <w:trPr>
          <w:trHeight w:val="128"/>
        </w:trPr>
        <w:tc>
          <w:tcPr>
            <w:tcW w:w="6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1"/>
                <w:szCs w:val="1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Right-of-use assets (other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540</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552</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 (accrued expenses and other liabilities)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16"/>
        </w:trPr>
        <w:tc>
          <w:tcPr>
            <w:tcW w:w="6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Leases: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Right-of-use assets (property, plant and equipment, net)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 (debt)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bl>
    <w:p>
      <w:pPr>
        <w:spacing w:after="0" w:line="202"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Additional information with respect to our operating leases as of March 31, 2021 and December 31, 2020 is presented below. The lease terms and discount rates for our Energy, Automotive and Food Packaging segments represent weighted averages based on their respective lease liability balances.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6"/>
              </w:rPr>
              <w:t>Right-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Of-Use</w:t>
            </w:r>
          </w:p>
        </w:tc>
        <w:tc>
          <w:tcPr>
            <w:tcW w:w="14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Lease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Discount</w:t>
            </w:r>
          </w:p>
        </w:tc>
      </w:tr>
      <w:tr>
        <w:trPr>
          <w:trHeight w:val="234"/>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Leases as of March 31, 2021</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ind w:right="13"/>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Liabilities</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Term</w:t>
            </w:r>
          </w:p>
        </w:tc>
        <w:tc>
          <w:tcPr>
            <w:tcW w:w="18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40" w:type="dxa"/>
            <w:vAlign w:val="bottom"/>
          </w:tcPr>
          <w:p>
            <w:pPr>
              <w:spacing w:after="0"/>
              <w:rPr>
                <w:sz w:val="20"/>
                <w:szCs w:val="20"/>
                <w:color w:val="auto"/>
              </w:rPr>
            </w:pPr>
          </w:p>
        </w:tc>
      </w:tr>
      <w:tr>
        <w:trPr>
          <w:trHeight w:val="142"/>
        </w:trPr>
        <w:tc>
          <w:tcPr>
            <w:tcW w:w="5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4"/>
          </w:tcPr>
          <w:p>
            <w:pPr>
              <w:jc w:val="right"/>
              <w:ind w:right="390"/>
              <w:spacing w:after="0" w:line="142" w:lineRule="exact"/>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4.5 years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5.5%</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Automotive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442</w:t>
            </w:r>
          </w:p>
        </w:tc>
        <w:tc>
          <w:tcPr>
            <w:tcW w:w="2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4.6 years</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4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5"/>
              </w:rPr>
              <w:t>11.1 years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7.4%</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segments and Holding Company</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10"/>
        </w:trPr>
        <w:tc>
          <w:tcPr>
            <w:tcW w:w="50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Right-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Of-Use</w:t>
            </w:r>
          </w:p>
        </w:tc>
        <w:tc>
          <w:tcPr>
            <w:tcW w:w="14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Lease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Discount</w:t>
            </w:r>
          </w:p>
        </w:tc>
      </w:tr>
      <w:tr>
        <w:trPr>
          <w:trHeight w:val="234"/>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Leases as of December 31, 2020</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Liabilities</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Term</w:t>
            </w:r>
          </w:p>
        </w:tc>
        <w:tc>
          <w:tcPr>
            <w:tcW w:w="20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20" w:type="dxa"/>
            <w:vAlign w:val="bottom"/>
          </w:tcPr>
          <w:p>
            <w:pPr>
              <w:spacing w:after="0"/>
              <w:rPr>
                <w:sz w:val="20"/>
                <w:szCs w:val="20"/>
                <w:color w:val="auto"/>
              </w:rPr>
            </w:pPr>
          </w:p>
        </w:tc>
      </w:tr>
      <w:tr>
        <w:trPr>
          <w:trHeight w:val="142"/>
        </w:trPr>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jc w:val="right"/>
              <w:ind w:right="390"/>
              <w:spacing w:after="0" w:line="142" w:lineRule="exact"/>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3.1 years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5.5%</w:t>
            </w:r>
          </w:p>
        </w:tc>
        <w:tc>
          <w:tcPr>
            <w:tcW w:w="20" w:type="dxa"/>
            <w:vAlign w:val="bottom"/>
            <w:shd w:val="clear" w:color="auto" w:fill="CCEEFF"/>
          </w:tcPr>
          <w:p>
            <w:pPr>
              <w:spacing w:after="0"/>
              <w:rPr>
                <w:sz w:val="18"/>
                <w:szCs w:val="18"/>
                <w:color w:val="auto"/>
              </w:rPr>
            </w:pPr>
          </w:p>
        </w:tc>
      </w:tr>
      <w:tr>
        <w:trPr>
          <w:trHeight w:val="216"/>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Automotive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456</w:t>
            </w: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4.6 years</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20" w:type="dxa"/>
            <w:vAlign w:val="bottom"/>
          </w:tcPr>
          <w:p>
            <w:pPr>
              <w:spacing w:after="0"/>
              <w:rPr>
                <w:sz w:val="18"/>
                <w:szCs w:val="18"/>
                <w:color w:val="auto"/>
              </w:rPr>
            </w:pPr>
          </w:p>
        </w:tc>
      </w:tr>
      <w:tr>
        <w:trPr>
          <w:trHeight w:val="216"/>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11.1 years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7.4%</w:t>
            </w:r>
          </w:p>
        </w:tc>
        <w:tc>
          <w:tcPr>
            <w:tcW w:w="20" w:type="dxa"/>
            <w:vAlign w:val="bottom"/>
            <w:shd w:val="clear" w:color="auto" w:fill="CCEEFF"/>
          </w:tcPr>
          <w:p>
            <w:pPr>
              <w:spacing w:after="0"/>
              <w:rPr>
                <w:sz w:val="18"/>
                <w:szCs w:val="18"/>
                <w:color w:val="auto"/>
              </w:rPr>
            </w:pPr>
          </w:p>
        </w:tc>
      </w:tr>
      <w:tr>
        <w:trPr>
          <w:trHeight w:val="216"/>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segments and Holding Company</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r>
      <w:tr>
        <w:trPr>
          <w:trHeight w:val="210"/>
        </w:trPr>
        <w:tc>
          <w:tcPr>
            <w:tcW w:w="50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239" w:firstLine="324"/>
        <w:spacing w:after="0" w:line="257" w:lineRule="auto"/>
        <w:rPr>
          <w:sz w:val="20"/>
          <w:szCs w:val="20"/>
          <w:color w:val="auto"/>
        </w:rPr>
      </w:pPr>
      <w:r>
        <w:rPr>
          <w:rFonts w:ascii="Arial" w:cs="Arial" w:eastAsia="Arial" w:hAnsi="Arial"/>
          <w:sz w:val="18"/>
          <w:szCs w:val="18"/>
          <w:color w:val="auto"/>
        </w:rPr>
        <w:t>For the three months ended March 31, 2021 and 2020, lease cost was comprised of (i) operating lease cost of $51 million and $51 million, respectively, (ii) amortization of financing lease right-of-use assets of $3 million and $3 million, respectively, and (iii) interest expense on financing lease liabilities of $1 million and $2 million respectively. Our Automotive segment accounted for $43 million and $43 million of total lease cost for the three months ended March 31, 2021 and 2020, respectively.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left="60" w:right="299" w:firstLine="324"/>
        <w:spacing w:after="0" w:line="342" w:lineRule="auto"/>
        <w:rPr>
          <w:sz w:val="20"/>
          <w:szCs w:val="20"/>
          <w:color w:val="auto"/>
        </w:rPr>
      </w:pPr>
      <w:r>
        <w:rPr>
          <w:rFonts w:ascii="Arial" w:cs="Arial" w:eastAsia="Arial" w:hAnsi="Arial"/>
          <w:sz w:val="16"/>
          <w:szCs w:val="16"/>
          <w:color w:val="auto"/>
        </w:rPr>
        <w:t>Our Real Estate segment leases real estate, primarily commercial properties under long-term operating leases. As of March 31, 2021 and December 31, 2020, our Real Estate segment has assets leased to others included in property, plant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and equipment of $222 million and $222 million, respectively, net of accumulated depreciation. Our Real Estate segment’s revenue from operating leases were $5 million and $8 million for the three months ended March 31, 2021 and 2020, respectively. Revenues from operating leases are included in other revenue from operations in the condensed consolidated statements of operations.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10. Debt</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32"/>
        </w:trPr>
        <w:tc>
          <w:tcPr>
            <w:tcW w:w="6640" w:type="dxa"/>
            <w:vAlign w:val="bottom"/>
          </w:tcPr>
          <w:p>
            <w:pPr>
              <w:ind w:left="340"/>
              <w:spacing w:after="0"/>
              <w:rPr>
                <w:sz w:val="20"/>
                <w:szCs w:val="20"/>
                <w:color w:val="auto"/>
              </w:rPr>
            </w:pPr>
            <w:r>
              <w:rPr>
                <w:rFonts w:ascii="Arial" w:cs="Arial" w:eastAsia="Arial" w:hAnsi="Arial"/>
                <w:sz w:val="18"/>
                <w:szCs w:val="18"/>
                <w:color w:val="auto"/>
              </w:rPr>
              <w:t>Debt consists of the following:</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27"/>
        </w:trPr>
        <w:tc>
          <w:tcPr>
            <w:tcW w:w="6640" w:type="dxa"/>
            <w:vAlign w:val="bottom"/>
          </w:tcPr>
          <w:p>
            <w:pPr>
              <w:spacing w:after="0"/>
              <w:rPr>
                <w:sz w:val="24"/>
                <w:szCs w:val="24"/>
                <w:color w:val="auto"/>
              </w:rPr>
            </w:pPr>
          </w:p>
        </w:tc>
        <w:tc>
          <w:tcPr>
            <w:tcW w:w="1160" w:type="dxa"/>
            <w:vAlign w:val="bottom"/>
            <w:gridSpan w:val="3"/>
          </w:tcPr>
          <w:p>
            <w:pPr>
              <w:ind w:left="60"/>
              <w:spacing w:after="0"/>
              <w:rPr>
                <w:sz w:val="20"/>
                <w:szCs w:val="20"/>
                <w:color w:val="auto"/>
              </w:rPr>
            </w:pPr>
            <w:r>
              <w:rPr>
                <w:rFonts w:ascii="Arial" w:cs="Arial" w:eastAsia="Arial" w:hAnsi="Arial"/>
                <w:sz w:val="18"/>
                <w:szCs w:val="18"/>
                <w:b w:val="1"/>
                <w:bCs w:val="1"/>
                <w:color w:val="auto"/>
              </w:rPr>
              <w:t>March 31,</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2020</w:t>
            </w:r>
          </w:p>
        </w:tc>
      </w:tr>
      <w:tr>
        <w:trPr>
          <w:trHeight w:val="128"/>
        </w:trPr>
        <w:tc>
          <w:tcPr>
            <w:tcW w:w="6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ind w:left="580"/>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Holding Company: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6.250% senior unsecured notes due 2022</w:t>
            </w: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456</w:t>
            </w:r>
          </w:p>
        </w:tc>
        <w:tc>
          <w:tcPr>
            <w:tcW w:w="20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1,209</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6.750% senior unsecured notes due 2024</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4.750% senior unsecured notes due 2024</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1,106</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6.375% senior unsecured notes due 2025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6.250% senior unsecured notes due 2026</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5.250% senior unsecured notes due 2027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r>
      <w:tr>
        <w:trPr>
          <w:trHeight w:val="21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4.375% senior unsecured notes due 2029</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5,805</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5,811</w:t>
            </w:r>
          </w:p>
        </w:tc>
      </w:tr>
      <w:tr>
        <w:trPr>
          <w:trHeight w:val="209"/>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Reporting Segments: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Metals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Home Fashion</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09"/>
        </w:trPr>
        <w:tc>
          <w:tcPr>
            <w:tcW w:w="6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r>
      <w:tr>
        <w:trPr>
          <w:trHeight w:val="210"/>
        </w:trPr>
        <w:tc>
          <w:tcPr>
            <w:tcW w:w="66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8,056</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8,059</w:t>
            </w:r>
          </w:p>
        </w:tc>
      </w:tr>
      <w:tr>
        <w:trPr>
          <w:trHeight w:val="20"/>
        </w:trPr>
        <w:tc>
          <w:tcPr>
            <w:tcW w:w="6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Holding Company</w:t>
      </w:r>
    </w:p>
    <w:p>
      <w:pPr>
        <w:spacing w:after="0" w:line="229"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In January 2021, Icahn Enterprises and Icahn Enterprises Finance Corp. (together the “Issuers”) issued $750 million in aggregate principal amount of 4.375% senior unsecured notes due 2029 (the “New 2029 Notes”). The proceeds from the New 2029 Notes were used to redeem $750 million principal amount of 6.250% senior unsecured notes due 2022, and to pay accrued interest, related fees and expenses. Interest on the New 2029 Notes is payable semi-annually. In connection with this transaction, our Holding Company recorded a gain on extinguishment of debt of $2 million.</w:t>
      </w:r>
    </w:p>
    <w:p>
      <w:pPr>
        <w:spacing w:after="0" w:line="161" w:lineRule="exact"/>
        <w:rPr>
          <w:sz w:val="20"/>
          <w:szCs w:val="20"/>
          <w:color w:val="auto"/>
        </w:rPr>
      </w:pPr>
    </w:p>
    <w:p>
      <w:pPr>
        <w:ind w:left="60" w:right="219" w:firstLine="324"/>
        <w:spacing w:after="0" w:line="293" w:lineRule="auto"/>
        <w:rPr>
          <w:sz w:val="20"/>
          <w:szCs w:val="20"/>
          <w:color w:val="auto"/>
        </w:rPr>
      </w:pPr>
      <w:r>
        <w:rPr>
          <w:rFonts w:ascii="Arial" w:cs="Arial" w:eastAsia="Arial" w:hAnsi="Arial"/>
          <w:sz w:val="16"/>
          <w:szCs w:val="16"/>
          <w:color w:val="auto"/>
        </w:rPr>
        <w:t>The New 2029 Notes and the related guarantee are the senior unsecured obligations of the Issuers and rank equally with all of the Issuers’ and the Guarantor’s existing and future senior unsecured indebtedness and senior to all of the Issuers’ and the Guarantor’s existing and future subordinated indebtedness. The New 2029 Notes and the related guarantees are effectively subordinated to the Issuers’ and the Guarantor’s existing and future secured indebtedness to the extent of the collateral securing such indebtedness. The New 2029 Notes and the related guarantees are also effectively subordinated to all indebtedness and other liabilities of the Issuers’ subsidiaries other than the Guarantor.</w:t>
      </w:r>
    </w:p>
    <w:p>
      <w:pPr>
        <w:spacing w:after="0" w:line="164" w:lineRule="exact"/>
        <w:rPr>
          <w:sz w:val="20"/>
          <w:szCs w:val="20"/>
          <w:color w:val="auto"/>
        </w:rPr>
      </w:pPr>
    </w:p>
    <w:p>
      <w:pPr>
        <w:ind w:left="60" w:right="159" w:firstLine="324"/>
        <w:spacing w:after="0" w:line="301" w:lineRule="auto"/>
        <w:rPr>
          <w:sz w:val="20"/>
          <w:szCs w:val="20"/>
          <w:color w:val="auto"/>
        </w:rPr>
      </w:pPr>
      <w:r>
        <w:rPr>
          <w:rFonts w:ascii="Arial" w:cs="Arial" w:eastAsia="Arial" w:hAnsi="Arial"/>
          <w:sz w:val="16"/>
          <w:szCs w:val="16"/>
          <w:color w:val="auto"/>
        </w:rPr>
        <w:t>The indenture governing the New 2029 Notes restricts the payment of cash distributions, the purchase of equity interests or the purchase, redemption, defeasance or acquisition of debt subordinated to the senior unsecured notes. The indenture also restricts the incurrence of debt or the issuance of disqualified stock, as defined in the indenture, with certain exceptions. In addition, the indenture requires that on each quarterly determination date, Icahn Enterprises and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499"/>
        <w:spacing w:after="0" w:line="263" w:lineRule="auto"/>
        <w:rPr>
          <w:sz w:val="20"/>
          <w:szCs w:val="20"/>
          <w:color w:val="auto"/>
        </w:rPr>
      </w:pPr>
      <w:r>
        <w:rPr>
          <w:rFonts w:ascii="Arial" w:cs="Arial" w:eastAsia="Arial" w:hAnsi="Arial"/>
          <w:sz w:val="18"/>
          <w:szCs w:val="18"/>
          <w:color w:val="auto"/>
        </w:rPr>
        <w:t>the guarantor of the New 2029 Notes (currently only Icahn Enterprises Holdings) maintain certain minimum financial ratios, as defined therein. The indenture also restricts the creation of liens, mergers, consolidations and sales of substantially all of our assets, and transactions with affiliates.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Subsequent Event</w:t>
      </w:r>
    </w:p>
    <w:p>
      <w:pPr>
        <w:spacing w:after="0" w:line="225" w:lineRule="exact"/>
        <w:rPr>
          <w:sz w:val="20"/>
          <w:szCs w:val="20"/>
          <w:color w:val="auto"/>
        </w:rPr>
      </w:pPr>
    </w:p>
    <w:p>
      <w:pPr>
        <w:ind w:left="60" w:right="339" w:firstLine="324"/>
        <w:spacing w:after="0" w:line="311" w:lineRule="auto"/>
        <w:rPr>
          <w:sz w:val="20"/>
          <w:szCs w:val="20"/>
          <w:color w:val="auto"/>
        </w:rPr>
      </w:pPr>
      <w:r>
        <w:rPr>
          <w:rFonts w:ascii="Arial" w:cs="Arial" w:eastAsia="Arial" w:hAnsi="Arial"/>
          <w:sz w:val="16"/>
          <w:szCs w:val="16"/>
          <w:color w:val="auto"/>
        </w:rPr>
        <w:t>In April 2021, the Issuers issued $455 million in aggregate principal amount of additional 5.250% senior unsecured notes due 2027. The proceeds from this issuance were used to redeem the remaining $455 million principal amount of 6.250% senior unsecured notes due 2022, and to pay accrued interest, related fees and expenses.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60" w:right="559" w:firstLine="324"/>
        <w:spacing w:after="0" w:line="259" w:lineRule="auto"/>
        <w:rPr>
          <w:sz w:val="20"/>
          <w:szCs w:val="20"/>
          <w:color w:val="auto"/>
        </w:rPr>
      </w:pPr>
      <w:r>
        <w:rPr>
          <w:rFonts w:ascii="Arial" w:cs="Arial" w:eastAsia="Arial" w:hAnsi="Arial"/>
          <w:sz w:val="18"/>
          <w:szCs w:val="18"/>
          <w:color w:val="auto"/>
        </w:rPr>
        <w:t>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Non-Cash Charges to Interest Expense</w:t>
      </w:r>
    </w:p>
    <w:p>
      <w:pPr>
        <w:spacing w:after="0" w:line="229" w:lineRule="exact"/>
        <w:rPr>
          <w:sz w:val="20"/>
          <w:szCs w:val="20"/>
          <w:color w:val="auto"/>
        </w:rPr>
      </w:pPr>
    </w:p>
    <w:p>
      <w:pPr>
        <w:ind w:left="60" w:right="499" w:firstLine="324"/>
        <w:spacing w:after="0" w:line="263" w:lineRule="auto"/>
        <w:rPr>
          <w:sz w:val="20"/>
          <w:szCs w:val="20"/>
          <w:color w:val="auto"/>
        </w:rPr>
      </w:pPr>
      <w:r>
        <w:rPr>
          <w:rFonts w:ascii="Arial" w:cs="Arial" w:eastAsia="Arial" w:hAnsi="Arial"/>
          <w:sz w:val="18"/>
          <w:szCs w:val="18"/>
          <w:color w:val="auto"/>
        </w:rPr>
        <w:t>The amortization of deferred financing costs and debt discounts and premiums included in interest expense in the condensed consolidated statements of operations were $1 million and $1 million for the three months ended March 31, 2021 and 2020, respectively.</w:t>
      </w:r>
    </w:p>
    <w:p>
      <w:pPr>
        <w:spacing w:after="0" w:line="180" w:lineRule="exact"/>
        <w:rPr>
          <w:sz w:val="20"/>
          <w:szCs w:val="20"/>
          <w:color w:val="auto"/>
        </w:rPr>
      </w:pPr>
    </w:p>
    <w:p>
      <w:pPr>
        <w:ind w:left="360" w:hanging="310"/>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LP Unit</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6"/>
          <w:szCs w:val="16"/>
          <w:color w:val="auto"/>
        </w:rPr>
        <w:t>The components of the computation of basic and diluted income (loss) per LP unit of Icahn Enterprises are as follows: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4"/>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540" w:type="dxa"/>
            <w:vAlign w:val="bottom"/>
            <w:gridSpan w:val="5"/>
          </w:tcPr>
          <w:p>
            <w:pPr>
              <w:jc w:val="right"/>
              <w:ind w:right="110"/>
              <w:spacing w:after="0" w:line="129" w:lineRule="exact"/>
              <w:rPr>
                <w:sz w:val="20"/>
                <w:szCs w:val="20"/>
                <w:color w:val="auto"/>
              </w:rPr>
            </w:pPr>
            <w:r>
              <w:rPr>
                <w:rFonts w:ascii="Arial" w:cs="Arial" w:eastAsia="Arial" w:hAnsi="Arial"/>
                <w:sz w:val="14"/>
                <w:szCs w:val="14"/>
                <w:color w:val="auto"/>
              </w:rPr>
              <w:t>(in millions, except per unit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Icahn Enterprises</w:t>
            </w: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162</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6"/>
              </w:rPr>
              <w:t>Net income (loss) attributable to Icahn Enterprises allocated to limited partners</w:t>
            </w:r>
          </w:p>
        </w:tc>
        <w:tc>
          <w:tcPr>
            <w:tcW w:w="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020" w:type="dxa"/>
            <w:vAlign w:val="bottom"/>
            <w:vMerge w:val="continue"/>
          </w:tcPr>
          <w:p>
            <w:pPr>
              <w:spacing w:after="0"/>
              <w:rPr>
                <w:sz w:val="13"/>
                <w:szCs w:val="13"/>
                <w:color w:val="auto"/>
              </w:rPr>
            </w:pPr>
          </w:p>
        </w:tc>
        <w:tc>
          <w:tcPr>
            <w:tcW w:w="1120" w:type="dxa"/>
            <w:vAlign w:val="bottom"/>
            <w:gridSpan w:val="2"/>
            <w:vMerge w:val="restart"/>
          </w:tcPr>
          <w:p>
            <w:pPr>
              <w:ind w:left="340"/>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w w:val="99"/>
              </w:rPr>
              <w:t>159</w:t>
            </w: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20" w:type="dxa"/>
            <w:vAlign w:val="bottom"/>
          </w:tcPr>
          <w:p>
            <w:pPr>
              <w:ind w:left="120"/>
              <w:spacing w:after="0"/>
              <w:rPr>
                <w:sz w:val="20"/>
                <w:szCs w:val="20"/>
                <w:color w:val="auto"/>
              </w:rPr>
            </w:pPr>
            <w:r>
              <w:rPr>
                <w:rFonts w:ascii="Arial" w:cs="Arial" w:eastAsia="Arial" w:hAnsi="Arial"/>
                <w:sz w:val="18"/>
                <w:szCs w:val="18"/>
                <w:color w:val="auto"/>
              </w:rPr>
              <w:t>(98.01% allocation)</w:t>
            </w:r>
          </w:p>
        </w:tc>
        <w:tc>
          <w:tcPr>
            <w:tcW w:w="1120" w:type="dxa"/>
            <w:vAlign w:val="bottom"/>
            <w:gridSpan w:val="2"/>
            <w:vMerge w:val="continue"/>
          </w:tcPr>
          <w:p>
            <w:pPr>
              <w:spacing w:after="0"/>
              <w:rPr>
                <w:sz w:val="22"/>
                <w:szCs w:val="22"/>
                <w:color w:val="auto"/>
              </w:rPr>
            </w:pPr>
          </w:p>
        </w:tc>
        <w:tc>
          <w:tcPr>
            <w:tcW w:w="380" w:type="dxa"/>
            <w:vAlign w:val="bottom"/>
            <w:vMerge w:val="continue"/>
          </w:tcPr>
          <w:p>
            <w:pPr>
              <w:spacing w:after="0"/>
              <w:rPr>
                <w:sz w:val="22"/>
                <w:szCs w:val="22"/>
                <w:color w:val="auto"/>
              </w:rPr>
            </w:pPr>
          </w:p>
        </w:tc>
        <w:tc>
          <w:tcPr>
            <w:tcW w:w="46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Basic income (loss) per LP unit</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85"/>
              </w:rPr>
              <w:t>0.66</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weighted average LP units outstanding</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242</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(loss) per LP unit</w:t>
            </w: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0.65</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LP units outstanding</w:t>
            </w: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245</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639" w:firstLine="324"/>
        <w:spacing w:after="0" w:line="277" w:lineRule="auto"/>
        <w:rPr>
          <w:sz w:val="20"/>
          <w:szCs w:val="20"/>
          <w:color w:val="auto"/>
        </w:rPr>
      </w:pPr>
      <w:r>
        <w:rPr>
          <w:rFonts w:ascii="Arial" w:cs="Arial" w:eastAsia="Arial" w:hAnsi="Arial"/>
          <w:sz w:val="18"/>
          <w:szCs w:val="18"/>
          <w:color w:val="auto"/>
        </w:rPr>
        <w:t>As their effect would have been anti-dilutive, four million weighted average units have been excluded from the calculation of diluted income per LP unit for the three months ended March 31, 2020.</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LP Unit Transactions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Unit Distributions</w:t>
      </w:r>
    </w:p>
    <w:p>
      <w:pPr>
        <w:spacing w:after="0" w:line="225" w:lineRule="exact"/>
        <w:rPr>
          <w:sz w:val="20"/>
          <w:szCs w:val="20"/>
          <w:color w:val="auto"/>
        </w:rPr>
      </w:pPr>
    </w:p>
    <w:p>
      <w:pPr>
        <w:ind w:left="60" w:right="99" w:firstLine="324"/>
        <w:spacing w:after="0" w:line="290" w:lineRule="auto"/>
        <w:rPr>
          <w:sz w:val="20"/>
          <w:szCs w:val="20"/>
          <w:color w:val="auto"/>
        </w:rPr>
      </w:pPr>
      <w:r>
        <w:rPr>
          <w:rFonts w:ascii="Arial" w:cs="Arial" w:eastAsia="Arial" w:hAnsi="Arial"/>
          <w:sz w:val="16"/>
          <w:szCs w:val="16"/>
          <w:color w:val="auto"/>
        </w:rPr>
        <w:t>On February 24, 2021, Icahn Enterprises declared a quarterly distribution in the amount of $2.00 per depositary unit in which each depositary unitholder had the option to make an election to receive either cash or additional depositary units. Because the depositary unitholders had the election to receive the distribution either in cash or additional depositary units, we recorded a unit distribution liability of $489 million as the unit distribution had not been made as of March 31, 2021. In addition, the unit distribution liability, which is included in accrued expenses and other liabilities in the condensed consolidated balance sheets, is considered a potentially dilutive security and is considered in the calculation of diluted income per LP unit as disclosed above. Any difference between the liability recorded and the amount representing the aggregate value of the number of depositary units distributed and cash paid would be charged to equity.</w:t>
      </w:r>
    </w:p>
    <w:p>
      <w:pPr>
        <w:spacing w:after="0" w:line="165" w:lineRule="exact"/>
        <w:rPr>
          <w:sz w:val="20"/>
          <w:szCs w:val="20"/>
          <w:color w:val="auto"/>
        </w:rPr>
      </w:pPr>
    </w:p>
    <w:p>
      <w:pPr>
        <w:ind w:left="60" w:right="179" w:firstLine="324"/>
        <w:spacing w:after="0" w:line="259" w:lineRule="auto"/>
        <w:rPr>
          <w:sz w:val="20"/>
          <w:szCs w:val="20"/>
          <w:color w:val="auto"/>
        </w:rPr>
      </w:pPr>
      <w:r>
        <w:rPr>
          <w:rFonts w:ascii="Arial" w:cs="Arial" w:eastAsia="Arial" w:hAnsi="Arial"/>
          <w:sz w:val="18"/>
          <w:szCs w:val="18"/>
          <w:color w:val="auto"/>
        </w:rPr>
        <w:t>On April 29, 2021, Icahn Enterprises distributed an aggregate 8,044,900 depositary units to unitholders electing to receive depositary units, of which an aggregate of 7,717,918 depositary units were distributed to Mr. Icahn and his affiliates. In connection with this distribution, aggregate cash distributions to all depositary unitholders that made a timely election to receive cash was $27 million.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2019 and 2021 At-The-Market Offerings</w:t>
      </w:r>
    </w:p>
    <w:p>
      <w:pPr>
        <w:spacing w:after="0" w:line="225" w:lineRule="exact"/>
        <w:rPr>
          <w:sz w:val="20"/>
          <w:szCs w:val="20"/>
          <w:color w:val="auto"/>
        </w:rPr>
      </w:pPr>
    </w:p>
    <w:p>
      <w:pPr>
        <w:ind w:left="60" w:right="119" w:firstLine="324"/>
        <w:spacing w:after="0" w:line="275" w:lineRule="auto"/>
        <w:rPr>
          <w:sz w:val="20"/>
          <w:szCs w:val="20"/>
          <w:color w:val="auto"/>
        </w:rPr>
      </w:pPr>
      <w:r>
        <w:rPr>
          <w:rFonts w:ascii="Arial" w:cs="Arial" w:eastAsia="Arial" w:hAnsi="Arial"/>
          <w:sz w:val="17"/>
          <w:szCs w:val="17"/>
          <w:color w:val="auto"/>
        </w:rPr>
        <w:t>On May 2, 2019, Icahn Enterprises announced the commencement of its “at-the-market” offering pursuant to its Open Market Sale Agreement, pursuant to which Icahn Enterprises may sell its depositary units, from time to time, during the term of the program ending on March 31, 2021, for up to $400 million in aggregate sale proceeds. During the three months ended March 31, 2020, Icahn Enterprises sold 107,131 depositary units pursuant to this agreement, resulting in gross proceeds of $7 million. This agreement was terminated on February 26, 2021.</w:t>
      </w:r>
    </w:p>
    <w:p>
      <w:pPr>
        <w:spacing w:after="0" w:line="176" w:lineRule="exact"/>
        <w:rPr>
          <w:sz w:val="20"/>
          <w:szCs w:val="20"/>
          <w:color w:val="auto"/>
        </w:rPr>
      </w:pPr>
    </w:p>
    <w:p>
      <w:pPr>
        <w:ind w:left="60" w:right="159" w:firstLine="324"/>
        <w:spacing w:after="0" w:line="272" w:lineRule="auto"/>
        <w:rPr>
          <w:sz w:val="20"/>
          <w:szCs w:val="20"/>
          <w:color w:val="auto"/>
        </w:rPr>
      </w:pPr>
      <w:r>
        <w:rPr>
          <w:rFonts w:ascii="Arial" w:cs="Arial" w:eastAsia="Arial" w:hAnsi="Arial"/>
          <w:sz w:val="17"/>
          <w:szCs w:val="17"/>
          <w:color w:val="auto"/>
        </w:rPr>
        <w:t>On February 26, 2021, Icahn Enterprises announced the commencement of its “at-the-market” offering pursuant to its Open Market Sale Agreement, pursuant to which Icahn Enterprises may sell its depositary units, from time to time, during the term of the program ending on December 31, 2023, for up to $400 million in aggregate sale proceeds. During the three months ended March 31, 2021, Icahn Enterprises sold 3,109,345 depositary units pursuant to this agreement, resulting in gross proceeds of $184 million. As of March 31, 2021, Icahn Enterprises may sell its depositary units for up to an additional $216 million in aggregate sale proceeds pursuant to this agreement. No assurance can be made that any or all amounts will be sold during the term of the program.</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Segment Reporting</w:t>
      </w:r>
    </w:p>
    <w:p>
      <w:pPr>
        <w:spacing w:after="0" w:line="229"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Among other measures, we assess and measure segment operating results based on net income from continuing operations attributable to Icahn Enterprises and Icahn Enterprises Holdings. Certain terms of financings for certain of our businesses impose restrictions on the business’ ability to transfer funds to us, including restrictions on dividends, distributions, loans and other transactions.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Statements of Operations</w:t>
      </w:r>
    </w:p>
    <w:p>
      <w:pPr>
        <w:spacing w:after="0" w:line="229" w:lineRule="exact"/>
        <w:rPr>
          <w:sz w:val="20"/>
          <w:szCs w:val="20"/>
          <w:color w:val="auto"/>
        </w:rPr>
      </w:pPr>
    </w:p>
    <w:p>
      <w:pPr>
        <w:ind w:left="60" w:right="339" w:firstLine="324"/>
        <w:spacing w:after="0" w:line="263" w:lineRule="auto"/>
        <w:rPr>
          <w:sz w:val="20"/>
          <w:szCs w:val="20"/>
          <w:color w:val="auto"/>
        </w:rPr>
      </w:pPr>
      <w:r>
        <w:rPr>
          <w:rFonts w:ascii="Arial" w:cs="Arial" w:eastAsia="Arial" w:hAnsi="Arial"/>
          <w:sz w:val="18"/>
          <w:szCs w:val="18"/>
          <w:color w:val="auto"/>
        </w:rPr>
        <w:t>Icahn Enterprises’ condensed statements of operations by reporting segment are presented below. Icahn Enterprises Holdings’ condensed statements of operations are substantially the same, with immaterial differences relating to our Holding Company’s interest expense.</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color w:val="auto"/>
                <w:w w:val="88"/>
              </w:rPr>
              <w:t>Three Months Ended March 31, 2021</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jc w:val="right"/>
              <w:ind w:right="77"/>
              <w:spacing w:after="0" w:line="110" w:lineRule="exact"/>
              <w:rPr>
                <w:sz w:val="20"/>
                <w:szCs w:val="20"/>
                <w:color w:val="auto"/>
              </w:rPr>
            </w:pPr>
            <w:r>
              <w:rPr>
                <w:rFonts w:ascii="Arial" w:cs="Arial" w:eastAsia="Arial" w:hAnsi="Arial"/>
                <w:sz w:val="12"/>
                <w:szCs w:val="12"/>
                <w:b w:val="1"/>
                <w:bCs w:val="1"/>
                <w:color w:val="auto"/>
              </w:rPr>
              <w:t>Food</w:t>
            </w: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Real</w:t>
            </w:r>
          </w:p>
        </w:tc>
        <w:tc>
          <w:tcPr>
            <w:tcW w:w="140" w:type="dxa"/>
            <w:vAlign w:val="bottom"/>
          </w:tcPr>
          <w:p>
            <w:pPr>
              <w:spacing w:after="0"/>
              <w:rPr>
                <w:sz w:val="9"/>
                <w:szCs w:val="9"/>
                <w:color w:val="auto"/>
              </w:rPr>
            </w:pPr>
          </w:p>
        </w:tc>
        <w:tc>
          <w:tcPr>
            <w:tcW w:w="42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Home</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Holding</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400" w:type="dxa"/>
            <w:vAlign w:val="bottom"/>
          </w:tcPr>
          <w:p>
            <w:pPr>
              <w:spacing w:after="0"/>
              <w:rPr>
                <w:sz w:val="13"/>
                <w:szCs w:val="13"/>
                <w:color w:val="auto"/>
              </w:rPr>
            </w:pPr>
          </w:p>
        </w:tc>
        <w:tc>
          <w:tcPr>
            <w:tcW w:w="900" w:type="dxa"/>
            <w:vAlign w:val="bottom"/>
            <w:gridSpan w:val="4"/>
          </w:tcPr>
          <w:p>
            <w:pPr>
              <w:ind w:left="220"/>
              <w:spacing w:after="0"/>
              <w:rPr>
                <w:sz w:val="20"/>
                <w:szCs w:val="20"/>
                <w:color w:val="auto"/>
              </w:rPr>
            </w:pPr>
            <w:r>
              <w:rPr>
                <w:rFonts w:ascii="Arial" w:cs="Arial" w:eastAsia="Arial" w:hAnsi="Arial"/>
                <w:sz w:val="13"/>
                <w:szCs w:val="13"/>
                <w:b w:val="1"/>
                <w:bCs w:val="1"/>
                <w:color w:val="auto"/>
                <w:w w:val="96"/>
              </w:rPr>
              <w:t>Investment</w:t>
            </w:r>
          </w:p>
        </w:tc>
        <w:tc>
          <w:tcPr>
            <w:tcW w:w="60" w:type="dxa"/>
            <w:vAlign w:val="bottom"/>
          </w:tcPr>
          <w:p>
            <w:pPr>
              <w:spacing w:after="0"/>
              <w:rPr>
                <w:sz w:val="13"/>
                <w:szCs w:val="13"/>
                <w:color w:val="auto"/>
              </w:rPr>
            </w:pPr>
          </w:p>
        </w:tc>
        <w:tc>
          <w:tcPr>
            <w:tcW w:w="420" w:type="dxa"/>
            <w:vAlign w:val="bottom"/>
            <w:gridSpan w:val="2"/>
          </w:tcPr>
          <w:p>
            <w:pPr>
              <w:ind w:left="20"/>
              <w:spacing w:after="0"/>
              <w:rPr>
                <w:sz w:val="20"/>
                <w:szCs w:val="20"/>
                <w:color w:val="auto"/>
              </w:rPr>
            </w:pPr>
            <w:r>
              <w:rPr>
                <w:rFonts w:ascii="Arial" w:cs="Arial" w:eastAsia="Arial" w:hAnsi="Arial"/>
                <w:sz w:val="13"/>
                <w:szCs w:val="13"/>
                <w:b w:val="1"/>
                <w:bCs w:val="1"/>
                <w:color w:val="auto"/>
                <w:w w:val="86"/>
              </w:rPr>
              <w:t>Energy</w:t>
            </w:r>
          </w:p>
        </w:tc>
        <w:tc>
          <w:tcPr>
            <w:tcW w:w="780" w:type="dxa"/>
            <w:vAlign w:val="bottom"/>
            <w:gridSpan w:val="3"/>
          </w:tcPr>
          <w:p>
            <w:pPr>
              <w:ind w:left="140"/>
              <w:spacing w:after="0"/>
              <w:rPr>
                <w:sz w:val="20"/>
                <w:szCs w:val="20"/>
                <w:color w:val="auto"/>
              </w:rPr>
            </w:pPr>
            <w:r>
              <w:rPr>
                <w:rFonts w:ascii="Arial" w:cs="Arial" w:eastAsia="Arial" w:hAnsi="Arial"/>
                <w:sz w:val="13"/>
                <w:szCs w:val="13"/>
                <w:b w:val="1"/>
                <w:bCs w:val="1"/>
                <w:color w:val="auto"/>
                <w:w w:val="86"/>
              </w:rPr>
              <w:t>Automotive</w:t>
            </w:r>
          </w:p>
        </w:tc>
        <w:tc>
          <w:tcPr>
            <w:tcW w:w="680" w:type="dxa"/>
            <w:vAlign w:val="bottom"/>
            <w:gridSpan w:val="2"/>
          </w:tcPr>
          <w:p>
            <w:pPr>
              <w:ind w:left="120"/>
              <w:spacing w:after="0"/>
              <w:rPr>
                <w:sz w:val="20"/>
                <w:szCs w:val="20"/>
                <w:color w:val="auto"/>
              </w:rPr>
            </w:pPr>
            <w:r>
              <w:rPr>
                <w:rFonts w:ascii="Arial" w:cs="Arial" w:eastAsia="Arial" w:hAnsi="Arial"/>
                <w:sz w:val="13"/>
                <w:szCs w:val="13"/>
                <w:b w:val="1"/>
                <w:bCs w:val="1"/>
                <w:color w:val="auto"/>
                <w:w w:val="82"/>
              </w:rPr>
              <w:t>Packaging</w:t>
            </w:r>
          </w:p>
        </w:tc>
        <w:tc>
          <w:tcPr>
            <w:tcW w:w="20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3"/>
                <w:szCs w:val="13"/>
                <w:b w:val="1"/>
                <w:bCs w:val="1"/>
                <w:color w:val="auto"/>
                <w:w w:val="74"/>
              </w:rPr>
              <w:t>Metals</w:t>
            </w:r>
          </w:p>
        </w:tc>
        <w:tc>
          <w:tcPr>
            <w:tcW w:w="12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3"/>
                <w:szCs w:val="13"/>
                <w:b w:val="1"/>
                <w:bCs w:val="1"/>
                <w:color w:val="auto"/>
                <w:w w:val="87"/>
              </w:rPr>
              <w:t>Estate</w:t>
            </w:r>
          </w:p>
        </w:tc>
        <w:tc>
          <w:tcPr>
            <w:tcW w:w="560" w:type="dxa"/>
            <w:vAlign w:val="bottom"/>
            <w:gridSpan w:val="3"/>
          </w:tcPr>
          <w:p>
            <w:pPr>
              <w:ind w:left="140"/>
              <w:spacing w:after="0"/>
              <w:rPr>
                <w:sz w:val="20"/>
                <w:szCs w:val="20"/>
                <w:color w:val="auto"/>
              </w:rPr>
            </w:pPr>
            <w:r>
              <w:rPr>
                <w:rFonts w:ascii="Arial" w:cs="Arial" w:eastAsia="Arial" w:hAnsi="Arial"/>
                <w:sz w:val="13"/>
                <w:szCs w:val="13"/>
                <w:b w:val="1"/>
                <w:bCs w:val="1"/>
                <w:color w:val="auto"/>
                <w:w w:val="80"/>
              </w:rPr>
              <w:t>Fashion</w:t>
            </w:r>
          </w:p>
        </w:tc>
        <w:tc>
          <w:tcPr>
            <w:tcW w:w="580" w:type="dxa"/>
            <w:vAlign w:val="bottom"/>
            <w:gridSpan w:val="3"/>
          </w:tcPr>
          <w:p>
            <w:pPr>
              <w:ind w:left="140"/>
              <w:spacing w:after="0"/>
              <w:rPr>
                <w:sz w:val="20"/>
                <w:szCs w:val="20"/>
                <w:color w:val="auto"/>
              </w:rPr>
            </w:pPr>
            <w:r>
              <w:rPr>
                <w:rFonts w:ascii="Arial" w:cs="Arial" w:eastAsia="Arial" w:hAnsi="Arial"/>
                <w:sz w:val="13"/>
                <w:szCs w:val="13"/>
                <w:b w:val="1"/>
                <w:bCs w:val="1"/>
                <w:color w:val="auto"/>
                <w:w w:val="87"/>
              </w:rPr>
              <w:t>Pharma</w:t>
            </w:r>
          </w:p>
        </w:tc>
        <w:tc>
          <w:tcPr>
            <w:tcW w:w="660" w:type="dxa"/>
            <w:vAlign w:val="bottom"/>
            <w:gridSpan w:val="3"/>
          </w:tcPr>
          <w:p>
            <w:pPr>
              <w:ind w:left="120"/>
              <w:spacing w:after="0"/>
              <w:rPr>
                <w:sz w:val="20"/>
                <w:szCs w:val="20"/>
                <w:color w:val="auto"/>
              </w:rPr>
            </w:pPr>
            <w:r>
              <w:rPr>
                <w:rFonts w:ascii="Arial" w:cs="Arial" w:eastAsia="Arial" w:hAnsi="Arial"/>
                <w:sz w:val="13"/>
                <w:szCs w:val="13"/>
                <w:b w:val="1"/>
                <w:bCs w:val="1"/>
                <w:color w:val="auto"/>
                <w:w w:val="87"/>
              </w:rPr>
              <w:t>Company</w:t>
            </w:r>
          </w:p>
        </w:tc>
        <w:tc>
          <w:tcPr>
            <w:tcW w:w="12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4"/>
          </w:tcPr>
          <w:p>
            <w:pPr>
              <w:jc w:val="right"/>
              <w:ind w:right="97"/>
              <w:spacing w:after="0" w:line="115" w:lineRule="exact"/>
              <w:rPr>
                <w:sz w:val="20"/>
                <w:szCs w:val="20"/>
                <w:color w:val="auto"/>
              </w:rPr>
            </w:pPr>
            <w:r>
              <w:rPr>
                <w:rFonts w:ascii="Arial" w:cs="Arial" w:eastAsia="Arial" w:hAnsi="Arial"/>
                <w:sz w:val="13"/>
                <w:szCs w:val="13"/>
                <w:color w:val="auto"/>
                <w:w w:val="94"/>
              </w:rPr>
              <w:t>(in millions)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Revenues:</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tcPr>
          <w:p>
            <w:pPr>
              <w:ind w:left="100"/>
              <w:spacing w:after="0" w:line="135" w:lineRule="exact"/>
              <w:rPr>
                <w:sz w:val="20"/>
                <w:szCs w:val="20"/>
                <w:color w:val="auto"/>
              </w:rPr>
            </w:pPr>
            <w:r>
              <w:rPr>
                <w:rFonts w:ascii="Arial" w:cs="Arial" w:eastAsia="Arial" w:hAnsi="Arial"/>
                <w:sz w:val="13"/>
                <w:szCs w:val="13"/>
                <w:color w:val="auto"/>
              </w:rPr>
              <w:t>Net sales</w:t>
            </w:r>
          </w:p>
        </w:tc>
        <w:tc>
          <w:tcPr>
            <w:tcW w:w="44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w w:val="85"/>
              </w:rPr>
              <w:t>1,463</w:t>
            </w:r>
          </w:p>
        </w:tc>
        <w:tc>
          <w:tcPr>
            <w:tcW w:w="36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456</w:t>
            </w:r>
          </w:p>
        </w:tc>
        <w:tc>
          <w:tcPr>
            <w:tcW w:w="180" w:type="dxa"/>
            <w:vAlign w:val="bottom"/>
          </w:tcPr>
          <w:p>
            <w:pPr>
              <w:ind w:left="120"/>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101</w:t>
            </w:r>
          </w:p>
        </w:tc>
        <w:tc>
          <w:tcPr>
            <w:tcW w:w="20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120</w:t>
            </w:r>
          </w:p>
        </w:tc>
        <w:tc>
          <w:tcPr>
            <w:tcW w:w="24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3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41</w:t>
            </w:r>
          </w:p>
        </w:tc>
        <w:tc>
          <w:tcPr>
            <w:tcW w:w="30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29</w:t>
            </w:r>
          </w:p>
        </w:tc>
        <w:tc>
          <w:tcPr>
            <w:tcW w:w="2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2,218</w:t>
            </w:r>
          </w:p>
        </w:tc>
        <w:tc>
          <w:tcPr>
            <w:tcW w:w="0" w:type="dxa"/>
            <w:vAlign w:val="bottom"/>
          </w:tcPr>
          <w:p>
            <w:pPr>
              <w:spacing w:after="0"/>
              <w:rPr>
                <w:sz w:val="1"/>
                <w:szCs w:val="1"/>
                <w:color w:val="auto"/>
              </w:rPr>
            </w:pPr>
          </w:p>
        </w:tc>
      </w:tr>
      <w:tr>
        <w:trPr>
          <w:trHeight w:val="135"/>
        </w:trPr>
        <w:tc>
          <w:tcPr>
            <w:tcW w:w="24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revenues from operations</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142</w:t>
            </w:r>
          </w:p>
        </w:tc>
        <w:tc>
          <w:tcPr>
            <w:tcW w:w="18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35"/>
        </w:trPr>
        <w:tc>
          <w:tcPr>
            <w:tcW w:w="2400" w:type="dxa"/>
            <w:vAlign w:val="bottom"/>
          </w:tcPr>
          <w:p>
            <w:pPr>
              <w:ind w:left="100"/>
              <w:spacing w:after="0" w:line="135" w:lineRule="exact"/>
              <w:rPr>
                <w:sz w:val="20"/>
                <w:szCs w:val="20"/>
                <w:color w:val="auto"/>
              </w:rPr>
            </w:pPr>
            <w:r>
              <w:rPr>
                <w:rFonts w:ascii="Arial" w:cs="Arial" w:eastAsia="Arial" w:hAnsi="Arial"/>
                <w:sz w:val="13"/>
                <w:szCs w:val="13"/>
                <w:color w:val="auto"/>
              </w:rPr>
              <w:t>Net gain from investment activities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939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62</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1,006</w:t>
            </w:r>
          </w:p>
        </w:tc>
        <w:tc>
          <w:tcPr>
            <w:tcW w:w="0" w:type="dxa"/>
            <w:vAlign w:val="bottom"/>
          </w:tcPr>
          <w:p>
            <w:pPr>
              <w:spacing w:after="0"/>
              <w:rPr>
                <w:sz w:val="1"/>
                <w:szCs w:val="1"/>
                <w:color w:val="auto"/>
              </w:rPr>
            </w:pPr>
          </w:p>
        </w:tc>
      </w:tr>
      <w:tr>
        <w:trPr>
          <w:trHeight w:val="135"/>
        </w:trPr>
        <w:tc>
          <w:tcPr>
            <w:tcW w:w="24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Interest and dividend income</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35"/>
        </w:trPr>
        <w:tc>
          <w:tcPr>
            <w:tcW w:w="240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3"/>
                <w:szCs w:val="13"/>
                <w:color w:val="auto"/>
              </w:rPr>
              <w:t>Other (loss) income, net</w:t>
            </w:r>
          </w:p>
        </w:tc>
        <w:tc>
          <w:tcPr>
            <w:tcW w:w="2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1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w:t>
            </w:r>
          </w:p>
        </w:tc>
        <w:tc>
          <w:tcPr>
            <w:tcW w:w="2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28"/>
        </w:trPr>
        <w:tc>
          <w:tcPr>
            <w:tcW w:w="2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943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1,532</w:t>
            </w:r>
          </w:p>
        </w:tc>
        <w:tc>
          <w:tcPr>
            <w:tcW w:w="1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597</w:t>
            </w:r>
          </w:p>
        </w:tc>
        <w:tc>
          <w:tcPr>
            <w:tcW w:w="180" w:type="dxa"/>
            <w:vAlign w:val="bottom"/>
            <w:tcBorders>
              <w:right w:val="single" w:sz="8" w:color="CCEEFF"/>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95</w:t>
            </w: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121</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3,384</w:t>
            </w:r>
          </w:p>
        </w:tc>
        <w:tc>
          <w:tcPr>
            <w:tcW w:w="0" w:type="dxa"/>
            <w:vAlign w:val="bottom"/>
          </w:tcPr>
          <w:p>
            <w:pPr>
              <w:spacing w:after="0"/>
              <w:rPr>
                <w:sz w:val="1"/>
                <w:szCs w:val="1"/>
                <w:color w:val="auto"/>
              </w:rPr>
            </w:pPr>
          </w:p>
        </w:tc>
      </w:tr>
      <w:tr>
        <w:trPr>
          <w:trHeight w:val="128"/>
        </w:trPr>
        <w:tc>
          <w:tcPr>
            <w:tcW w:w="2400" w:type="dxa"/>
            <w:vAlign w:val="bottom"/>
          </w:tcPr>
          <w:p>
            <w:pPr>
              <w:spacing w:after="0" w:line="129" w:lineRule="exact"/>
              <w:rPr>
                <w:sz w:val="20"/>
                <w:szCs w:val="20"/>
                <w:color w:val="auto"/>
              </w:rPr>
            </w:pPr>
            <w:r>
              <w:rPr>
                <w:rFonts w:ascii="Arial" w:cs="Arial" w:eastAsia="Arial" w:hAnsi="Arial"/>
                <w:sz w:val="13"/>
                <w:szCs w:val="13"/>
                <w:color w:val="auto"/>
              </w:rPr>
              <w:t>Expenses: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Cost of goods sold</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1,579</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313</w:t>
            </w:r>
          </w:p>
        </w:tc>
        <w:tc>
          <w:tcPr>
            <w:tcW w:w="18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w:t>
            </w: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2,139</w:t>
            </w:r>
          </w:p>
        </w:tc>
        <w:tc>
          <w:tcPr>
            <w:tcW w:w="0" w:type="dxa"/>
            <w:vAlign w:val="bottom"/>
          </w:tcPr>
          <w:p>
            <w:pPr>
              <w:spacing w:after="0"/>
              <w:rPr>
                <w:sz w:val="1"/>
                <w:szCs w:val="1"/>
                <w:color w:val="auto"/>
              </w:rPr>
            </w:pPr>
          </w:p>
        </w:tc>
      </w:tr>
      <w:tr>
        <w:trPr>
          <w:trHeight w:val="135"/>
        </w:trPr>
        <w:tc>
          <w:tcPr>
            <w:tcW w:w="2400" w:type="dxa"/>
            <w:vAlign w:val="bottom"/>
          </w:tcPr>
          <w:p>
            <w:pPr>
              <w:ind w:left="100"/>
              <w:spacing w:after="0" w:line="135" w:lineRule="exact"/>
              <w:rPr>
                <w:sz w:val="20"/>
                <w:szCs w:val="20"/>
                <w:color w:val="auto"/>
              </w:rPr>
            </w:pPr>
            <w:r>
              <w:rPr>
                <w:rFonts w:ascii="Arial" w:cs="Arial" w:eastAsia="Arial" w:hAnsi="Arial"/>
                <w:sz w:val="13"/>
                <w:szCs w:val="13"/>
                <w:color w:val="auto"/>
              </w:rPr>
              <w:t>Other expenses from operations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112</w:t>
            </w: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135"/>
        </w:trPr>
        <w:tc>
          <w:tcPr>
            <w:tcW w:w="24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Selling, general and administrative</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227</w:t>
            </w:r>
          </w:p>
        </w:tc>
        <w:tc>
          <w:tcPr>
            <w:tcW w:w="18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316</w:t>
            </w:r>
          </w:p>
        </w:tc>
        <w:tc>
          <w:tcPr>
            <w:tcW w:w="0" w:type="dxa"/>
            <w:vAlign w:val="bottom"/>
          </w:tcPr>
          <w:p>
            <w:pPr>
              <w:spacing w:after="0"/>
              <w:rPr>
                <w:sz w:val="1"/>
                <w:szCs w:val="1"/>
                <w:color w:val="auto"/>
              </w:rPr>
            </w:pPr>
          </w:p>
        </w:tc>
      </w:tr>
      <w:tr>
        <w:trPr>
          <w:trHeight w:val="135"/>
        </w:trPr>
        <w:tc>
          <w:tcPr>
            <w:tcW w:w="2400" w:type="dxa"/>
            <w:vAlign w:val="bottom"/>
          </w:tcPr>
          <w:p>
            <w:pPr>
              <w:ind w:left="100"/>
              <w:spacing w:after="0" w:line="135" w:lineRule="exact"/>
              <w:rPr>
                <w:sz w:val="20"/>
                <w:szCs w:val="20"/>
                <w:color w:val="auto"/>
              </w:rPr>
            </w:pPr>
            <w:r>
              <w:rPr>
                <w:rFonts w:ascii="Arial" w:cs="Arial" w:eastAsia="Arial" w:hAnsi="Arial"/>
                <w:sz w:val="13"/>
                <w:szCs w:val="13"/>
                <w:color w:val="auto"/>
              </w:rPr>
              <w:t>Restructuring, net</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4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Interest expense</w:t>
            </w:r>
          </w:p>
        </w:tc>
        <w:tc>
          <w:tcPr>
            <w:tcW w:w="2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31</w:t>
            </w:r>
          </w:p>
        </w:tc>
        <w:tc>
          <w:tcPr>
            <w:tcW w:w="1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80" w:type="dxa"/>
            <w:vAlign w:val="bottom"/>
            <w:tcBorders>
              <w:right w:val="single" w:sz="8" w:color="CCEEFF"/>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83</w:t>
            </w:r>
          </w:p>
        </w:tc>
        <w:tc>
          <w:tcPr>
            <w:tcW w:w="1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129"/>
        </w:trPr>
        <w:tc>
          <w:tcPr>
            <w:tcW w:w="240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81</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1,645</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655</w:t>
            </w:r>
          </w:p>
        </w:tc>
        <w:tc>
          <w:tcPr>
            <w:tcW w:w="1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95</w:t>
            </w:r>
          </w:p>
        </w:tc>
        <w:tc>
          <w:tcPr>
            <w:tcW w:w="2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116</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45</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91</w:t>
            </w: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2,768</w:t>
            </w:r>
          </w:p>
        </w:tc>
        <w:tc>
          <w:tcPr>
            <w:tcW w:w="0" w:type="dxa"/>
            <w:vAlign w:val="bottom"/>
          </w:tcPr>
          <w:p>
            <w:pPr>
              <w:spacing w:after="0"/>
              <w:rPr>
                <w:sz w:val="1"/>
                <w:szCs w:val="1"/>
                <w:color w:val="auto"/>
              </w:rPr>
            </w:pPr>
          </w:p>
        </w:tc>
      </w:tr>
      <w:tr>
        <w:trPr>
          <w:trHeight w:val="101"/>
        </w:trPr>
        <w:tc>
          <w:tcPr>
            <w:tcW w:w="2400" w:type="dxa"/>
            <w:vAlign w:val="bottom"/>
            <w:shd w:val="clear" w:color="auto" w:fill="CCEEFF"/>
          </w:tcPr>
          <w:p>
            <w:pPr>
              <w:spacing w:after="0" w:line="101" w:lineRule="exact"/>
              <w:rPr>
                <w:sz w:val="20"/>
                <w:szCs w:val="20"/>
                <w:color w:val="auto"/>
              </w:rPr>
            </w:pPr>
            <w:r>
              <w:rPr>
                <w:rFonts w:ascii="Arial" w:cs="Arial" w:eastAsia="Arial" w:hAnsi="Arial"/>
                <w:sz w:val="10"/>
                <w:szCs w:val="10"/>
                <w:color w:val="auto"/>
              </w:rPr>
              <w:t>Income (loss) before income tax benefit</w:t>
            </w: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(expense)</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w:t>
            </w:r>
          </w:p>
        </w:tc>
        <w:tc>
          <w:tcPr>
            <w:tcW w:w="0" w:type="dxa"/>
            <w:vAlign w:val="bottom"/>
          </w:tcPr>
          <w:p>
            <w:pPr>
              <w:spacing w:after="0"/>
              <w:rPr>
                <w:sz w:val="1"/>
                <w:szCs w:val="1"/>
                <w:color w:val="auto"/>
              </w:rPr>
            </w:pPr>
          </w:p>
        </w:tc>
      </w:tr>
      <w:tr>
        <w:trPr>
          <w:trHeight w:val="135"/>
        </w:trPr>
        <w:tc>
          <w:tcPr>
            <w:tcW w:w="2400" w:type="dxa"/>
            <w:vAlign w:val="bottom"/>
          </w:tcPr>
          <w:p>
            <w:pPr>
              <w:spacing w:after="0" w:line="135" w:lineRule="exact"/>
              <w:rPr>
                <w:sz w:val="20"/>
                <w:szCs w:val="20"/>
                <w:color w:val="auto"/>
              </w:rPr>
            </w:pPr>
            <w:r>
              <w:rPr>
                <w:rFonts w:ascii="Arial" w:cs="Arial" w:eastAsia="Arial" w:hAnsi="Arial"/>
                <w:sz w:val="13"/>
                <w:szCs w:val="13"/>
                <w:color w:val="auto"/>
              </w:rPr>
              <w:t>Income tax benefit (expense)</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46</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(74)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28"/>
        </w:trPr>
        <w:tc>
          <w:tcPr>
            <w:tcW w:w="24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Net income (loss)</w:t>
            </w:r>
          </w:p>
        </w:tc>
        <w:tc>
          <w:tcPr>
            <w:tcW w:w="2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862</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(67)</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w:t>
            </w: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(157)</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599</w:t>
            </w:r>
          </w:p>
        </w:tc>
        <w:tc>
          <w:tcPr>
            <w:tcW w:w="0" w:type="dxa"/>
            <w:vAlign w:val="bottom"/>
          </w:tcPr>
          <w:p>
            <w:pPr>
              <w:spacing w:after="0"/>
              <w:rPr>
                <w:sz w:val="1"/>
                <w:szCs w:val="1"/>
                <w:color w:val="auto"/>
              </w:rPr>
            </w:pPr>
          </w:p>
        </w:tc>
      </w:tr>
      <w:tr>
        <w:trPr>
          <w:trHeight w:val="121"/>
        </w:trPr>
        <w:tc>
          <w:tcPr>
            <w:tcW w:w="2400" w:type="dxa"/>
            <w:vAlign w:val="bottom"/>
          </w:tcPr>
          <w:p>
            <w:pPr>
              <w:spacing w:after="0" w:line="121" w:lineRule="exact"/>
              <w:rPr>
                <w:sz w:val="20"/>
                <w:szCs w:val="20"/>
                <w:color w:val="auto"/>
              </w:rPr>
            </w:pPr>
            <w:r>
              <w:rPr>
                <w:rFonts w:ascii="Arial" w:cs="Arial" w:eastAsia="Arial" w:hAnsi="Arial"/>
                <w:sz w:val="13"/>
                <w:szCs w:val="13"/>
                <w:color w:val="auto"/>
                <w:w w:val="96"/>
              </w:rPr>
              <w:t>Less: net income (loss) attributable to non-</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controlling interests</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471</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437</w:t>
            </w:r>
          </w:p>
        </w:tc>
        <w:tc>
          <w:tcPr>
            <w:tcW w:w="0" w:type="dxa"/>
            <w:vAlign w:val="bottom"/>
          </w:tcPr>
          <w:p>
            <w:pPr>
              <w:spacing w:after="0"/>
              <w:rPr>
                <w:sz w:val="1"/>
                <w:szCs w:val="1"/>
                <w:color w:val="auto"/>
              </w:rPr>
            </w:pPr>
          </w:p>
        </w:tc>
      </w:tr>
      <w:tr>
        <w:trPr>
          <w:trHeight w:val="101"/>
        </w:trPr>
        <w:tc>
          <w:tcPr>
            <w:tcW w:w="2400" w:type="dxa"/>
            <w:vAlign w:val="bottom"/>
            <w:shd w:val="clear" w:color="auto" w:fill="CCEEFF"/>
          </w:tcPr>
          <w:p>
            <w:pPr>
              <w:spacing w:after="0" w:line="101" w:lineRule="exact"/>
              <w:rPr>
                <w:sz w:val="20"/>
                <w:szCs w:val="20"/>
                <w:color w:val="auto"/>
              </w:rPr>
            </w:pPr>
            <w:r>
              <w:rPr>
                <w:rFonts w:ascii="Arial" w:cs="Arial" w:eastAsia="Arial" w:hAnsi="Arial"/>
                <w:sz w:val="10"/>
                <w:szCs w:val="10"/>
                <w:color w:val="auto"/>
              </w:rPr>
              <w:t>Net income (loss) attributable to Icahn</w:t>
            </w:r>
          </w:p>
        </w:tc>
        <w:tc>
          <w:tcPr>
            <w:tcW w:w="440" w:type="dxa"/>
            <w:vAlign w:val="bottom"/>
            <w:gridSpan w:val="2"/>
            <w:vMerge w:val="restart"/>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391</w:t>
            </w:r>
          </w:p>
        </w:tc>
        <w:tc>
          <w:tcPr>
            <w:tcW w:w="80" w:type="dxa"/>
            <w:vAlign w:val="bottom"/>
            <w:shd w:val="clear" w:color="auto" w:fill="CCEEFF"/>
          </w:tcPr>
          <w:p>
            <w:pPr>
              <w:spacing w:after="0"/>
              <w:rPr>
                <w:sz w:val="8"/>
                <w:szCs w:val="8"/>
                <w:color w:val="auto"/>
              </w:rPr>
            </w:pPr>
          </w:p>
        </w:tc>
        <w:tc>
          <w:tcPr>
            <w:tcW w:w="14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36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80" w:type="dxa"/>
            <w:vAlign w:val="bottom"/>
            <w:tcBorders>
              <w:right w:val="single" w:sz="8" w:color="CCEEFF"/>
            </w:tcBorders>
            <w:vMerge w:val="restart"/>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0" w:type="dxa"/>
            <w:vAlign w:val="bottom"/>
            <w:tcBorders>
              <w:right w:val="single" w:sz="8" w:color="CCEEFF"/>
            </w:tcBorders>
            <w:vMerge w:val="restart"/>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4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30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30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28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36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0" w:type="dxa"/>
            <w:vAlign w:val="bottom"/>
          </w:tcPr>
          <w:p>
            <w:pPr>
              <w:spacing w:after="0"/>
              <w:rPr>
                <w:sz w:val="1"/>
                <w:szCs w:val="1"/>
                <w:color w:val="auto"/>
              </w:rPr>
            </w:pPr>
          </w:p>
        </w:tc>
      </w:tr>
      <w:tr>
        <w:trPr>
          <w:trHeight w:val="136"/>
        </w:trPr>
        <w:tc>
          <w:tcPr>
            <w:tcW w:w="240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rPr>
              <w:t>Enterprises</w:t>
            </w:r>
          </w:p>
        </w:tc>
        <w:tc>
          <w:tcPr>
            <w:tcW w:w="440" w:type="dxa"/>
            <w:vAlign w:val="bottom"/>
            <w:gridSpan w:val="2"/>
            <w:vMerge w:val="continue"/>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gridSpan w:val="2"/>
            <w:vMerge w:val="continue"/>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360" w:type="dxa"/>
            <w:vAlign w:val="bottom"/>
            <w:gridSpan w:val="2"/>
            <w:vMerge w:val="continue"/>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180" w:type="dxa"/>
            <w:vAlign w:val="bottom"/>
            <w:tcBorders>
              <w:right w:val="single" w:sz="8" w:color="CCEEFF"/>
            </w:tcBorders>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300" w:type="dxa"/>
            <w:vAlign w:val="bottom"/>
            <w:gridSpan w:val="2"/>
            <w:vMerge w:val="continue"/>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300" w:type="dxa"/>
            <w:vAlign w:val="bottom"/>
            <w:gridSpan w:val="2"/>
            <w:vMerge w:val="continue"/>
            <w:shd w:val="clear" w:color="auto" w:fill="CCEEFF"/>
          </w:tcPr>
          <w:p>
            <w:pPr>
              <w:spacing w:after="0"/>
              <w:rPr>
                <w:sz w:val="11"/>
                <w:szCs w:val="11"/>
                <w:color w:val="auto"/>
              </w:rPr>
            </w:pPr>
          </w:p>
        </w:tc>
        <w:tc>
          <w:tcPr>
            <w:tcW w:w="280" w:type="dxa"/>
            <w:vAlign w:val="bottom"/>
            <w:vMerge w:val="continue"/>
            <w:shd w:val="clear" w:color="auto" w:fill="CCEEFF"/>
          </w:tcPr>
          <w:p>
            <w:pPr>
              <w:spacing w:after="0"/>
              <w:rPr>
                <w:sz w:val="11"/>
                <w:szCs w:val="11"/>
                <w:color w:val="auto"/>
              </w:rPr>
            </w:pPr>
          </w:p>
        </w:tc>
        <w:tc>
          <w:tcPr>
            <w:tcW w:w="280" w:type="dxa"/>
            <w:vAlign w:val="bottom"/>
            <w:gridSpan w:val="2"/>
            <w:vMerge w:val="continue"/>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360" w:type="dxa"/>
            <w:vAlign w:val="bottom"/>
            <w:gridSpan w:val="2"/>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Supplemental information:</w:t>
            </w: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4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Capital expenditures</w:t>
            </w:r>
          </w:p>
        </w:tc>
        <w:tc>
          <w:tcPr>
            <w:tcW w:w="44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36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2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2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3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30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60"/>
        </w:trPr>
        <w:tc>
          <w:tcPr>
            <w:tcW w:w="2400" w:type="dxa"/>
            <w:vAlign w:val="bottom"/>
          </w:tcPr>
          <w:p>
            <w:pPr>
              <w:ind w:left="100"/>
              <w:spacing w:after="0"/>
              <w:rPr>
                <w:sz w:val="20"/>
                <w:szCs w:val="20"/>
                <w:color w:val="auto"/>
              </w:rPr>
            </w:pPr>
            <w:r>
              <w:rPr>
                <w:rFonts w:ascii="Arial" w:cs="Arial" w:eastAsia="Arial" w:hAnsi="Arial"/>
                <w:sz w:val="13"/>
                <w:szCs w:val="13"/>
                <w:color w:val="auto"/>
              </w:rPr>
              <w:t>Depreciation and amortization</w:t>
            </w:r>
          </w:p>
        </w:tc>
        <w:tc>
          <w:tcPr>
            <w:tcW w:w="44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gridSpan w:val="2"/>
          </w:tcPr>
          <w:p>
            <w:pPr>
              <w:ind w:left="60"/>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82</w:t>
            </w:r>
          </w:p>
        </w:tc>
        <w:tc>
          <w:tcPr>
            <w:tcW w:w="36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22</w:t>
            </w:r>
          </w:p>
        </w:tc>
        <w:tc>
          <w:tcPr>
            <w:tcW w:w="180" w:type="dxa"/>
            <w:vAlign w:val="bottom"/>
          </w:tcPr>
          <w:p>
            <w:pPr>
              <w:ind w:left="120"/>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7</w:t>
            </w:r>
          </w:p>
        </w:tc>
        <w:tc>
          <w:tcPr>
            <w:tcW w:w="20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4</w:t>
            </w:r>
          </w:p>
        </w:tc>
        <w:tc>
          <w:tcPr>
            <w:tcW w:w="2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3</w:t>
            </w: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2</w:t>
            </w:r>
          </w:p>
        </w:tc>
        <w:tc>
          <w:tcPr>
            <w:tcW w:w="3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7</w:t>
            </w:r>
          </w:p>
        </w:tc>
        <w:tc>
          <w:tcPr>
            <w:tcW w:w="28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bl>
    <w:p>
      <w:pPr>
        <w:spacing w:after="0" w:line="186"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10"/>
          </w:tcPr>
          <w:p>
            <w:pPr>
              <w:jc w:val="right"/>
              <w:ind w:right="17"/>
              <w:spacing w:after="0"/>
              <w:rPr>
                <w:sz w:val="20"/>
                <w:szCs w:val="20"/>
                <w:color w:val="auto"/>
              </w:rPr>
            </w:pPr>
            <w:r>
              <w:rPr>
                <w:rFonts w:ascii="Arial" w:cs="Arial" w:eastAsia="Arial" w:hAnsi="Arial"/>
                <w:sz w:val="13"/>
                <w:szCs w:val="13"/>
                <w:b w:val="1"/>
                <w:bCs w:val="1"/>
                <w:color w:val="auto"/>
                <w:w w:val="90"/>
              </w:rPr>
              <w:t>Three Months Ended March 31, 2020</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77"/>
              <w:spacing w:after="0" w:line="110" w:lineRule="exact"/>
              <w:rPr>
                <w:sz w:val="20"/>
                <w:szCs w:val="20"/>
                <w:color w:val="auto"/>
              </w:rPr>
            </w:pPr>
            <w:r>
              <w:rPr>
                <w:rFonts w:ascii="Arial" w:cs="Arial" w:eastAsia="Arial" w:hAnsi="Arial"/>
                <w:sz w:val="12"/>
                <w:szCs w:val="12"/>
                <w:b w:val="1"/>
                <w:bCs w:val="1"/>
                <w:color w:val="auto"/>
              </w:rPr>
              <w:t>Food</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jc w:val="right"/>
              <w:ind w:right="18"/>
              <w:spacing w:after="0" w:line="110" w:lineRule="exact"/>
              <w:rPr>
                <w:sz w:val="20"/>
                <w:szCs w:val="20"/>
                <w:color w:val="auto"/>
              </w:rPr>
            </w:pPr>
            <w:r>
              <w:rPr>
                <w:rFonts w:ascii="Arial" w:cs="Arial" w:eastAsia="Arial" w:hAnsi="Arial"/>
                <w:sz w:val="12"/>
                <w:szCs w:val="12"/>
                <w:b w:val="1"/>
                <w:bCs w:val="1"/>
                <w:color w:val="auto"/>
                <w:w w:val="86"/>
              </w:rPr>
              <w:t>Real</w:t>
            </w:r>
          </w:p>
        </w:tc>
        <w:tc>
          <w:tcPr>
            <w:tcW w:w="120" w:type="dxa"/>
            <w:vAlign w:val="bottom"/>
          </w:tcPr>
          <w:p>
            <w:pPr>
              <w:spacing w:after="0"/>
              <w:rPr>
                <w:sz w:val="9"/>
                <w:szCs w:val="9"/>
                <w:color w:val="auto"/>
              </w:rPr>
            </w:pPr>
          </w:p>
        </w:tc>
        <w:tc>
          <w:tcPr>
            <w:tcW w:w="44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Home</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jc w:val="right"/>
              <w:ind w:right="17"/>
              <w:spacing w:after="0" w:line="110" w:lineRule="exact"/>
              <w:rPr>
                <w:sz w:val="20"/>
                <w:szCs w:val="20"/>
                <w:color w:val="auto"/>
              </w:rPr>
            </w:pPr>
            <w:r>
              <w:rPr>
                <w:rFonts w:ascii="Arial" w:cs="Arial" w:eastAsia="Arial" w:hAnsi="Arial"/>
                <w:sz w:val="12"/>
                <w:szCs w:val="12"/>
                <w:b w:val="1"/>
                <w:bCs w:val="1"/>
                <w:color w:val="auto"/>
                <w:w w:val="93"/>
              </w:rPr>
              <w:t>Holding</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440" w:type="dxa"/>
            <w:vAlign w:val="bottom"/>
          </w:tcPr>
          <w:p>
            <w:pPr>
              <w:spacing w:after="0"/>
              <w:rPr>
                <w:sz w:val="13"/>
                <w:szCs w:val="13"/>
                <w:color w:val="auto"/>
              </w:rPr>
            </w:pPr>
          </w:p>
        </w:tc>
        <w:tc>
          <w:tcPr>
            <w:tcW w:w="900" w:type="dxa"/>
            <w:vAlign w:val="bottom"/>
            <w:gridSpan w:val="4"/>
          </w:tcPr>
          <w:p>
            <w:pPr>
              <w:ind w:left="220"/>
              <w:spacing w:after="0"/>
              <w:rPr>
                <w:sz w:val="20"/>
                <w:szCs w:val="20"/>
                <w:color w:val="auto"/>
              </w:rPr>
            </w:pPr>
            <w:r>
              <w:rPr>
                <w:rFonts w:ascii="Arial" w:cs="Arial" w:eastAsia="Arial" w:hAnsi="Arial"/>
                <w:sz w:val="13"/>
                <w:szCs w:val="13"/>
                <w:b w:val="1"/>
                <w:bCs w:val="1"/>
                <w:color w:val="auto"/>
                <w:w w:val="96"/>
              </w:rPr>
              <w:t>Investment</w:t>
            </w:r>
          </w:p>
        </w:tc>
        <w:tc>
          <w:tcPr>
            <w:tcW w:w="60" w:type="dxa"/>
            <w:vAlign w:val="bottom"/>
          </w:tcPr>
          <w:p>
            <w:pPr>
              <w:spacing w:after="0"/>
              <w:rPr>
                <w:sz w:val="13"/>
                <w:szCs w:val="13"/>
                <w:color w:val="auto"/>
              </w:rPr>
            </w:pPr>
          </w:p>
        </w:tc>
        <w:tc>
          <w:tcPr>
            <w:tcW w:w="420" w:type="dxa"/>
            <w:vAlign w:val="bottom"/>
            <w:gridSpan w:val="2"/>
          </w:tcPr>
          <w:p>
            <w:pPr>
              <w:ind w:left="20"/>
              <w:spacing w:after="0"/>
              <w:rPr>
                <w:sz w:val="20"/>
                <w:szCs w:val="20"/>
                <w:color w:val="auto"/>
              </w:rPr>
            </w:pPr>
            <w:r>
              <w:rPr>
                <w:rFonts w:ascii="Arial" w:cs="Arial" w:eastAsia="Arial" w:hAnsi="Arial"/>
                <w:sz w:val="13"/>
                <w:szCs w:val="13"/>
                <w:b w:val="1"/>
                <w:bCs w:val="1"/>
                <w:color w:val="auto"/>
                <w:w w:val="86"/>
              </w:rPr>
              <w:t>Energy</w:t>
            </w:r>
          </w:p>
        </w:tc>
        <w:tc>
          <w:tcPr>
            <w:tcW w:w="780" w:type="dxa"/>
            <w:vAlign w:val="bottom"/>
            <w:gridSpan w:val="3"/>
          </w:tcPr>
          <w:p>
            <w:pPr>
              <w:ind w:left="140"/>
              <w:spacing w:after="0"/>
              <w:rPr>
                <w:sz w:val="20"/>
                <w:szCs w:val="20"/>
                <w:color w:val="auto"/>
              </w:rPr>
            </w:pPr>
            <w:r>
              <w:rPr>
                <w:rFonts w:ascii="Arial" w:cs="Arial" w:eastAsia="Arial" w:hAnsi="Arial"/>
                <w:sz w:val="13"/>
                <w:szCs w:val="13"/>
                <w:b w:val="1"/>
                <w:bCs w:val="1"/>
                <w:color w:val="auto"/>
                <w:w w:val="86"/>
              </w:rPr>
              <w:t>Automotive</w:t>
            </w:r>
          </w:p>
        </w:tc>
        <w:tc>
          <w:tcPr>
            <w:tcW w:w="680" w:type="dxa"/>
            <w:vAlign w:val="bottom"/>
            <w:gridSpan w:val="3"/>
          </w:tcPr>
          <w:p>
            <w:pPr>
              <w:ind w:left="120"/>
              <w:spacing w:after="0"/>
              <w:rPr>
                <w:sz w:val="20"/>
                <w:szCs w:val="20"/>
                <w:color w:val="auto"/>
              </w:rPr>
            </w:pPr>
            <w:r>
              <w:rPr>
                <w:rFonts w:ascii="Arial" w:cs="Arial" w:eastAsia="Arial" w:hAnsi="Arial"/>
                <w:sz w:val="13"/>
                <w:szCs w:val="13"/>
                <w:b w:val="1"/>
                <w:bCs w:val="1"/>
                <w:color w:val="auto"/>
                <w:w w:val="82"/>
              </w:rPr>
              <w:t>Packaging</w:t>
            </w:r>
          </w:p>
        </w:tc>
        <w:tc>
          <w:tcPr>
            <w:tcW w:w="500" w:type="dxa"/>
            <w:vAlign w:val="bottom"/>
            <w:gridSpan w:val="3"/>
          </w:tcPr>
          <w:p>
            <w:pPr>
              <w:ind w:left="120"/>
              <w:spacing w:after="0"/>
              <w:rPr>
                <w:sz w:val="20"/>
                <w:szCs w:val="20"/>
                <w:color w:val="auto"/>
              </w:rPr>
            </w:pPr>
            <w:r>
              <w:rPr>
                <w:rFonts w:ascii="Arial" w:cs="Arial" w:eastAsia="Arial" w:hAnsi="Arial"/>
                <w:sz w:val="13"/>
                <w:szCs w:val="13"/>
                <w:b w:val="1"/>
                <w:bCs w:val="1"/>
                <w:color w:val="auto"/>
                <w:w w:val="88"/>
              </w:rPr>
              <w:t>Metals</w:t>
            </w:r>
          </w:p>
        </w:tc>
        <w:tc>
          <w:tcPr>
            <w:tcW w:w="2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b w:val="1"/>
                <w:bCs w:val="1"/>
                <w:color w:val="auto"/>
                <w:w w:val="72"/>
              </w:rPr>
              <w:t>Estate</w:t>
            </w:r>
          </w:p>
        </w:tc>
        <w:tc>
          <w:tcPr>
            <w:tcW w:w="560" w:type="dxa"/>
            <w:vAlign w:val="bottom"/>
            <w:gridSpan w:val="3"/>
          </w:tcPr>
          <w:p>
            <w:pPr>
              <w:ind w:left="120"/>
              <w:spacing w:after="0"/>
              <w:rPr>
                <w:sz w:val="20"/>
                <w:szCs w:val="20"/>
                <w:color w:val="auto"/>
              </w:rPr>
            </w:pPr>
            <w:r>
              <w:rPr>
                <w:rFonts w:ascii="Arial" w:cs="Arial" w:eastAsia="Arial" w:hAnsi="Arial"/>
                <w:sz w:val="13"/>
                <w:szCs w:val="13"/>
                <w:b w:val="1"/>
                <w:bCs w:val="1"/>
                <w:color w:val="auto"/>
                <w:w w:val="84"/>
              </w:rPr>
              <w:t>Fashion</w:t>
            </w:r>
          </w:p>
        </w:tc>
        <w:tc>
          <w:tcPr>
            <w:tcW w:w="560" w:type="dxa"/>
            <w:vAlign w:val="bottom"/>
            <w:gridSpan w:val="3"/>
          </w:tcPr>
          <w:p>
            <w:pPr>
              <w:ind w:left="120"/>
              <w:spacing w:after="0"/>
              <w:rPr>
                <w:sz w:val="20"/>
                <w:szCs w:val="20"/>
                <w:color w:val="auto"/>
              </w:rPr>
            </w:pPr>
            <w:r>
              <w:rPr>
                <w:rFonts w:ascii="Arial" w:cs="Arial" w:eastAsia="Arial" w:hAnsi="Arial"/>
                <w:sz w:val="13"/>
                <w:szCs w:val="13"/>
                <w:b w:val="1"/>
                <w:bCs w:val="1"/>
                <w:color w:val="auto"/>
                <w:w w:val="87"/>
              </w:rPr>
              <w:t>Pharma</w:t>
            </w: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77"/>
              </w:rPr>
              <w:t>Company</w:t>
            </w:r>
          </w:p>
        </w:tc>
        <w:tc>
          <w:tcPr>
            <w:tcW w:w="760" w:type="dxa"/>
            <w:vAlign w:val="bottom"/>
            <w:gridSpan w:val="3"/>
          </w:tcPr>
          <w:p>
            <w:pPr>
              <w:ind w:left="40"/>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4"/>
          </w:tcPr>
          <w:p>
            <w:pPr>
              <w:jc w:val="right"/>
              <w:spacing w:after="0" w:line="115" w:lineRule="exact"/>
              <w:rPr>
                <w:sz w:val="20"/>
                <w:szCs w:val="20"/>
                <w:color w:val="auto"/>
              </w:rPr>
            </w:pPr>
            <w:r>
              <w:rPr>
                <w:rFonts w:ascii="Arial" w:cs="Arial" w:eastAsia="Arial" w:hAnsi="Arial"/>
                <w:sz w:val="13"/>
                <w:szCs w:val="13"/>
                <w:color w:val="auto"/>
              </w:rPr>
              <w:t>(in millions)</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Revenues:</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tcPr>
          <w:p>
            <w:pPr>
              <w:ind w:left="100"/>
              <w:spacing w:after="0" w:line="135" w:lineRule="exact"/>
              <w:rPr>
                <w:sz w:val="20"/>
                <w:szCs w:val="20"/>
                <w:color w:val="auto"/>
              </w:rPr>
            </w:pPr>
            <w:r>
              <w:rPr>
                <w:rFonts w:ascii="Arial" w:cs="Arial" w:eastAsia="Arial" w:hAnsi="Arial"/>
                <w:sz w:val="13"/>
                <w:szCs w:val="13"/>
                <w:color w:val="auto"/>
              </w:rPr>
              <w:t>Net sales</w:t>
            </w:r>
          </w:p>
        </w:tc>
        <w:tc>
          <w:tcPr>
            <w:tcW w:w="38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w w:val="85"/>
              </w:rPr>
              <w:t>1,130</w:t>
            </w:r>
          </w:p>
        </w:tc>
        <w:tc>
          <w:tcPr>
            <w:tcW w:w="36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492</w:t>
            </w:r>
          </w:p>
        </w:tc>
        <w:tc>
          <w:tcPr>
            <w:tcW w:w="22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98</w:t>
            </w:r>
          </w:p>
        </w:tc>
        <w:tc>
          <w:tcPr>
            <w:tcW w:w="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86</w:t>
            </w: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2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50</w:t>
            </w:r>
          </w:p>
        </w:tc>
        <w:tc>
          <w:tcPr>
            <w:tcW w:w="3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1,860</w:t>
            </w: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revenues from operations</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35"/>
        </w:trPr>
        <w:tc>
          <w:tcPr>
            <w:tcW w:w="2440" w:type="dxa"/>
            <w:vAlign w:val="bottom"/>
          </w:tcPr>
          <w:p>
            <w:pPr>
              <w:ind w:left="100"/>
              <w:spacing w:after="0" w:line="135" w:lineRule="exact"/>
              <w:rPr>
                <w:sz w:val="20"/>
                <w:szCs w:val="20"/>
                <w:color w:val="auto"/>
              </w:rPr>
            </w:pPr>
            <w:r>
              <w:rPr>
                <w:rFonts w:ascii="Arial" w:cs="Arial" w:eastAsia="Arial" w:hAnsi="Arial"/>
                <w:sz w:val="13"/>
                <w:szCs w:val="13"/>
                <w:color w:val="auto"/>
                <w:w w:val="99"/>
              </w:rPr>
              <w:t>Net (loss) gain from investment activities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(1,816)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(342)</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(2,128)</w:t>
            </w: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Interest and dividend income</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35"/>
        </w:trPr>
        <w:tc>
          <w:tcPr>
            <w:tcW w:w="244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3"/>
                <w:szCs w:val="13"/>
                <w:color w:val="auto"/>
              </w:rPr>
              <w:t>Other (loss) income, net</w:t>
            </w:r>
          </w:p>
        </w:tc>
        <w:tc>
          <w:tcPr>
            <w:tcW w:w="2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ind w:left="100"/>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w:t>
            </w:r>
          </w:p>
        </w:tc>
        <w:tc>
          <w:tcPr>
            <w:tcW w:w="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(1,765)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1,157</w:t>
            </w:r>
          </w:p>
        </w:tc>
        <w:tc>
          <w:tcPr>
            <w:tcW w:w="1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636</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91</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86</w:t>
            </w: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(337)</w:t>
            </w:r>
          </w:p>
        </w:tc>
        <w:tc>
          <w:tcPr>
            <w:tcW w:w="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29"/>
        </w:trPr>
        <w:tc>
          <w:tcPr>
            <w:tcW w:w="2440" w:type="dxa"/>
            <w:vAlign w:val="bottom"/>
          </w:tcPr>
          <w:p>
            <w:pPr>
              <w:spacing w:after="0" w:line="129" w:lineRule="exact"/>
              <w:rPr>
                <w:sz w:val="20"/>
                <w:szCs w:val="20"/>
                <w:color w:val="auto"/>
              </w:rPr>
            </w:pPr>
            <w:r>
              <w:rPr>
                <w:rFonts w:ascii="Arial" w:cs="Arial" w:eastAsia="Arial" w:hAnsi="Arial"/>
                <w:sz w:val="13"/>
                <w:szCs w:val="13"/>
                <w:color w:val="auto"/>
              </w:rPr>
              <w:t>Expenses: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Cost of goods sold</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1,250</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w:t>
            </w: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1,810</w:t>
            </w:r>
          </w:p>
        </w:tc>
        <w:tc>
          <w:tcPr>
            <w:tcW w:w="0" w:type="dxa"/>
            <w:vAlign w:val="bottom"/>
          </w:tcPr>
          <w:p>
            <w:pPr>
              <w:spacing w:after="0"/>
              <w:rPr>
                <w:sz w:val="1"/>
                <w:szCs w:val="1"/>
                <w:color w:val="auto"/>
              </w:rPr>
            </w:pPr>
          </w:p>
        </w:tc>
      </w:tr>
      <w:tr>
        <w:trPr>
          <w:trHeight w:val="135"/>
        </w:trPr>
        <w:tc>
          <w:tcPr>
            <w:tcW w:w="2440" w:type="dxa"/>
            <w:vAlign w:val="bottom"/>
          </w:tcPr>
          <w:p>
            <w:pPr>
              <w:ind w:left="100"/>
              <w:spacing w:after="0" w:line="135" w:lineRule="exact"/>
              <w:rPr>
                <w:sz w:val="20"/>
                <w:szCs w:val="20"/>
                <w:color w:val="auto"/>
              </w:rPr>
            </w:pPr>
            <w:r>
              <w:rPr>
                <w:rFonts w:ascii="Arial" w:cs="Arial" w:eastAsia="Arial" w:hAnsi="Arial"/>
                <w:sz w:val="13"/>
                <w:szCs w:val="13"/>
                <w:color w:val="auto"/>
              </w:rPr>
              <w:t>Other expenses from operations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123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Selling, general and administrative</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308</w:t>
            </w:r>
          </w:p>
        </w:tc>
        <w:tc>
          <w:tcPr>
            <w:tcW w:w="0" w:type="dxa"/>
            <w:vAlign w:val="bottom"/>
          </w:tcPr>
          <w:p>
            <w:pPr>
              <w:spacing w:after="0"/>
              <w:rPr>
                <w:sz w:val="1"/>
                <w:szCs w:val="1"/>
                <w:color w:val="auto"/>
              </w:rPr>
            </w:pPr>
          </w:p>
        </w:tc>
      </w:tr>
      <w:tr>
        <w:trPr>
          <w:trHeight w:val="135"/>
        </w:trPr>
        <w:tc>
          <w:tcPr>
            <w:tcW w:w="2440" w:type="dxa"/>
            <w:vAlign w:val="bottom"/>
          </w:tcPr>
          <w:p>
            <w:pPr>
              <w:ind w:left="100"/>
              <w:spacing w:after="0" w:line="135" w:lineRule="exact"/>
              <w:rPr>
                <w:sz w:val="20"/>
                <w:szCs w:val="20"/>
                <w:color w:val="auto"/>
              </w:rPr>
            </w:pPr>
            <w:r>
              <w:rPr>
                <w:rFonts w:ascii="Arial" w:cs="Arial" w:eastAsia="Arial" w:hAnsi="Arial"/>
                <w:sz w:val="13"/>
                <w:szCs w:val="13"/>
                <w:color w:val="auto"/>
              </w:rPr>
              <w:t>Restructuring, net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Interest expense</w:t>
            </w:r>
          </w:p>
        </w:tc>
        <w:tc>
          <w:tcPr>
            <w:tcW w:w="2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29</w:t>
            </w:r>
          </w:p>
        </w:tc>
        <w:tc>
          <w:tcPr>
            <w:tcW w:w="1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90</w:t>
            </w:r>
          </w:p>
        </w:tc>
        <w:tc>
          <w:tcPr>
            <w:tcW w:w="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128"/>
        </w:trPr>
        <w:tc>
          <w:tcPr>
            <w:tcW w:w="244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37</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1,310</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728</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94</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89</w:t>
            </w:r>
          </w:p>
        </w:tc>
        <w:tc>
          <w:tcPr>
            <w:tcW w:w="2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95</w:t>
            </w:r>
          </w:p>
        </w:tc>
        <w:tc>
          <w:tcPr>
            <w:tcW w:w="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2,426</w:t>
            </w:r>
          </w:p>
        </w:tc>
        <w:tc>
          <w:tcPr>
            <w:tcW w:w="0" w:type="dxa"/>
            <w:vAlign w:val="bottom"/>
          </w:tcPr>
          <w:p>
            <w:pPr>
              <w:spacing w:after="0"/>
              <w:rPr>
                <w:sz w:val="1"/>
                <w:szCs w:val="1"/>
                <w:color w:val="auto"/>
              </w:rPr>
            </w:pPr>
          </w:p>
        </w:tc>
      </w:tr>
      <w:tr>
        <w:trPr>
          <w:trHeight w:val="101"/>
        </w:trPr>
        <w:tc>
          <w:tcPr>
            <w:tcW w:w="2440" w:type="dxa"/>
            <w:vAlign w:val="bottom"/>
            <w:shd w:val="clear" w:color="auto" w:fill="CCEEFF"/>
          </w:tcPr>
          <w:p>
            <w:pPr>
              <w:spacing w:after="0" w:line="101" w:lineRule="exact"/>
              <w:rPr>
                <w:sz w:val="20"/>
                <w:szCs w:val="20"/>
                <w:color w:val="auto"/>
              </w:rPr>
            </w:pPr>
            <w:r>
              <w:rPr>
                <w:rFonts w:ascii="Arial" w:cs="Arial" w:eastAsia="Arial" w:hAnsi="Arial"/>
                <w:sz w:val="10"/>
                <w:szCs w:val="10"/>
                <w:color w:val="auto"/>
              </w:rPr>
              <w:t>(Loss) income before income tax benefit</w:t>
            </w: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(expense)</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(2,486)</w:t>
            </w:r>
          </w:p>
        </w:tc>
        <w:tc>
          <w:tcPr>
            <w:tcW w:w="0" w:type="dxa"/>
            <w:vAlign w:val="bottom"/>
          </w:tcPr>
          <w:p>
            <w:pPr>
              <w:spacing w:after="0"/>
              <w:rPr>
                <w:sz w:val="1"/>
                <w:szCs w:val="1"/>
                <w:color w:val="auto"/>
              </w:rPr>
            </w:pPr>
          </w:p>
        </w:tc>
      </w:tr>
      <w:tr>
        <w:trPr>
          <w:trHeight w:val="135"/>
        </w:trPr>
        <w:tc>
          <w:tcPr>
            <w:tcW w:w="2440" w:type="dxa"/>
            <w:vAlign w:val="bottom"/>
          </w:tcPr>
          <w:p>
            <w:pPr>
              <w:spacing w:after="0" w:line="135" w:lineRule="exact"/>
              <w:rPr>
                <w:sz w:val="20"/>
                <w:szCs w:val="20"/>
                <w:color w:val="auto"/>
              </w:rPr>
            </w:pPr>
            <w:r>
              <w:rPr>
                <w:rFonts w:ascii="Arial" w:cs="Arial" w:eastAsia="Arial" w:hAnsi="Arial"/>
                <w:sz w:val="13"/>
                <w:szCs w:val="13"/>
                <w:color w:val="auto"/>
              </w:rPr>
              <w:t>Income tax benefit (expense)</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40</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122</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180</w:t>
            </w:r>
          </w:p>
        </w:tc>
        <w:tc>
          <w:tcPr>
            <w:tcW w:w="0" w:type="dxa"/>
            <w:vAlign w:val="bottom"/>
          </w:tcPr>
          <w:p>
            <w:pPr>
              <w:spacing w:after="0"/>
              <w:rPr>
                <w:sz w:val="1"/>
                <w:szCs w:val="1"/>
                <w:color w:val="auto"/>
              </w:rPr>
            </w:pPr>
          </w:p>
        </w:tc>
      </w:tr>
      <w:tr>
        <w:trPr>
          <w:trHeight w:val="128"/>
        </w:trPr>
        <w:tc>
          <w:tcPr>
            <w:tcW w:w="24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Net (loss) income</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(1,802)</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(113)</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(73)</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(310)</w:t>
            </w: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(2,306)</w:t>
            </w:r>
          </w:p>
        </w:tc>
        <w:tc>
          <w:tcPr>
            <w:tcW w:w="0" w:type="dxa"/>
            <w:vAlign w:val="bottom"/>
          </w:tcPr>
          <w:p>
            <w:pPr>
              <w:spacing w:after="0"/>
              <w:rPr>
                <w:sz w:val="1"/>
                <w:szCs w:val="1"/>
                <w:color w:val="auto"/>
              </w:rPr>
            </w:pPr>
          </w:p>
        </w:tc>
      </w:tr>
      <w:tr>
        <w:trPr>
          <w:trHeight w:val="121"/>
        </w:trPr>
        <w:tc>
          <w:tcPr>
            <w:tcW w:w="2440" w:type="dxa"/>
            <w:vAlign w:val="bottom"/>
          </w:tcPr>
          <w:p>
            <w:pPr>
              <w:spacing w:after="0" w:line="121" w:lineRule="exact"/>
              <w:rPr>
                <w:sz w:val="20"/>
                <w:szCs w:val="20"/>
                <w:color w:val="auto"/>
              </w:rPr>
            </w:pPr>
            <w:r>
              <w:rPr>
                <w:rFonts w:ascii="Arial" w:cs="Arial" w:eastAsia="Arial" w:hAnsi="Arial"/>
                <w:sz w:val="13"/>
                <w:szCs w:val="13"/>
                <w:color w:val="auto"/>
                <w:w w:val="98"/>
              </w:rPr>
              <w:t>Less: net (loss) income attributable to non-</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controlling interests</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(876)</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(922)</w:t>
            </w:r>
          </w:p>
        </w:tc>
        <w:tc>
          <w:tcPr>
            <w:tcW w:w="0" w:type="dxa"/>
            <w:vAlign w:val="bottom"/>
          </w:tcPr>
          <w:p>
            <w:pPr>
              <w:spacing w:after="0"/>
              <w:rPr>
                <w:sz w:val="1"/>
                <w:szCs w:val="1"/>
                <w:color w:val="auto"/>
              </w:rPr>
            </w:pPr>
          </w:p>
        </w:tc>
      </w:tr>
      <w:tr>
        <w:trPr>
          <w:trHeight w:val="101"/>
        </w:trPr>
        <w:tc>
          <w:tcPr>
            <w:tcW w:w="2440" w:type="dxa"/>
            <w:vAlign w:val="bottom"/>
            <w:shd w:val="clear" w:color="auto" w:fill="CCEEFF"/>
          </w:tcPr>
          <w:p>
            <w:pPr>
              <w:spacing w:after="0" w:line="101" w:lineRule="exact"/>
              <w:rPr>
                <w:sz w:val="20"/>
                <w:szCs w:val="20"/>
                <w:color w:val="auto"/>
              </w:rPr>
            </w:pPr>
            <w:r>
              <w:rPr>
                <w:rFonts w:ascii="Arial" w:cs="Arial" w:eastAsia="Arial" w:hAnsi="Arial"/>
                <w:sz w:val="10"/>
                <w:szCs w:val="10"/>
                <w:color w:val="auto"/>
              </w:rPr>
              <w:t>Net (loss) income attributable to Icahn</w:t>
            </w:r>
          </w:p>
        </w:tc>
        <w:tc>
          <w:tcPr>
            <w:tcW w:w="380" w:type="dxa"/>
            <w:vAlign w:val="bottom"/>
            <w:gridSpan w:val="2"/>
            <w:vMerge w:val="restart"/>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(926)</w:t>
            </w:r>
          </w:p>
        </w:tc>
        <w:tc>
          <w:tcPr>
            <w:tcW w:w="80" w:type="dxa"/>
            <w:vAlign w:val="bottom"/>
            <w:shd w:val="clear" w:color="auto" w:fill="CCEEFF"/>
          </w:tcPr>
          <w:p>
            <w:pPr>
              <w:spacing w:after="0"/>
              <w:rPr>
                <w:sz w:val="8"/>
                <w:szCs w:val="8"/>
                <w:color w:val="auto"/>
              </w:rPr>
            </w:pPr>
          </w:p>
        </w:tc>
        <w:tc>
          <w:tcPr>
            <w:tcW w:w="14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36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22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6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8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30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240" w:type="dxa"/>
            <w:vAlign w:val="bottom"/>
            <w:gridSpan w:val="2"/>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(1,384)</w:t>
            </w:r>
          </w:p>
        </w:tc>
        <w:tc>
          <w:tcPr>
            <w:tcW w:w="0" w:type="dxa"/>
            <w:vAlign w:val="bottom"/>
          </w:tcPr>
          <w:p>
            <w:pPr>
              <w:spacing w:after="0"/>
              <w:rPr>
                <w:sz w:val="1"/>
                <w:szCs w:val="1"/>
                <w:color w:val="auto"/>
              </w:rPr>
            </w:pPr>
          </w:p>
        </w:tc>
      </w:tr>
      <w:tr>
        <w:trPr>
          <w:trHeight w:val="136"/>
        </w:trPr>
        <w:tc>
          <w:tcPr>
            <w:tcW w:w="244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rPr>
              <w:t>Enterprises</w:t>
            </w:r>
          </w:p>
        </w:tc>
        <w:tc>
          <w:tcPr>
            <w:tcW w:w="380" w:type="dxa"/>
            <w:vAlign w:val="bottom"/>
            <w:gridSpan w:val="2"/>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gridSpan w:val="2"/>
            <w:vMerge w:val="continue"/>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360" w:type="dxa"/>
            <w:vAlign w:val="bottom"/>
            <w:gridSpan w:val="2"/>
            <w:vMerge w:val="continue"/>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220" w:type="dxa"/>
            <w:vAlign w:val="bottom"/>
            <w:gridSpan w:val="2"/>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280" w:type="dxa"/>
            <w:vAlign w:val="bottom"/>
            <w:gridSpan w:val="2"/>
            <w:vMerge w:val="continue"/>
            <w:shd w:val="clear" w:color="auto" w:fill="CCEEFF"/>
          </w:tcPr>
          <w:p>
            <w:pPr>
              <w:spacing w:after="0"/>
              <w:rPr>
                <w:sz w:val="11"/>
                <w:szCs w:val="11"/>
                <w:color w:val="auto"/>
              </w:rPr>
            </w:pPr>
          </w:p>
        </w:tc>
        <w:tc>
          <w:tcPr>
            <w:tcW w:w="280" w:type="dxa"/>
            <w:vAlign w:val="bottom"/>
            <w:vMerge w:val="continue"/>
            <w:shd w:val="clear" w:color="auto" w:fill="CCEEFF"/>
          </w:tcPr>
          <w:p>
            <w:pPr>
              <w:spacing w:after="0"/>
              <w:rPr>
                <w:sz w:val="11"/>
                <w:szCs w:val="11"/>
                <w:color w:val="auto"/>
              </w:rPr>
            </w:pPr>
          </w:p>
        </w:tc>
        <w:tc>
          <w:tcPr>
            <w:tcW w:w="300" w:type="dxa"/>
            <w:vAlign w:val="bottom"/>
            <w:gridSpan w:val="2"/>
            <w:vMerge w:val="continue"/>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Supplemental information:</w:t>
            </w: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4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Capital expenditures</w:t>
            </w:r>
          </w:p>
        </w:tc>
        <w:tc>
          <w:tcPr>
            <w:tcW w:w="38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w:t>
            </w:r>
          </w:p>
        </w:tc>
        <w:tc>
          <w:tcPr>
            <w:tcW w:w="36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2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2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3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60"/>
        </w:trPr>
        <w:tc>
          <w:tcPr>
            <w:tcW w:w="2440" w:type="dxa"/>
            <w:vAlign w:val="bottom"/>
          </w:tcPr>
          <w:p>
            <w:pPr>
              <w:ind w:left="100"/>
              <w:spacing w:after="0"/>
              <w:rPr>
                <w:sz w:val="20"/>
                <w:szCs w:val="20"/>
                <w:color w:val="auto"/>
              </w:rPr>
            </w:pPr>
            <w:r>
              <w:rPr>
                <w:rFonts w:ascii="Arial" w:cs="Arial" w:eastAsia="Arial" w:hAnsi="Arial"/>
                <w:sz w:val="13"/>
                <w:szCs w:val="13"/>
                <w:color w:val="auto"/>
              </w:rPr>
              <w:t>Depreciation and amortization</w:t>
            </w:r>
          </w:p>
        </w:tc>
        <w:tc>
          <w:tcPr>
            <w:tcW w:w="3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gridSpan w:val="2"/>
          </w:tcPr>
          <w:p>
            <w:pPr>
              <w:ind w:left="60"/>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80</w:t>
            </w:r>
          </w:p>
        </w:tc>
        <w:tc>
          <w:tcPr>
            <w:tcW w:w="36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24</w:t>
            </w: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6</w:t>
            </w:r>
          </w:p>
        </w:tc>
        <w:tc>
          <w:tcPr>
            <w:tcW w:w="2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4</w:t>
            </w:r>
          </w:p>
        </w:tc>
        <w:tc>
          <w:tcPr>
            <w:tcW w:w="28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2</w:t>
            </w: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60" w:type="dxa"/>
            <w:vAlign w:val="bottom"/>
          </w:tcPr>
          <w:p>
            <w:pPr>
              <w:ind w:left="100"/>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ind w:left="60" w:right="1099" w:firstLine="324"/>
        <w:spacing w:after="0" w:line="277" w:lineRule="auto"/>
        <w:rPr>
          <w:sz w:val="20"/>
          <w:szCs w:val="20"/>
          <w:color w:val="auto"/>
        </w:rPr>
      </w:pPr>
      <w:r>
        <w:rPr>
          <w:rFonts w:ascii="Arial" w:cs="Arial" w:eastAsia="Arial" w:hAnsi="Arial"/>
          <w:sz w:val="18"/>
          <w:szCs w:val="18"/>
          <w:color w:val="auto"/>
        </w:rPr>
        <w:t>In addition to the condensed statements of operations by reporting segment above, we provide additional disaggregated revenue information for our Energy and Automotive segments below.</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Arial" w:cs="Arial" w:eastAsia="Arial" w:hAnsi="Arial"/>
                <w:sz w:val="18"/>
                <w:szCs w:val="18"/>
                <w:b w:val="1"/>
                <w:bCs w:val="1"/>
                <w:i w:val="1"/>
                <w:iCs w:val="1"/>
                <w:color w:val="auto"/>
              </w:rPr>
              <w:t>Energy</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w w:val="92"/>
              </w:rPr>
              <w:t>Disaggregated revenue for our Energy segment net sales is presented below:</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auto"/>
                <w:w w:val="94"/>
              </w:rPr>
              <w:t>Three Months Ended March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Petroleum products</w:t>
            </w:r>
          </w:p>
        </w:tc>
        <w:tc>
          <w:tcPr>
            <w:tcW w:w="4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4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Nitrogen fertilizer products</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Disaggregated revenue for our Automotive segment net sales and other revenues from operations is presented below:</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66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Automotive services</w:t>
            </w:r>
          </w:p>
        </w:tc>
        <w:tc>
          <w:tcPr>
            <w:tcW w:w="3140" w:type="dxa"/>
            <w:vAlign w:val="bottom"/>
            <w:gridSpan w:val="2"/>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322</w:t>
            </w:r>
          </w:p>
        </w:tc>
        <w:tc>
          <w:tcPr>
            <w:tcW w:w="4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Aftermarket parts sales</w:t>
            </w:r>
          </w:p>
        </w:tc>
        <w:tc>
          <w:tcPr>
            <w:tcW w:w="23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276</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598</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6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Balance Sheets</w:t>
      </w:r>
    </w:p>
    <w:p>
      <w:pPr>
        <w:spacing w:after="0" w:line="229" w:lineRule="exact"/>
        <w:rPr>
          <w:sz w:val="20"/>
          <w:szCs w:val="20"/>
          <w:color w:val="auto"/>
        </w:rPr>
      </w:pPr>
    </w:p>
    <w:p>
      <w:pPr>
        <w:jc w:val="both"/>
        <w:ind w:left="60" w:right="240" w:firstLine="324"/>
        <w:spacing w:after="0" w:line="263" w:lineRule="auto"/>
        <w:rPr>
          <w:sz w:val="20"/>
          <w:szCs w:val="20"/>
          <w:color w:val="auto"/>
        </w:rPr>
      </w:pPr>
      <w:r>
        <w:rPr>
          <w:rFonts w:ascii="Arial" w:cs="Arial" w:eastAsia="Arial" w:hAnsi="Arial"/>
          <w:sz w:val="18"/>
          <w:szCs w:val="18"/>
          <w:color w:val="auto"/>
        </w:rPr>
        <w:t>Icahn Enterprises’ condensed balance sheets by reporting segment are presented below. Icahn Enterprises Holdings’ condensed balance sheets are substantially the same, with immaterial differences relating to our Holding Company’s debt and equity attributable to Icahn Enterprises Holdings.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5"/>
          </w:tcPr>
          <w:p>
            <w:pPr>
              <w:ind w:left="140"/>
              <w:spacing w:after="0"/>
              <w:rPr>
                <w:sz w:val="20"/>
                <w:szCs w:val="20"/>
                <w:color w:val="auto"/>
              </w:rPr>
            </w:pPr>
            <w:r>
              <w:rPr>
                <w:rFonts w:ascii="Arial" w:cs="Arial" w:eastAsia="Arial" w:hAnsi="Arial"/>
                <w:sz w:val="13"/>
                <w:szCs w:val="13"/>
                <w:b w:val="1"/>
                <w:bCs w:val="1"/>
                <w:color w:val="auto"/>
              </w:rPr>
              <w:t>March 31, 2021</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rPr>
              <w:t>Food</w:t>
            </w: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4"/>
              </w:rPr>
              <w:t>Real</w:t>
            </w:r>
          </w:p>
        </w:tc>
        <w:tc>
          <w:tcPr>
            <w:tcW w:w="80" w:type="dxa"/>
            <w:vAlign w:val="bottom"/>
          </w:tcPr>
          <w:p>
            <w:pPr>
              <w:spacing w:after="0"/>
              <w:rPr>
                <w:sz w:val="9"/>
                <w:szCs w:val="9"/>
                <w:color w:val="auto"/>
              </w:rPr>
            </w:pPr>
          </w:p>
        </w:tc>
        <w:tc>
          <w:tcPr>
            <w:tcW w:w="58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5"/>
              </w:rPr>
              <w:t>Home</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Holding</w:t>
            </w: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42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w w:val="99"/>
              </w:rPr>
              <w:t>Investment</w:t>
            </w:r>
          </w:p>
        </w:tc>
        <w:tc>
          <w:tcPr>
            <w:tcW w:w="580" w:type="dxa"/>
            <w:vAlign w:val="bottom"/>
            <w:gridSpan w:val="3"/>
          </w:tcPr>
          <w:p>
            <w:pPr>
              <w:ind w:left="40"/>
              <w:spacing w:after="0"/>
              <w:rPr>
                <w:sz w:val="20"/>
                <w:szCs w:val="20"/>
                <w:color w:val="auto"/>
              </w:rPr>
            </w:pPr>
            <w:r>
              <w:rPr>
                <w:rFonts w:ascii="Arial" w:cs="Arial" w:eastAsia="Arial" w:hAnsi="Arial"/>
                <w:sz w:val="13"/>
                <w:szCs w:val="13"/>
                <w:b w:val="1"/>
                <w:bCs w:val="1"/>
                <w:color w:val="auto"/>
              </w:rPr>
              <w:t>Energy</w:t>
            </w:r>
          </w:p>
        </w:tc>
        <w:tc>
          <w:tcPr>
            <w:tcW w:w="740" w:type="dxa"/>
            <w:vAlign w:val="bottom"/>
            <w:gridSpan w:val="3"/>
          </w:tcPr>
          <w:p>
            <w:pPr>
              <w:ind w:left="20"/>
              <w:spacing w:after="0"/>
              <w:rPr>
                <w:sz w:val="20"/>
                <w:szCs w:val="20"/>
                <w:color w:val="auto"/>
              </w:rPr>
            </w:pPr>
            <w:r>
              <w:rPr>
                <w:rFonts w:ascii="Arial" w:cs="Arial" w:eastAsia="Arial" w:hAnsi="Arial"/>
                <w:sz w:val="13"/>
                <w:szCs w:val="13"/>
                <w:b w:val="1"/>
                <w:bCs w:val="1"/>
                <w:color w:val="auto"/>
                <w:w w:val="97"/>
              </w:rPr>
              <w:t>Automotive</w:t>
            </w: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w w:val="95"/>
              </w:rPr>
              <w:t>Packaging</w:t>
            </w:r>
          </w:p>
        </w:tc>
        <w:tc>
          <w:tcPr>
            <w:tcW w:w="8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3"/>
                <w:szCs w:val="13"/>
                <w:b w:val="1"/>
                <w:bCs w:val="1"/>
                <w:color w:val="auto"/>
              </w:rPr>
              <w:t>Metals</w:t>
            </w:r>
          </w:p>
        </w:tc>
        <w:tc>
          <w:tcPr>
            <w:tcW w:w="80" w:type="dxa"/>
            <w:vAlign w:val="bottom"/>
          </w:tcPr>
          <w:p>
            <w:pPr>
              <w:spacing w:after="0"/>
              <w:rPr>
                <w:sz w:val="13"/>
                <w:szCs w:val="13"/>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Estate</w:t>
            </w:r>
          </w:p>
        </w:tc>
        <w:tc>
          <w:tcPr>
            <w:tcW w:w="6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4"/>
              </w:rPr>
              <w:t>Fashion</w:t>
            </w:r>
          </w:p>
        </w:tc>
        <w:tc>
          <w:tcPr>
            <w:tcW w:w="620" w:type="dxa"/>
            <w:vAlign w:val="bottom"/>
            <w:gridSpan w:val="3"/>
          </w:tcPr>
          <w:p>
            <w:pPr>
              <w:ind w:left="60"/>
              <w:spacing w:after="0"/>
              <w:rPr>
                <w:sz w:val="20"/>
                <w:szCs w:val="20"/>
                <w:color w:val="auto"/>
              </w:rPr>
            </w:pPr>
            <w:r>
              <w:rPr>
                <w:rFonts w:ascii="Arial" w:cs="Arial" w:eastAsia="Arial" w:hAnsi="Arial"/>
                <w:sz w:val="13"/>
                <w:szCs w:val="13"/>
                <w:b w:val="1"/>
                <w:bCs w:val="1"/>
                <w:color w:val="auto"/>
              </w:rPr>
              <w:t>Pharma</w:t>
            </w:r>
          </w:p>
        </w:tc>
        <w:tc>
          <w:tcPr>
            <w:tcW w:w="64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Company</w:t>
            </w: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4"/>
          </w:tcPr>
          <w:p>
            <w:pPr>
              <w:jc w:val="right"/>
              <w:ind w:right="157"/>
              <w:spacing w:after="0" w:line="115" w:lineRule="exact"/>
              <w:rPr>
                <w:sz w:val="20"/>
                <w:szCs w:val="20"/>
                <w:color w:val="auto"/>
              </w:rPr>
            </w:pPr>
            <w:r>
              <w:rPr>
                <w:rFonts w:ascii="Arial" w:cs="Arial" w:eastAsia="Arial" w:hAnsi="Arial"/>
                <w:sz w:val="13"/>
                <w:szCs w:val="13"/>
                <w:color w:val="auto"/>
              </w:rPr>
              <w:t>(in millions)</w:t>
            </w:r>
          </w:p>
        </w:tc>
        <w:tc>
          <w:tcPr>
            <w:tcW w:w="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ind w:left="940"/>
              <w:spacing w:after="0" w:line="135" w:lineRule="exact"/>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20"/>
              <w:spacing w:after="0" w:line="135" w:lineRule="exact"/>
              <w:rPr>
                <w:sz w:val="20"/>
                <w:szCs w:val="20"/>
                <w:color w:val="auto"/>
              </w:rPr>
            </w:pPr>
            <w:r>
              <w:rPr>
                <w:rFonts w:ascii="Arial" w:cs="Arial" w:eastAsia="Arial" w:hAnsi="Arial"/>
                <w:sz w:val="13"/>
                <w:szCs w:val="13"/>
                <w:color w:val="auto"/>
              </w:rPr>
              <w:t>Cash and cash equivalents</w:t>
            </w: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1"/>
                <w:szCs w:val="11"/>
                <w:color w:val="auto"/>
              </w:rPr>
            </w:pPr>
          </w:p>
        </w:tc>
        <w:tc>
          <w:tcPr>
            <w:tcW w:w="120" w:type="dxa"/>
            <w:vAlign w:val="bottom"/>
          </w:tcPr>
          <w:p>
            <w:pPr>
              <w:jc w:val="right"/>
              <w:ind w:right="5"/>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707</w:t>
            </w:r>
          </w:p>
        </w:tc>
        <w:tc>
          <w:tcPr>
            <w:tcW w:w="80" w:type="dxa"/>
            <w:vAlign w:val="bottom"/>
          </w:tcPr>
          <w:p>
            <w:pPr>
              <w:spacing w:after="0"/>
              <w:rPr>
                <w:sz w:val="11"/>
                <w:szCs w:val="11"/>
                <w:color w:val="auto"/>
              </w:rPr>
            </w:pP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42</w:t>
            </w:r>
          </w:p>
        </w:tc>
        <w:tc>
          <w:tcPr>
            <w:tcW w:w="10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27</w:t>
            </w:r>
          </w:p>
        </w:tc>
        <w:tc>
          <w:tcPr>
            <w:tcW w:w="8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200" w:type="dxa"/>
            <w:vAlign w:val="bottom"/>
          </w:tcPr>
          <w:p>
            <w:pPr>
              <w:jc w:val="right"/>
              <w:ind w:right="57"/>
              <w:spacing w:after="0" w:line="135" w:lineRule="exact"/>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1"/>
                <w:szCs w:val="11"/>
                <w:color w:val="auto"/>
              </w:rPr>
            </w:pPr>
          </w:p>
        </w:tc>
        <w:tc>
          <w:tcPr>
            <w:tcW w:w="12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1,134</w:t>
            </w:r>
          </w:p>
        </w:tc>
        <w:tc>
          <w:tcPr>
            <w:tcW w:w="100" w:type="dxa"/>
            <w:vAlign w:val="bottom"/>
          </w:tcPr>
          <w:p>
            <w:pPr>
              <w:spacing w:after="0"/>
              <w:rPr>
                <w:sz w:val="11"/>
                <w:szCs w:val="11"/>
                <w:color w:val="auto"/>
              </w:rPr>
            </w:pPr>
          </w:p>
        </w:tc>
        <w:tc>
          <w:tcPr>
            <w:tcW w:w="200" w:type="dxa"/>
            <w:vAlign w:val="bottom"/>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1,942</w:t>
            </w:r>
          </w:p>
        </w:tc>
        <w:tc>
          <w:tcPr>
            <w:tcW w:w="0" w:type="dxa"/>
            <w:vAlign w:val="bottom"/>
          </w:tcPr>
          <w:p>
            <w:pPr>
              <w:spacing w:after="0"/>
              <w:rPr>
                <w:sz w:val="1"/>
                <w:szCs w:val="1"/>
                <w:color w:val="auto"/>
              </w:rPr>
            </w:pPr>
          </w:p>
        </w:tc>
      </w:tr>
      <w:tr>
        <w:trPr>
          <w:trHeight w:val="121"/>
        </w:trPr>
        <w:tc>
          <w:tcPr>
            <w:tcW w:w="242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Cash held at consolidated affiliated</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partnerships and restricted cash</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1,134</w:t>
            </w:r>
          </w:p>
        </w:tc>
        <w:tc>
          <w:tcPr>
            <w:tcW w:w="0" w:type="dxa"/>
            <w:vAlign w:val="bottom"/>
          </w:tcPr>
          <w:p>
            <w:pPr>
              <w:spacing w:after="0"/>
              <w:rPr>
                <w:sz w:val="1"/>
                <w:szCs w:val="1"/>
                <w:color w:val="auto"/>
              </w:rPr>
            </w:pPr>
          </w:p>
        </w:tc>
      </w:tr>
      <w:tr>
        <w:trPr>
          <w:trHeight w:val="135"/>
        </w:trPr>
        <w:tc>
          <w:tcPr>
            <w:tcW w:w="2420" w:type="dxa"/>
            <w:vAlign w:val="bottom"/>
          </w:tcPr>
          <w:p>
            <w:pPr>
              <w:ind w:left="20"/>
              <w:spacing w:after="0" w:line="135" w:lineRule="exact"/>
              <w:rPr>
                <w:sz w:val="20"/>
                <w:szCs w:val="20"/>
                <w:color w:val="auto"/>
              </w:rPr>
            </w:pPr>
            <w:r>
              <w:rPr>
                <w:rFonts w:ascii="Arial" w:cs="Arial" w:eastAsia="Arial" w:hAnsi="Arial"/>
                <w:sz w:val="13"/>
                <w:szCs w:val="13"/>
                <w:color w:val="auto"/>
              </w:rPr>
              <w:t>Investments</w:t>
            </w: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10,926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315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28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196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11,480</w:t>
            </w: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Accounts receivable, net</w:t>
            </w: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226</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572</w:t>
            </w:r>
          </w:p>
        </w:tc>
        <w:tc>
          <w:tcPr>
            <w:tcW w:w="0" w:type="dxa"/>
            <w:vAlign w:val="bottom"/>
          </w:tcPr>
          <w:p>
            <w:pPr>
              <w:spacing w:after="0"/>
              <w:rPr>
                <w:sz w:val="1"/>
                <w:szCs w:val="1"/>
                <w:color w:val="auto"/>
              </w:rPr>
            </w:pPr>
          </w:p>
        </w:tc>
      </w:tr>
      <w:tr>
        <w:trPr>
          <w:trHeight w:val="135"/>
        </w:trPr>
        <w:tc>
          <w:tcPr>
            <w:tcW w:w="2420" w:type="dxa"/>
            <w:vAlign w:val="bottom"/>
          </w:tcPr>
          <w:p>
            <w:pPr>
              <w:ind w:left="20"/>
              <w:spacing w:after="0" w:line="135" w:lineRule="exact"/>
              <w:rPr>
                <w:sz w:val="20"/>
                <w:szCs w:val="20"/>
                <w:color w:val="auto"/>
              </w:rPr>
            </w:pPr>
            <w:r>
              <w:rPr>
                <w:rFonts w:ascii="Arial" w:cs="Arial" w:eastAsia="Arial" w:hAnsi="Arial"/>
                <w:sz w:val="13"/>
                <w:szCs w:val="13"/>
                <w:color w:val="auto"/>
              </w:rPr>
              <w:t>Inventories, net</w:t>
            </w:r>
          </w:p>
        </w:tc>
        <w:tc>
          <w:tcPr>
            <w:tcW w:w="14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378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962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89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86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1,559</w:t>
            </w: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Property, plant and equipment, net</w:t>
            </w: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2,774</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4,231</w:t>
            </w:r>
          </w:p>
        </w:tc>
        <w:tc>
          <w:tcPr>
            <w:tcW w:w="0" w:type="dxa"/>
            <w:vAlign w:val="bottom"/>
          </w:tcPr>
          <w:p>
            <w:pPr>
              <w:spacing w:after="0"/>
              <w:rPr>
                <w:sz w:val="1"/>
                <w:szCs w:val="1"/>
                <w:color w:val="auto"/>
              </w:rPr>
            </w:pPr>
          </w:p>
        </w:tc>
      </w:tr>
      <w:tr>
        <w:trPr>
          <w:trHeight w:val="135"/>
        </w:trPr>
        <w:tc>
          <w:tcPr>
            <w:tcW w:w="2420" w:type="dxa"/>
            <w:vAlign w:val="bottom"/>
          </w:tcPr>
          <w:p>
            <w:pPr>
              <w:ind w:left="20"/>
              <w:spacing w:after="0" w:line="135" w:lineRule="exact"/>
              <w:rPr>
                <w:sz w:val="20"/>
                <w:szCs w:val="20"/>
                <w:color w:val="auto"/>
              </w:rPr>
            </w:pPr>
            <w:r>
              <w:rPr>
                <w:rFonts w:ascii="Arial" w:cs="Arial" w:eastAsia="Arial" w:hAnsi="Arial"/>
                <w:sz w:val="13"/>
                <w:szCs w:val="13"/>
                <w:color w:val="auto"/>
              </w:rPr>
              <w:t>Goodwill and intangible assets, net</w:t>
            </w:r>
          </w:p>
        </w:tc>
        <w:tc>
          <w:tcPr>
            <w:tcW w:w="14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233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370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275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937</w:t>
            </w: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Other assets</w:t>
            </w:r>
          </w:p>
        </w:tc>
        <w:tc>
          <w:tcPr>
            <w:tcW w:w="14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5,188</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277</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679</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102</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123</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6,442</w:t>
            </w:r>
          </w:p>
        </w:tc>
        <w:tc>
          <w:tcPr>
            <w:tcW w:w="0" w:type="dxa"/>
            <w:vAlign w:val="bottom"/>
          </w:tcPr>
          <w:p>
            <w:pPr>
              <w:spacing w:after="0"/>
              <w:rPr>
                <w:sz w:val="1"/>
                <w:szCs w:val="1"/>
                <w:color w:val="auto"/>
              </w:rPr>
            </w:pPr>
          </w:p>
        </w:tc>
      </w:tr>
      <w:tr>
        <w:trPr>
          <w:trHeight w:val="168"/>
        </w:trPr>
        <w:tc>
          <w:tcPr>
            <w:tcW w:w="2420" w:type="dxa"/>
            <w:vAlign w:val="bottom"/>
            <w:tcBorders>
              <w:bottom w:val="single" w:sz="8" w:color="CCEEFF"/>
            </w:tcBorders>
          </w:tcPr>
          <w:p>
            <w:pPr>
              <w:ind w:left="100"/>
              <w:spacing w:after="0" w:line="129" w:lineRule="exact"/>
              <w:rPr>
                <w:sz w:val="20"/>
                <w:szCs w:val="20"/>
                <w:color w:val="auto"/>
              </w:rPr>
            </w:pPr>
            <w:r>
              <w:rPr>
                <w:rFonts w:ascii="Arial" w:cs="Arial" w:eastAsia="Arial" w:hAnsi="Arial"/>
                <w:sz w:val="13"/>
                <w:szCs w:val="13"/>
                <w:color w:val="auto"/>
              </w:rPr>
              <w:t>Total assets</w:t>
            </w: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17,207</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5"/>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8"/>
              </w:rPr>
              <w:t>4,917</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3,063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471</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233</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494</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224</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322</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1,366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28,297</w:t>
            </w:r>
          </w:p>
        </w:tc>
        <w:tc>
          <w:tcPr>
            <w:tcW w:w="0" w:type="dxa"/>
            <w:vAlign w:val="bottom"/>
          </w:tcPr>
          <w:p>
            <w:pPr>
              <w:spacing w:after="0"/>
              <w:rPr>
                <w:sz w:val="1"/>
                <w:szCs w:val="1"/>
                <w:color w:val="auto"/>
              </w:rPr>
            </w:pPr>
          </w:p>
        </w:tc>
      </w:tr>
      <w:tr>
        <w:trPr>
          <w:trHeight w:val="116"/>
        </w:trPr>
        <w:tc>
          <w:tcPr>
            <w:tcW w:w="2420" w:type="dxa"/>
            <w:vAlign w:val="bottom"/>
            <w:shd w:val="clear" w:color="auto" w:fill="CCEEFF"/>
          </w:tcPr>
          <w:p>
            <w:pPr>
              <w:ind w:left="360"/>
              <w:spacing w:after="0" w:line="116" w:lineRule="exact"/>
              <w:rPr>
                <w:sz w:val="20"/>
                <w:szCs w:val="20"/>
                <w:color w:val="auto"/>
              </w:rPr>
            </w:pPr>
            <w:r>
              <w:rPr>
                <w:rFonts w:ascii="Arial" w:cs="Arial" w:eastAsia="Arial" w:hAnsi="Arial"/>
                <w:sz w:val="13"/>
                <w:szCs w:val="13"/>
                <w:b w:val="1"/>
                <w:bCs w:val="1"/>
                <w:color w:val="auto"/>
              </w:rPr>
              <w:t>LIABILITIES AND EQUITY</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20" w:type="dxa"/>
            <w:vAlign w:val="bottom"/>
          </w:tcPr>
          <w:p>
            <w:pPr>
              <w:ind w:left="20"/>
              <w:spacing w:after="0" w:line="121" w:lineRule="exact"/>
              <w:rPr>
                <w:sz w:val="20"/>
                <w:szCs w:val="20"/>
                <w:color w:val="auto"/>
              </w:rPr>
            </w:pPr>
            <w:r>
              <w:rPr>
                <w:rFonts w:ascii="Arial" w:cs="Arial" w:eastAsia="Arial" w:hAnsi="Arial"/>
                <w:sz w:val="13"/>
                <w:szCs w:val="13"/>
                <w:color w:val="auto"/>
                <w:w w:val="98"/>
              </w:rPr>
              <w:t>Accounts payable, accrued expenses and</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140"/>
              <w:spacing w:after="0"/>
              <w:rPr>
                <w:sz w:val="20"/>
                <w:szCs w:val="20"/>
                <w:color w:val="auto"/>
              </w:rPr>
            </w:pPr>
            <w:r>
              <w:rPr>
                <w:rFonts w:ascii="Arial" w:cs="Arial" w:eastAsia="Arial" w:hAnsi="Arial"/>
                <w:sz w:val="13"/>
                <w:szCs w:val="13"/>
                <w:color w:val="auto"/>
              </w:rPr>
              <w:t>other liabilities</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2,100</w:t>
            </w:r>
          </w:p>
        </w:tc>
        <w:tc>
          <w:tcPr>
            <w:tcW w:w="100" w:type="dxa"/>
            <w:vAlign w:val="bottom"/>
          </w:tcPr>
          <w:p>
            <w:pPr>
              <w:spacing w:after="0"/>
              <w:rPr>
                <w:sz w:val="12"/>
                <w:szCs w:val="12"/>
                <w:color w:val="auto"/>
              </w:rPr>
            </w:pPr>
          </w:p>
        </w:tc>
        <w:tc>
          <w:tcPr>
            <w:tcW w:w="120" w:type="dxa"/>
            <w:vAlign w:val="bottom"/>
          </w:tcPr>
          <w:p>
            <w:pPr>
              <w:jc w:val="right"/>
              <w:ind w:right="5"/>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8"/>
              </w:rPr>
              <w:t>1,450</w:t>
            </w:r>
          </w:p>
        </w:tc>
        <w:tc>
          <w:tcPr>
            <w:tcW w:w="80" w:type="dxa"/>
            <w:vAlign w:val="bottom"/>
          </w:tcPr>
          <w:p>
            <w:pPr>
              <w:spacing w:after="0"/>
              <w:rPr>
                <w:sz w:val="12"/>
                <w:szCs w:val="12"/>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1,153</w:t>
            </w:r>
          </w:p>
        </w:tc>
        <w:tc>
          <w:tcPr>
            <w:tcW w:w="10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163</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72</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64</w:t>
            </w:r>
          </w:p>
        </w:tc>
        <w:tc>
          <w:tcPr>
            <w:tcW w:w="120" w:type="dxa"/>
            <w:vAlign w:val="bottom"/>
          </w:tcPr>
          <w:p>
            <w:pPr>
              <w:spacing w:after="0"/>
              <w:rPr>
                <w:sz w:val="12"/>
                <w:szCs w:val="12"/>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52</w:t>
            </w:r>
          </w:p>
        </w:tc>
        <w:tc>
          <w:tcPr>
            <w:tcW w:w="8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692</w:t>
            </w:r>
          </w:p>
        </w:tc>
        <w:tc>
          <w:tcPr>
            <w:tcW w:w="100" w:type="dxa"/>
            <w:vAlign w:val="bottom"/>
          </w:tcPr>
          <w:p>
            <w:pPr>
              <w:spacing w:after="0"/>
              <w:rPr>
                <w:sz w:val="12"/>
                <w:szCs w:val="12"/>
                <w:color w:val="auto"/>
              </w:rPr>
            </w:pPr>
          </w:p>
        </w:tc>
        <w:tc>
          <w:tcPr>
            <w:tcW w:w="200" w:type="dxa"/>
            <w:vAlign w:val="bottom"/>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5,796</w:t>
            </w:r>
          </w:p>
        </w:tc>
        <w:tc>
          <w:tcPr>
            <w:tcW w:w="0" w:type="dxa"/>
            <w:vAlign w:val="bottom"/>
          </w:tcPr>
          <w:p>
            <w:pPr>
              <w:spacing w:after="0"/>
              <w:rPr>
                <w:sz w:val="1"/>
                <w:szCs w:val="1"/>
                <w:color w:val="auto"/>
              </w:rPr>
            </w:pPr>
          </w:p>
        </w:tc>
      </w:tr>
      <w:tr>
        <w:trPr>
          <w:trHeight w:val="121"/>
        </w:trPr>
        <w:tc>
          <w:tcPr>
            <w:tcW w:w="242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Securities sold, not yet purchased, at fair</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value</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4,863</w:t>
            </w:r>
          </w:p>
        </w:tc>
        <w:tc>
          <w:tcPr>
            <w:tcW w:w="0" w:type="dxa"/>
            <w:vAlign w:val="bottom"/>
          </w:tcPr>
          <w:p>
            <w:pPr>
              <w:spacing w:after="0"/>
              <w:rPr>
                <w:sz w:val="1"/>
                <w:szCs w:val="1"/>
                <w:color w:val="auto"/>
              </w:rPr>
            </w:pPr>
          </w:p>
        </w:tc>
      </w:tr>
      <w:tr>
        <w:trPr>
          <w:trHeight w:val="135"/>
        </w:trPr>
        <w:tc>
          <w:tcPr>
            <w:tcW w:w="2420" w:type="dxa"/>
            <w:vAlign w:val="bottom"/>
          </w:tcPr>
          <w:p>
            <w:pPr>
              <w:ind w:left="20"/>
              <w:spacing w:after="0" w:line="135" w:lineRule="exact"/>
              <w:rPr>
                <w:sz w:val="20"/>
                <w:szCs w:val="20"/>
                <w:color w:val="auto"/>
              </w:rPr>
            </w:pPr>
            <w:r>
              <w:rPr>
                <w:rFonts w:ascii="Arial" w:cs="Arial" w:eastAsia="Arial" w:hAnsi="Arial"/>
                <w:sz w:val="13"/>
                <w:szCs w:val="13"/>
                <w:color w:val="auto"/>
              </w:rPr>
              <w:t>Debt</w:t>
            </w:r>
          </w:p>
        </w:tc>
        <w:tc>
          <w:tcPr>
            <w:tcW w:w="14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w w:val="98"/>
              </w:rPr>
              <w:t>1,691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352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156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23</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5,805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8,056</w:t>
            </w:r>
          </w:p>
        </w:tc>
        <w:tc>
          <w:tcPr>
            <w:tcW w:w="0" w:type="dxa"/>
            <w:vAlign w:val="bottom"/>
          </w:tcPr>
          <w:p>
            <w:pPr>
              <w:spacing w:after="0"/>
              <w:rPr>
                <w:sz w:val="1"/>
                <w:szCs w:val="1"/>
                <w:color w:val="auto"/>
              </w:rPr>
            </w:pPr>
          </w:p>
        </w:tc>
      </w:tr>
      <w:tr>
        <w:trPr>
          <w:trHeight w:val="128"/>
        </w:trPr>
        <w:tc>
          <w:tcPr>
            <w:tcW w:w="242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Total liabilities</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6,963</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3,141</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1,505</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319</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87</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52</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6,497</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18,715</w:t>
            </w:r>
          </w:p>
        </w:tc>
        <w:tc>
          <w:tcPr>
            <w:tcW w:w="0" w:type="dxa"/>
            <w:vAlign w:val="bottom"/>
          </w:tcPr>
          <w:p>
            <w:pPr>
              <w:spacing w:after="0"/>
              <w:rPr>
                <w:sz w:val="1"/>
                <w:szCs w:val="1"/>
                <w:color w:val="auto"/>
              </w:rPr>
            </w:pPr>
          </w:p>
        </w:tc>
      </w:tr>
      <w:tr>
        <w:trPr>
          <w:trHeight w:val="128"/>
        </w:trPr>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Equity attributable to Icahn Enterprises</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4,675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1,006</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1,558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137</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(5,131)</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3,230</w:t>
            </w:r>
          </w:p>
        </w:tc>
        <w:tc>
          <w:tcPr>
            <w:tcW w:w="0" w:type="dxa"/>
            <w:vAlign w:val="bottom"/>
          </w:tcPr>
          <w:p>
            <w:pPr>
              <w:spacing w:after="0"/>
              <w:rPr>
                <w:sz w:val="1"/>
                <w:szCs w:val="1"/>
                <w:color w:val="auto"/>
              </w:rPr>
            </w:pPr>
          </w:p>
        </w:tc>
      </w:tr>
      <w:tr>
        <w:trPr>
          <w:trHeight w:val="121"/>
        </w:trPr>
        <w:tc>
          <w:tcPr>
            <w:tcW w:w="2420" w:type="dxa"/>
            <w:vAlign w:val="bottom"/>
          </w:tcPr>
          <w:p>
            <w:pPr>
              <w:ind w:left="20"/>
              <w:spacing w:after="0" w:line="121" w:lineRule="exact"/>
              <w:rPr>
                <w:sz w:val="20"/>
                <w:szCs w:val="20"/>
                <w:color w:val="auto"/>
              </w:rPr>
            </w:pPr>
            <w:r>
              <w:rPr>
                <w:rFonts w:ascii="Arial" w:cs="Arial" w:eastAsia="Arial" w:hAnsi="Arial"/>
                <w:sz w:val="13"/>
                <w:szCs w:val="13"/>
                <w:color w:val="auto"/>
              </w:rPr>
              <w:t>Equity attributable to non-controlling</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140"/>
              <w:spacing w:after="0"/>
              <w:rPr>
                <w:sz w:val="20"/>
                <w:szCs w:val="20"/>
                <w:color w:val="auto"/>
              </w:rPr>
            </w:pPr>
            <w:r>
              <w:rPr>
                <w:rFonts w:ascii="Arial" w:cs="Arial" w:eastAsia="Arial" w:hAnsi="Arial"/>
                <w:sz w:val="13"/>
                <w:szCs w:val="13"/>
                <w:color w:val="auto"/>
              </w:rPr>
              <w:t>interests</w:t>
            </w: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5,569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770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6,352</w:t>
            </w:r>
          </w:p>
        </w:tc>
        <w:tc>
          <w:tcPr>
            <w:tcW w:w="0" w:type="dxa"/>
            <w:vAlign w:val="bottom"/>
          </w:tcPr>
          <w:p>
            <w:pPr>
              <w:spacing w:after="0"/>
              <w:rPr>
                <w:sz w:val="1"/>
                <w:szCs w:val="1"/>
                <w:color w:val="auto"/>
              </w:rPr>
            </w:pPr>
          </w:p>
        </w:tc>
      </w:tr>
      <w:tr>
        <w:trPr>
          <w:trHeight w:val="129"/>
        </w:trPr>
        <w:tc>
          <w:tcPr>
            <w:tcW w:w="242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Total equity</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10,244</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1,776</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1,558</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152</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133</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443</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137</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270</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(5,131)</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9,582</w:t>
            </w:r>
          </w:p>
        </w:tc>
        <w:tc>
          <w:tcPr>
            <w:tcW w:w="0" w:type="dxa"/>
            <w:vAlign w:val="bottom"/>
          </w:tcPr>
          <w:p>
            <w:pPr>
              <w:spacing w:after="0"/>
              <w:rPr>
                <w:sz w:val="1"/>
                <w:szCs w:val="1"/>
                <w:color w:val="auto"/>
              </w:rPr>
            </w:pPr>
          </w:p>
        </w:tc>
      </w:tr>
      <w:tr>
        <w:trPr>
          <w:trHeight w:val="128"/>
        </w:trPr>
        <w:tc>
          <w:tcPr>
            <w:tcW w:w="2420" w:type="dxa"/>
            <w:vAlign w:val="bottom"/>
          </w:tcPr>
          <w:p>
            <w:pPr>
              <w:ind w:left="100"/>
              <w:spacing w:after="0" w:line="129" w:lineRule="exact"/>
              <w:rPr>
                <w:sz w:val="20"/>
                <w:szCs w:val="20"/>
                <w:color w:val="auto"/>
              </w:rPr>
            </w:pPr>
            <w:r>
              <w:rPr>
                <w:rFonts w:ascii="Arial" w:cs="Arial" w:eastAsia="Arial" w:hAnsi="Arial"/>
                <w:sz w:val="13"/>
                <w:szCs w:val="13"/>
                <w:color w:val="auto"/>
              </w:rPr>
              <w:t>Total liabilities and equity</w:t>
            </w: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17,207</w:t>
            </w:r>
          </w:p>
        </w:tc>
        <w:tc>
          <w:tcPr>
            <w:tcW w:w="100" w:type="dxa"/>
            <w:vAlign w:val="bottom"/>
          </w:tcPr>
          <w:p>
            <w:pPr>
              <w:spacing w:after="0"/>
              <w:rPr>
                <w:sz w:val="11"/>
                <w:szCs w:val="11"/>
                <w:color w:val="auto"/>
              </w:rPr>
            </w:pPr>
          </w:p>
        </w:tc>
        <w:tc>
          <w:tcPr>
            <w:tcW w:w="120" w:type="dxa"/>
            <w:vAlign w:val="bottom"/>
            <w:tcBorders>
              <w:bottom w:val="single" w:sz="8" w:color="auto"/>
            </w:tcBorders>
          </w:tcPr>
          <w:p>
            <w:pPr>
              <w:jc w:val="right"/>
              <w:ind w:right="5"/>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8"/>
              </w:rPr>
              <w:t>4,917</w:t>
            </w: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3,063</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471</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233</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494</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224</w:t>
            </w:r>
          </w:p>
        </w:tc>
        <w:tc>
          <w:tcPr>
            <w:tcW w:w="120" w:type="dxa"/>
            <w:vAlign w:val="bottom"/>
          </w:tcPr>
          <w:p>
            <w:pPr>
              <w:spacing w:after="0"/>
              <w:rPr>
                <w:sz w:val="11"/>
                <w:szCs w:val="11"/>
                <w:color w:val="auto"/>
              </w:rPr>
            </w:pPr>
          </w:p>
        </w:tc>
        <w:tc>
          <w:tcPr>
            <w:tcW w:w="20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322</w:t>
            </w:r>
          </w:p>
        </w:tc>
        <w:tc>
          <w:tcPr>
            <w:tcW w:w="80" w:type="dxa"/>
            <w:vAlign w:val="bottom"/>
          </w:tcPr>
          <w:p>
            <w:pPr>
              <w:spacing w:after="0"/>
              <w:rPr>
                <w:sz w:val="11"/>
                <w:szCs w:val="11"/>
                <w:color w:val="auto"/>
              </w:rPr>
            </w:pPr>
          </w:p>
        </w:tc>
        <w:tc>
          <w:tcPr>
            <w:tcW w:w="12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1,366</w:t>
            </w:r>
          </w:p>
        </w:tc>
        <w:tc>
          <w:tcPr>
            <w:tcW w:w="100" w:type="dxa"/>
            <w:vAlign w:val="bottom"/>
          </w:tcPr>
          <w:p>
            <w:pPr>
              <w:spacing w:after="0"/>
              <w:rPr>
                <w:sz w:val="11"/>
                <w:szCs w:val="11"/>
                <w:color w:val="auto"/>
              </w:rPr>
            </w:pPr>
          </w:p>
        </w:tc>
        <w:tc>
          <w:tcPr>
            <w:tcW w:w="200" w:type="dxa"/>
            <w:vAlign w:val="bottom"/>
            <w:tcBorders>
              <w:bottom w:val="single" w:sz="8" w:color="auto"/>
            </w:tcBorders>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28,297</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87"/>
              </w:rPr>
              <w:t>December 31, 2020</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w w:val="95"/>
              </w:rPr>
              <w:t>Food</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rPr>
              <w:t>Real</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jc w:val="right"/>
              <w:ind w:right="57"/>
              <w:spacing w:after="0" w:line="110" w:lineRule="exact"/>
              <w:rPr>
                <w:sz w:val="20"/>
                <w:szCs w:val="20"/>
                <w:color w:val="auto"/>
              </w:rPr>
            </w:pPr>
            <w:r>
              <w:rPr>
                <w:rFonts w:ascii="Arial" w:cs="Arial" w:eastAsia="Arial" w:hAnsi="Arial"/>
                <w:sz w:val="12"/>
                <w:szCs w:val="12"/>
                <w:b w:val="1"/>
                <w:bCs w:val="1"/>
                <w:color w:val="auto"/>
                <w:w w:val="95"/>
              </w:rPr>
              <w:t>Home</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Holding</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780" w:type="dxa"/>
            <w:vAlign w:val="bottom"/>
            <w:gridSpan w:val="4"/>
          </w:tcPr>
          <w:p>
            <w:pPr>
              <w:ind w:left="140"/>
              <w:spacing w:after="0"/>
              <w:rPr>
                <w:sz w:val="20"/>
                <w:szCs w:val="20"/>
                <w:color w:val="auto"/>
              </w:rPr>
            </w:pPr>
            <w:r>
              <w:rPr>
                <w:rFonts w:ascii="Arial" w:cs="Arial" w:eastAsia="Arial" w:hAnsi="Arial"/>
                <w:sz w:val="13"/>
                <w:szCs w:val="13"/>
                <w:b w:val="1"/>
                <w:bCs w:val="1"/>
                <w:color w:val="auto"/>
                <w:w w:val="90"/>
              </w:rPr>
              <w:t>Investment</w:t>
            </w:r>
          </w:p>
        </w:tc>
        <w:tc>
          <w:tcPr>
            <w:tcW w:w="6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b w:val="1"/>
                <w:bCs w:val="1"/>
                <w:color w:val="auto"/>
                <w:w w:val="95"/>
              </w:rPr>
              <w:t>Energy</w:t>
            </w:r>
          </w:p>
        </w:tc>
        <w:tc>
          <w:tcPr>
            <w:tcW w:w="720" w:type="dxa"/>
            <w:vAlign w:val="bottom"/>
            <w:gridSpan w:val="3"/>
          </w:tcPr>
          <w:p>
            <w:pPr>
              <w:jc w:val="right"/>
              <w:spacing w:after="0"/>
              <w:rPr>
                <w:sz w:val="20"/>
                <w:szCs w:val="20"/>
                <w:color w:val="auto"/>
              </w:rPr>
            </w:pPr>
            <w:r>
              <w:rPr>
                <w:rFonts w:ascii="Arial" w:cs="Arial" w:eastAsia="Arial" w:hAnsi="Arial"/>
                <w:sz w:val="13"/>
                <w:szCs w:val="13"/>
                <w:b w:val="1"/>
                <w:bCs w:val="1"/>
                <w:color w:val="auto"/>
                <w:w w:val="97"/>
              </w:rPr>
              <w:t>Automotive</w:t>
            </w:r>
          </w:p>
        </w:tc>
        <w:tc>
          <w:tcPr>
            <w:tcW w:w="660" w:type="dxa"/>
            <w:vAlign w:val="bottom"/>
            <w:gridSpan w:val="3"/>
          </w:tcPr>
          <w:p>
            <w:pPr>
              <w:ind w:left="100"/>
              <w:spacing w:after="0"/>
              <w:rPr>
                <w:sz w:val="20"/>
                <w:szCs w:val="20"/>
                <w:color w:val="auto"/>
              </w:rPr>
            </w:pPr>
            <w:r>
              <w:rPr>
                <w:rFonts w:ascii="Arial" w:cs="Arial" w:eastAsia="Arial" w:hAnsi="Arial"/>
                <w:sz w:val="13"/>
                <w:szCs w:val="13"/>
                <w:b w:val="1"/>
                <w:bCs w:val="1"/>
                <w:color w:val="auto"/>
                <w:w w:val="82"/>
              </w:rPr>
              <w:t>Packaging</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ind w:right="17"/>
              <w:spacing w:after="0"/>
              <w:rPr>
                <w:sz w:val="20"/>
                <w:szCs w:val="20"/>
                <w:color w:val="auto"/>
              </w:rPr>
            </w:pPr>
            <w:r>
              <w:rPr>
                <w:rFonts w:ascii="Arial" w:cs="Arial" w:eastAsia="Arial" w:hAnsi="Arial"/>
                <w:sz w:val="13"/>
                <w:szCs w:val="13"/>
                <w:b w:val="1"/>
                <w:bCs w:val="1"/>
                <w:color w:val="auto"/>
                <w:w w:val="83"/>
              </w:rPr>
              <w:t>Metals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b w:val="1"/>
                <w:bCs w:val="1"/>
                <w:color w:val="auto"/>
                <w:w w:val="81"/>
              </w:rPr>
              <w:t>Estate</w:t>
            </w:r>
          </w:p>
        </w:tc>
        <w:tc>
          <w:tcPr>
            <w:tcW w:w="10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w w:val="88"/>
              </w:rPr>
              <w:t>Fashion</w:t>
            </w: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Pharma</w:t>
            </w:r>
          </w:p>
        </w:tc>
        <w:tc>
          <w:tcPr>
            <w:tcW w:w="10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3"/>
                <w:szCs w:val="13"/>
                <w:b w:val="1"/>
                <w:bCs w:val="1"/>
                <w:color w:val="auto"/>
                <w:w w:val="97"/>
              </w:rPr>
              <w:t>Company</w:t>
            </w:r>
          </w:p>
        </w:tc>
        <w:tc>
          <w:tcPr>
            <w:tcW w:w="2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4"/>
          </w:tcPr>
          <w:p>
            <w:pPr>
              <w:jc w:val="right"/>
              <w:ind w:right="137"/>
              <w:spacing w:after="0" w:line="115" w:lineRule="exact"/>
              <w:rPr>
                <w:sz w:val="20"/>
                <w:szCs w:val="20"/>
                <w:color w:val="auto"/>
              </w:rPr>
            </w:pPr>
            <w:r>
              <w:rPr>
                <w:rFonts w:ascii="Arial" w:cs="Arial" w:eastAsia="Arial" w:hAnsi="Arial"/>
                <w:sz w:val="13"/>
                <w:szCs w:val="13"/>
                <w:color w:val="auto"/>
              </w:rPr>
              <w:t>(in millions)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shd w:val="clear" w:color="auto" w:fill="CCEEFF"/>
          </w:tcPr>
          <w:p>
            <w:pPr>
              <w:ind w:left="860"/>
              <w:spacing w:after="0" w:line="135" w:lineRule="exact"/>
              <w:rPr>
                <w:sz w:val="20"/>
                <w:szCs w:val="20"/>
                <w:color w:val="auto"/>
              </w:rPr>
            </w:pPr>
            <w:r>
              <w:rPr>
                <w:rFonts w:ascii="Arial" w:cs="Arial" w:eastAsia="Arial" w:hAnsi="Arial"/>
                <w:sz w:val="13"/>
                <w:szCs w:val="13"/>
                <w:b w:val="1"/>
                <w:bCs w:val="1"/>
                <w:color w:val="auto"/>
              </w:rPr>
              <w:t>ASSETS</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line="135" w:lineRule="exact"/>
              <w:rPr>
                <w:sz w:val="20"/>
                <w:szCs w:val="20"/>
                <w:color w:val="auto"/>
              </w:rPr>
            </w:pPr>
            <w:r>
              <w:rPr>
                <w:rFonts w:ascii="Arial" w:cs="Arial" w:eastAsia="Arial" w:hAnsi="Arial"/>
                <w:sz w:val="13"/>
                <w:szCs w:val="13"/>
                <w:color w:val="auto"/>
              </w:rPr>
              <w:t>Cash and cash equivalents</w:t>
            </w:r>
          </w:p>
        </w:tc>
        <w:tc>
          <w:tcPr>
            <w:tcW w:w="280" w:type="dxa"/>
            <w:vAlign w:val="bottom"/>
            <w:gridSpan w:val="2"/>
          </w:tcPr>
          <w:p>
            <w:pPr>
              <w:jc w:val="right"/>
              <w:ind w:right="54"/>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40" w:type="dxa"/>
            <w:vAlign w:val="bottom"/>
          </w:tcPr>
          <w:p>
            <w:pPr>
              <w:spacing w:after="0"/>
              <w:rPr>
                <w:sz w:val="11"/>
                <w:szCs w:val="11"/>
                <w:color w:val="auto"/>
              </w:rPr>
            </w:pPr>
          </w:p>
        </w:tc>
        <w:tc>
          <w:tcPr>
            <w:tcW w:w="180" w:type="dxa"/>
            <w:vAlign w:val="bottom"/>
            <w:gridSpan w:val="2"/>
          </w:tcPr>
          <w:p>
            <w:pPr>
              <w:jc w:val="right"/>
              <w:ind w:right="4"/>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667</w:t>
            </w:r>
          </w:p>
        </w:tc>
        <w:tc>
          <w:tcPr>
            <w:tcW w:w="280" w:type="dxa"/>
            <w:vAlign w:val="bottom"/>
            <w:gridSpan w:val="2"/>
          </w:tcPr>
          <w:p>
            <w:pPr>
              <w:jc w:val="right"/>
              <w:ind w:right="68"/>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25</w:t>
            </w:r>
          </w:p>
        </w:tc>
        <w:tc>
          <w:tcPr>
            <w:tcW w:w="2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320" w:type="dxa"/>
            <w:vAlign w:val="bottom"/>
            <w:gridSpan w:val="2"/>
          </w:tcPr>
          <w:p>
            <w:pPr>
              <w:jc w:val="right"/>
              <w:ind w:right="64"/>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2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925</w:t>
            </w:r>
          </w:p>
        </w:tc>
        <w:tc>
          <w:tcPr>
            <w:tcW w:w="60" w:type="dxa"/>
            <w:vAlign w:val="bottom"/>
          </w:tcPr>
          <w:p>
            <w:pPr>
              <w:spacing w:after="0"/>
              <w:rPr>
                <w:sz w:val="11"/>
                <w:szCs w:val="11"/>
                <w:color w:val="auto"/>
              </w:rPr>
            </w:pPr>
          </w:p>
        </w:tc>
        <w:tc>
          <w:tcPr>
            <w:tcW w:w="220" w:type="dxa"/>
            <w:vAlign w:val="bottom"/>
            <w:gridSpan w:val="2"/>
          </w:tcPr>
          <w:p>
            <w:pPr>
              <w:jc w:val="right"/>
              <w:ind w:right="122"/>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1,679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Cash held at consolidated affiliated</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partnerships and restricted cash</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1,558</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line="135" w:lineRule="exact"/>
              <w:rPr>
                <w:sz w:val="20"/>
                <w:szCs w:val="20"/>
                <w:color w:val="auto"/>
              </w:rPr>
            </w:pPr>
            <w:r>
              <w:rPr>
                <w:rFonts w:ascii="Arial" w:cs="Arial" w:eastAsia="Arial" w:hAnsi="Arial"/>
                <w:sz w:val="13"/>
                <w:szCs w:val="13"/>
                <w:color w:val="auto"/>
              </w:rPr>
              <w:t>Investments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8,239</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253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40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366</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8,913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Accounts receivable, net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178</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line="135" w:lineRule="exact"/>
              <w:rPr>
                <w:sz w:val="20"/>
                <w:szCs w:val="20"/>
                <w:color w:val="auto"/>
              </w:rPr>
            </w:pPr>
            <w:r>
              <w:rPr>
                <w:rFonts w:ascii="Arial" w:cs="Arial" w:eastAsia="Arial" w:hAnsi="Arial"/>
                <w:sz w:val="13"/>
                <w:szCs w:val="13"/>
                <w:color w:val="auto"/>
              </w:rPr>
              <w:t>Inventories, net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298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1,080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89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22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81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1,580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Property, plant and equipment, net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2,747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line="135" w:lineRule="exact"/>
              <w:rPr>
                <w:sz w:val="20"/>
                <w:szCs w:val="20"/>
                <w:color w:val="auto"/>
              </w:rPr>
            </w:pPr>
            <w:r>
              <w:rPr>
                <w:rFonts w:ascii="Arial" w:cs="Arial" w:eastAsia="Arial" w:hAnsi="Arial"/>
                <w:sz w:val="13"/>
                <w:szCs w:val="13"/>
                <w:color w:val="auto"/>
              </w:rPr>
              <w:t>Goodwill and intangible assets, net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238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372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282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954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assets</w:t>
            </w:r>
          </w:p>
        </w:tc>
        <w:tc>
          <w:tcPr>
            <w:tcW w:w="1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4,308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335</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582</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121</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5,518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80" w:type="dxa"/>
            <w:vAlign w:val="bottom"/>
            <w:tcBorders>
              <w:bottom w:val="single" w:sz="8" w:color="CCEEFF"/>
            </w:tcBorders>
          </w:tcPr>
          <w:p>
            <w:pPr>
              <w:ind w:left="80"/>
              <w:spacing w:after="0" w:line="129" w:lineRule="exact"/>
              <w:rPr>
                <w:sz w:val="20"/>
                <w:szCs w:val="20"/>
                <w:color w:val="auto"/>
              </w:rPr>
            </w:pPr>
            <w:r>
              <w:rPr>
                <w:rFonts w:ascii="Arial" w:cs="Arial" w:eastAsia="Arial" w:hAnsi="Arial"/>
                <w:sz w:val="13"/>
                <w:szCs w:val="13"/>
                <w:color w:val="auto"/>
              </w:rPr>
              <w:t>Total assets</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14,119</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8"/>
              </w:rPr>
              <w:t>4,723</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3,085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487</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217</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486</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227</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1,315</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122"/>
              <w:spacing w:after="0"/>
              <w:rPr>
                <w:sz w:val="20"/>
                <w:szCs w:val="20"/>
                <w:color w:val="auto"/>
              </w:rPr>
            </w:pPr>
            <w:r>
              <w:rPr>
                <w:rFonts w:ascii="Arial" w:cs="Arial" w:eastAsia="Arial" w:hAnsi="Arial"/>
                <w:sz w:val="5"/>
                <w:szCs w:val="5"/>
                <w:color w:val="auto"/>
                <w:w w:val="70"/>
              </w:rPr>
              <w:t>$</w:t>
            </w: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24,985</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80" w:type="dxa"/>
            <w:vAlign w:val="bottom"/>
            <w:shd w:val="clear" w:color="auto" w:fill="CCEEFF"/>
          </w:tcPr>
          <w:p>
            <w:pPr>
              <w:ind w:left="300"/>
              <w:spacing w:after="0" w:line="116" w:lineRule="exact"/>
              <w:rPr>
                <w:sz w:val="20"/>
                <w:szCs w:val="20"/>
                <w:color w:val="auto"/>
              </w:rPr>
            </w:pPr>
            <w:r>
              <w:rPr>
                <w:rFonts w:ascii="Arial" w:cs="Arial" w:eastAsia="Arial" w:hAnsi="Arial"/>
                <w:sz w:val="13"/>
                <w:szCs w:val="13"/>
                <w:b w:val="1"/>
                <w:bCs w:val="1"/>
                <w:color w:val="auto"/>
              </w:rPr>
              <w:t>LIABILITIES AND EQUITY</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80" w:type="dxa"/>
            <w:vAlign w:val="bottom"/>
          </w:tcPr>
          <w:p>
            <w:pPr>
              <w:spacing w:after="0" w:line="121" w:lineRule="exact"/>
              <w:rPr>
                <w:sz w:val="20"/>
                <w:szCs w:val="20"/>
                <w:color w:val="auto"/>
              </w:rPr>
            </w:pPr>
            <w:r>
              <w:rPr>
                <w:rFonts w:ascii="Arial" w:cs="Arial" w:eastAsia="Arial" w:hAnsi="Arial"/>
                <w:sz w:val="13"/>
                <w:szCs w:val="13"/>
                <w:color w:val="auto"/>
                <w:w w:val="89"/>
              </w:rPr>
              <w:t>Accounts payable, accrued expenses and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100"/>
              <w:spacing w:after="0"/>
              <w:rPr>
                <w:sz w:val="20"/>
                <w:szCs w:val="20"/>
                <w:color w:val="auto"/>
              </w:rPr>
            </w:pPr>
            <w:r>
              <w:rPr>
                <w:rFonts w:ascii="Arial" w:cs="Arial" w:eastAsia="Arial" w:hAnsi="Arial"/>
                <w:sz w:val="13"/>
                <w:szCs w:val="13"/>
                <w:color w:val="auto"/>
              </w:rPr>
              <w:t>other liabilities</w:t>
            </w:r>
          </w:p>
        </w:tc>
        <w:tc>
          <w:tcPr>
            <w:tcW w:w="28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2,256</w:t>
            </w:r>
          </w:p>
        </w:tc>
        <w:tc>
          <w:tcPr>
            <w:tcW w:w="40" w:type="dxa"/>
            <w:vAlign w:val="bottom"/>
          </w:tcPr>
          <w:p>
            <w:pPr>
              <w:spacing w:after="0"/>
              <w:rPr>
                <w:sz w:val="12"/>
                <w:szCs w:val="12"/>
                <w:color w:val="auto"/>
              </w:rPr>
            </w:pPr>
          </w:p>
        </w:tc>
        <w:tc>
          <w:tcPr>
            <w:tcW w:w="180" w:type="dxa"/>
            <w:vAlign w:val="bottom"/>
            <w:gridSpan w:val="2"/>
          </w:tcPr>
          <w:p>
            <w:pPr>
              <w:jc w:val="right"/>
              <w:ind w:right="4"/>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8"/>
              </w:rPr>
              <w:t>1,189</w:t>
            </w:r>
          </w:p>
        </w:tc>
        <w:tc>
          <w:tcPr>
            <w:tcW w:w="28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1,163</w:t>
            </w:r>
          </w:p>
        </w:tc>
        <w:tc>
          <w:tcPr>
            <w:tcW w:w="2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182</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73</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45</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65</w:t>
            </w:r>
          </w:p>
        </w:tc>
        <w:tc>
          <w:tcPr>
            <w:tcW w:w="32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64</w:t>
            </w: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110</w:t>
            </w:r>
          </w:p>
        </w:tc>
        <w:tc>
          <w:tcPr>
            <w:tcW w:w="60" w:type="dxa"/>
            <w:vAlign w:val="bottom"/>
          </w:tcPr>
          <w:p>
            <w:pPr>
              <w:spacing w:after="0"/>
              <w:rPr>
                <w:sz w:val="12"/>
                <w:szCs w:val="12"/>
                <w:color w:val="auto"/>
              </w:rPr>
            </w:pPr>
          </w:p>
        </w:tc>
        <w:tc>
          <w:tcPr>
            <w:tcW w:w="220" w:type="dxa"/>
            <w:vAlign w:val="bottom"/>
            <w:gridSpan w:val="2"/>
          </w:tcPr>
          <w:p>
            <w:pPr>
              <w:jc w:val="right"/>
              <w:ind w:right="122"/>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5,147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1"/>
              </w:rPr>
              <w:t>Securities sold, not yet purchased, at fair</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value</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line="135" w:lineRule="exact"/>
              <w:rPr>
                <w:sz w:val="20"/>
                <w:szCs w:val="20"/>
                <w:color w:val="auto"/>
              </w:rPr>
            </w:pPr>
            <w:r>
              <w:rPr>
                <w:rFonts w:ascii="Arial" w:cs="Arial" w:eastAsia="Arial" w:hAnsi="Arial"/>
                <w:sz w:val="13"/>
                <w:szCs w:val="13"/>
                <w:color w:val="auto"/>
              </w:rPr>
              <w:t>Debt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w w:val="98"/>
              </w:rPr>
              <w:t>1,691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368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151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5,811</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8,059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80" w:type="dxa"/>
            <w:vAlign w:val="bottom"/>
            <w:tcBorders>
              <w:top w:val="single" w:sz="8" w:color="CCEEFF"/>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Total liabilities</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4,777</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2,880</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1,531</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333</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89</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86</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5,921</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15,727</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6"/>
              </w:rPr>
              <w:t>Equity attributable to Icahn Enterprises</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4,283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1,039</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1,554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141</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7"/>
              </w:rPr>
              <w:t>(4,606)</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3,383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80" w:type="dxa"/>
            <w:vAlign w:val="bottom"/>
          </w:tcPr>
          <w:p>
            <w:pPr>
              <w:spacing w:after="0" w:line="121" w:lineRule="exact"/>
              <w:rPr>
                <w:sz w:val="20"/>
                <w:szCs w:val="20"/>
                <w:color w:val="auto"/>
              </w:rPr>
            </w:pPr>
            <w:r>
              <w:rPr>
                <w:rFonts w:ascii="Arial" w:cs="Arial" w:eastAsia="Arial" w:hAnsi="Arial"/>
                <w:sz w:val="13"/>
                <w:szCs w:val="13"/>
                <w:color w:val="auto"/>
              </w:rPr>
              <w:t>Equity attributable to non-controlling</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100"/>
              <w:spacing w:after="0"/>
              <w:rPr>
                <w:sz w:val="20"/>
                <w:szCs w:val="20"/>
                <w:color w:val="auto"/>
              </w:rPr>
            </w:pPr>
            <w:r>
              <w:rPr>
                <w:rFonts w:ascii="Arial" w:cs="Arial" w:eastAsia="Arial" w:hAnsi="Arial"/>
                <w:sz w:val="13"/>
                <w:szCs w:val="13"/>
                <w:color w:val="auto"/>
              </w:rPr>
              <w:t>interests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5,059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804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5,875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80" w:type="dxa"/>
            <w:vAlign w:val="bottom"/>
            <w:tcBorders>
              <w:top w:val="single" w:sz="8" w:color="CCEEFF"/>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Total equity</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9,342</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1,843</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1,554</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154</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128</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440</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141</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262</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(4,606)</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9,258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80" w:type="dxa"/>
            <w:vAlign w:val="bottom"/>
          </w:tcPr>
          <w:p>
            <w:pPr>
              <w:ind w:left="80"/>
              <w:spacing w:after="0" w:line="129" w:lineRule="exact"/>
              <w:rPr>
                <w:sz w:val="20"/>
                <w:szCs w:val="20"/>
                <w:color w:val="auto"/>
              </w:rPr>
            </w:pPr>
            <w:r>
              <w:rPr>
                <w:rFonts w:ascii="Arial" w:cs="Arial" w:eastAsia="Arial" w:hAnsi="Arial"/>
                <w:sz w:val="13"/>
                <w:szCs w:val="13"/>
                <w:color w:val="auto"/>
              </w:rPr>
              <w:t>Total liabilities and equity</w:t>
            </w:r>
          </w:p>
        </w:tc>
        <w:tc>
          <w:tcPr>
            <w:tcW w:w="160" w:type="dxa"/>
            <w:vAlign w:val="bottom"/>
          </w:tcPr>
          <w:p>
            <w:pPr>
              <w:spacing w:after="0"/>
              <w:rPr>
                <w:sz w:val="11"/>
                <w:szCs w:val="11"/>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14,119</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8"/>
              </w:rPr>
              <w:t>4,723</w:t>
            </w:r>
          </w:p>
        </w:tc>
        <w:tc>
          <w:tcPr>
            <w:tcW w:w="100" w:type="dxa"/>
            <w:vAlign w:val="bottom"/>
          </w:tcPr>
          <w:p>
            <w:pPr>
              <w:spacing w:after="0"/>
              <w:rPr>
                <w:sz w:val="11"/>
                <w:szCs w:val="11"/>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3,085</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487</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217</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486</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227</w:t>
            </w:r>
          </w:p>
        </w:tc>
        <w:tc>
          <w:tcPr>
            <w:tcW w:w="140" w:type="dxa"/>
            <w:vAlign w:val="bottom"/>
          </w:tcPr>
          <w:p>
            <w:pPr>
              <w:spacing w:after="0"/>
              <w:rPr>
                <w:sz w:val="11"/>
                <w:szCs w:val="11"/>
                <w:color w:val="auto"/>
              </w:rPr>
            </w:pPr>
          </w:p>
        </w:tc>
        <w:tc>
          <w:tcPr>
            <w:tcW w:w="18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326</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1,315</w:t>
            </w: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ind w:right="122"/>
              <w:spacing w:after="0"/>
              <w:rPr>
                <w:sz w:val="20"/>
                <w:szCs w:val="20"/>
                <w:color w:val="auto"/>
              </w:rPr>
            </w:pPr>
            <w:r>
              <w:rPr>
                <w:rFonts w:ascii="Arial" w:cs="Arial" w:eastAsia="Arial" w:hAnsi="Arial"/>
                <w:sz w:val="5"/>
                <w:szCs w:val="5"/>
                <w:color w:val="auto"/>
                <w:w w:val="70"/>
              </w:rPr>
              <w:t>$</w:t>
            </w: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For the three months ended March 31, 2021, we recorded an income tax expense of $17 million on pre-tax income of $616 million compared to an income tax benefit of $180 million on pre-tax loss of $2,486 million for the three months ended March 31, 2020. Our effective income tax rate was 2.8% and 7.2% for the three months ended March 31, 2021 and 2020, respectively.</w:t>
      </w:r>
    </w:p>
    <w:p>
      <w:pPr>
        <w:spacing w:after="0" w:line="18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For the three months ended March 31, 2021, the effective tax rate was lower than the statutory federal rate of</w:t>
      </w:r>
    </w:p>
    <w:p>
      <w:pPr>
        <w:spacing w:after="0" w:line="35"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21%, primarily due to partnership income for which there was no tax expense, as such loss is allocated to the partners.</w:t>
      </w:r>
    </w:p>
    <w:p>
      <w:pPr>
        <w:spacing w:after="0" w:line="234" w:lineRule="exact"/>
        <w:rPr>
          <w:sz w:val="20"/>
          <w:szCs w:val="20"/>
          <w:color w:val="auto"/>
        </w:rPr>
      </w:pPr>
    </w:p>
    <w:p>
      <w:pPr>
        <w:ind w:left="60" w:right="379" w:firstLine="324"/>
        <w:spacing w:after="0" w:line="308" w:lineRule="auto"/>
        <w:rPr>
          <w:sz w:val="20"/>
          <w:szCs w:val="20"/>
          <w:color w:val="auto"/>
        </w:rPr>
      </w:pPr>
      <w:r>
        <w:rPr>
          <w:rFonts w:ascii="Arial" w:cs="Arial" w:eastAsia="Arial" w:hAnsi="Arial"/>
          <w:sz w:val="17"/>
          <w:szCs w:val="17"/>
          <w:color w:val="auto"/>
        </w:rPr>
        <w:t>For the three months ended March 31, 2020, the effective tax rate was lower than the statutory federal rate of 21%, primarily due to partnership loss for which there was no tax benefit, as such loss is allocated to the partners.</w:t>
      </w:r>
    </w:p>
    <w:p>
      <w:pPr>
        <w:spacing w:after="0" w:line="142" w:lineRule="exact"/>
        <w:rPr>
          <w:sz w:val="20"/>
          <w:szCs w:val="20"/>
          <w:color w:val="auto"/>
        </w:rPr>
      </w:pPr>
    </w:p>
    <w:p>
      <w:pPr>
        <w:ind w:left="360" w:hanging="310"/>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Accumulated Other Comprehensive Loss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Changes in accumulated other comprehensive loss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158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Post-Retirement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54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Adjustments, Net</w:t>
            </w:r>
          </w:p>
        </w:tc>
        <w:tc>
          <w:tcPr>
            <w:tcW w:w="158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8"/>
              </w:rPr>
              <w:t>Benefits and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of Tax</w:t>
            </w:r>
          </w:p>
        </w:tc>
        <w:tc>
          <w:tcPr>
            <w:tcW w:w="158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0"/>
              </w:rPr>
              <w:t>Other, Net of Tax</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rPr>
              <w:t>(in millions)</w:t>
            </w:r>
          </w:p>
        </w:tc>
        <w:tc>
          <w:tcPr>
            <w:tcW w:w="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(49)</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w w:val="94"/>
              </w:rPr>
              <w:t>Other comprehensive loss before reclassifications, net of tax</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Reclassifications from accumulated other comprehensive</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to earnings, net of tax</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net of tax</w:t>
            </w: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2021</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(49)</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15. Other Income, Net</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80" w:type="dxa"/>
            <w:vAlign w:val="bottom"/>
          </w:tcPr>
          <w:p>
            <w:pPr>
              <w:ind w:left="340"/>
              <w:spacing w:after="0"/>
              <w:rPr>
                <w:sz w:val="20"/>
                <w:szCs w:val="20"/>
                <w:color w:val="auto"/>
              </w:rPr>
            </w:pPr>
            <w:r>
              <w:rPr>
                <w:rFonts w:ascii="Arial" w:cs="Arial" w:eastAsia="Arial" w:hAnsi="Arial"/>
                <w:sz w:val="18"/>
                <w:szCs w:val="18"/>
                <w:color w:val="auto"/>
              </w:rPr>
              <w:t>Other income, net consists of the following:</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w w:val="94"/>
              </w:rPr>
              <w:t>Three Months Ended March 31,</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5"/>
          </w:tcPr>
          <w:p>
            <w:pPr>
              <w:jc w:val="right"/>
              <w:spacing w:after="0" w:line="129" w:lineRule="exact"/>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Dividend expense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Equity earnings from non-consolidated affiliates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Gain on disposition of assets, net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Foreign currency transaction loss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Gain (loss) on extinguishment of debt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ind w:left="60" w:right="59" w:firstLine="324"/>
        <w:spacing w:after="0" w:line="293" w:lineRule="auto"/>
        <w:rPr>
          <w:sz w:val="20"/>
          <w:szCs w:val="20"/>
          <w:color w:val="auto"/>
        </w:rPr>
      </w:pPr>
      <w:r>
        <w:rPr>
          <w:rFonts w:ascii="Arial" w:cs="Arial" w:eastAsia="Arial" w:hAnsi="Arial"/>
          <w:sz w:val="16"/>
          <w:szCs w:val="16"/>
          <w:color w:val="auto"/>
        </w:rPr>
        <w:t>Due to the nature of our business, certain of our subsidiaries’ operations are subject to numerous existing and proposed laws and governmental regulations designed to protect the environment, particularly regarding plant wastes and emissions and solid waste disposal. Our consolidated environmental liabilities were $36 million and $37 million as of March 31, 2021 and December 31, 2020, respectively, primarily within our Metals and Energy segments and which are included in accrued expenses and other liabilities in our condensed consolidated balance sheets. We do not believe that environmental matters will have a material adverse impact on our consolidated results of operations and financial condition.</w:t>
      </w:r>
    </w:p>
    <w:p>
      <w:pPr>
        <w:spacing w:after="0" w:line="164" w:lineRule="exact"/>
        <w:rPr>
          <w:sz w:val="20"/>
          <w:szCs w:val="20"/>
          <w:color w:val="auto"/>
        </w:rPr>
      </w:pPr>
    </w:p>
    <w:p>
      <w:pPr>
        <w:ind w:left="60" w:right="79" w:firstLine="324"/>
        <w:spacing w:after="0" w:line="268" w:lineRule="auto"/>
        <w:rPr>
          <w:sz w:val="20"/>
          <w:szCs w:val="20"/>
          <w:color w:val="auto"/>
        </w:rPr>
      </w:pPr>
      <w:r>
        <w:rPr>
          <w:rFonts w:ascii="Arial" w:cs="Arial" w:eastAsia="Arial" w:hAnsi="Arial"/>
          <w:sz w:val="17"/>
          <w:szCs w:val="17"/>
          <w:color w:val="auto"/>
        </w:rPr>
        <w:t>On August 21, 2018, CVR Refining received a letter from the United States Department of Justice (the “DOJ”) on behalf of the Environmental Protection Agency (the “EPA”) and the Kansas Department of Health and Environment (“KDHE”) alleging violations of the Clean Air Act and a 2012 Consent Decree (“CD”) between CVR Refining, the United States (on behalf of the EPA) and KDHE at CVR Energy’s Coffeyville refinery. In June 2020, a tolling agreement between the parties relating to such allegations expired, and the United States and KDHE sent demand letters relating to the allegations (the “Stipulated Claims”) and seeking stipulated penalties. In February 2021, the DOJ and KDHE sent CVR Refining a statement of position under the CD regarding its demand for Stipulated Claims. As CVR Refining disputes most claims asserted by the government, in accordance with the CD, CVR Refining deposited funds into a commercial escrow account pending resolution of disputed claims. The escrowed funds are legally restricted for use and are included within other assets on the consolidated balance sheets. In December 2020, the DOJ and KDHE filed a supplement complaint in the United States District Court for the District of Kansas asserting nine counts for alleged violations of the Clean Air Act, the Kansas State Implementation Plan and Kansas law (the “Statutory Claims”) and seeking civil penalties, injunctive and related relief. Negotiations relating to the Stipulated Claims and the Statutory Claims are ongoing and CVR Energy cannot at this time determine the outcome of this matter, including whether such outcome, or any subsequent enforcement or litigation relating thereto would have a material impact on our Energy segment’s financial position, results of operations, or cash flows.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Renewable Fuel Standards</w:t>
      </w:r>
    </w:p>
    <w:p>
      <w:pPr>
        <w:spacing w:after="0" w:line="225" w:lineRule="exact"/>
        <w:rPr>
          <w:sz w:val="20"/>
          <w:szCs w:val="20"/>
          <w:color w:val="auto"/>
        </w:rPr>
      </w:pPr>
    </w:p>
    <w:p>
      <w:pPr>
        <w:ind w:left="60" w:right="159" w:firstLine="324"/>
        <w:spacing w:after="0" w:line="301" w:lineRule="auto"/>
        <w:rPr>
          <w:sz w:val="20"/>
          <w:szCs w:val="20"/>
          <w:color w:val="auto"/>
        </w:rPr>
      </w:pPr>
      <w:r>
        <w:rPr>
          <w:rFonts w:ascii="Arial" w:cs="Arial" w:eastAsia="Arial" w:hAnsi="Arial"/>
          <w:sz w:val="16"/>
          <w:szCs w:val="16"/>
          <w:color w:val="auto"/>
        </w:rPr>
        <w:t>CVR Refining is subject to the Renewable Fuel Standard (“RFS”) of the EPA which requires refiners to either blend renewable fuels in with their transportation fuels or purchase renewable fuel credits, known as RINs, in lieu of blending. CVR Refining is not able to blend the substantial majority of its transportation fuels and has to purchase RINs on the open market and may have to obtain waiver credits for cellulosic biofuels from the EPA, in order to comply with the RFS.</w:t>
      </w:r>
    </w:p>
    <w:p>
      <w:pPr>
        <w:spacing w:after="0" w:line="157"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For the three months ended March 31, 2021 and 2020, our Energy segment recognized expenses of $178 million and $19 million, respectively, for CVR Refining’s compliance with the RFS and which is included in cost of goods sold in the condensed consolidated statements of operations. These recognized expenses represent costs to comply with the RFS obligation through purchasing of RINs not otherwise reduced by blending of ethanol or biodiesel. At each reporting period, to the extent RINs purchased or generated through blending are less than the RFS obligation, the remaining obligation is marked-to-market using RIN market prices at period end. As of March 31, 2021 and December 31, 2020, CVR Refining’s RFS obligation was $342 million and $214 million, respectively, and is included in accrued expenses and other liabilities in the condensed consolidated balance sheets.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From time to time, we and our subsidiaries are involved in various lawsuits arising in the normal course of business. We do not believe that such normal routine litigation will have a material effect on our financial condition or results of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79" w:firstLine="324"/>
        <w:spacing w:after="0" w:line="285" w:lineRule="auto"/>
        <w:rPr>
          <w:sz w:val="20"/>
          <w:szCs w:val="20"/>
          <w:color w:val="auto"/>
        </w:rPr>
      </w:pPr>
      <w:r>
        <w:rPr>
          <w:rFonts w:ascii="Arial" w:cs="Arial" w:eastAsia="Arial" w:hAnsi="Arial"/>
          <w:sz w:val="16"/>
          <w:szCs w:val="16"/>
          <w:color w:val="auto"/>
        </w:rPr>
        <w:t>In 2019, CVR Energy, CVR Refining and its general partner, CVR Refining Holdings, Icahn Enterprises and certain directors and affiliates were named in at least one of nine lawsuits filed by purported former unitholders of CVR Refining, on behalf of themselves and an alleged class of similarly situated unitholders relating to CVR Energy’s exercise of the call option (“Call Option”) under the CVR Refining Amended and Restated Agreement of Limited Partnership assigned to it by CVR Refining’s general partner (the “Delaware Lawsuits”). The Delaware Lawsuits primarily allege breach of contract, tortious interference and breach of the implied covenant of good faith and fair dealing and seek monetary damages and attorneys’ fees, among other remedies. In January 2020, the court dismissed CVR Holdings and certain former directors of CVR Refining’s general partner from the Delaware Lawsuits, though permitted some or all of the claims to proceed against each remaining defendant. On April 6, 2020, a lawsuit was filed in the United States District Court for the Southern District of New York against the CVR Energy, CVR Refining and its general partner, CVR Refining Holdings, Icahn Enterprises, and CVR Energy’s Chief Executive Officer by purported former unitholders of CVR Refining on behalf of themselves and an alleged class of similarly situated unitholders also relating to CVR Energy’s exercise of the Call Option (the “New York Lawsuit” and together with the Delaware Lawsuits, the “Call Option Lawsuits”). The New York Lawsuit primarily alleges violations of Sections 10(b) and 20(a) of the Exchange Act, and Rule 10b-5 thereunder and seeks monetary damages and attorney’s fees, among other remedies. CVR Energy believes the Call Option Lawsuits are without merit and intends to vigorously defend against them. The Call Option Lawsuits remain in the early stages of litigation, and discovery is currently on-going. Accordingly, CVR Energy cannot determine at this time the outcome of the Call Option Lawsuits, including whether the outcome of this matter would have a material impact on our Energy segment’s financial position, results of operations, or cash flows.</w:t>
      </w:r>
    </w:p>
    <w:p>
      <w:pPr>
        <w:spacing w:after="0" w:line="169" w:lineRule="exact"/>
        <w:rPr>
          <w:sz w:val="20"/>
          <w:szCs w:val="20"/>
          <w:color w:val="auto"/>
        </w:rPr>
      </w:pPr>
    </w:p>
    <w:p>
      <w:pPr>
        <w:ind w:left="60" w:right="199" w:firstLine="324"/>
        <w:spacing w:after="0" w:line="254" w:lineRule="auto"/>
        <w:rPr>
          <w:sz w:val="20"/>
          <w:szCs w:val="20"/>
          <w:color w:val="auto"/>
        </w:rPr>
      </w:pPr>
      <w:r>
        <w:rPr>
          <w:rFonts w:ascii="Arial" w:cs="Arial" w:eastAsia="Arial" w:hAnsi="Arial"/>
          <w:sz w:val="18"/>
          <w:szCs w:val="18"/>
          <w:color w:val="auto"/>
        </w:rPr>
        <w:t>On January 27, 2021, a lawsuit was filed against the defendants in the Call Option Lawsuits in the 434th Judicial District Court of Fort Bend County, Texas by their primary and excess insurers seeking declaratory judgements determining that they owe no indemnity coverage and, for certain defendants, no defense obligations relating to the Call Option Lawsuits (the “Call Option Insurer Case”). The defendants believe the Call Option Insurer Case is without merit, intends to vigorously defend the claims against them and filed a related lawsuit in the Delaware Court of Chancery. These lawsuits are in the early stages of litigation. Accordingly, CVR Energy cannot determine at this time their outcome, including whether such outcome would have a material impact on our Energy Segment’s financial position, results of operations, or cash flows.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Pension Obligations</w:t>
      </w:r>
    </w:p>
    <w:p>
      <w:pPr>
        <w:spacing w:after="0" w:line="225" w:lineRule="exact"/>
        <w:rPr>
          <w:sz w:val="20"/>
          <w:szCs w:val="20"/>
          <w:color w:val="auto"/>
        </w:rPr>
      </w:pPr>
    </w:p>
    <w:p>
      <w:pPr>
        <w:ind w:left="60" w:right="59" w:firstLine="324"/>
        <w:spacing w:after="0" w:line="254" w:lineRule="auto"/>
        <w:rPr>
          <w:sz w:val="20"/>
          <w:szCs w:val="20"/>
          <w:color w:val="auto"/>
        </w:rPr>
      </w:pPr>
      <w:r>
        <w:rPr>
          <w:rFonts w:ascii="Arial" w:cs="Arial" w:eastAsia="Arial" w:hAnsi="Arial"/>
          <w:sz w:val="18"/>
          <w:szCs w:val="18"/>
          <w:color w:val="auto"/>
        </w:rPr>
        <w:t>Mr. Icahn, through certain affiliates, owns 100% of Icahn Enterprises GP and approximately 91% of Icahn Enterprises’ outstanding depositary units as of March 31, 2021.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139" w:firstLine="324"/>
        <w:spacing w:after="0" w:line="268" w:lineRule="auto"/>
        <w:rPr>
          <w:sz w:val="20"/>
          <w:szCs w:val="20"/>
          <w:color w:val="auto"/>
        </w:rPr>
      </w:pPr>
      <w:r>
        <w:rPr>
          <w:rFonts w:ascii="Arial" w:cs="Arial" w:eastAsia="Arial" w:hAnsi="Arial"/>
          <w:sz w:val="17"/>
          <w:szCs w:val="17"/>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Viskase and ACF. All the minimum funding requirements of the Internal Revenue Code, as amended, and the Employee Retirement Income Security Act of 1974, as amended, for the Viskase and ACF plans have been met as of March 31, 2021. If the plans were voluntarily terminated, they would be underfunded by approximately $122 million as of March 31, 2021.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Viskase or ACF to make ongoing pension contributions or to pay the unfunded liabilities upon a termination of the Viskase or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186"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The current underfunded status of the pension plans of Viskase and ACF requires them to notify the PBGC of certain “reportable events,” such as if we cease to be a member of the Viskase or ACF controlled group, or if we make certain extraordinary dividends or stock redemptions. The obligation to report could cause us to seek to delay or reconsider the occurrence of such reportable events.</w:t>
      </w:r>
    </w:p>
    <w:p>
      <w:pPr>
        <w:spacing w:after="0" w:line="187"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The U.S. Attorney’s office for the Southern District of New York contacted Icahn Enterprises L.P. in September 2017 seeking production of information pertaining to our and Mr. Icahn’s activities relating to the Renewable Fuels Standard and Mr. Icahn’s former role as an advisor to the former President of the United States. We cooperated with the request and provided information in response to the subpoena. The U.S. Attorney’s office for the Southern District of New York contacted Icahn Enterprises L.P. in June 2018 seeking production of information pertaining to trading in Manitowoc Company, Inc. securities. We cooperated with the request and provided documents in response to the subpoena. The U.S. Attorney’s office has not made any claims or allegations against us or Mr. Icahn with respect to either of the foregoing inquiries. We believe that we maintain a strong compliance program and, while no assurances can be made, we do not believe these inquiries will have a material impact on our business, financial condition, results of operations or cash flows.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00" w:type="dxa"/>
            <w:vAlign w:val="bottom"/>
            <w:gridSpan w:val="2"/>
          </w:tcPr>
          <w:p>
            <w:pPr>
              <w:ind w:left="20"/>
              <w:spacing w:after="0"/>
              <w:rPr>
                <w:sz w:val="20"/>
                <w:szCs w:val="20"/>
                <w:color w:val="auto"/>
              </w:rPr>
            </w:pPr>
            <w:r>
              <w:rPr>
                <w:rFonts w:ascii="Arial" w:cs="Arial" w:eastAsia="Arial" w:hAnsi="Arial"/>
                <w:sz w:val="18"/>
                <w:szCs w:val="18"/>
                <w:b w:val="1"/>
                <w:bCs w:val="1"/>
                <w:color w:val="auto"/>
              </w:rPr>
              <w:t>17. Supplemental Cash Flow Information</w:t>
            </w: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880" w:type="dxa"/>
            <w:vAlign w:val="bottom"/>
          </w:tcPr>
          <w:p>
            <w:pPr>
              <w:ind w:left="320"/>
              <w:spacing w:after="0"/>
              <w:rPr>
                <w:sz w:val="20"/>
                <w:szCs w:val="20"/>
                <w:color w:val="auto"/>
              </w:rPr>
            </w:pPr>
            <w:r>
              <w:rPr>
                <w:rFonts w:ascii="Arial" w:cs="Arial" w:eastAsia="Arial" w:hAnsi="Arial"/>
                <w:sz w:val="18"/>
                <w:szCs w:val="18"/>
                <w:color w:val="auto"/>
              </w:rPr>
              <w:t>Supplemental cash flow information consists of the following:</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3020" w:type="dxa"/>
            <w:vAlign w:val="bottom"/>
            <w:gridSpan w:val="6"/>
          </w:tcPr>
          <w:p>
            <w:pPr>
              <w:ind w:left="50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09"/>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129"/>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3"/>
          </w:tcPr>
          <w:p>
            <w:pPr>
              <w:jc w:val="right"/>
              <w:ind w:right="80"/>
              <w:spacing w:after="0" w:line="129" w:lineRule="exact"/>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Cash payments for interest, net of amounts capitalized</w:t>
            </w:r>
          </w:p>
        </w:tc>
        <w:tc>
          <w:tcPr>
            <w:tcW w:w="12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(117)</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Cash receipts (payments) for income taxes, net of payments</w:t>
            </w: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w w:val="99"/>
              </w:rPr>
              <w:t>Non-cash Investment segment contributions from non-controlling interests</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r>
      <w:tr>
        <w:trPr>
          <w:trHeight w:val="230"/>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Partnership distributions payable</w:t>
            </w: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0"/>
              </w:rPr>
              <w:t>(499)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661"/>
        </w:trPr>
        <w:tc>
          <w:tcPr>
            <w:tcW w:w="5900" w:type="dxa"/>
            <w:vAlign w:val="bottom"/>
            <w:gridSpan w:val="2"/>
          </w:tcPr>
          <w:p>
            <w:pPr>
              <w:jc w:val="right"/>
              <w:ind w:right="1250"/>
              <w:spacing w:after="0"/>
              <w:rPr>
                <w:sz w:val="20"/>
                <w:szCs w:val="20"/>
                <w:color w:val="auto"/>
              </w:rPr>
            </w:pPr>
            <w:r>
              <w:rPr>
                <w:rFonts w:ascii="Arial" w:cs="Arial" w:eastAsia="Arial" w:hAnsi="Arial"/>
                <w:sz w:val="18"/>
                <w:szCs w:val="18"/>
                <w:color w:val="auto"/>
              </w:rPr>
              <w:t>37</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LP Unit Distribution</w:t>
      </w:r>
    </w:p>
    <w:p>
      <w:pPr>
        <w:spacing w:after="0" w:line="225"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On May 5, 2021, the Board of Directors of the general partner of Icahn Enterprises declared a quarterly distribution in the amount of $2.00 per depositary unit, which will be paid on or about June 30, 2021 to depositary unitholders of record at the close of business on June 1, 2021. Depositary unitholders will have until June 18, 2021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5 consecutive trading days ending June 25, 2021. Icahn Enterprises will make a cash payment in lieu of issuing fractional depositary units to any unitholders electing to receive (or who are deemed to have elected to receive) depositary units.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Debt Issuance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April 2021, we refinanced certain of our senior unsecured notes. Refer to Note 10, “Debt,”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199" w:firstLine="324"/>
        <w:spacing w:after="0" w:line="275" w:lineRule="auto"/>
        <w:rPr>
          <w:sz w:val="20"/>
          <w:szCs w:val="20"/>
          <w:color w:val="auto"/>
        </w:rPr>
      </w:pPr>
      <w:r>
        <w:rPr>
          <w:rFonts w:ascii="Arial" w:cs="Arial" w:eastAsia="Arial" w:hAnsi="Arial"/>
          <w:sz w:val="17"/>
          <w:szCs w:val="17"/>
          <w:i w:val="1"/>
          <w:iCs w:val="1"/>
          <w:color w:val="auto"/>
        </w:rPr>
        <w:t>The following discussion is intended to assist you in understanding our present business and the results of operations together with our present financial condition. This section should be read in conjunction with our unaudited condensed consolidated financial statements and the accompanying notes contained in this Quarterly Report on Form 10-Q for the period ended March 31, 2021 (this “Report”), as well as our Annual Report on Form 10-K for the year ended December 31, 2020 filed with the Securities and Exchange Commission on February 26, 2021.</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Icahn Enterprises L.P. (“Icahn Enterprises”) is a master limited partnership formed in Delaware on February 17, 1987.</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Icahn Enterprises Holdings L.P. (“Icahn Enterprises Holdings”) is a limited partnership formed in Delaware 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February 17, 1987. References to “we,” “our” or “us” herein include both Icahn Enterprises and Icahn Enterprises Holdings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and their subsidiaries, unless the context otherwise requires.</w:t>
      </w:r>
    </w:p>
    <w:p>
      <w:pPr>
        <w:spacing w:after="0" w:line="211" w:lineRule="exact"/>
        <w:rPr>
          <w:sz w:val="20"/>
          <w:szCs w:val="20"/>
          <w:color w:val="auto"/>
        </w:rPr>
      </w:pPr>
    </w:p>
    <w:p>
      <w:pPr>
        <w:ind w:left="60" w:right="179" w:firstLine="324"/>
        <w:spacing w:after="0" w:line="296" w:lineRule="auto"/>
        <w:rPr>
          <w:sz w:val="20"/>
          <w:szCs w:val="20"/>
          <w:color w:val="auto"/>
        </w:rPr>
      </w:pPr>
      <w:r>
        <w:rPr>
          <w:rFonts w:ascii="Arial" w:cs="Arial" w:eastAsia="Arial" w:hAnsi="Arial"/>
          <w:sz w:val="16"/>
          <w:szCs w:val="16"/>
          <w:color w:val="auto"/>
        </w:rPr>
        <w:t>Icahn Enterprises owns a 99% limited partner interest in Icahn Enterprises Holdings. Icahn Enterprises Holdings and its subsidiaries own substantially all of the assets and liabilities of Icahn Enterprises and conduct substantially all of its operations. Therefore, the financial results of Icahn Enterprises and Icahn Enterprises Holdings are substantially the same, with differences relating primarily to allocations to the general and limited partners. We do not discuss Icahn Enterprises and Icahn Enterprises Holdings separately unless we believe it is necessary to an understanding of the businesses.</w:t>
      </w:r>
    </w:p>
    <w:p>
      <w:pPr>
        <w:spacing w:after="0" w:line="161"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Energy, Automotive, Food Packaging, Metals, Real Estate, Home Fashion and Pharma. We also report the results of our Holding Company, which includes the results of certain subsidiaries of Icahn Enterprises and Icahn Enterprises Holdings (unless otherwise noted), and investment activity and expenses associated with our Holding Company.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Transactions and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Debt Issuances</w:t>
      </w:r>
    </w:p>
    <w:p>
      <w:pPr>
        <w:spacing w:after="0" w:line="225"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In January 2021, Icahn Enterprises and Icahn Enterprises Finance Corp. (together the “Issuers”) issued $750 million in aggregate principal amount of 4.375% senior unsecured notes due 2029 (the “New 2029 Notes”). The proceeds from the New 2029 Notes were used to redeem $750 million principal amount of 6.250% senior unsecured notes due 2022, and to pay accrued interest, related fees and expenses.</w:t>
      </w:r>
    </w:p>
    <w:p>
      <w:pPr>
        <w:spacing w:after="0" w:line="187" w:lineRule="exact"/>
        <w:rPr>
          <w:sz w:val="20"/>
          <w:szCs w:val="20"/>
          <w:color w:val="auto"/>
        </w:rPr>
      </w:pPr>
    </w:p>
    <w:p>
      <w:pPr>
        <w:ind w:left="60" w:right="339" w:firstLine="324"/>
        <w:spacing w:after="0" w:line="311" w:lineRule="auto"/>
        <w:rPr>
          <w:sz w:val="20"/>
          <w:szCs w:val="20"/>
          <w:color w:val="auto"/>
        </w:rPr>
      </w:pPr>
      <w:r>
        <w:rPr>
          <w:rFonts w:ascii="Arial" w:cs="Arial" w:eastAsia="Arial" w:hAnsi="Arial"/>
          <w:sz w:val="16"/>
          <w:szCs w:val="16"/>
          <w:color w:val="auto"/>
        </w:rPr>
        <w:t>In April 2021, the Issuers issued $455 million in aggregate principal amount of additional 5.250% senior unsecured notes due 2027. The proceeds from this issuance were used to redeem the remaining $455 million principal amount of 6.250% senior unsecured notes due 2022, and to pay accrued interest, related fees and expenses.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 Changes</w:t>
      </w:r>
    </w:p>
    <w:p>
      <w:pPr>
        <w:spacing w:after="0" w:line="225" w:lineRule="exact"/>
        <w:rPr>
          <w:sz w:val="20"/>
          <w:szCs w:val="20"/>
          <w:color w:val="auto"/>
        </w:rPr>
      </w:pPr>
    </w:p>
    <w:p>
      <w:pPr>
        <w:ind w:left="60" w:right="259" w:firstLine="324"/>
        <w:spacing w:after="0" w:line="293" w:lineRule="auto"/>
        <w:rPr>
          <w:sz w:val="20"/>
          <w:szCs w:val="20"/>
          <w:color w:val="auto"/>
        </w:rPr>
      </w:pPr>
      <w:r>
        <w:rPr>
          <w:rFonts w:ascii="Arial" w:cs="Arial" w:eastAsia="Arial" w:hAnsi="Arial"/>
          <w:sz w:val="16"/>
          <w:szCs w:val="16"/>
          <w:color w:val="auto"/>
        </w:rPr>
        <w:t>On April 5, 2021, we announced the hiring of Aris Kekedjian, who will succeed Keith Cozza as President and Chief Executive Officer as of May 10, 2021. Mr. Kekedjian also joined the board of directors of our general partner. Mr. Cozza will remain with Icahn Enterprises and provide transition services through May 31, 2021 and will leave the board of directors upon his departure. We also announced on April 5, 2021 the departure of SungHwan Cho, our Chief Financial Officer, who will remain with Icahn Enterprises through a mutually agreeable transition period and will also leave the board of directors upon his departure. We are currently conducting a search for Mr. Cho’s successor.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225"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color w:val="auto"/>
        </w:rPr>
        <w:t>Our operating businesses comprise consolidated subsidiaries which operate in various industries and are managed on a decentralized basis. In addition to our Investment segment’s revenues from investment transactions, revenues for our operating businesses primarily consist of net sales of various products, services revenue, franchisor operations and leasing of real estate. Due to the structure and nature of our business, we primarily discuss the results of operations by individual reporting segment in order to better understand our consolidated operating performance. Certain other financial information is discussed on a consolidated basis following our segment discussion, including other revenues and expenses included in continuing operations as well as our results from discontinued operations. In addition to the summarized financial results below, refer to Note 12, “Segment Reporting,” to the condensed consolidated financial statements for a reconciliation of each of our reporting segment’s results of continuing operations to our consolidated results.</w:t>
      </w:r>
    </w:p>
    <w:p>
      <w:pPr>
        <w:spacing w:after="0" w:line="166" w:lineRule="exact"/>
        <w:rPr>
          <w:sz w:val="20"/>
          <w:szCs w:val="20"/>
          <w:color w:val="auto"/>
        </w:rPr>
      </w:pPr>
    </w:p>
    <w:p>
      <w:pPr>
        <w:ind w:left="60" w:right="99" w:firstLine="324"/>
        <w:spacing w:after="0" w:line="271" w:lineRule="auto"/>
        <w:rPr>
          <w:sz w:val="20"/>
          <w:szCs w:val="20"/>
          <w:color w:val="auto"/>
        </w:rPr>
      </w:pPr>
      <w:r>
        <w:rPr>
          <w:rFonts w:ascii="Arial" w:cs="Arial" w:eastAsia="Arial" w:hAnsi="Arial"/>
          <w:sz w:val="17"/>
          <w:szCs w:val="17"/>
          <w:color w:val="auto"/>
        </w:rPr>
        <w:t>Throughout 2020, the COVID-19 pandemic, and actions taken by governments and others in response thereto, has negatively impacted the global economy, financial markets, and the industries in which our subsidiaries operate. Our consolidated results of operations and financial condition have been impacted primarily by the volatility in the fair value of investments held by our Investment segment and the Holding Company as well as declines in the global demand for refined products, especially gasoline and diesel fuels, with respect to our Energy segment. The impact on our businesses has also included the acceleration of selective planned store closures in our Automotive segment and recording write-downs to inventories. The economic conditions that persisted for much of 2020 have improved in 2021 as more governments reduce restrictions and more businesses resume operations.</w:t>
      </w:r>
    </w:p>
    <w:p>
      <w:pPr>
        <w:spacing w:after="0" w:line="178"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The comparability of our summarized consolidated financial results presented below is affected primarily by the performance of the Investment Funds (as defined below), the results of operations of our Energy segment, impacted by the demand and pricing for its products, and our Holding Company’s realized and unrealized gains and losses on certain equity investments. Refer to our respective segment discussions and “Other Consolidated Results of Operations,” below for further discussion.</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Net Income (Loss)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Revenues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5"/>
          </w:tcPr>
          <w:p>
            <w:pPr>
              <w:jc w:val="right"/>
              <w:ind w:right="680"/>
              <w:spacing w:after="0"/>
              <w:rPr>
                <w:sz w:val="20"/>
                <w:szCs w:val="20"/>
                <w:color w:val="auto"/>
              </w:rPr>
            </w:pPr>
            <w:r>
              <w:rPr>
                <w:rFonts w:ascii="Arial" w:cs="Arial" w:eastAsia="Arial" w:hAnsi="Arial"/>
                <w:sz w:val="16"/>
                <w:szCs w:val="16"/>
                <w:b w:val="1"/>
                <w:bCs w:val="1"/>
                <w:color w:val="auto"/>
              </w:rPr>
              <w:t>Net Income (Loss)</w:t>
            </w:r>
          </w:p>
        </w:tc>
        <w:tc>
          <w:tcPr>
            <w:tcW w:w="2480" w:type="dxa"/>
            <w:vAlign w:val="bottom"/>
            <w:gridSpan w:val="6"/>
          </w:tcPr>
          <w:p>
            <w:pPr>
              <w:jc w:val="right"/>
              <w:ind w:right="120"/>
              <w:spacing w:after="0"/>
              <w:rPr>
                <w:sz w:val="20"/>
                <w:szCs w:val="20"/>
                <w:color w:val="auto"/>
              </w:rPr>
            </w:pPr>
            <w:r>
              <w:rPr>
                <w:rFonts w:ascii="Arial" w:cs="Arial" w:eastAsia="Arial" w:hAnsi="Arial"/>
                <w:sz w:val="16"/>
                <w:szCs w:val="16"/>
                <w:b w:val="1"/>
                <w:bCs w:val="1"/>
                <w:color w:val="auto"/>
                <w:w w:val="94"/>
              </w:rPr>
              <w:t>Attributable to Icahn Enterprises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00" w:type="dxa"/>
            <w:vAlign w:val="bottom"/>
            <w:tcBorders>
              <w:top w:val="single" w:sz="8" w:color="auto"/>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5"/>
              </w:rPr>
              <w:t>Three Months Ended March 31,</w:t>
            </w:r>
          </w:p>
        </w:tc>
        <w:tc>
          <w:tcPr>
            <w:tcW w:w="160" w:type="dxa"/>
            <w:vAlign w:val="bottom"/>
          </w:tcPr>
          <w:p>
            <w:pPr>
              <w:spacing w:after="0"/>
              <w:rPr>
                <w:sz w:val="17"/>
                <w:szCs w:val="17"/>
                <w:color w:val="auto"/>
              </w:rPr>
            </w:pPr>
          </w:p>
        </w:tc>
        <w:tc>
          <w:tcPr>
            <w:tcW w:w="230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3"/>
              </w:rPr>
              <w:t>Three Months Ended March 31,</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360" w:type="dxa"/>
            <w:vAlign w:val="bottom"/>
            <w:tcBorders>
              <w:top w:val="single" w:sz="8" w:color="auto"/>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w w:val="93"/>
              </w:rPr>
              <w:t>Three Months Ended March 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5"/>
              </w:rPr>
              <w:t>2020</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5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Investment</w:t>
            </w: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(1,765)</w:t>
            </w: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(1,802)</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gridSpan w:val="5"/>
          </w:tcPr>
          <w:p>
            <w:pPr>
              <w:ind w:left="20"/>
              <w:spacing w:after="0"/>
              <w:rPr>
                <w:sz w:val="20"/>
                <w:szCs w:val="20"/>
                <w:color w:val="auto"/>
              </w:rPr>
            </w:pPr>
            <w:r>
              <w:rPr>
                <w:rFonts w:ascii="Arial" w:cs="Arial" w:eastAsia="Arial" w:hAnsi="Arial"/>
                <w:sz w:val="16"/>
                <w:szCs w:val="16"/>
                <w:color w:val="auto"/>
              </w:rPr>
              <w:t>Holding Company</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(337)</w:t>
            </w:r>
          </w:p>
        </w:tc>
        <w:tc>
          <w:tcPr>
            <w:tcW w:w="2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(157)</w:t>
            </w:r>
          </w:p>
        </w:tc>
        <w:tc>
          <w:tcPr>
            <w:tcW w:w="3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(157)</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520" w:type="dxa"/>
            <w:vAlign w:val="bottom"/>
            <w:gridSpan w:val="5"/>
          </w:tcPr>
          <w:p>
            <w:pPr>
              <w:ind w:left="20"/>
              <w:spacing w:after="0" w:line="162" w:lineRule="exact"/>
              <w:rPr>
                <w:sz w:val="20"/>
                <w:szCs w:val="20"/>
                <w:color w:val="auto"/>
              </w:rPr>
            </w:pPr>
            <w:r>
              <w:rPr>
                <w:rFonts w:ascii="Arial" w:cs="Arial" w:eastAsia="Arial" w:hAnsi="Arial"/>
                <w:sz w:val="16"/>
                <w:szCs w:val="16"/>
                <w:color w:val="auto"/>
              </w:rPr>
              <w:t>Other Operating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spacing w:after="0" w:line="183" w:lineRule="exact"/>
              <w:rPr>
                <w:sz w:val="20"/>
                <w:szCs w:val="20"/>
                <w:color w:val="auto"/>
              </w:rPr>
            </w:pPr>
            <w:r>
              <w:rPr>
                <w:rFonts w:ascii="Arial" w:cs="Arial" w:eastAsia="Arial" w:hAnsi="Arial"/>
                <w:sz w:val="16"/>
                <w:szCs w:val="16"/>
                <w:color w:val="auto"/>
              </w:rPr>
              <w:t>Segments:</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Energy</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(67)</w:t>
            </w: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gridSpan w:val="5"/>
          </w:tcPr>
          <w:p>
            <w:pPr>
              <w:ind w:left="2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597</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(46)</w:t>
            </w:r>
          </w:p>
        </w:tc>
        <w:tc>
          <w:tcPr>
            <w:tcW w:w="3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(46)</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Food Packaging</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w:t>
            </w: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gridSpan w:val="5"/>
          </w:tcPr>
          <w:p>
            <w:pPr>
              <w:ind w:left="20"/>
              <w:spacing w:after="0"/>
              <w:rPr>
                <w:sz w:val="20"/>
                <w:szCs w:val="20"/>
                <w:color w:val="auto"/>
              </w:rPr>
            </w:pPr>
            <w:r>
              <w:rPr>
                <w:rFonts w:ascii="Arial" w:cs="Arial" w:eastAsia="Arial" w:hAnsi="Arial"/>
                <w:sz w:val="16"/>
                <w:szCs w:val="16"/>
                <w:color w:val="auto"/>
              </w:rPr>
              <w:t>Metals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121</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Real Estate</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gridSpan w:val="5"/>
          </w:tcPr>
          <w:p>
            <w:pPr>
              <w:ind w:left="20"/>
              <w:spacing w:after="0"/>
              <w:rPr>
                <w:sz w:val="20"/>
                <w:szCs w:val="20"/>
                <w:color w:val="auto"/>
              </w:rPr>
            </w:pPr>
            <w:r>
              <w:rPr>
                <w:rFonts w:ascii="Arial" w:cs="Arial" w:eastAsia="Arial" w:hAnsi="Arial"/>
                <w:sz w:val="16"/>
                <w:szCs w:val="16"/>
                <w:color w:val="auto"/>
              </w:rPr>
              <w:t>Home Fashion</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Pharma</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520" w:type="dxa"/>
            <w:vAlign w:val="bottom"/>
            <w:gridSpan w:val="5"/>
          </w:tcPr>
          <w:p>
            <w:pPr>
              <w:ind w:left="20"/>
              <w:spacing w:after="0" w:line="173" w:lineRule="exact"/>
              <w:rPr>
                <w:sz w:val="20"/>
                <w:szCs w:val="20"/>
                <w:color w:val="auto"/>
              </w:rPr>
            </w:pPr>
            <w:r>
              <w:rPr>
                <w:rFonts w:ascii="Arial" w:cs="Arial" w:eastAsia="Arial" w:hAnsi="Arial"/>
                <w:sz w:val="16"/>
                <w:szCs w:val="16"/>
                <w:color w:val="auto"/>
              </w:rPr>
              <w:t>Other operating</w:t>
            </w: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Arial" w:cs="Arial" w:eastAsia="Arial" w:hAnsi="Arial"/>
                <w:sz w:val="16"/>
                <w:szCs w:val="16"/>
                <w:color w:val="auto"/>
              </w:rPr>
              <w:t>segments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2,433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2,042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(106)</w:t>
            </w:r>
          </w:p>
        </w:tc>
        <w:tc>
          <w:tcPr>
            <w:tcW w:w="3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(72)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99"/>
        </w:trPr>
        <w:tc>
          <w:tcPr>
            <w:tcW w:w="1520" w:type="dxa"/>
            <w:vAlign w:val="bottom"/>
            <w:tcBorders>
              <w:top w:val="single" w:sz="8" w:color="CCEEFF"/>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rPr>
              <w:t>Consolidated</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invest our proprietary capital through various private investment funds (“Investment Funds”). As of</w:t>
      </w:r>
    </w:p>
    <w:p>
      <w:pPr>
        <w:spacing w:after="0" w:line="23" w:lineRule="exact"/>
        <w:rPr>
          <w:sz w:val="20"/>
          <w:szCs w:val="20"/>
          <w:color w:val="auto"/>
        </w:rPr>
      </w:pPr>
    </w:p>
    <w:p>
      <w:pPr>
        <w:ind w:left="60" w:right="339"/>
        <w:spacing w:after="0" w:line="323" w:lineRule="auto"/>
        <w:rPr>
          <w:sz w:val="20"/>
          <w:szCs w:val="20"/>
          <w:color w:val="auto"/>
        </w:rPr>
      </w:pPr>
      <w:r>
        <w:rPr>
          <w:rFonts w:ascii="Arial" w:cs="Arial" w:eastAsia="Arial" w:hAnsi="Arial"/>
          <w:sz w:val="16"/>
          <w:szCs w:val="16"/>
          <w:color w:val="auto"/>
        </w:rPr>
        <w:t>March 31, 2021 and December 31, 2020, we had investments with a fair market value of approximately $4.7 billion and $4.3 billion, respectively, in the Investment Funds. As of March 31, 2021 and December 31, 2020, the total fair market</w:t>
      </w:r>
    </w:p>
    <w:p>
      <w:pPr>
        <w:sectPr>
          <w:pgSz w:w="11900" w:h="16838" w:orient="portrait"/>
          <w:cols w:equalWidth="0" w:num="1">
            <w:col w:w="9019"/>
          </w:cols>
          <w:pgMar w:left="1440" w:top="517" w:right="1440"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value of investments in the Investment Funds made by Mr. Icahn and his affiliates (excluding us) was approximately $5.5 billion and $5.0 billion, respectively.</w:t>
      </w:r>
    </w:p>
    <w:p>
      <w:pPr>
        <w:spacing w:after="0" w:line="170"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Our Investment segment’s results of operations are reflected in net income (loss) in the condensed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Mr. Icahn and his affiliates and by Brett Icahn, son of Mr. Icahn.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March 31, 2021.</w:t>
      </w:r>
    </w:p>
    <w:p>
      <w:pPr>
        <w:spacing w:after="0" w:line="179" w:lineRule="exact"/>
        <w:rPr>
          <w:sz w:val="20"/>
          <w:szCs w:val="20"/>
          <w:color w:val="auto"/>
        </w:rPr>
      </w:pPr>
    </w:p>
    <w:p>
      <w:pPr>
        <w:jc w:val="both"/>
        <w:ind w:left="60" w:right="719" w:firstLine="324"/>
        <w:spacing w:after="0" w:line="263" w:lineRule="auto"/>
        <w:rPr>
          <w:sz w:val="20"/>
          <w:szCs w:val="20"/>
          <w:color w:val="auto"/>
        </w:rPr>
      </w:pPr>
      <w:r>
        <w:rPr>
          <w:rFonts w:ascii="Arial" w:cs="Arial" w:eastAsia="Arial" w:hAnsi="Arial"/>
          <w:sz w:val="18"/>
          <w:szCs w:val="18"/>
          <w:color w:val="auto"/>
        </w:rPr>
        <w:t>For the three months ended March 31, 2021 and 2020, our Investment Funds’ returns were 9.2% and (17.6)%, respectively. Our Investment Funds’ returns represent a weighted-average composite of the average returns, net of expenses.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performance attribution for the Investment Funds’ returns.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2780" w:type="dxa"/>
            <w:vAlign w:val="bottom"/>
            <w:gridSpan w:val="5"/>
          </w:tcPr>
          <w:p>
            <w:pPr>
              <w:jc w:val="right"/>
              <w:ind w:right="21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10"/>
        </w:trPr>
        <w:tc>
          <w:tcPr>
            <w:tcW w:w="61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r>
      <w:tr>
        <w:trPr>
          <w:trHeight w:val="20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Long positions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(46.7)%</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Short positions</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(9.2)%</w:t>
            </w:r>
          </w:p>
        </w:tc>
        <w:tc>
          <w:tcPr>
            <w:tcW w:w="1400" w:type="dxa"/>
            <w:vAlign w:val="bottom"/>
            <w:gridSpan w:val="3"/>
          </w:tcPr>
          <w:p>
            <w:pPr>
              <w:jc w:val="right"/>
              <w:ind w:right="10"/>
              <w:spacing w:after="0"/>
              <w:rPr>
                <w:sz w:val="20"/>
                <w:szCs w:val="20"/>
                <w:color w:val="auto"/>
              </w:rPr>
            </w:pPr>
            <w:r>
              <w:rPr>
                <w:rFonts w:ascii="Arial" w:cs="Arial" w:eastAsia="Arial" w:hAnsi="Arial"/>
                <w:sz w:val="18"/>
                <w:szCs w:val="18"/>
                <w:color w:val="auto"/>
              </w:rPr>
              <w:t>29.0 %</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4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0.1 %</w:t>
            </w:r>
          </w:p>
        </w:tc>
      </w:tr>
      <w:tr>
        <w:trPr>
          <w:trHeight w:val="210"/>
        </w:trPr>
        <w:tc>
          <w:tcPr>
            <w:tcW w:w="61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1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r>
      <w:tr>
        <w:trPr>
          <w:trHeight w:val="20"/>
        </w:trPr>
        <w:tc>
          <w:tcPr>
            <w:tcW w:w="6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The following table presents net income (loss) for our Investment segment for the three months ended March 31, 2021 and 2020.</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4"/>
              </w:rPr>
              <w:t>Three Months Ended March 31,</w:t>
            </w:r>
          </w:p>
        </w:tc>
      </w:tr>
      <w:tr>
        <w:trPr>
          <w:trHeight w:val="210"/>
        </w:trPr>
        <w:tc>
          <w:tcPr>
            <w:tcW w:w="3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2020</w:t>
            </w:r>
          </w:p>
        </w:tc>
      </w:tr>
      <w:tr>
        <w:trPr>
          <w:trHeight w:val="128"/>
        </w:trPr>
        <w:tc>
          <w:tcPr>
            <w:tcW w:w="37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4"/>
          </w:tcPr>
          <w:p>
            <w:pPr>
              <w:jc w:val="right"/>
              <w:ind w:right="29"/>
              <w:spacing w:after="0" w:line="129" w:lineRule="exact"/>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1"/>
                <w:szCs w:val="1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Long positions</w:t>
            </w:r>
          </w:p>
        </w:tc>
        <w:tc>
          <w:tcPr>
            <w:tcW w:w="288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Short positions</w:t>
            </w: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2,791</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0"/>
        </w:trPr>
        <w:tc>
          <w:tcPr>
            <w:tcW w:w="3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w:t>
            </w:r>
          </w:p>
        </w:tc>
      </w:tr>
      <w:tr>
        <w:trPr>
          <w:trHeight w:val="20"/>
        </w:trPr>
        <w:tc>
          <w:tcPr>
            <w:tcW w:w="3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March 31, 2021 and 2020</w:t>
      </w:r>
    </w:p>
    <w:p>
      <w:pPr>
        <w:spacing w:after="0" w:line="225"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For the three months ended March 31, 2021, the Investment Funds’ positive performance was driven by net gains in their long positions, offset in part by net losses in their short positions. The positive performance of our Investment segment’s long positions was driven primarily by gains from an energy sector investment of $925 million a consumer, cyclical sector investment of $253 million and two consumer, non-cyclical sector investments aggregating $322 million. The aggregate performance of investments with net gains across various sectors accounted for an additional positive performance of our Investment segment’s long positions. The negative performance of our Investment segment’s short positions was driven primarily by the negative performance of an energy sector investment of $494 million and broad market hedges of $329 million. The aggregate performance of investments with net losses across various sectors accounted for an additional negative performance of our Investment segment’s short positions. The negative performance of our Investment segment’s short positions was offset in part by gains from a consumer, cyclical sector investment of $196 million.</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For the three months ended March 31, 2020, the Investment Funds’ negative performance was driven by net losses in their long positions, offset in part by net gains in their short positions. The negative performance of our Investment segment’s long positions was driven by losses from a consumer, cyclical sector investment of $973 million, aggregate losses from four other consumer, cyclical sector investments of $585 million, two energy sector investments aggregating approximately $1.1 billion, two consumer, non-cyclical sector investments aggregating $850 million and four technology sector investments aggregating $693 million. The aggregate performance of investments with net losses across various other sectors accounted for an additional negative performance of our Investment segment’s long positions. The positive performance of our Investment segment’s short positions was driven primarily by the positive performance of broad market hedges as well as short exposure to commercial mortgage-backed securities through credit default swap contracts.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Energy</w:t>
      </w:r>
    </w:p>
    <w:p>
      <w:pPr>
        <w:spacing w:after="0" w:line="225"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Our Energy segment is primarily engaged in the petroleum refining and nitrogen fertilizer manufacturing businesses. The petroleum business accounted for approximately 96% and 93% of our Energy segment’s net sales for the three months ended March 31, 2021 and 2020, respectively.</w:t>
      </w:r>
    </w:p>
    <w:p>
      <w:pPr>
        <w:spacing w:after="0" w:line="184"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oil and other feedstocks and the price for which refined products are ultimately sold depend on factors beyond our Energy segment’s control, including the supply of and demand for crude oil, as well as gasoline and other refined products. This supply and demand depend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accounting to value its inventory, crude oil price movements may impact gross margin in the short-term fluctuations in the market price of inventory. The effect of changes in crude oil prices on the petroleum business’ results of operations is influenced by the rate at which the prices of refined products adjust to reflect these changes.</w:t>
      </w:r>
    </w:p>
    <w:p>
      <w:pPr>
        <w:spacing w:after="0" w:line="182" w:lineRule="exact"/>
        <w:rPr>
          <w:sz w:val="20"/>
          <w:szCs w:val="20"/>
          <w:color w:val="auto"/>
        </w:rPr>
      </w:pPr>
    </w:p>
    <w:p>
      <w:pPr>
        <w:ind w:left="60" w:right="119" w:firstLine="324"/>
        <w:spacing w:after="0" w:line="289" w:lineRule="auto"/>
        <w:rPr>
          <w:sz w:val="20"/>
          <w:szCs w:val="20"/>
          <w:color w:val="auto"/>
        </w:rPr>
      </w:pPr>
      <w:r>
        <w:rPr>
          <w:rFonts w:ascii="Arial" w:cs="Arial" w:eastAsia="Arial" w:hAnsi="Arial"/>
          <w:sz w:val="16"/>
          <w:szCs w:val="16"/>
          <w:color w:val="auto"/>
        </w:rPr>
        <w:t>The COVID-19 pandemic, and the actions taken by governments and others, has negatively impacted the energy industry. The COVID-19 pandemic has also resulted in significant business and operational disruptions, including business closures, liquidity strains, destruction of non-essential demand, as well as supply chain challenges, travel restrictions, stay-at home orders, and limitations on the availability of the workforce. As a result, the demand for gasoline and diesel in the regions that our Energy segment operates declined beginning in the first quarter of 2020. The declines were amplified in the first quarter of 2020 by market plays between the world’s largest oil producers. The simultaneous shocks in oil supply and demand has resulted in a decline in the price of crude oil and lead to a significant decrease in the price of refined products sold by our Energy segment. However, beginning in late 2020 and into 2021, the U.S. market for refined products improved and demand increased as travel restrictions and stay-at-home orders were eased.</w:t>
      </w:r>
    </w:p>
    <w:p>
      <w:pPr>
        <w:spacing w:after="0" w:line="166"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In addition to recent market conditions, there are long-term factors that may impact the demand for refined products. These factors include mandated renewable fuels standards, proposed climate change laws and regulations, and increased mileage standards for vehicles. The petroleum business is also subject to the Renewable Fuel Standard of the United States Environmental Protection Agency, which requires it to either blend “renewable fuels” with its transportation fuels or purchase renewable identification numbers (“RINs”), in lieu of blending. The price of RINs has been extremely volatile and the future cost of RINs for the petroleum business is difficult to estimate. Additionally,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its refineries and downstream terminals, all of which can vary significantly from period to period. Refer to Note 16, “Commitments and Contingencies,” to the condensed consolidated financial statements for further discussion of RINs.</w:t>
      </w:r>
    </w:p>
    <w:p>
      <w:pPr>
        <w:spacing w:after="0" w:line="182" w:lineRule="exact"/>
        <w:rPr>
          <w:sz w:val="20"/>
          <w:szCs w:val="20"/>
          <w:color w:val="auto"/>
        </w:rPr>
      </w:pPr>
    </w:p>
    <w:p>
      <w:pPr>
        <w:ind w:left="60" w:right="499" w:firstLine="324"/>
        <w:spacing w:after="0" w:line="342" w:lineRule="auto"/>
        <w:rPr>
          <w:sz w:val="20"/>
          <w:szCs w:val="20"/>
          <w:color w:val="auto"/>
        </w:rPr>
      </w:pPr>
      <w:r>
        <w:rPr>
          <w:rFonts w:ascii="Arial" w:cs="Arial" w:eastAsia="Arial" w:hAnsi="Arial"/>
          <w:sz w:val="16"/>
          <w:szCs w:val="16"/>
          <w:color w:val="auto"/>
        </w:rPr>
        <w:t>In December 2020, our Energy segment approved a renewable diesel project at one of its refineries, which would convert the refinery’s hydrocracker to a renewable diesel unit (“RDU”) capable of producing 100 million gallons of</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renewable diesel per year and approximately 180 million RINs annually. As a result of conversion, the crude oil capacity of the refinery will be reduced. Further, the conversion enables our Energy segment to capture additional benefits associated with the existing blenders’ tax credit that expires at the end of 2022 and low carbon fuel standard programs in states such as California. Our Energy segment has additional plans to add pretreating capabilities for the RDU and construction of a similar facility at its other refinery. These collective renewable diesel efforts could reduce our Energy segment’s Renewable Fuels Standard (“RFS”) exposure. However, any actions taken by the Supreme Court, resulting administration efforts under the RFS, such as denial of existing or previous waiver applications, and market conditions could significantly impact the amount by which our Energy segment’s renewable diesel business.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25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10"/>
        </w:trPr>
        <w:tc>
          <w:tcPr>
            <w:tcW w:w="6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142"/>
        </w:trPr>
        <w:tc>
          <w:tcPr>
            <w:tcW w:w="6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r>
      <w:tr>
        <w:trPr>
          <w:trHeight w:val="216"/>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r>
      <w:tr>
        <w:trPr>
          <w:trHeight w:val="21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March 31, 2021 and 2020</w:t>
      </w:r>
    </w:p>
    <w:p>
      <w:pPr>
        <w:spacing w:after="0" w:line="225"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Net sales for our Energy segment increased by $333 million (29%) for the three months ended March 31, 2021 as compared to the comparable prior year period, primarily due to an increase in our petroleum business’ net sales, which increased $347 million, offset in part by a decrease in our nitrogen fertilizer business’ net sales, which decreased $14 million over the comparable periods. The increase in the petroleum business’ net sales was primarily due to an increase in sales of gasoline and distillates attributable to an increase in volumes and more favorable pricing conditions. Volumes were lower in the comparable prior year period due to the full planned turnaround at one of the refineries while another refinery experienced reduced utilization in response to demand reductions driven by the impacts of the COVID-19 pandemic. Our nitrogen fertilizer business’ net sales decreased primarily due to a decrease in urea ammonium nitrate (“UAN”) sales primarily due to a decrease in volumes.</w:t>
      </w:r>
    </w:p>
    <w:p>
      <w:pPr>
        <w:spacing w:after="0" w:line="181" w:lineRule="exact"/>
        <w:rPr>
          <w:sz w:val="20"/>
          <w:szCs w:val="20"/>
          <w:color w:val="auto"/>
        </w:rPr>
      </w:pPr>
    </w:p>
    <w:p>
      <w:pPr>
        <w:ind w:left="60" w:right="239" w:firstLine="324"/>
        <w:spacing w:after="0" w:line="270" w:lineRule="auto"/>
        <w:rPr>
          <w:sz w:val="20"/>
          <w:szCs w:val="20"/>
          <w:color w:val="auto"/>
        </w:rPr>
      </w:pPr>
      <w:r>
        <w:rPr>
          <w:rFonts w:ascii="Arial" w:cs="Arial" w:eastAsia="Arial" w:hAnsi="Arial"/>
          <w:sz w:val="17"/>
          <w:szCs w:val="17"/>
          <w:color w:val="auto"/>
        </w:rPr>
        <w:t>Cost of goods sold for our Energy segment increased by $329 million (26%) for the three months ended March 31, 2021 as compared to the comparable prior year period. The increase was primarily due to our petroleum business as a result of higher cost of consumed crude oil. The higher cost of consumed crude oil was due to an increase in volumes, as discussed above, as well as lower derivative performance of $78 million and a $159 million increase in the net cost of RINs. Gross margin for our Energy segment improved by $4 million for the three months ended March 31, 2021 as compared to the comparable prior year period. Gross margin as a percentage of net sales was (8)% and (11)% for the three months ended March 31, 2021 and 2020, respectively. The improvement in the gross margin as a percentage of net sales was primarily attributable to the petroleum business, which was primarily due to higher crack spreads, offset in part by the derivatives and net cost of RINs, as discussed above.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Our Automotive segment’s results of operations are generally driven by the distribution and installation of automotive aftermarket parts and the demand for automotive service and maintenance, and is affected by the relative strength of automotive part replacement trends, among other factors.</w:t>
      </w:r>
    </w:p>
    <w:p>
      <w:pPr>
        <w:spacing w:after="0" w:line="184" w:lineRule="exact"/>
        <w:rPr>
          <w:sz w:val="20"/>
          <w:szCs w:val="20"/>
          <w:color w:val="auto"/>
        </w:rPr>
      </w:pPr>
    </w:p>
    <w:p>
      <w:pPr>
        <w:ind w:left="60" w:right="179" w:firstLine="324"/>
        <w:spacing w:after="0" w:line="291" w:lineRule="auto"/>
        <w:rPr>
          <w:sz w:val="20"/>
          <w:szCs w:val="20"/>
          <w:color w:val="auto"/>
        </w:rPr>
      </w:pPr>
      <w:r>
        <w:rPr>
          <w:rFonts w:ascii="Arial" w:cs="Arial" w:eastAsia="Arial" w:hAnsi="Arial"/>
          <w:sz w:val="16"/>
          <w:szCs w:val="16"/>
          <w:color w:val="auto"/>
        </w:rPr>
        <w:t>Our Automotive segment is in the process of implementing a multi-year transformation plan, which includes the restructuring of its businesses. The transformation plan includes operating the automotive services and aftermarket parts businesses as separate businesses, streamlining Icahn Automotive’s corporate and field support teams, facility closures, consolidations and conversions, inventory optimization actions, and the re-focusing of its automotive parts business on certain core markets. As part of this plan, Icahn Automotive entered into an agreement to sell certain inventory assets relating to its aftermarket parts business at 109 locations and a distribution center in California and certain other inventory and fixed assets in California. Aftermarket parts sales from these locations aggregated $35 million during the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three months ended March 31, 2021. Costs to implement the transformation plan will include restructuring charges, which will be recorded when specific plans are approved, and which may be significant.</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Automotive segment’s priorities include:</w:t>
      </w:r>
    </w:p>
    <w:p>
      <w:pPr>
        <w:spacing w:after="0" w:line="225" w:lineRule="exact"/>
        <w:rPr>
          <w:sz w:val="20"/>
          <w:szCs w:val="20"/>
          <w:color w:val="auto"/>
        </w:rPr>
      </w:pPr>
    </w:p>
    <w:p>
      <w:pPr>
        <w:ind w:left="720" w:hanging="319"/>
        <w:spacing w:after="0"/>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Positioning the service business to take advantage of opportunities in the do-it-for-me market and vehicle fleets;</w:t>
      </w:r>
    </w:p>
    <w:p>
      <w:pPr>
        <w:spacing w:after="0" w:line="46" w:lineRule="exact"/>
        <w:rPr>
          <w:rFonts w:ascii="Arial" w:cs="Arial" w:eastAsia="Arial" w:hAnsi="Arial"/>
          <w:sz w:val="16"/>
          <w:szCs w:val="16"/>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Optimizing the value of the commercial parts distribution business in certain high-volume core markets;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Exiting the automotive parts distribution business in certain low volume, non-core markets;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Improving inventory management across Icahn Automotive’s parts and tire distribution network;</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 in customer experience initiatives and selective upgrades in facilities;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 in employees with focus on training and career development investments; and</w:t>
      </w:r>
    </w:p>
    <w:p>
      <w:pPr>
        <w:spacing w:after="0" w:line="9" w:lineRule="exact"/>
        <w:rPr>
          <w:rFonts w:ascii="Arial" w:cs="Arial" w:eastAsia="Arial" w:hAnsi="Arial"/>
          <w:sz w:val="18"/>
          <w:szCs w:val="18"/>
          <w:color w:val="auto"/>
        </w:rPr>
      </w:pPr>
    </w:p>
    <w:p>
      <w:pPr>
        <w:ind w:left="720" w:right="839" w:hanging="319"/>
        <w:spacing w:after="0" w:line="26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process improvements, including investments in our supply chain and information technology capabilities.</w:t>
      </w:r>
    </w:p>
    <w:p>
      <w:pPr>
        <w:spacing w:after="0" w:line="185"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The following table presents our Automotive segment’s operating revenue, cost of revenue and gross margin. Our Automotive segment’s results of operations also include automotive services labor. Automotive services labor revenues are included in other revenues from operations in our condensed consolidated statements of operations, however, the sale of any installed parts or materials related to automotive services are included in net sales. Therefore, we discuss the combined results of our automotive net sales and automotive services labor revenues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25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10"/>
        </w:trPr>
        <w:tc>
          <w:tcPr>
            <w:tcW w:w="63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142"/>
        </w:trPr>
        <w:tc>
          <w:tcPr>
            <w:tcW w:w="6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 and other revenue from operations</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598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16"/>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 and other expenses from operations</w:t>
            </w: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425</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r>
      <w:tr>
        <w:trPr>
          <w:trHeight w:val="209"/>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173</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0"/>
        </w:trPr>
        <w:tc>
          <w:tcPr>
            <w:tcW w:w="6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March 31, 2021 and 2020</w:t>
      </w:r>
    </w:p>
    <w:p>
      <w:pPr>
        <w:spacing w:after="0" w:line="225" w:lineRule="exact"/>
        <w:rPr>
          <w:sz w:val="20"/>
          <w:szCs w:val="20"/>
          <w:color w:val="auto"/>
        </w:rPr>
      </w:pPr>
    </w:p>
    <w:p>
      <w:pPr>
        <w:ind w:left="60" w:right="159" w:firstLine="324"/>
        <w:spacing w:after="0" w:line="289" w:lineRule="auto"/>
        <w:rPr>
          <w:sz w:val="20"/>
          <w:szCs w:val="20"/>
          <w:color w:val="auto"/>
        </w:rPr>
      </w:pPr>
      <w:r>
        <w:rPr>
          <w:rFonts w:ascii="Arial" w:cs="Arial" w:eastAsia="Arial" w:hAnsi="Arial"/>
          <w:sz w:val="16"/>
          <w:szCs w:val="16"/>
          <w:color w:val="auto"/>
        </w:rPr>
        <w:t>Net sales and other revenue from operations for our Automotive segment for the three months ended March 31, 2021 decreased by $37 million (6%) as compared to the comparable prior year period. The decrease was attributable to a decrease in aftermarket parts sales of $50 million (15%) offset in part by an increase in automotive services revenues of $13 million (4%). On an organic basis, aftermarket parts sales decreased $10 million over the comparable periods due to a decrease in commercial sales of $7 million (4%) and a decrease in retail sales of $3 million (5%). Store closures related to the transformation plan accounted for another $40 million decrease in aftermarket parts sales. The increase in automotive services revenues represents an increase on a primarily organic basis as sales have improved over the comparable prior year period. The COVID-19 pandemic, and the impacts of the actions taken by governments and others, have significantly contributed to a decline in revenues beginning in March 2020.</w:t>
      </w:r>
    </w:p>
    <w:p>
      <w:pPr>
        <w:spacing w:after="0" w:line="166"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Cost of goods sold and other expenses from operations for the three months ended March 31, 2021 decreased by $50 million (11%) as compared to the comparable prior year period. The decrease was due to lower sales volumes as described above. Gross margin on net sales and other revenue from operations for the three months ended March 31, 2021 increased by $13 million (8%) as compared to the comparable prior year period. Gross margin as a percentage of net sales and other revenue from operations was 29% and 25% for the three months ended March 31, 2021 and 2020, respectively. Due to the COVID-19 pandemic, our Automotive segment accelerated planned store closures in 2020, shifting our Automotive segment’s business from a majority attributable to aftermarket parts sales to a majority attributable to higher margin automotive services.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Food Packaging</w:t>
      </w:r>
    </w:p>
    <w:p>
      <w:pPr>
        <w:spacing w:after="0" w:line="225" w:lineRule="exact"/>
        <w:rPr>
          <w:sz w:val="20"/>
          <w:szCs w:val="20"/>
          <w:color w:val="auto"/>
        </w:rPr>
      </w:pPr>
    </w:p>
    <w:p>
      <w:pPr>
        <w:jc w:val="both"/>
        <w:ind w:left="60" w:right="419" w:firstLine="324"/>
        <w:spacing w:after="0" w:line="263" w:lineRule="auto"/>
        <w:rPr>
          <w:sz w:val="20"/>
          <w:szCs w:val="20"/>
          <w:color w:val="auto"/>
        </w:rPr>
      </w:pPr>
      <w:r>
        <w:rPr>
          <w:rFonts w:ascii="Arial" w:cs="Arial" w:eastAsia="Arial" w:hAnsi="Arial"/>
          <w:sz w:val="18"/>
          <w:szCs w:val="18"/>
          <w:color w:val="auto"/>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March 31, 2021 and 2020</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Net sales for the three months ended March 31, 2021 increased $3 million (3%) as compared to the comparable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prior year period. The increase was due to an increase of $1 million in volumes and $2 million from the favorable effects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foreign exchange. Cost of goods sold for the three months ended March 31, 2021 increased by $2 million (3%) as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compared to the comparable prior year period due to the effects of foreign exchange and distribution costs. Gross margin 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 percentage of net sales was 21% and 20% for the three months ended March 31, 2021 and 2020, respectively.</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Metals</w:t>
      </w:r>
    </w:p>
    <w:p>
      <w:pPr>
        <w:spacing w:after="0" w:line="225"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7"/>
          <w:szCs w:val="17"/>
          <w:color w:val="auto"/>
        </w:rPr>
        <w:t>The scrap metals business is highly cyclical and is substantially dependent upon the overall economic conditions in the United States and other global markets. Ferrous and non-ferrous scrap has been historically vulnerable to significant declines in consumption and product pricing during prolonged periods of economic downturn or stagnation.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March 31, 2021 and 2020</w:t>
      </w:r>
    </w:p>
    <w:p>
      <w:pPr>
        <w:spacing w:after="0" w:line="225" w:lineRule="exact"/>
        <w:rPr>
          <w:sz w:val="20"/>
          <w:szCs w:val="20"/>
          <w:color w:val="auto"/>
        </w:rPr>
      </w:pPr>
    </w:p>
    <w:p>
      <w:pPr>
        <w:ind w:left="60" w:right="179" w:firstLine="324"/>
        <w:spacing w:after="0" w:line="287" w:lineRule="auto"/>
        <w:rPr>
          <w:sz w:val="20"/>
          <w:szCs w:val="20"/>
          <w:color w:val="auto"/>
        </w:rPr>
      </w:pPr>
      <w:r>
        <w:rPr>
          <w:rFonts w:ascii="Arial" w:cs="Arial" w:eastAsia="Arial" w:hAnsi="Arial"/>
          <w:sz w:val="16"/>
          <w:szCs w:val="16"/>
          <w:color w:val="auto"/>
        </w:rPr>
        <w:t>Net sales for the three months ended March 31, 2021 increased by $34 million (40%) compared to the comparable prior year period primarily due to higher pricing. Cost of goods sold for the three months ended March 31, 2021 increased by $27 million (32%) compared to the comparable prior year period due to higher material costs. Gross margin as</w:t>
      </w:r>
    </w:p>
    <w:p>
      <w:pPr>
        <w:spacing w:after="0" w:line="2" w:lineRule="exact"/>
        <w:rPr>
          <w:sz w:val="20"/>
          <w:szCs w:val="20"/>
          <w:color w:val="auto"/>
        </w:rPr>
      </w:pPr>
    </w:p>
    <w:p>
      <w:pPr>
        <w:ind w:left="60" w:right="119"/>
        <w:spacing w:after="0" w:line="260" w:lineRule="auto"/>
        <w:rPr>
          <w:sz w:val="20"/>
          <w:szCs w:val="20"/>
          <w:color w:val="auto"/>
        </w:rPr>
      </w:pPr>
      <w:r>
        <w:rPr>
          <w:rFonts w:ascii="Arial" w:cs="Arial" w:eastAsia="Arial" w:hAnsi="Arial"/>
          <w:sz w:val="18"/>
          <w:szCs w:val="18"/>
          <w:color w:val="auto"/>
        </w:rPr>
        <w:t>a percentage of net sales was 7% and 1% for the three months ended March 31, 2021 and 2020, respectively, primarily due to higher material margins.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Real Estate</w:t>
      </w:r>
    </w:p>
    <w:p>
      <w:pPr>
        <w:spacing w:after="0" w:line="225" w:lineRule="exact"/>
        <w:rPr>
          <w:sz w:val="20"/>
          <w:szCs w:val="20"/>
          <w:color w:val="auto"/>
        </w:rPr>
      </w:pPr>
    </w:p>
    <w:p>
      <w:pPr>
        <w:ind w:left="60" w:right="59" w:firstLine="324"/>
        <w:spacing w:after="0" w:line="296" w:lineRule="auto"/>
        <w:rPr>
          <w:sz w:val="20"/>
          <w:szCs w:val="20"/>
          <w:color w:val="auto"/>
        </w:rPr>
      </w:pPr>
      <w:r>
        <w:rPr>
          <w:rFonts w:ascii="Arial" w:cs="Arial" w:eastAsia="Arial" w:hAnsi="Arial"/>
          <w:sz w:val="16"/>
          <w:szCs w:val="16"/>
          <w:color w:val="auto"/>
        </w:rPr>
        <w:t>Our Real Estate segment consists primarily of investment properties, the development and sale of single-family homes, and the management of a country club. Sales of single-family homes are included in net sales in our consolidated statements of operations. Results from investment properties and country club operations are included in other revenues from operations in our consolidated statements of operations. Revenue from our real estate operations for each of the three months ended March 31, 2021 and 2020 were primarily derived from the sale of residential units and rental operations.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Home Fashion</w:t>
      </w:r>
    </w:p>
    <w:p>
      <w:pPr>
        <w:spacing w:after="0" w:line="225" w:lineRule="exact"/>
        <w:rPr>
          <w:sz w:val="20"/>
          <w:szCs w:val="20"/>
          <w:color w:val="auto"/>
        </w:rPr>
      </w:pPr>
    </w:p>
    <w:p>
      <w:pPr>
        <w:ind w:left="60" w:right="459" w:firstLine="324"/>
        <w:spacing w:after="0" w:line="277" w:lineRule="auto"/>
        <w:rPr>
          <w:sz w:val="20"/>
          <w:szCs w:val="20"/>
          <w:color w:val="auto"/>
        </w:rPr>
      </w:pPr>
      <w:r>
        <w:rPr>
          <w:rFonts w:ascii="Arial" w:cs="Arial" w:eastAsia="Arial" w:hAnsi="Arial"/>
          <w:sz w:val="18"/>
          <w:szCs w:val="18"/>
          <w:color w:val="auto"/>
        </w:rPr>
        <w:t>Our Home Fashion segment is significantly influenced by the overall economic environment, including consumer spending, at the retail level, for home textile products.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March 31, 2021 and 2020</w:t>
      </w:r>
    </w:p>
    <w:p>
      <w:pPr>
        <w:spacing w:after="0" w:line="225" w:lineRule="exact"/>
        <w:rPr>
          <w:sz w:val="20"/>
          <w:szCs w:val="20"/>
          <w:color w:val="auto"/>
        </w:rPr>
      </w:pPr>
    </w:p>
    <w:p>
      <w:pPr>
        <w:ind w:left="60" w:right="419" w:firstLine="324"/>
        <w:spacing w:after="0" w:line="273" w:lineRule="auto"/>
        <w:rPr>
          <w:sz w:val="20"/>
          <w:szCs w:val="20"/>
          <w:color w:val="auto"/>
        </w:rPr>
      </w:pPr>
      <w:r>
        <w:rPr>
          <w:rFonts w:ascii="Arial" w:cs="Arial" w:eastAsia="Arial" w:hAnsi="Arial"/>
          <w:sz w:val="17"/>
          <w:szCs w:val="17"/>
          <w:color w:val="auto"/>
        </w:rPr>
        <w:t>Net sales for the three months ended March 31, 2021 decreased by $9 million (18%) compared to the comparable prior year period primarily due to the impact of the COVID-19 pandemic on our Home Fashion segment’s hospitality business. Cost of goods sold for the three months ended March 31, 2021 decreased $7 million (17%) compared to the comparable prior year period due to lower volumes, offset in part by higher material and freight costs. Gross margin as a percentage of net sales was 17% and 18% for the three months ended March 31, 2021 and 2020, respectively. The decrease is due to higher material and freight costs.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Pharma</w:t>
      </w:r>
    </w:p>
    <w:p>
      <w:pPr>
        <w:spacing w:after="0" w:line="225" w:lineRule="exact"/>
        <w:rPr>
          <w:sz w:val="20"/>
          <w:szCs w:val="20"/>
          <w:color w:val="auto"/>
        </w:rPr>
      </w:pPr>
    </w:p>
    <w:p>
      <w:pPr>
        <w:ind w:left="60" w:right="219" w:firstLine="324"/>
        <w:spacing w:after="0" w:line="255" w:lineRule="auto"/>
        <w:rPr>
          <w:sz w:val="20"/>
          <w:szCs w:val="20"/>
          <w:color w:val="auto"/>
        </w:rPr>
      </w:pPr>
      <w:r>
        <w:rPr>
          <w:rFonts w:ascii="Arial" w:cs="Arial" w:eastAsia="Arial" w:hAnsi="Arial"/>
          <w:sz w:val="18"/>
          <w:szCs w:val="18"/>
          <w:color w:val="auto"/>
        </w:rPr>
        <w:t>Our Pharma segment derives revenues primarily from the sale of its products directly to customers, wholesalers and pharmacies. To a lesser extent, our Pharma segment derives revenues through supply, licensing and royalty arrangements. We began consolidating our Pharma segment in the fourth quarter of 2020. For the three months ended March 31, 2021, our Pharma segment had $15 million of net product revenue, $14 million of supply revenue and $1 million of royalty revenue. For our Pharma segment’s supply revenue, $13 million is attributable to the one-time sale of product to a single customer.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Holding Company</w:t>
      </w:r>
    </w:p>
    <w:p>
      <w:pPr>
        <w:spacing w:after="0" w:line="225" w:lineRule="exact"/>
        <w:rPr>
          <w:sz w:val="20"/>
          <w:szCs w:val="20"/>
          <w:color w:val="auto"/>
        </w:rPr>
      </w:pPr>
    </w:p>
    <w:p>
      <w:pPr>
        <w:ind w:left="60" w:right="319" w:firstLine="324"/>
        <w:spacing w:after="0" w:line="342" w:lineRule="auto"/>
        <w:rPr>
          <w:sz w:val="20"/>
          <w:szCs w:val="20"/>
          <w:color w:val="auto"/>
        </w:rPr>
      </w:pPr>
      <w:r>
        <w:rPr>
          <w:rFonts w:ascii="Arial" w:cs="Arial" w:eastAsia="Arial" w:hAnsi="Arial"/>
          <w:sz w:val="16"/>
          <w:szCs w:val="16"/>
          <w:color w:val="auto"/>
        </w:rPr>
        <w:t>Our Holding Company’s results of operations primarily reflect investment gains and losses from equity investments and the interest expense on its senior unsecured notes for each of the three months ended March 31, 2021 and 2020.</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March 31, 2021 and 2020</w:t>
      </w:r>
    </w:p>
    <w:p>
      <w:pPr>
        <w:spacing w:after="0" w:line="225"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Our consolidated selling, general and administrative during the three months ended March 31, 2021 increased by $8 million (3%) as compared the comparable prior year period primarily due to higher compensation costs for our Investment segment and the addition of the results of our Pharma segment, offset in part by lower costs resulting from store closures for our Automotive segment.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March 31, 2021 and 2020</w:t>
      </w:r>
    </w:p>
    <w:p>
      <w:pPr>
        <w:spacing w:after="0" w:line="225" w:lineRule="exact"/>
        <w:rPr>
          <w:sz w:val="20"/>
          <w:szCs w:val="20"/>
          <w:color w:val="auto"/>
        </w:rPr>
      </w:pPr>
    </w:p>
    <w:p>
      <w:pPr>
        <w:ind w:left="60" w:right="99" w:firstLine="324"/>
        <w:spacing w:after="0" w:line="301" w:lineRule="auto"/>
        <w:rPr>
          <w:sz w:val="20"/>
          <w:szCs w:val="20"/>
          <w:color w:val="auto"/>
        </w:rPr>
      </w:pPr>
      <w:r>
        <w:rPr>
          <w:rFonts w:ascii="Arial" w:cs="Arial" w:eastAsia="Arial" w:hAnsi="Arial"/>
          <w:sz w:val="16"/>
          <w:szCs w:val="16"/>
          <w:color w:val="auto"/>
        </w:rPr>
        <w:t>Our consolidated interest expense during the three months ended March 31, 2021 increased by $24 million (14%) as compared the comparable prior year period. The increase was primarily due to higher interest expense from our Investment segment attributable to an increase in average due to broker balances over the respective periods offset in part by lower interest expense for our Holding Company due to lower weighted average interest rates resulting from debt refinancings.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Certain of our subsidiaries are partnerships not subject to taxation in our condensed consolidated financial statements and certain other subsidiaries are corporations, or subsidiaries of corporations, subject to taxation in our condensed consolidated financial statements. Therefore, our consolidated effective tax rate generally differs from the statutory federal tax rate. Refer to Note 13, “Income Taxes,” to the condensed consolidated financial statements for a discussion of income taxes.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Holding Company Liquidity</w:t>
      </w:r>
    </w:p>
    <w:p>
      <w:pPr>
        <w:spacing w:after="0" w:line="225"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We are a holding company. Our cash flow and our ability to meet our debt service obligations and make distributions with respect to depositary units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182" w:lineRule="exact"/>
        <w:rPr>
          <w:sz w:val="20"/>
          <w:szCs w:val="20"/>
          <w:color w:val="auto"/>
        </w:rPr>
      </w:pPr>
    </w:p>
    <w:p>
      <w:pPr>
        <w:ind w:left="60" w:right="119" w:firstLine="324"/>
        <w:spacing w:after="0" w:line="301" w:lineRule="auto"/>
        <w:rPr>
          <w:sz w:val="20"/>
          <w:szCs w:val="20"/>
          <w:color w:val="auto"/>
        </w:rPr>
      </w:pPr>
      <w:r>
        <w:rPr>
          <w:rFonts w:ascii="Arial" w:cs="Arial" w:eastAsia="Arial" w:hAnsi="Arial"/>
          <w:sz w:val="16"/>
          <w:szCs w:val="16"/>
          <w:color w:val="auto"/>
        </w:rPr>
        <w:t>As of March 31, 2021, our Holding Company had cash and cash equivalents of approximately $1.1 billion and total debt of approximately $5.8 billion. As of March 31, 2021, our Holding Company had investments in the Investment Funds with a total fair market value of approximately $4.7 billion. We may redeem our direct investment in the Investment Funds upon notice. See “Investment Segment Liquidity” below for additional information with respect to our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Investment segment liquidity. See “Consolidated Cash Flows” below for additional information with respect to our Holding Company liquidity.</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40" w:type="dxa"/>
            <w:vAlign w:val="bottom"/>
          </w:tcPr>
          <w:p>
            <w:pPr>
              <w:ind w:left="20"/>
              <w:spacing w:after="0"/>
              <w:rPr>
                <w:sz w:val="20"/>
                <w:szCs w:val="20"/>
                <w:color w:val="auto"/>
              </w:rPr>
            </w:pPr>
            <w:r>
              <w:rPr>
                <w:rFonts w:ascii="Arial" w:cs="Arial" w:eastAsia="Arial" w:hAnsi="Arial"/>
                <w:sz w:val="18"/>
                <w:szCs w:val="18"/>
                <w:i w:val="1"/>
                <w:iCs w:val="1"/>
                <w:color w:val="auto"/>
              </w:rPr>
              <w:t>Holding Company Borrowings and Availability</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27"/>
        </w:trPr>
        <w:tc>
          <w:tcPr>
            <w:tcW w:w="6640" w:type="dxa"/>
            <w:vAlign w:val="bottom"/>
          </w:tcPr>
          <w:p>
            <w:pPr>
              <w:spacing w:after="0"/>
              <w:rPr>
                <w:sz w:val="24"/>
                <w:szCs w:val="24"/>
                <w:color w:val="auto"/>
              </w:rPr>
            </w:pPr>
          </w:p>
        </w:tc>
        <w:tc>
          <w:tcPr>
            <w:tcW w:w="1160" w:type="dxa"/>
            <w:vAlign w:val="bottom"/>
            <w:gridSpan w:val="3"/>
          </w:tcPr>
          <w:p>
            <w:pPr>
              <w:ind w:left="60"/>
              <w:spacing w:after="0"/>
              <w:rPr>
                <w:sz w:val="20"/>
                <w:szCs w:val="20"/>
                <w:color w:val="auto"/>
              </w:rPr>
            </w:pPr>
            <w:r>
              <w:rPr>
                <w:rFonts w:ascii="Arial" w:cs="Arial" w:eastAsia="Arial" w:hAnsi="Arial"/>
                <w:sz w:val="18"/>
                <w:szCs w:val="18"/>
                <w:b w:val="1"/>
                <w:bCs w:val="1"/>
                <w:color w:val="auto"/>
              </w:rPr>
              <w:t>March 31,</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2020</w:t>
            </w:r>
          </w:p>
        </w:tc>
      </w:tr>
      <w:tr>
        <w:trPr>
          <w:trHeight w:val="128"/>
        </w:trPr>
        <w:tc>
          <w:tcPr>
            <w:tcW w:w="6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ind w:left="580"/>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2022</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6.750% senior unsecured notes due 2024</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4.750% senior unsecured notes due 2024</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6.375% senior unsecured notes due 2025</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2026</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5.250% senior unsecured notes due 2027</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999</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4.375% senior unsecured notes due 2029</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64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5,805</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5,811</w:t>
            </w:r>
          </w:p>
        </w:tc>
      </w:tr>
      <w:tr>
        <w:trPr>
          <w:trHeight w:val="20"/>
        </w:trPr>
        <w:tc>
          <w:tcPr>
            <w:tcW w:w="6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Holding Company debt consists of various issues of fixed-rate senior unsecured notes issued by the Issuers and guaranteed by Icahn Enterprises Holdings (the “Guarantor”). Interest on each tranche of senior unsecured notes are payable semi-annually.</w:t>
      </w:r>
    </w:p>
    <w:p>
      <w:pPr>
        <w:spacing w:after="0" w:line="184" w:lineRule="exact"/>
        <w:rPr>
          <w:sz w:val="20"/>
          <w:szCs w:val="20"/>
          <w:color w:val="auto"/>
        </w:rPr>
      </w:pPr>
    </w:p>
    <w:p>
      <w:pPr>
        <w:ind w:left="60" w:right="99" w:firstLine="324"/>
        <w:spacing w:after="0" w:line="301" w:lineRule="auto"/>
        <w:rPr>
          <w:sz w:val="20"/>
          <w:szCs w:val="20"/>
          <w:color w:val="auto"/>
        </w:rPr>
      </w:pPr>
      <w:r>
        <w:rPr>
          <w:rFonts w:ascii="Arial" w:cs="Arial" w:eastAsia="Arial" w:hAnsi="Arial"/>
          <w:sz w:val="16"/>
          <w:szCs w:val="16"/>
          <w:color w:val="auto"/>
        </w:rPr>
        <w:t>In January 2021, Icahn Enterprises and Icahn Enterprises Finance Corp. (together the “Issuers”) issued $750 million in aggregate principal amount of 4.375% senior unsecured notes due 2029 (the “New 2029 Notes”). The proceeds from the New 2029 Notes were used to redeem $750 million principal amount of 6.250% senior unsecured notes due 2022, and to pay accrued interest, related fees and expenses. Interest on the New 2029 Notes is payable semi-annually.</w:t>
      </w:r>
    </w:p>
    <w:p>
      <w:pPr>
        <w:spacing w:after="0" w:line="157" w:lineRule="exact"/>
        <w:rPr>
          <w:sz w:val="20"/>
          <w:szCs w:val="20"/>
          <w:color w:val="auto"/>
        </w:rPr>
      </w:pPr>
    </w:p>
    <w:p>
      <w:pPr>
        <w:ind w:left="60" w:right="339" w:firstLine="324"/>
        <w:spacing w:after="0" w:line="311" w:lineRule="auto"/>
        <w:rPr>
          <w:sz w:val="20"/>
          <w:szCs w:val="20"/>
          <w:color w:val="auto"/>
        </w:rPr>
      </w:pPr>
      <w:r>
        <w:rPr>
          <w:rFonts w:ascii="Arial" w:cs="Arial" w:eastAsia="Arial" w:hAnsi="Arial"/>
          <w:sz w:val="16"/>
          <w:szCs w:val="16"/>
          <w:color w:val="auto"/>
        </w:rPr>
        <w:t>In April 2021, the Issuers issued $455 million in aggregate principal amount of additional 5.250% senior unsecured notes due 2027. The proceeds from this issuance were used to redeem the remaining $455 million principal amount of 6.250% senior unsecured notes due 2022, and to pay accrued interest, related fees and expenses.</w:t>
      </w:r>
    </w:p>
    <w:p>
      <w:pPr>
        <w:spacing w:after="0" w:line="149"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Each of our senior unsecured notes and the related guarantees are the senior unsecured obligations of the Issuers and rank equally with all of the Issuers’ and the Guarantor’s existing and future senior unsecured indebtedness and senior to all of the Issuers’ and the Guarantor’s existing and future subordinated indebtedness. Each of our senior unsecured notes and the related guarantees are effectively subordinated to the Issuers’ and the Guarantor’s existing and future secured indebtedness to the extent of the collateral securing such indebtedness. Each of our senior unsecured notes and the related guarantees are also effectively subordinated to all indebtedness and other liabilities of the Issuers’ subsidiaries other than the Guarantor.</w:t>
      </w:r>
    </w:p>
    <w:p>
      <w:pPr>
        <w:spacing w:after="0" w:line="177" w:lineRule="exact"/>
        <w:rPr>
          <w:sz w:val="20"/>
          <w:szCs w:val="20"/>
          <w:color w:val="auto"/>
        </w:rPr>
      </w:pPr>
    </w:p>
    <w:p>
      <w:pPr>
        <w:ind w:left="60" w:right="159" w:firstLine="324"/>
        <w:spacing w:after="0" w:line="288" w:lineRule="auto"/>
        <w:rPr>
          <w:sz w:val="20"/>
          <w:szCs w:val="20"/>
          <w:color w:val="auto"/>
        </w:rPr>
      </w:pPr>
      <w:r>
        <w:rPr>
          <w:rFonts w:ascii="Arial" w:cs="Arial" w:eastAsia="Arial" w:hAnsi="Arial"/>
          <w:sz w:val="16"/>
          <w:szCs w:val="16"/>
          <w:color w:val="auto"/>
        </w:rPr>
        <w:t>The indentures governing our senior unsecured notes described above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Icahn Enterprises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 Additionally, each of the senior unsecured notes outstanding as of March 31, 2021, except for the 4.750% senior unsecured notes due 2024, the 5.250% senior unsecured notes due 2027 and 4.375% senior unsecured notes due 2029, are subject to optional redemption premiums in the event we redeem any of the notes prior to certain dates as described in the indentures.</w:t>
      </w:r>
    </w:p>
    <w:p>
      <w:pPr>
        <w:spacing w:after="0" w:line="168" w:lineRule="exact"/>
        <w:rPr>
          <w:sz w:val="20"/>
          <w:szCs w:val="20"/>
          <w:color w:val="auto"/>
        </w:rPr>
      </w:pPr>
    </w:p>
    <w:p>
      <w:pPr>
        <w:ind w:left="60" w:right="259" w:firstLine="324"/>
        <w:spacing w:after="0" w:line="279" w:lineRule="auto"/>
        <w:rPr>
          <w:sz w:val="20"/>
          <w:szCs w:val="20"/>
          <w:color w:val="auto"/>
        </w:rPr>
      </w:pPr>
      <w:r>
        <w:rPr>
          <w:rFonts w:ascii="Arial" w:cs="Arial" w:eastAsia="Arial" w:hAnsi="Arial"/>
          <w:sz w:val="17"/>
          <w:szCs w:val="17"/>
          <w:color w:val="auto"/>
        </w:rPr>
        <w:t>As of March 31, 2021 and December 31, 2020, we were in compliance with all covenants, including maintaining certain minimum financial ratios, as defined in the indentures. Additionally, as of March 31, 2021, based on covenants in the indentures governing our senior unsecured notes, we are not permitted to incur additional indebtedness; however, we are permitted to issue new notes in connection with debt refinancings of existing notes.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2021 At-The-Market Offering</w:t>
      </w:r>
    </w:p>
    <w:p>
      <w:pPr>
        <w:spacing w:after="0" w:line="225"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On February 26, 2021, Icahn Enterprises announced the commencement of its “at-the-market” offering pursuant to its Open Market Sale Agreement, pursuant to which Icahn Enterprises may sell its depositary units, from time to time, during the term of the program ending on December 31, 2023, for up to $400 million in aggregate sale proceeds. During the three months ended March 31, 2021, Icahn Enterprises sold 3,109,345 depositary units pursuant to this agreement, resulting in gross proceeds of $184 million. As of March 31, 2021, Icahn Enterprises may sell its depositary units for up to an additional $216 million in aggregate sale proceeds pursuant to this agreement. No assurance can be made that any or all amounts will be sold during the term of the program. Icahn Enterprises’ prior “at-the-market” offering was terminated on February 26, 2021.</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LP Unit Distributions</w:t>
      </w:r>
    </w:p>
    <w:p>
      <w:pPr>
        <w:spacing w:after="0" w:line="225" w:lineRule="exact"/>
        <w:rPr>
          <w:sz w:val="20"/>
          <w:szCs w:val="20"/>
          <w:color w:val="auto"/>
        </w:rPr>
      </w:pPr>
    </w:p>
    <w:p>
      <w:pPr>
        <w:jc w:val="both"/>
        <w:ind w:left="60" w:right="99" w:firstLine="324"/>
        <w:spacing w:after="0" w:line="311" w:lineRule="auto"/>
        <w:rPr>
          <w:sz w:val="20"/>
          <w:szCs w:val="20"/>
          <w:color w:val="auto"/>
        </w:rPr>
      </w:pPr>
      <w:r>
        <w:rPr>
          <w:rFonts w:ascii="Arial" w:cs="Arial" w:eastAsia="Arial" w:hAnsi="Arial"/>
          <w:sz w:val="16"/>
          <w:szCs w:val="16"/>
          <w:color w:val="auto"/>
        </w:rPr>
        <w:t>On February 24, 2021, Icahn Enterprises declared a quarterly distribution in the amount of $2.00 per depositary unit in which each depositary unitholder had the option to make an election to receive either cash or additional depositary units. In connection with this distribution, aggregate cash distributions to all depositary unitholders was $27 million in April 2021.</w:t>
      </w:r>
    </w:p>
    <w:p>
      <w:pPr>
        <w:spacing w:after="0" w:line="149" w:lineRule="exact"/>
        <w:rPr>
          <w:sz w:val="20"/>
          <w:szCs w:val="20"/>
          <w:color w:val="auto"/>
        </w:rPr>
      </w:pPr>
    </w:p>
    <w:p>
      <w:pPr>
        <w:ind w:left="60" w:right="59" w:firstLine="324"/>
        <w:spacing w:after="0" w:line="271" w:lineRule="auto"/>
        <w:rPr>
          <w:sz w:val="20"/>
          <w:szCs w:val="20"/>
          <w:color w:val="auto"/>
        </w:rPr>
      </w:pPr>
      <w:r>
        <w:rPr>
          <w:rFonts w:ascii="Arial" w:cs="Arial" w:eastAsia="Arial" w:hAnsi="Arial"/>
          <w:sz w:val="17"/>
          <w:szCs w:val="17"/>
          <w:color w:val="auto"/>
        </w:rPr>
        <w:t>On May 5, 2021, the Board of Directors of the general partner of Icahn Enterprises declared a quarterly distribution in the amount of $2.00 per depositary unit. The quarterly distribution is payable in either cash or additional depositary units, at the election of each depositary unitholder and will be paid on or about June 30, 2021 to depositary unitholders of record at the close of business on June 1, 2021. Depositary unitholders will have until June 18, 2021 to make an election to receive either cash or additional depositary units. If a holder does not make a timely election to receive cash, it will automatically be deemed to have elected to receive the distribution in additional depositary units. Icahn Enterprises will make a cash payment in lieu of issuing fractional depositary units to any unitholders electing to receive (or who are deemed to have elected to receive) depositary units.</w:t>
      </w:r>
    </w:p>
    <w:p>
      <w:pPr>
        <w:spacing w:after="0" w:line="178" w:lineRule="exact"/>
        <w:rPr>
          <w:sz w:val="20"/>
          <w:szCs w:val="20"/>
          <w:color w:val="auto"/>
        </w:rPr>
      </w:pPr>
    </w:p>
    <w:p>
      <w:pPr>
        <w:ind w:left="60" w:right="159" w:firstLine="324"/>
        <w:spacing w:after="0" w:line="289" w:lineRule="auto"/>
        <w:rPr>
          <w:sz w:val="20"/>
          <w:szCs w:val="20"/>
          <w:color w:val="auto"/>
        </w:rPr>
      </w:pPr>
      <w:r>
        <w:rPr>
          <w:rFonts w:ascii="Arial" w:cs="Arial" w:eastAsia="Arial" w:hAnsi="Arial"/>
          <w:sz w:val="16"/>
          <w:szCs w:val="16"/>
          <w:color w:val="auto"/>
        </w:rPr>
        <w:t>The declaration and payment of distributions is reviewed quarterly by Icahn Enterprises GP’s board of directors based upon a review of our balance sheet and cash flow, our expected capital and liquidity requirements, the provisions of our partnership agreement and provisions in our financing arrangements governing distributions, and keeping in mind that limited partners subject to U.S. federal income tax have recognized income on our earnings even if they do not receive distributions that could be used to satisfy any resulting tax obligations. The payment of future distributions will be determined by the board of directors quarterly, based upon the factors described above and other factors that it deems relevant at the time that declaration of a distribution is considered. Payments of distributions are subject to certain restrictions, including certain restrictions on our subsidiaries which limit their ability to distribute dividends to us. There can be no assurance as to whether or in what amounts any future distributions might be paid.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Segment Liquidity</w:t>
      </w:r>
    </w:p>
    <w:p>
      <w:pPr>
        <w:spacing w:after="0" w:line="225" w:lineRule="exact"/>
        <w:rPr>
          <w:sz w:val="20"/>
          <w:szCs w:val="20"/>
          <w:color w:val="auto"/>
        </w:rPr>
      </w:pPr>
    </w:p>
    <w:p>
      <w:pPr>
        <w:ind w:left="60" w:right="79" w:firstLine="324"/>
        <w:spacing w:after="0" w:line="308" w:lineRule="auto"/>
        <w:rPr>
          <w:sz w:val="20"/>
          <w:szCs w:val="20"/>
          <w:color w:val="auto"/>
        </w:rPr>
      </w:pPr>
      <w:r>
        <w:rPr>
          <w:rFonts w:ascii="Arial" w:cs="Arial" w:eastAsia="Arial" w:hAnsi="Arial"/>
          <w:sz w:val="17"/>
          <w:szCs w:val="17"/>
          <w:color w:val="auto"/>
        </w:rPr>
        <w:t>In addition to investments by us and Mr. Icahn, the Investment Funds historically have access to significant amounts of cash available from prime brokerage lines of credit, subject to customary terms and market conditions.</w:t>
      </w:r>
    </w:p>
    <w:p>
      <w:pPr>
        <w:spacing w:after="0" w:line="146" w:lineRule="exact"/>
        <w:rPr>
          <w:sz w:val="20"/>
          <w:szCs w:val="20"/>
          <w:color w:val="auto"/>
        </w:rPr>
      </w:pPr>
    </w:p>
    <w:p>
      <w:pPr>
        <w:ind w:left="60" w:right="99" w:firstLine="324"/>
        <w:spacing w:after="0" w:line="275" w:lineRule="auto"/>
        <w:rPr>
          <w:sz w:val="20"/>
          <w:szCs w:val="20"/>
          <w:color w:val="auto"/>
        </w:rPr>
      </w:pPr>
      <w:r>
        <w:rPr>
          <w:rFonts w:ascii="Arial" w:cs="Arial" w:eastAsia="Arial" w:hAnsi="Arial"/>
          <w:sz w:val="17"/>
          <w:szCs w:val="17"/>
          <w:color w:val="auto"/>
        </w:rPr>
        <w:t>Additionally, our Investment segment liquidity is driven by the investment activities and performance of the Investment Funds. As of March 31, 2021, the Investment Funds’ had a net short notional exposure of 19%. The Investment Funds’ long exposure was 109% (108% long equity and 1% long credit) and its short exposure was 128% (88% short equity and 40% short credit and other). The notional exposure represents the ratio of the notional exposure of the Investment Funds’ invested capital to the net asset value of the Investment Funds at March 31, 2021.</w:t>
      </w:r>
    </w:p>
    <w:p>
      <w:pPr>
        <w:spacing w:after="0" w:line="176" w:lineRule="exact"/>
        <w:rPr>
          <w:sz w:val="20"/>
          <w:szCs w:val="20"/>
          <w:color w:val="auto"/>
        </w:rPr>
      </w:pPr>
    </w:p>
    <w:p>
      <w:pPr>
        <w:ind w:left="60" w:right="559" w:firstLine="324"/>
        <w:spacing w:after="0" w:line="301" w:lineRule="auto"/>
        <w:rPr>
          <w:sz w:val="20"/>
          <w:szCs w:val="20"/>
          <w:color w:val="auto"/>
        </w:rPr>
      </w:pPr>
      <w:r>
        <w:rPr>
          <w:rFonts w:ascii="Arial" w:cs="Arial" w:eastAsia="Arial" w:hAnsi="Arial"/>
          <w:sz w:val="16"/>
          <w:szCs w:val="16"/>
          <w:color w:val="auto"/>
        </w:rPr>
        <w:t>Of the Investment Funds’ 109% long exposure, 107% was comprised of the fair value of its long positions (with certain adjustments) and 2% was comprised of single name equity forward contracts and credit contracts. Of the Investment Funds’ 128% short exposure, 48% was comprised of the fair value of its short positions and 80% was comprised of short broad market index swap derivative contracts and short credit default swap contracts.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75" w:lineRule="auto"/>
        <w:rPr>
          <w:sz w:val="20"/>
          <w:szCs w:val="20"/>
          <w:color w:val="auto"/>
        </w:rPr>
      </w:pPr>
      <w:r>
        <w:rPr>
          <w:rFonts w:ascii="Arial" w:cs="Arial" w:eastAsia="Arial" w:hAnsi="Arial"/>
          <w:sz w:val="17"/>
          <w:szCs w:val="17"/>
          <w:color w:val="auto"/>
        </w:rPr>
        <w:t>With respect to both our long positions that are not notionalized (108% long exposure) and our short positions that are not notionalized (48% short exposure),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176"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With respect to the notional value of our other short positions (80%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Segment Liquidity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Cash and Cash Equivalents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Segment cash and cash equivalents (excluding our Investment segment)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4"/>
          </w:tcPr>
          <w:p>
            <w:pPr>
              <w:ind w:left="40"/>
              <w:spacing w:after="0"/>
              <w:rPr>
                <w:sz w:val="20"/>
                <w:szCs w:val="20"/>
                <w:color w:val="auto"/>
              </w:rPr>
            </w:pPr>
            <w:r>
              <w:rPr>
                <w:rFonts w:ascii="Arial" w:cs="Arial" w:eastAsia="Arial" w:hAnsi="Arial"/>
                <w:sz w:val="18"/>
                <w:szCs w:val="18"/>
                <w:b w:val="1"/>
                <w:bCs w:val="1"/>
                <w:color w:val="auto"/>
              </w:rPr>
              <w:t>March 31,</w:t>
            </w:r>
          </w:p>
        </w:tc>
        <w:tc>
          <w:tcPr>
            <w:tcW w:w="110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5"/>
          </w:tcPr>
          <w:p>
            <w:pPr>
              <w:jc w:val="right"/>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200" w:type="dxa"/>
            <w:vAlign w:val="bottom"/>
            <w:gridSpan w:val="2"/>
            <w:shd w:val="clear" w:color="auto" w:fill="CCEEFF"/>
          </w:tcPr>
          <w:p>
            <w:pPr>
              <w:jc w:val="right"/>
              <w:ind w:right="3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Automotive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Metals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Home Fashion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Pharma</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178"/>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Segment Borrowings and Availability</w:t>
            </w: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620" w:type="dxa"/>
            <w:vAlign w:val="bottom"/>
          </w:tcPr>
          <w:p>
            <w:pPr>
              <w:ind w:left="320"/>
              <w:spacing w:after="0"/>
              <w:rPr>
                <w:sz w:val="20"/>
                <w:szCs w:val="20"/>
                <w:color w:val="auto"/>
              </w:rPr>
            </w:pPr>
            <w:r>
              <w:rPr>
                <w:rFonts w:ascii="Arial" w:cs="Arial" w:eastAsia="Arial" w:hAnsi="Arial"/>
                <w:sz w:val="18"/>
                <w:szCs w:val="18"/>
                <w:color w:val="auto"/>
              </w:rPr>
              <w:t>Segment debt consists of the following:</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4"/>
          </w:tcPr>
          <w:p>
            <w:pPr>
              <w:ind w:left="6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5"/>
          </w:tcPr>
          <w:p>
            <w:pPr>
              <w:jc w:val="right"/>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Energy</w:t>
            </w:r>
          </w:p>
        </w:tc>
        <w:tc>
          <w:tcPr>
            <w:tcW w:w="20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Automotive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Food Packaging</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Metals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Home Fashion</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99" w:firstLine="324"/>
        <w:spacing w:after="0" w:line="263" w:lineRule="auto"/>
        <w:rPr>
          <w:sz w:val="20"/>
          <w:szCs w:val="20"/>
          <w:color w:val="auto"/>
        </w:rPr>
      </w:pPr>
      <w:r>
        <w:rPr>
          <w:rFonts w:ascii="Arial" w:cs="Arial" w:eastAsia="Arial" w:hAnsi="Arial"/>
          <w:sz w:val="18"/>
          <w:szCs w:val="18"/>
          <w:color w:val="auto"/>
        </w:rPr>
        <w:t>Refer to our Annual Report on Form 10-K for the year ended December 31, 2020 for information concerning terms, restrictions and covenants pertaining to our subsidiaries’ debt. As of March 31, 2021, all of our subsidiaries were in compliance with all debt covenants.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Our segments have additional borrowing availability under certain revolving credit facilities as summarized below:</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72"/>
              <w:spacing w:after="0"/>
              <w:rPr>
                <w:sz w:val="20"/>
                <w:szCs w:val="20"/>
                <w:color w:val="auto"/>
              </w:rPr>
            </w:pPr>
            <w:r>
              <w:rPr>
                <w:rFonts w:ascii="Arial" w:cs="Arial" w:eastAsia="Arial" w:hAnsi="Arial"/>
                <w:sz w:val="18"/>
                <w:szCs w:val="18"/>
                <w:b w:val="1"/>
                <w:bCs w:val="1"/>
                <w:color w:val="auto"/>
                <w:w w:val="96"/>
              </w:rPr>
              <w:t>March 31,</w:t>
            </w:r>
          </w:p>
        </w:tc>
      </w:tr>
      <w:tr>
        <w:trPr>
          <w:trHeight w:val="234"/>
        </w:trPr>
        <w:tc>
          <w:tcPr>
            <w:tcW w:w="7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9"/>
              </w:rPr>
              <w:t>2021</w:t>
            </w:r>
          </w:p>
        </w:tc>
      </w:tr>
      <w:tr>
        <w:trPr>
          <w:trHeight w:val="142"/>
        </w:trPr>
        <w:tc>
          <w:tcPr>
            <w:tcW w:w="7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32"/>
              <w:spacing w:after="0" w:line="142" w:lineRule="exact"/>
              <w:rPr>
                <w:sz w:val="20"/>
                <w:szCs w:val="20"/>
                <w:color w:val="auto"/>
              </w:rPr>
            </w:pPr>
            <w:r>
              <w:rPr>
                <w:rFonts w:ascii="Arial" w:cs="Arial" w:eastAsia="Arial" w:hAnsi="Arial"/>
                <w:sz w:val="14"/>
                <w:szCs w:val="14"/>
                <w:color w:val="auto"/>
              </w:rPr>
              <w:t>(in millions)</w:t>
            </w: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Metals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Fashion</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0"/>
        </w:trPr>
        <w:tc>
          <w:tcPr>
            <w:tcW w:w="77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r>
      <w:tr>
        <w:trPr>
          <w:trHeight w:val="20"/>
        </w:trPr>
        <w:tc>
          <w:tcPr>
            <w:tcW w:w="7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479" w:firstLine="324"/>
        <w:spacing w:after="0" w:line="277" w:lineRule="auto"/>
        <w:rPr>
          <w:sz w:val="20"/>
          <w:szCs w:val="20"/>
          <w:color w:val="auto"/>
        </w:rPr>
      </w:pPr>
      <w:r>
        <w:rPr>
          <w:rFonts w:ascii="Arial" w:cs="Arial" w:eastAsia="Arial" w:hAnsi="Arial"/>
          <w:sz w:val="18"/>
          <w:szCs w:val="18"/>
          <w:color w:val="auto"/>
        </w:rPr>
        <w:t>The above outstanding debt and borrowing availability with respect to each of our continuing operating segments reflects third-party obligations.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Subsidiary Stock Repurchase Program</w:t>
      </w:r>
    </w:p>
    <w:p>
      <w:pPr>
        <w:spacing w:after="0" w:line="225" w:lineRule="exact"/>
        <w:rPr>
          <w:sz w:val="20"/>
          <w:szCs w:val="20"/>
          <w:color w:val="auto"/>
        </w:rPr>
      </w:pPr>
    </w:p>
    <w:p>
      <w:pPr>
        <w:ind w:left="60" w:right="199" w:firstLine="324"/>
        <w:spacing w:after="0" w:line="286" w:lineRule="auto"/>
        <w:rPr>
          <w:sz w:val="20"/>
          <w:szCs w:val="20"/>
          <w:color w:val="auto"/>
        </w:rPr>
      </w:pPr>
      <w:r>
        <w:rPr>
          <w:rFonts w:ascii="Arial" w:cs="Arial" w:eastAsia="Arial" w:hAnsi="Arial"/>
          <w:sz w:val="16"/>
          <w:szCs w:val="16"/>
          <w:color w:val="auto"/>
        </w:rPr>
        <w:t>On October 23, 2019, the Board of Directors of CVR Energy approved a stock repurchase program which would enable it to repurchase up to $300 million of its common stock from time to time through open market transactions, block trades, privately negotiated transactions or otherwise in accordance with applicable securities laws. The stock repurchase program has a duration of four years, which may be terminated by the Board of Directors of CVR Energy at any time.</w:t>
      </w:r>
    </w:p>
    <w:p>
      <w:pPr>
        <w:spacing w:after="0" w:line="1" w:lineRule="exact"/>
        <w:rPr>
          <w:sz w:val="20"/>
          <w:szCs w:val="20"/>
          <w:color w:val="auto"/>
        </w:rPr>
      </w:pPr>
    </w:p>
    <w:p>
      <w:pPr>
        <w:ind w:left="60" w:right="159"/>
        <w:spacing w:after="0" w:line="295" w:lineRule="auto"/>
        <w:rPr>
          <w:sz w:val="20"/>
          <w:szCs w:val="20"/>
          <w:color w:val="auto"/>
        </w:rPr>
      </w:pPr>
      <w:r>
        <w:rPr>
          <w:rFonts w:ascii="Arial" w:cs="Arial" w:eastAsia="Arial" w:hAnsi="Arial"/>
          <w:sz w:val="16"/>
          <w:szCs w:val="16"/>
          <w:color w:val="auto"/>
        </w:rPr>
        <w:t>Repurchases, if any, including the timing, price and amount, may be made at the discretion of CVR Energy management and CVR Energy is not obligated to make any repurchases. CVR Energy did not repurchase any shares of its common stock as of March 31, 2021. Due to the market and oil price volatility, coupled with the current economic conditions, CVR Energy does not currently intend to repurchase any stock if these, and other, conditions continue.</w:t>
      </w:r>
    </w:p>
    <w:p>
      <w:pPr>
        <w:spacing w:after="0" w:line="161"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On May 6, 2020, the Board of Directors of CVR Partners’ general partner approved a unit repurchase program which would enable it to repurchase up to $10 million of its common units from time to time through open market transactions, block trades, privately negotiated transactions or otherwise in accordance with applicable securities laws. On February 22, 2021, the Board of Directors of CVR Partners authorized an additional $10 million under the unit repurchase program. During 2021, CVR Partners repurchased common units on the open market at a cost of $1 million. As of March 31, 2021, CVR Partners has $12 million remaining under its unit repurchase program.</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225" w:lineRule="exact"/>
        <w:rPr>
          <w:sz w:val="20"/>
          <w:szCs w:val="20"/>
          <w:color w:val="auto"/>
        </w:rPr>
      </w:pPr>
    </w:p>
    <w:p>
      <w:pPr>
        <w:ind w:left="60" w:right="139" w:firstLine="324"/>
        <w:spacing w:after="0" w:line="290" w:lineRule="auto"/>
        <w:rPr>
          <w:sz w:val="20"/>
          <w:szCs w:val="20"/>
          <w:color w:val="auto"/>
        </w:rPr>
      </w:pPr>
      <w:r>
        <w:rPr>
          <w:rFonts w:ascii="Arial" w:cs="Arial" w:eastAsia="Arial" w:hAnsi="Arial"/>
          <w:sz w:val="16"/>
          <w:szCs w:val="16"/>
          <w:color w:val="auto"/>
        </w:rPr>
        <w:t>Our Holding Company’s cash flows are generally driven by payments and proceeds associated with our senior unsecured debt obligations and payments and proceeds associated with equity transactions with Icahn Enterprises’ depositary unitholders. Additionally, our Holding Company’s cash flows include transactions with our Investment and other operating segments. Our Investment segment’s cash flows are primarily driven by investment transactions, which are included in net cash flows from operating activities due to the nature of its business, as well as contributions to and distributions from Mr. Icahn and his affiliates (including Icahn Enterprises and Icahn Enterprises Holdings) and Brett Icahn, which are included in net cash flows from financing activities. Our other operating segments’ cash flows are driven by the activities and performance of each business as well as transactions with our Holding Company, as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The following table summarizes cash flow information for Icahn Enterprises’ reporting segments and our Holding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5"/>
              </w:rPr>
              <w:t>Three Months Ended March 31, 2021</w:t>
            </w:r>
          </w:p>
        </w:tc>
        <w:tc>
          <w:tcPr>
            <w:tcW w:w="100" w:type="dxa"/>
            <w:vAlign w:val="bottom"/>
          </w:tcPr>
          <w:p>
            <w:pPr>
              <w:spacing w:after="0"/>
              <w:rPr>
                <w:sz w:val="14"/>
                <w:szCs w:val="14"/>
                <w:color w:val="auto"/>
              </w:rPr>
            </w:pPr>
          </w:p>
        </w:tc>
        <w:tc>
          <w:tcPr>
            <w:tcW w:w="270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95"/>
              </w:rPr>
              <w:t>Three Months Ended March 31, 2020</w:t>
            </w:r>
          </w:p>
        </w:tc>
      </w:tr>
      <w:tr>
        <w:trPr>
          <w:trHeight w:val="142"/>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40" w:type="dxa"/>
            <w:vAlign w:val="bottom"/>
            <w:tcBorders>
              <w:top w:val="single" w:sz="8" w:color="auto"/>
              <w:bottom w:val="single" w:sz="8" w:color="auto"/>
            </w:tcBorders>
            <w:gridSpan w:val="7"/>
          </w:tcPr>
          <w:p>
            <w:pPr>
              <w:jc w:val="center"/>
              <w:spacing w:after="0" w:line="142" w:lineRule="exact"/>
              <w:rPr>
                <w:sz w:val="20"/>
                <w:szCs w:val="20"/>
                <w:color w:val="auto"/>
              </w:rPr>
            </w:pPr>
            <w:r>
              <w:rPr>
                <w:rFonts w:ascii="Arial" w:cs="Arial" w:eastAsia="Arial" w:hAnsi="Arial"/>
                <w:sz w:val="14"/>
                <w:szCs w:val="14"/>
                <w:b w:val="1"/>
                <w:bCs w:val="1"/>
                <w:color w:val="auto"/>
                <w:w w:val="93"/>
              </w:rPr>
              <w:t>Net Cash Provided By (Used In)</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80" w:type="dxa"/>
            <w:vAlign w:val="bottom"/>
            <w:tcBorders>
              <w:top w:val="single" w:sz="8" w:color="auto"/>
              <w:bottom w:val="single" w:sz="8" w:color="auto"/>
            </w:tcBorders>
            <w:gridSpan w:val="7"/>
          </w:tcPr>
          <w:p>
            <w:pPr>
              <w:jc w:val="center"/>
              <w:spacing w:after="0" w:line="142" w:lineRule="exact"/>
              <w:rPr>
                <w:sz w:val="20"/>
                <w:szCs w:val="20"/>
                <w:color w:val="auto"/>
              </w:rPr>
            </w:pPr>
            <w:r>
              <w:rPr>
                <w:rFonts w:ascii="Arial" w:cs="Arial" w:eastAsia="Arial" w:hAnsi="Arial"/>
                <w:sz w:val="14"/>
                <w:szCs w:val="14"/>
                <w:b w:val="1"/>
                <w:bCs w:val="1"/>
                <w:color w:val="auto"/>
                <w:w w:val="93"/>
              </w:rPr>
              <w:t>Net Cash Provided By (Used In)</w:t>
            </w:r>
          </w:p>
        </w:tc>
        <w:tc>
          <w:tcPr>
            <w:tcW w:w="2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6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Operating</w:t>
            </w:r>
          </w:p>
        </w:tc>
        <w:tc>
          <w:tcPr>
            <w:tcW w:w="100" w:type="dxa"/>
            <w:vAlign w:val="bottom"/>
          </w:tcPr>
          <w:p>
            <w:pPr>
              <w:spacing w:after="0"/>
              <w:rPr>
                <w:sz w:val="10"/>
                <w:szCs w:val="10"/>
                <w:color w:val="auto"/>
              </w:rPr>
            </w:pPr>
          </w:p>
        </w:tc>
        <w:tc>
          <w:tcPr>
            <w:tcW w:w="8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Investing</w:t>
            </w:r>
          </w:p>
        </w:tc>
        <w:tc>
          <w:tcPr>
            <w:tcW w:w="80" w:type="dxa"/>
            <w:vAlign w:val="bottom"/>
          </w:tcPr>
          <w:p>
            <w:pPr>
              <w:spacing w:after="0"/>
              <w:rPr>
                <w:sz w:val="10"/>
                <w:szCs w:val="10"/>
                <w:color w:val="auto"/>
              </w:rPr>
            </w:pPr>
          </w:p>
        </w:tc>
        <w:tc>
          <w:tcPr>
            <w:tcW w:w="720" w:type="dxa"/>
            <w:vAlign w:val="bottom"/>
          </w:tcPr>
          <w:p>
            <w:pPr>
              <w:jc w:val="right"/>
              <w:ind w:right="14"/>
              <w:spacing w:after="0" w:line="119" w:lineRule="exact"/>
              <w:rPr>
                <w:sz w:val="20"/>
                <w:szCs w:val="20"/>
                <w:color w:val="auto"/>
              </w:rPr>
            </w:pPr>
            <w:r>
              <w:rPr>
                <w:rFonts w:ascii="Arial" w:cs="Arial" w:eastAsia="Arial" w:hAnsi="Arial"/>
                <w:sz w:val="13"/>
                <w:szCs w:val="13"/>
                <w:b w:val="1"/>
                <w:bCs w:val="1"/>
                <w:color w:val="auto"/>
                <w:w w:val="97"/>
              </w:rPr>
              <w:t>Financing</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Operating</w:t>
            </w:r>
          </w:p>
        </w:tc>
        <w:tc>
          <w:tcPr>
            <w:tcW w:w="100" w:type="dxa"/>
            <w:vAlign w:val="bottom"/>
          </w:tcPr>
          <w:p>
            <w:pPr>
              <w:spacing w:after="0"/>
              <w:rPr>
                <w:sz w:val="10"/>
                <w:szCs w:val="10"/>
                <w:color w:val="auto"/>
              </w:rPr>
            </w:pPr>
          </w:p>
        </w:tc>
        <w:tc>
          <w:tcPr>
            <w:tcW w:w="8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Investing</w:t>
            </w:r>
          </w:p>
        </w:tc>
        <w:tc>
          <w:tcPr>
            <w:tcW w:w="100" w:type="dxa"/>
            <w:vAlign w:val="bottom"/>
          </w:tcPr>
          <w:p>
            <w:pPr>
              <w:spacing w:after="0"/>
              <w:rPr>
                <w:sz w:val="10"/>
                <w:szCs w:val="10"/>
                <w:color w:val="auto"/>
              </w:rPr>
            </w:pPr>
          </w:p>
        </w:tc>
        <w:tc>
          <w:tcPr>
            <w:tcW w:w="720" w:type="dxa"/>
            <w:vAlign w:val="bottom"/>
          </w:tcPr>
          <w:p>
            <w:pPr>
              <w:jc w:val="right"/>
              <w:ind w:right="13"/>
              <w:spacing w:after="0" w:line="119" w:lineRule="exact"/>
              <w:rPr>
                <w:sz w:val="20"/>
                <w:szCs w:val="20"/>
                <w:color w:val="auto"/>
              </w:rPr>
            </w:pPr>
            <w:r>
              <w:rPr>
                <w:rFonts w:ascii="Arial" w:cs="Arial" w:eastAsia="Arial" w:hAnsi="Arial"/>
                <w:sz w:val="13"/>
                <w:szCs w:val="13"/>
                <w:b w:val="1"/>
                <w:bCs w:val="1"/>
                <w:color w:val="auto"/>
                <w:w w:val="97"/>
              </w:rPr>
              <w:t>Financing</w:t>
            </w:r>
          </w:p>
        </w:tc>
        <w:tc>
          <w:tcPr>
            <w:tcW w:w="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Activities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3"/>
              </w:rPr>
              <w:t>Activities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3"/>
              </w:rPr>
              <w:t>Activities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3"/>
              </w:rPr>
              <w:t>Activities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3"/>
              </w:rPr>
              <w:t>Activities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3"/>
              </w:rPr>
              <w:t>Activities</w:t>
            </w:r>
          </w:p>
        </w:tc>
        <w:tc>
          <w:tcPr>
            <w:tcW w:w="20" w:type="dxa"/>
            <w:vAlign w:val="bottom"/>
          </w:tcPr>
          <w:p>
            <w:pPr>
              <w:spacing w:after="0"/>
              <w:rPr>
                <w:sz w:val="14"/>
                <w:szCs w:val="14"/>
                <w:color w:val="auto"/>
              </w:rPr>
            </w:pPr>
          </w:p>
        </w:tc>
      </w:tr>
      <w:tr>
        <w:trPr>
          <w:trHeight w:val="128"/>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gridSpan w:val="4"/>
          </w:tcPr>
          <w:p>
            <w:pPr>
              <w:jc w:val="right"/>
              <w:ind w:right="435"/>
              <w:spacing w:after="0" w:line="129" w:lineRule="exact"/>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3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Holding Company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0" w:type="dxa"/>
            <w:vAlign w:val="bottom"/>
          </w:tcPr>
          <w:p>
            <w:pPr>
              <w:spacing w:after="0"/>
              <w:rPr>
                <w:sz w:val="18"/>
                <w:szCs w:val="18"/>
                <w:color w:val="auto"/>
              </w:rPr>
            </w:pPr>
          </w:p>
        </w:tc>
      </w:tr>
      <w:tr>
        <w:trPr>
          <w:trHeight w:val="216"/>
        </w:trPr>
        <w:tc>
          <w:tcPr>
            <w:tcW w:w="3220" w:type="dxa"/>
            <w:vAlign w:val="bottom"/>
            <w:gridSpan w:val="3"/>
          </w:tcPr>
          <w:p>
            <w:pPr>
              <w:ind w:left="20"/>
              <w:spacing w:after="0"/>
              <w:rPr>
                <w:sz w:val="20"/>
                <w:szCs w:val="20"/>
                <w:color w:val="auto"/>
              </w:rPr>
            </w:pPr>
            <w:r>
              <w:rPr>
                <w:rFonts w:ascii="Arial" w:cs="Arial" w:eastAsia="Arial" w:hAnsi="Arial"/>
                <w:sz w:val="18"/>
                <w:szCs w:val="18"/>
                <w:color w:val="auto"/>
              </w:rPr>
              <w:t>Investment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1,001</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322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Other Operating Segments:</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Energy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Automotive</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Food Packaging</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Metals</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Real Estate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Home Fashion</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Pharma</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32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operating segments</w:t>
            </w: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20" w:type="dxa"/>
            <w:vAlign w:val="bottom"/>
          </w:tcPr>
          <w:p>
            <w:pPr>
              <w:spacing w:after="0"/>
              <w:rPr>
                <w:sz w:val="18"/>
                <w:szCs w:val="18"/>
                <w:color w:val="auto"/>
              </w:rPr>
            </w:pPr>
          </w:p>
        </w:tc>
      </w:tr>
      <w:tr>
        <w:trPr>
          <w:trHeight w:val="209"/>
        </w:trPr>
        <w:tc>
          <w:tcPr>
            <w:tcW w:w="3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before eliminations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18"/>
                <w:szCs w:val="18"/>
                <w:color w:val="auto"/>
              </w:rPr>
            </w:pPr>
          </w:p>
        </w:tc>
      </w:tr>
      <w:tr>
        <w:trPr>
          <w:trHeight w:val="209"/>
        </w:trPr>
        <w:tc>
          <w:tcPr>
            <w:tcW w:w="32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Eliminations</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20" w:type="dxa"/>
            <w:vAlign w:val="bottom"/>
          </w:tcPr>
          <w:p>
            <w:pPr>
              <w:spacing w:after="0"/>
              <w:rPr>
                <w:sz w:val="18"/>
                <w:szCs w:val="18"/>
                <w:color w:val="auto"/>
              </w:rPr>
            </w:pPr>
          </w:p>
        </w:tc>
      </w:tr>
      <w:tr>
        <w:trPr>
          <w:trHeight w:val="210"/>
        </w:trPr>
        <w:tc>
          <w:tcPr>
            <w:tcW w:w="32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Consolidated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Eliminations</w:t>
      </w:r>
    </w:p>
    <w:p>
      <w:pPr>
        <w:spacing w:after="0" w:line="225"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Eliminations in the table above relate to certain of our Holding Company’s transactions with our Investment and other operating segments. Our Holding Company’s net (investments in) distributions from the Investments Funds, when applicable, are included in cash flows from investing activities for our Holding Company and cash flows from financing activities for our Investment segment. Similarly, our Holding Company’s net distributions from (investments in) our other operating segments are included in cash flows from investing activities for our Holding Company and cash flows from financing activities for our other operating segments.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Holding Company</w:t>
      </w:r>
    </w:p>
    <w:p>
      <w:pPr>
        <w:spacing w:after="0" w:line="225"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Our Holding Company’s cash flows from operating activities for each of the three months ended March 31, 2021 and 2020 were primarily attributable to our semi-annual interest payments on our senior unsecured notes. The decrease in interest payments over the comparable periods is due to the timing of the payment of the semi-annual interest as our recent debt transactions resulted in a change in certain interest payment dates as well as a lower weighted average interest rate over the comparative periods.</w:t>
      </w:r>
    </w:p>
    <w:p>
      <w:pPr>
        <w:spacing w:after="0" w:line="188"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Our Holding Company’s cash flows from investing activities for the three months ended March 31, 2021 were primarily attributable to proceeds from the sale of equity investments of $171 million offset in part by investments in/contributions to our operating subsidiaries aggregating $55 million, including an investment in our Automotive segment of $50 million. Our Holding Company’s cash flows from investing activities for the three months ended March 31, 2020 were primarily due to our investment in the Investment Funds of $1.0 billion, our purchase of an equity investment of $114 million and investments in/contributions to our operating subsidiaries aggregating $64 million, including an investment in our Automotive segment of $55 million. This was offset in part by net cash dividends from our Energy segment of $57 million.</w:t>
      </w:r>
    </w:p>
    <w:p>
      <w:pPr>
        <w:spacing w:after="0" w:line="192" w:lineRule="exact"/>
        <w:rPr>
          <w:sz w:val="20"/>
          <w:szCs w:val="20"/>
          <w:color w:val="auto"/>
        </w:rPr>
      </w:pPr>
    </w:p>
    <w:p>
      <w:pPr>
        <w:ind w:left="60" w:right="199" w:firstLine="324"/>
        <w:spacing w:after="0" w:line="301" w:lineRule="auto"/>
        <w:rPr>
          <w:sz w:val="20"/>
          <w:szCs w:val="20"/>
          <w:color w:val="auto"/>
        </w:rPr>
      </w:pPr>
      <w:r>
        <w:rPr>
          <w:rFonts w:ascii="Arial" w:cs="Arial" w:eastAsia="Arial" w:hAnsi="Arial"/>
          <w:sz w:val="16"/>
          <w:szCs w:val="16"/>
          <w:color w:val="auto"/>
        </w:rPr>
        <w:t>Our Holding Company’s cash flows from financing activities for the three months ended March 31, 2021 were due to proceeds from our “at-the-market” offering, offset in part by the net effect of a debt refinancing transaction. Our Holding Company’s cash flows from financing activities for the three months ended March 31, 2020 were primarily due to the effects of certain debt refinancing transactions, which included the repayment of certain senior unsecured notes in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January 2020 using proceeds from senior unsecured note issuances in December 2019. This was offset in part by proceeds from our “at-the-market” offering.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Segment</w:t>
      </w:r>
    </w:p>
    <w:p>
      <w:pPr>
        <w:spacing w:after="0" w:line="225"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Our Investment segment’s cash flows from operating activities for the comparable periods were attributable to its net investment transactions.</w:t>
      </w:r>
    </w:p>
    <w:p>
      <w:pPr>
        <w:spacing w:after="0" w:line="170"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Our Investment segment’s cash flows from financing activities for the three months ended March 31, 2021 were attributable to Brett Icahn’s contribution to the Funds of $40 million. Our Investment segment’s cash flows from financing activities for the three months ended March 31, 2020 were attributable to our investment in the Investment Funds of $1.0 billion, and $1 million from Mr. Icahn and his affiliates (excluding us).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Operating Segments</w:t>
      </w:r>
    </w:p>
    <w:p>
      <w:pPr>
        <w:spacing w:after="0" w:line="225" w:lineRule="exact"/>
        <w:rPr>
          <w:sz w:val="20"/>
          <w:szCs w:val="20"/>
          <w:color w:val="auto"/>
        </w:rPr>
      </w:pPr>
    </w:p>
    <w:p>
      <w:pPr>
        <w:ind w:left="60" w:right="199" w:firstLine="324"/>
        <w:spacing w:after="0" w:line="272" w:lineRule="auto"/>
        <w:rPr>
          <w:sz w:val="20"/>
          <w:szCs w:val="20"/>
          <w:color w:val="auto"/>
        </w:rPr>
      </w:pPr>
      <w:r>
        <w:rPr>
          <w:rFonts w:ascii="Arial" w:cs="Arial" w:eastAsia="Arial" w:hAnsi="Arial"/>
          <w:sz w:val="17"/>
          <w:szCs w:val="17"/>
          <w:color w:val="auto"/>
        </w:rPr>
        <w:t>Our other operating segments’ cash flows from operating activities included net cash flows from operating activities before changes in operating assets and liabilities of $(82) million and $(91) million for the three months ended March 31, 2021 and 2020, respectively, primarily due to the result of our Energy and Automotive segments for each period. The change in cash flows from operating activities for the three months ended March 31, 2021 as compared to the comparable prior year period was primarily due to changes in working capital attributable to our Energy segment. Our Energy segment’s working capital improved over the comparable periods primarily due to the increase in crude oil prices during the first quarter of 2021 and increases in its open RFS obligation.</w:t>
      </w:r>
    </w:p>
    <w:p>
      <w:pPr>
        <w:spacing w:after="0" w:line="177"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Our other operating segments’ cash flows from investing activities were primarily due to the purchase of investments of zero in 2021 compared to $140 million in 2020 and due to capital expenditures of $47 million in 2021, primarily for its RDU project, and $55 million in 2020, primarily within our Energy and Automotive segments for both periods. In addition, our Energy segment acquired a pipeline for cash consideration of $20 million in the first quarter of 2021.</w:t>
      </w:r>
    </w:p>
    <w:p>
      <w:pPr>
        <w:spacing w:after="0" w:line="157" w:lineRule="exact"/>
        <w:rPr>
          <w:sz w:val="20"/>
          <w:szCs w:val="20"/>
          <w:color w:val="auto"/>
        </w:rPr>
      </w:pPr>
    </w:p>
    <w:p>
      <w:pPr>
        <w:ind w:left="60" w:right="99" w:firstLine="324"/>
        <w:spacing w:after="0" w:line="275" w:lineRule="auto"/>
        <w:rPr>
          <w:sz w:val="20"/>
          <w:szCs w:val="20"/>
          <w:color w:val="auto"/>
        </w:rPr>
      </w:pPr>
      <w:r>
        <w:rPr>
          <w:rFonts w:ascii="Arial" w:cs="Arial" w:eastAsia="Arial" w:hAnsi="Arial"/>
          <w:sz w:val="17"/>
          <w:szCs w:val="17"/>
          <w:color w:val="auto"/>
        </w:rPr>
        <w:t>Our other operating segments’ cash flows from financing activities were primarily due net debt transactions. In 2020, our Energy segment had net proceeds from senior debt transactions of $500 million. In addition, our other operating segments also had net contributions from our Holding Company of $55 million for the three months ended March 31, 2021 compared to $7 million for the three months ended March 31, 2020, as described above. For the three months ended March 31, 2020, our Energy segment had distributions to non-controlling interests of $23 million.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Capital Expenditures</w:t>
      </w:r>
    </w:p>
    <w:p>
      <w:pPr>
        <w:spacing w:after="0" w:line="225" w:lineRule="exact"/>
        <w:rPr>
          <w:sz w:val="20"/>
          <w:szCs w:val="20"/>
          <w:color w:val="auto"/>
        </w:rPr>
      </w:pPr>
    </w:p>
    <w:p>
      <w:pPr>
        <w:ind w:left="60" w:right="699" w:firstLine="324"/>
        <w:spacing w:after="0" w:line="342" w:lineRule="auto"/>
        <w:rPr>
          <w:sz w:val="20"/>
          <w:szCs w:val="20"/>
          <w:color w:val="auto"/>
        </w:rPr>
      </w:pPr>
      <w:r>
        <w:rPr>
          <w:rFonts w:ascii="Arial" w:cs="Arial" w:eastAsia="Arial" w:hAnsi="Arial"/>
          <w:sz w:val="16"/>
          <w:szCs w:val="16"/>
          <w:color w:val="auto"/>
        </w:rPr>
        <w:t>There have been no material changes to our planned capital expenditures as compared to the estimated capital expenditures for 2021 reported in our Annual Report on Form 10-K for the year ended December 31, 2020.</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The critical accounting estimates used in the preparation of our condensed consolidated financial statements that we believe affect our more significant judgments and estimates used in the preparation of our condensed consolidated financial statements presented in this Report are described in Management’s Discussion and Analysis of Financial Condition and Results of Operations and in the Notes to the consolidated financial statements included in our Annual Report on Form 10-K for the year ended December 31, 2020.</w:t>
      </w:r>
    </w:p>
    <w:p>
      <w:pPr>
        <w:spacing w:after="0" w:line="188" w:lineRule="exact"/>
        <w:rPr>
          <w:sz w:val="20"/>
          <w:szCs w:val="20"/>
          <w:color w:val="auto"/>
        </w:rPr>
      </w:pPr>
    </w:p>
    <w:p>
      <w:pPr>
        <w:ind w:left="60" w:right="119" w:firstLine="324"/>
        <w:spacing w:after="0" w:line="342" w:lineRule="auto"/>
        <w:rPr>
          <w:sz w:val="20"/>
          <w:szCs w:val="20"/>
          <w:color w:val="auto"/>
        </w:rPr>
      </w:pPr>
      <w:r>
        <w:rPr>
          <w:rFonts w:ascii="Arial" w:cs="Arial" w:eastAsia="Arial" w:hAnsi="Arial"/>
          <w:sz w:val="16"/>
          <w:szCs w:val="16"/>
          <w:color w:val="auto"/>
        </w:rPr>
        <w:t>There have been no material changes to our critical accounting policies and estimates during the three months ended March 31, 2021 as compared to those reported in our Annual Report on Form 10-K for the year ended December 31, 2020.</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left="60" w:right="879" w:firstLine="324"/>
        <w:spacing w:after="0" w:line="342" w:lineRule="auto"/>
        <w:rPr>
          <w:sz w:val="20"/>
          <w:szCs w:val="20"/>
          <w:color w:val="auto"/>
        </w:rPr>
      </w:pPr>
      <w:r>
        <w:rPr>
          <w:rFonts w:ascii="Arial" w:cs="Arial" w:eastAsia="Arial" w:hAnsi="Arial"/>
          <w:sz w:val="16"/>
          <w:szCs w:val="16"/>
          <w:color w:val="auto"/>
        </w:rPr>
        <w:t>Refer to Note 2, “Basis of Presentation and Summary of Significant Accounting Policies,” to the condensed consolidated financial statements for a discussion of recent accounting pronouncements applicable to us.</w:t>
      </w: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379" w:firstLine="324"/>
        <w:spacing w:after="0" w:line="342" w:lineRule="auto"/>
        <w:rPr>
          <w:sz w:val="20"/>
          <w:szCs w:val="20"/>
          <w:color w:val="auto"/>
        </w:rPr>
      </w:pPr>
      <w:r>
        <w:rPr>
          <w:rFonts w:ascii="Arial" w:cs="Arial" w:eastAsia="Arial" w:hAnsi="Arial"/>
          <w:sz w:val="16"/>
          <w:szCs w:val="16"/>
          <w:color w:val="auto"/>
        </w:rPr>
        <w:t>Except as discussed below, information about our quantitative and qualitative disclosures about market risk did not differ materially from those disclosed in our Annual Report on Form 10-K for the year ended December 31, 2020.</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Our predominant exposure to market risk is related to our Investment segment and the sensitivities to movements in the fair value of the Investment Funds’ investments.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spacing w:after="0" w:line="164"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March 31, 2021, we estimate that in the event of a 10% adverse change in the fair value of these investments, the fair values of securities owned, securities sold, not yet purchased and derivatives would be negatively impacted by approximately $1,093 million, $486 million and $1,070 million, respectively. However, as of March 31, 2021, we estimate that the impact to our share of the net gain (loss) from investment activities reported in our condensed consolidated statement of operations would be less than the change in fair value since we have an investment of approximately 46% in the Investment Funds, and the non-controlling interests in income would correspondingly offset approximately 54% of the change in fair value.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As of March 31, 2021,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Securities and Exchange Commission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239" w:firstLine="324"/>
        <w:spacing w:after="0" w:line="342" w:lineRule="auto"/>
        <w:rPr>
          <w:sz w:val="20"/>
          <w:szCs w:val="20"/>
          <w:color w:val="auto"/>
        </w:rPr>
      </w:pPr>
      <w:r>
        <w:rPr>
          <w:rFonts w:ascii="Arial" w:cs="Arial" w:eastAsia="Arial" w:hAnsi="Arial"/>
          <w:sz w:val="16"/>
          <w:szCs w:val="16"/>
          <w:color w:val="auto"/>
        </w:rPr>
        <w:t>There have been no changes in our internal control over financial reporting during the quarter ended March 31, 2021 that have materially affected, or are reasonably likely to materially affect, our internal control over financial reporting.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right="179" w:firstLine="324"/>
        <w:spacing w:after="0" w:line="296" w:lineRule="auto"/>
        <w:rPr>
          <w:sz w:val="20"/>
          <w:szCs w:val="20"/>
          <w:color w:val="auto"/>
        </w:rPr>
      </w:pPr>
      <w:r>
        <w:rPr>
          <w:rFonts w:ascii="Arial" w:cs="Arial" w:eastAsia="Arial" w:hAnsi="Arial"/>
          <w:sz w:val="16"/>
          <w:szCs w:val="16"/>
          <w:color w:val="auto"/>
        </w:rPr>
        <w:t>We are, and will continue to be, subject to litigation from time to time in the ordinary course of business. Refer to Note 16, “Commitments and Contingencies” to the condensed consolidated financial statements, which is incorporated by reference into this Part II, Item 1 of this Report, for information regarding our lawsuits and proceedings. Except for the lawsuits and proceedings disclosed in Note 16, there were no material changes to our lawsuits and proceedings as compared to those reported in our Annual Report on Form 10-K for the year ended December 31, 2020.</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479" w:firstLine="324"/>
        <w:spacing w:after="0" w:line="277" w:lineRule="auto"/>
        <w:rPr>
          <w:sz w:val="20"/>
          <w:szCs w:val="20"/>
          <w:color w:val="auto"/>
        </w:rPr>
      </w:pPr>
      <w:r>
        <w:rPr>
          <w:rFonts w:ascii="Arial" w:cs="Arial" w:eastAsia="Arial" w:hAnsi="Arial"/>
          <w:sz w:val="18"/>
          <w:szCs w:val="18"/>
          <w:color w:val="auto"/>
        </w:rPr>
        <w:t>There were no material changes to our risk factors during the three months ended March 31, 2021 as compared to those reported in our Annual Report on Form 10-K for the year ended December 31,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Item 6. Exhibits</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 No.</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0" w:type="dxa"/>
            <w:vAlign w:val="bottom"/>
            <w:gridSpan w:val="6"/>
          </w:tcPr>
          <w:p>
            <w:pPr>
              <w:ind w:left="29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0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20" w:type="dxa"/>
            <w:vAlign w:val="bottom"/>
          </w:tcPr>
          <w:p>
            <w:pPr>
              <w:jc w:val="center"/>
              <w:spacing w:after="0" w:line="169" w:lineRule="exact"/>
              <w:rPr>
                <w:sz w:val="20"/>
                <w:szCs w:val="20"/>
                <w:color w:val="auto"/>
              </w:rPr>
            </w:pPr>
            <w:r>
              <w:rPr>
                <w:rFonts w:ascii="Arial" w:cs="Arial" w:eastAsia="Arial" w:hAnsi="Arial"/>
                <w:sz w:val="18"/>
                <w:szCs w:val="18"/>
                <w:color w:val="auto"/>
                <w:w w:val="91"/>
              </w:rPr>
              <w:t>31.1</w:t>
            </w:r>
          </w:p>
        </w:tc>
        <w:tc>
          <w:tcPr>
            <w:tcW w:w="2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600" w:type="dxa"/>
            <w:vAlign w:val="bottom"/>
            <w:gridSpan w:val="7"/>
          </w:tcPr>
          <w:p>
            <w:pPr>
              <w:spacing w:after="0" w:line="169" w:lineRule="exact"/>
              <w:rPr>
                <w:rFonts w:ascii="Arial" w:cs="Arial" w:eastAsia="Arial" w:hAnsi="Arial"/>
                <w:sz w:val="18"/>
                <w:szCs w:val="18"/>
                <w:color w:val="0000EE"/>
                <w:w w:val="94"/>
              </w:rPr>
            </w:pPr>
            <w:hyperlink w:anchor="page59">
              <w:r>
                <w:rPr>
                  <w:rFonts w:ascii="Arial" w:cs="Arial" w:eastAsia="Arial" w:hAnsi="Arial"/>
                  <w:sz w:val="18"/>
                  <w:szCs w:val="18"/>
                  <w:color w:val="0000EE"/>
                  <w:w w:val="94"/>
                </w:rPr>
                <w:t>Certification of Chief Executive Officer pursuant to Section 302(a) of the Sarbanes-Oxley Act of 2002</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and Rule 13a-14(a) of the Securities Exchange Act of 1934.</w:t>
              </w:r>
            </w:hyperlink>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Certification of Chief Financial Officer pursuant to Section 302(a) of the Sarbanes-Oxley Act of 2002</w:t>
              </w:r>
            </w:hyperlink>
          </w:p>
        </w:tc>
        <w:tc>
          <w:tcPr>
            <w:tcW w:w="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gridSpan w:val="7"/>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and Rule 13a-14(a) of the Securities Exchange Act of 1934.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0" w:type="dxa"/>
            <w:vAlign w:val="bottom"/>
            <w:gridSpan w:val="7"/>
          </w:tcPr>
          <w:p>
            <w:pPr>
              <w:spacing w:after="0"/>
              <w:rPr>
                <w:rFonts w:ascii="Arial" w:cs="Arial" w:eastAsia="Arial" w:hAnsi="Arial"/>
                <w:sz w:val="18"/>
                <w:szCs w:val="18"/>
                <w:color w:val="0000EE"/>
                <w:w w:val="99"/>
              </w:rPr>
            </w:pPr>
            <w:hyperlink w:anchor="page61">
              <w:r>
                <w:rPr>
                  <w:rFonts w:ascii="Arial" w:cs="Arial" w:eastAsia="Arial" w:hAnsi="Arial"/>
                  <w:sz w:val="18"/>
                  <w:szCs w:val="18"/>
                  <w:color w:val="0000EE"/>
                  <w:w w:val="99"/>
                </w:rPr>
                <w:t>Certification of Chief Executive Officer and Chief Financial Officer pursuant to Section 906 of 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7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gridSpan w:val="7"/>
          </w:tcPr>
          <w:p>
            <w:pPr>
              <w:spacing w:after="0" w:line="196" w:lineRule="exact"/>
              <w:rPr>
                <w:rFonts w:ascii="Arial" w:cs="Arial" w:eastAsia="Arial" w:hAnsi="Arial"/>
                <w:sz w:val="18"/>
                <w:szCs w:val="18"/>
                <w:color w:val="0000EE"/>
                <w:w w:val="95"/>
              </w:rPr>
            </w:pPr>
            <w:hyperlink w:anchor="page61">
              <w:r>
                <w:rPr>
                  <w:rFonts w:ascii="Arial" w:cs="Arial" w:eastAsia="Arial" w:hAnsi="Arial"/>
                  <w:sz w:val="18"/>
                  <w:szCs w:val="18"/>
                  <w:color w:val="0000EE"/>
                  <w:w w:val="95"/>
                </w:rPr>
                <w:t>Sarbanes-Oxley Act of 2002 (18 U.S.C. 1350) and Rule 13a-14(b) of the Securities Exchange Act of</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1">
              <w:r>
                <w:rPr>
                  <w:rFonts w:ascii="Arial" w:cs="Arial" w:eastAsia="Arial" w:hAnsi="Arial"/>
                  <w:sz w:val="18"/>
                  <w:szCs w:val="18"/>
                  <w:color w:val="0000EE"/>
                  <w:w w:val="84"/>
                </w:rPr>
                <w:t>1934.</w:t>
              </w:r>
            </w:hyperlink>
          </w:p>
        </w:tc>
        <w:tc>
          <w:tcPr>
            <w:tcW w:w="3900" w:type="dxa"/>
            <w:vAlign w:val="bottom"/>
            <w:tcBorders>
              <w:top w:val="single" w:sz="8" w:color="0000EE"/>
            </w:tcBorders>
          </w:tcPr>
          <w:p>
            <w:pPr>
              <w:spacing w:after="0"/>
              <w:rPr>
                <w:sz w:val="17"/>
                <w:szCs w:val="17"/>
                <w:color w:val="auto"/>
              </w:rPr>
            </w:pPr>
          </w:p>
        </w:tc>
        <w:tc>
          <w:tcPr>
            <w:tcW w:w="28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101.SCH</w:t>
            </w:r>
          </w:p>
        </w:tc>
        <w:tc>
          <w:tcPr>
            <w:tcW w:w="40" w:type="dxa"/>
            <w:vAlign w:val="bottom"/>
          </w:tcPr>
          <w:p>
            <w:pPr>
              <w:spacing w:after="0"/>
              <w:rPr>
                <w:sz w:val="21"/>
                <w:szCs w:val="21"/>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101.CAL</w:t>
            </w:r>
          </w:p>
        </w:tc>
        <w:tc>
          <w:tcPr>
            <w:tcW w:w="40" w:type="dxa"/>
            <w:vAlign w:val="bottom"/>
          </w:tcPr>
          <w:p>
            <w:pPr>
              <w:spacing w:after="0"/>
              <w:rPr>
                <w:sz w:val="23"/>
                <w:szCs w:val="23"/>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8"/>
              </w:rPr>
              <w:t>101.LAB</w:t>
            </w:r>
          </w:p>
        </w:tc>
        <w:tc>
          <w:tcPr>
            <w:tcW w:w="40" w:type="dxa"/>
            <w:vAlign w:val="bottom"/>
          </w:tcPr>
          <w:p>
            <w:pPr>
              <w:spacing w:after="0"/>
              <w:rPr>
                <w:sz w:val="23"/>
                <w:szCs w:val="23"/>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101.PRE</w:t>
            </w:r>
          </w:p>
        </w:tc>
        <w:tc>
          <w:tcPr>
            <w:tcW w:w="40" w:type="dxa"/>
            <w:vAlign w:val="bottom"/>
          </w:tcPr>
          <w:p>
            <w:pPr>
              <w:spacing w:after="0"/>
              <w:rPr>
                <w:sz w:val="23"/>
                <w:szCs w:val="23"/>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101.DEF</w:t>
            </w:r>
          </w:p>
        </w:tc>
        <w:tc>
          <w:tcPr>
            <w:tcW w:w="40" w:type="dxa"/>
            <w:vAlign w:val="bottom"/>
          </w:tcPr>
          <w:p>
            <w:pPr>
              <w:spacing w:after="0"/>
              <w:rPr>
                <w:sz w:val="23"/>
                <w:szCs w:val="23"/>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340" w:hanging="918"/>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99" w:firstLine="324"/>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Icahn Enterprises L.P.</w:t>
      </w:r>
    </w:p>
    <w:p>
      <w:pPr>
        <w:spacing w:after="0" w:line="200" w:lineRule="exact"/>
        <w:rPr>
          <w:sz w:val="20"/>
          <w:szCs w:val="20"/>
          <w:color w:val="auto"/>
        </w:rPr>
      </w:pPr>
    </w:p>
    <w:p>
      <w:pPr>
        <w:spacing w:after="0" w:line="245"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SungHwan Cho,</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 and Director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Ted Papapostolou,</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7, 2021</w:t>
      </w:r>
    </w:p>
    <w:p>
      <w:pPr>
        <w:spacing w:after="0" w:line="23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Icahn Enterprises Holdings L.P.</w:t>
      </w:r>
    </w:p>
    <w:p>
      <w:pPr>
        <w:spacing w:after="0" w:line="200" w:lineRule="exact"/>
        <w:rPr>
          <w:sz w:val="20"/>
          <w:szCs w:val="20"/>
          <w:color w:val="auto"/>
        </w:rPr>
      </w:pPr>
    </w:p>
    <w:p>
      <w:pPr>
        <w:spacing w:after="0" w:line="245"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SungHwan Cho,</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 and Director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57755" cy="8890"/>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Ted Papapostolou,</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7,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Cozza, certify that:</w:t>
      </w:r>
    </w:p>
    <w:p>
      <w:pPr>
        <w:spacing w:after="0" w:line="225" w:lineRule="exact"/>
        <w:rPr>
          <w:sz w:val="20"/>
          <w:szCs w:val="20"/>
          <w:color w:val="auto"/>
        </w:rPr>
      </w:pPr>
    </w:p>
    <w:p>
      <w:pPr>
        <w:ind w:right="140" w:firstLine="321"/>
        <w:spacing w:after="0" w:line="277" w:lineRule="auto"/>
        <w:tabs>
          <w:tab w:leader="none" w:pos="5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joint quarterly report on Form 10-Q of Icahn Enterprises L.P. and Icahn Enterprises Holdings L.P. for the period ended March 31, 2021;</w:t>
      </w:r>
    </w:p>
    <w:p>
      <w:pPr>
        <w:spacing w:after="0" w:line="170"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321"/>
        <w:spacing w:after="0" w:line="263" w:lineRule="auto"/>
        <w:tabs>
          <w:tab w:leader="none" w:pos="5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83"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3" w:lineRule="exact"/>
        <w:rPr>
          <w:rFonts w:ascii="Arial" w:cs="Arial" w:eastAsia="Arial" w:hAnsi="Arial"/>
          <w:sz w:val="18"/>
          <w:szCs w:val="18"/>
          <w:color w:val="auto"/>
        </w:rPr>
      </w:pPr>
    </w:p>
    <w:p>
      <w:pPr>
        <w:ind w:left="320" w:right="120" w:firstLine="325"/>
        <w:spacing w:after="0" w:line="311" w:lineRule="auto"/>
        <w:tabs>
          <w:tab w:leader="none" w:pos="829"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320" w:right="240" w:firstLine="325"/>
        <w:spacing w:after="0" w:line="311" w:lineRule="auto"/>
        <w:tabs>
          <w:tab w:leader="none" w:pos="839"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320" w:right="20" w:firstLine="325"/>
        <w:spacing w:after="0" w:line="263" w:lineRule="auto"/>
        <w:tabs>
          <w:tab w:leader="none" w:pos="829"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20" w:right="140" w:firstLine="325"/>
        <w:spacing w:after="0" w:line="311" w:lineRule="auto"/>
        <w:tabs>
          <w:tab w:leader="none" w:pos="839"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6"/>
          <w:szCs w:val="16"/>
          <w:color w:val="auto"/>
        </w:rPr>
      </w:pPr>
    </w:p>
    <w:p>
      <w:pPr>
        <w:ind w:right="40" w:firstLine="321"/>
        <w:spacing w:after="0" w:line="263" w:lineRule="auto"/>
        <w:tabs>
          <w:tab w:leader="none" w:pos="5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320" w:right="460" w:firstLine="325"/>
        <w:spacing w:after="0" w:line="263" w:lineRule="auto"/>
        <w:tabs>
          <w:tab w:leader="none" w:pos="829"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320" w:right="280" w:firstLine="325"/>
        <w:spacing w:after="0" w:line="277" w:lineRule="auto"/>
        <w:tabs>
          <w:tab w:leader="none" w:pos="839"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6350</wp:posOffset>
            </wp:positionV>
            <wp:extent cx="33864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Keith Cozza</w:t>
      </w:r>
    </w:p>
    <w:p>
      <w:pPr>
        <w:spacing w:after="0" w:line="131" w:lineRule="exact"/>
        <w:rPr>
          <w:sz w:val="20"/>
          <w:szCs w:val="20"/>
          <w:color w:val="auto"/>
        </w:rPr>
      </w:pPr>
    </w:p>
    <w:p>
      <w:pPr>
        <w:jc w:val="both"/>
        <w:ind w:left="4120" w:right="80"/>
        <w:spacing w:after="0" w:line="203" w:lineRule="auto"/>
        <w:rPr>
          <w:sz w:val="20"/>
          <w:szCs w:val="20"/>
          <w:color w:val="auto"/>
        </w:rPr>
      </w:pPr>
      <w:r>
        <w:rPr>
          <w:rFonts w:ascii="Arial" w:cs="Arial" w:eastAsia="Arial" w:hAnsi="Arial"/>
          <w:sz w:val="18"/>
          <w:szCs w:val="18"/>
          <w:color w:val="auto"/>
        </w:rPr>
        <w:t>President and Chief Executive Officer of Icahn Enterprises G.P. Inc., the general partner of Icahn Enterprises L.P. and Icahn Enterprises Holdings L.P.</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121" w:right="1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right="140" w:firstLine="321"/>
        <w:spacing w:after="0" w:line="277"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joint quarterly report on Form 10-Q of Icahn Enterprises L.P. and Icahn Enterprises Holdings L.P. for the period ended March 31, 2021;</w:t>
      </w:r>
    </w:p>
    <w:p>
      <w:pPr>
        <w:spacing w:after="0" w:line="170"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321"/>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83"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3" w:lineRule="exact"/>
        <w:rPr>
          <w:rFonts w:ascii="Arial" w:cs="Arial" w:eastAsia="Arial" w:hAnsi="Arial"/>
          <w:sz w:val="18"/>
          <w:szCs w:val="18"/>
          <w:color w:val="auto"/>
        </w:rPr>
      </w:pPr>
    </w:p>
    <w:p>
      <w:pPr>
        <w:ind w:left="320" w:right="120" w:firstLine="325"/>
        <w:spacing w:after="0" w:line="311" w:lineRule="auto"/>
        <w:tabs>
          <w:tab w:leader="none" w:pos="829"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320" w:right="240" w:firstLine="325"/>
        <w:spacing w:after="0" w:line="311" w:lineRule="auto"/>
        <w:tabs>
          <w:tab w:leader="none" w:pos="839"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320" w:right="20" w:firstLine="325"/>
        <w:spacing w:after="0" w:line="263" w:lineRule="auto"/>
        <w:tabs>
          <w:tab w:leader="none" w:pos="829"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20" w:right="140" w:firstLine="325"/>
        <w:spacing w:after="0" w:line="311" w:lineRule="auto"/>
        <w:tabs>
          <w:tab w:leader="none" w:pos="839"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6"/>
          <w:szCs w:val="16"/>
          <w:color w:val="auto"/>
        </w:rPr>
      </w:pPr>
    </w:p>
    <w:p>
      <w:pPr>
        <w:ind w:right="40" w:firstLine="321"/>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320" w:right="460" w:firstLine="325"/>
        <w:spacing w:after="0" w:line="263" w:lineRule="auto"/>
        <w:tabs>
          <w:tab w:leader="none" w:pos="82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320" w:right="280" w:firstLine="325"/>
        <w:spacing w:after="0" w:line="277" w:lineRule="auto"/>
        <w:tabs>
          <w:tab w:leader="none" w:pos="83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6350</wp:posOffset>
            </wp:positionV>
            <wp:extent cx="33864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SungHwan Cho</w:t>
      </w:r>
    </w:p>
    <w:p>
      <w:pPr>
        <w:spacing w:after="0" w:line="77" w:lineRule="exact"/>
        <w:rPr>
          <w:sz w:val="20"/>
          <w:szCs w:val="20"/>
          <w:color w:val="auto"/>
        </w:rPr>
      </w:pPr>
    </w:p>
    <w:p>
      <w:pPr>
        <w:ind w:left="4120" w:right="340"/>
        <w:spacing w:after="0" w:line="254" w:lineRule="auto"/>
        <w:rPr>
          <w:sz w:val="20"/>
          <w:szCs w:val="20"/>
          <w:color w:val="auto"/>
        </w:rPr>
      </w:pPr>
      <w:r>
        <w:rPr>
          <w:rFonts w:ascii="Arial" w:cs="Arial" w:eastAsia="Arial" w:hAnsi="Arial"/>
          <w:sz w:val="16"/>
          <w:szCs w:val="16"/>
          <w:color w:val="auto"/>
        </w:rPr>
        <w:t>Chief Financial Officer of Icahn Enterprises G.P. Inc., the general partner of Icahn Enterprises L.P. and Icahn Enterprises Holdings L.P.</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121" w:right="1239" w:bottom="1440" w:gutter="0" w:footer="0" w:header="0"/>
        </w:sectPr>
      </w:pPr>
    </w:p>
    <w:bookmarkStart w:id="60" w:name="page61"/>
    <w:bookmarkEnd w:id="60"/>
    <w:p>
      <w:pPr>
        <w:ind w:left="828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In connection with the joint quarterly report on Form 10-Q of Icahn Enterprises L.P. and Icahn Enterprises Holdings L.P., for the period ended March 31, 2021, the undersigned certify that, to the best of his knowledge, based upon a review of the Icahn Enterprises L.P. and Icahn Enterprises Holdings L.P. joint quarterly report on Form 10-Q for the period ended March 31, 2021:</w:t>
      </w:r>
    </w:p>
    <w:p>
      <w:pPr>
        <w:spacing w:after="0" w:line="149" w:lineRule="exact"/>
        <w:rPr>
          <w:sz w:val="20"/>
          <w:szCs w:val="20"/>
          <w:color w:val="auto"/>
        </w:rPr>
      </w:pPr>
    </w:p>
    <w:p>
      <w:pPr>
        <w:ind w:right="460" w:firstLine="321"/>
        <w:spacing w:after="0" w:line="277" w:lineRule="auto"/>
        <w:tabs>
          <w:tab w:leader="none" w:pos="57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right="500" w:firstLine="321"/>
        <w:spacing w:after="0" w:line="277" w:lineRule="auto"/>
        <w:tabs>
          <w:tab w:leader="none" w:pos="57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registrants.</w:t>
      </w:r>
    </w:p>
    <w:p>
      <w:pPr>
        <w:spacing w:after="0" w:line="238"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6350</wp:posOffset>
            </wp:positionV>
            <wp:extent cx="34118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5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Keith Cozza</w:t>
      </w:r>
    </w:p>
    <w:p>
      <w:pPr>
        <w:spacing w:after="0" w:line="131" w:lineRule="exact"/>
        <w:rPr>
          <w:sz w:val="20"/>
          <w:szCs w:val="20"/>
          <w:color w:val="auto"/>
        </w:rPr>
      </w:pPr>
    </w:p>
    <w:p>
      <w:pPr>
        <w:jc w:val="both"/>
        <w:ind w:left="4080" w:right="120"/>
        <w:spacing w:after="0" w:line="203" w:lineRule="auto"/>
        <w:rPr>
          <w:sz w:val="20"/>
          <w:szCs w:val="20"/>
          <w:color w:val="auto"/>
        </w:rPr>
      </w:pPr>
      <w:r>
        <w:rPr>
          <w:rFonts w:ascii="Arial" w:cs="Arial" w:eastAsia="Arial" w:hAnsi="Arial"/>
          <w:sz w:val="18"/>
          <w:szCs w:val="18"/>
          <w:color w:val="auto"/>
        </w:rPr>
        <w:t>President and Chief Executive Officer of Icahn Enterprises G.P. Inc., the general partner of Icahn Enterprises L.P. and Icahn Enterprises Holdings L.P.</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200" w:lineRule="exact"/>
        <w:rPr>
          <w:sz w:val="20"/>
          <w:szCs w:val="20"/>
          <w:color w:val="auto"/>
        </w:rPr>
      </w:pPr>
    </w:p>
    <w:p>
      <w:pPr>
        <w:spacing w:after="0" w:line="29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6350</wp:posOffset>
            </wp:positionV>
            <wp:extent cx="33864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SungHwan Cho</w:t>
      </w:r>
    </w:p>
    <w:p>
      <w:pPr>
        <w:spacing w:after="0" w:line="77" w:lineRule="exact"/>
        <w:rPr>
          <w:sz w:val="20"/>
          <w:szCs w:val="20"/>
          <w:color w:val="auto"/>
        </w:rPr>
      </w:pPr>
    </w:p>
    <w:p>
      <w:pPr>
        <w:ind w:left="4120" w:right="340"/>
        <w:spacing w:after="0" w:line="254" w:lineRule="auto"/>
        <w:rPr>
          <w:sz w:val="20"/>
          <w:szCs w:val="20"/>
          <w:color w:val="auto"/>
        </w:rPr>
      </w:pPr>
      <w:r>
        <w:rPr>
          <w:rFonts w:ascii="Arial" w:cs="Arial" w:eastAsia="Arial" w:hAnsi="Arial"/>
          <w:sz w:val="16"/>
          <w:szCs w:val="16"/>
          <w:color w:val="auto"/>
        </w:rPr>
        <w:t>Chief Financial Officer of Icahn Enterprises G.P. Inc., the general partner of Icahn Enterprises L.P. and Icahn Enterprises Holdings L.P.</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sectPr>
      <w:pgSz w:w="11900" w:h="16838" w:orient="portrait"/>
      <w:cols w:equalWidth="0" w:num="1">
        <w:col w:w="9420"/>
      </w:cols>
      <w:pgMar w:left="1240" w:top="121"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8"/>
    </w:lvl>
  </w:abstractNum>
  <w:abstractNum w:abstractNumId="6">
    <w:nsid w:val="4DB127F8"/>
    <w:multiLevelType w:val="hybridMultilevel"/>
    <w:lvl w:ilvl="0">
      <w:lvlJc w:val="left"/>
      <w:lvlText w:val="%1."/>
      <w:numFmt w:val="decimal"/>
      <w:start w:val="11"/>
    </w:lvl>
  </w:abstractNum>
  <w:abstractNum w:abstractNumId="7">
    <w:nsid w:val="216231B"/>
    <w:multiLevelType w:val="hybridMultilevel"/>
    <w:lvl w:ilvl="0">
      <w:lvlJc w:val="left"/>
      <w:lvlText w:val="%1."/>
      <w:numFmt w:val="decimal"/>
      <w:start w:val="14"/>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04"/>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2021-05-07T15:57:47Z</dcterms:created>
  <dcterms:modified xsi:type="dcterms:W3CDTF">2021-05-07T15:57:47Z</dcterms:modified>
</cp:coreProperties>
</file>