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700" w:right="2780" w:hanging="3690"/>
        <w:spacing w:after="0" w:line="424" w:lineRule="auto"/>
        <w:tabs>
          <w:tab w:leader="none" w:pos="1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2023</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780" w:type="dxa"/>
            <w:vAlign w:val="bottom"/>
            <w:gridSpan w:val="3"/>
          </w:tcPr>
          <w:p>
            <w:pPr>
              <w:ind w:left="380"/>
              <w:spacing w:after="0"/>
              <w:rPr>
                <w:sz w:val="20"/>
                <w:szCs w:val="20"/>
                <w:color w:val="auto"/>
              </w:rPr>
            </w:pPr>
            <w:r>
              <w:rPr>
                <w:rFonts w:ascii="Arial" w:cs="Arial" w:eastAsia="Arial" w:hAnsi="Arial"/>
                <w:sz w:val="14"/>
                <w:szCs w:val="14"/>
                <w:b w:val="1"/>
                <w:bCs w:val="1"/>
                <w:color w:val="auto"/>
              </w:rPr>
              <w:t>For the Transition Period from</w:t>
            </w:r>
          </w:p>
        </w:tc>
        <w:tc>
          <w:tcPr>
            <w:tcW w:w="26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rPr>
              <w:t>to</w:t>
            </w:r>
          </w:p>
        </w:tc>
        <w:tc>
          <w:tcPr>
            <w:tcW w:w="20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87"/>
        </w:trPr>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jc w:val="center"/>
              <w:ind w:left="768"/>
              <w:spacing w:after="0"/>
              <w:rPr>
                <w:sz w:val="20"/>
                <w:szCs w:val="20"/>
                <w:color w:val="auto"/>
              </w:rPr>
            </w:pPr>
            <w:r>
              <w:rPr>
                <w:rFonts w:ascii="Arial" w:cs="Arial" w:eastAsia="Arial" w:hAnsi="Arial"/>
                <w:sz w:val="14"/>
                <w:szCs w:val="14"/>
                <w:color w:val="auto"/>
                <w:w w:val="90"/>
              </w:rPr>
              <w:t>(State or Other</w:t>
            </w:r>
          </w:p>
        </w:tc>
        <w:tc>
          <w:tcPr>
            <w:tcW w:w="1320" w:type="dxa"/>
            <w:vAlign w:val="bottom"/>
          </w:tcPr>
          <w:p>
            <w:pPr>
              <w:spacing w:after="0"/>
              <w:rPr>
                <w:sz w:val="24"/>
                <w:szCs w:val="24"/>
                <w:color w:val="auto"/>
              </w:rPr>
            </w:pPr>
          </w:p>
        </w:tc>
      </w:tr>
      <w:tr>
        <w:trPr>
          <w:trHeight w:val="148"/>
        </w:trPr>
        <w:tc>
          <w:tcPr>
            <w:tcW w:w="3320" w:type="dxa"/>
            <w:vAlign w:val="bottom"/>
          </w:tcPr>
          <w:p>
            <w:pPr>
              <w:spacing w:after="0"/>
              <w:rPr>
                <w:sz w:val="12"/>
                <w:szCs w:val="12"/>
                <w:color w:val="auto"/>
              </w:rPr>
            </w:pPr>
          </w:p>
        </w:tc>
        <w:tc>
          <w:tcPr>
            <w:tcW w:w="3520" w:type="dxa"/>
            <w:vAlign w:val="bottom"/>
            <w:gridSpan w:val="5"/>
          </w:tcPr>
          <w:p>
            <w:pPr>
              <w:jc w:val="center"/>
              <w:ind w:left="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2080" w:type="dxa"/>
            <w:vAlign w:val="bottom"/>
          </w:tcPr>
          <w:p>
            <w:pPr>
              <w:jc w:val="center"/>
              <w:ind w:left="768"/>
              <w:spacing w:after="0" w:line="149" w:lineRule="exact"/>
              <w:rPr>
                <w:sz w:val="20"/>
                <w:szCs w:val="20"/>
                <w:color w:val="auto"/>
              </w:rPr>
            </w:pPr>
            <w:r>
              <w:rPr>
                <w:rFonts w:ascii="Arial" w:cs="Arial" w:eastAsia="Arial" w:hAnsi="Arial"/>
                <w:sz w:val="14"/>
                <w:szCs w:val="14"/>
                <w:color w:val="auto"/>
                <w:w w:val="98"/>
              </w:rPr>
              <w:t>Jurisdiction of</w:t>
            </w:r>
          </w:p>
        </w:tc>
        <w:tc>
          <w:tcPr>
            <w:tcW w:w="132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3520" w:type="dxa"/>
            <w:vAlign w:val="bottom"/>
            <w:gridSpan w:val="5"/>
          </w:tcPr>
          <w:p>
            <w:pPr>
              <w:jc w:val="center"/>
              <w:ind w:left="2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080" w:type="dxa"/>
            <w:vAlign w:val="bottom"/>
          </w:tcPr>
          <w:p>
            <w:pPr>
              <w:jc w:val="center"/>
              <w:ind w:left="748"/>
              <w:spacing w:after="0" w:line="149" w:lineRule="exact"/>
              <w:rPr>
                <w:sz w:val="20"/>
                <w:szCs w:val="20"/>
                <w:color w:val="auto"/>
              </w:rPr>
            </w:pPr>
            <w:r>
              <w:rPr>
                <w:rFonts w:ascii="Arial" w:cs="Arial" w:eastAsia="Arial" w:hAnsi="Arial"/>
                <w:sz w:val="14"/>
                <w:szCs w:val="14"/>
                <w:color w:val="auto"/>
                <w:w w:val="95"/>
              </w:rPr>
              <w:t>Incorporation or</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3320" w:type="dxa"/>
            <w:vAlign w:val="bottom"/>
          </w:tcPr>
          <w:p>
            <w:pPr>
              <w:jc w:val="center"/>
              <w:ind w:right="648"/>
              <w:spacing w:after="0"/>
              <w:rPr>
                <w:sz w:val="20"/>
                <w:szCs w:val="20"/>
                <w:color w:val="auto"/>
              </w:rPr>
            </w:pPr>
            <w:r>
              <w:rPr>
                <w:rFonts w:ascii="Arial" w:cs="Arial" w:eastAsia="Arial" w:hAnsi="Arial"/>
                <w:sz w:val="14"/>
                <w:szCs w:val="14"/>
                <w:color w:val="auto"/>
                <w:w w:val="96"/>
              </w:rPr>
              <w:t>(Commission File Number)</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jc w:val="center"/>
              <w:ind w:left="28"/>
              <w:spacing w:after="0"/>
              <w:rPr>
                <w:sz w:val="20"/>
                <w:szCs w:val="20"/>
                <w:color w:val="auto"/>
              </w:rPr>
            </w:pPr>
            <w:r>
              <w:rPr>
                <w:rFonts w:ascii="Arial" w:cs="Arial" w:eastAsia="Arial" w:hAnsi="Arial"/>
                <w:sz w:val="14"/>
                <w:szCs w:val="14"/>
                <w:color w:val="auto"/>
                <w:w w:val="92"/>
              </w:rPr>
              <w:t>(Telephone Number)</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center"/>
              <w:ind w:left="768"/>
              <w:spacing w:after="0"/>
              <w:rPr>
                <w:sz w:val="20"/>
                <w:szCs w:val="20"/>
                <w:color w:val="auto"/>
              </w:rPr>
            </w:pPr>
            <w:r>
              <w:rPr>
                <w:rFonts w:ascii="Arial" w:cs="Arial" w:eastAsia="Arial" w:hAnsi="Arial"/>
                <w:sz w:val="14"/>
                <w:szCs w:val="14"/>
                <w:color w:val="auto"/>
                <w:w w:val="95"/>
              </w:rPr>
              <w:t>Organization)</w:t>
            </w:r>
          </w:p>
        </w:tc>
        <w:tc>
          <w:tcPr>
            <w:tcW w:w="13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311"/>
        </w:trPr>
        <w:tc>
          <w:tcPr>
            <w:tcW w:w="3320" w:type="dxa"/>
            <w:vAlign w:val="bottom"/>
          </w:tcPr>
          <w:p>
            <w:pPr>
              <w:jc w:val="right"/>
              <w:ind w:right="1748"/>
              <w:spacing w:after="0"/>
              <w:rPr>
                <w:sz w:val="20"/>
                <w:szCs w:val="20"/>
                <w:color w:val="auto"/>
              </w:rPr>
            </w:pPr>
            <w:r>
              <w:rPr>
                <w:rFonts w:ascii="Arial" w:cs="Arial" w:eastAsia="Arial" w:hAnsi="Arial"/>
                <w:sz w:val="14"/>
                <w:szCs w:val="14"/>
                <w:b w:val="1"/>
                <w:bCs w:val="1"/>
                <w:color w:val="auto"/>
              </w:rPr>
              <w:t>1-9516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jc w:val="center"/>
              <w:ind w:left="28"/>
              <w:spacing w:after="0"/>
              <w:rPr>
                <w:sz w:val="20"/>
                <w:szCs w:val="20"/>
                <w:color w:val="auto"/>
              </w:rPr>
            </w:pPr>
            <w:r>
              <w:rPr>
                <w:rFonts w:ascii="Arial" w:cs="Arial" w:eastAsia="Arial" w:hAnsi="Arial"/>
                <w:sz w:val="14"/>
                <w:szCs w:val="14"/>
                <w:b w:val="1"/>
                <w:bCs w:val="1"/>
                <w:color w:val="auto"/>
              </w:rPr>
              <w:t>ICAHN ENTERPRISES L.P.</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jc w:val="center"/>
              <w:ind w:left="748"/>
              <w:spacing w:after="0"/>
              <w:rPr>
                <w:sz w:val="20"/>
                <w:szCs w:val="20"/>
                <w:color w:val="auto"/>
              </w:rPr>
            </w:pPr>
            <w:r>
              <w:rPr>
                <w:rFonts w:ascii="Arial" w:cs="Arial" w:eastAsia="Arial" w:hAnsi="Arial"/>
                <w:sz w:val="14"/>
                <w:szCs w:val="14"/>
                <w:b w:val="1"/>
                <w:bCs w:val="1"/>
                <w:color w:val="auto"/>
                <w:w w:val="94"/>
              </w:rPr>
              <w:t>Delaware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r>
      <w:tr>
        <w:trPr>
          <w:trHeight w:val="246"/>
        </w:trPr>
        <w:tc>
          <w:tcPr>
            <w:tcW w:w="3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16690 Collins Avenue, PH-1</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48"/>
        </w:trPr>
        <w:tc>
          <w:tcPr>
            <w:tcW w:w="3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6"/>
        </w:trPr>
        <w:tc>
          <w:tcPr>
            <w:tcW w:w="3320" w:type="dxa"/>
            <w:vAlign w:val="bottom"/>
          </w:tcPr>
          <w:p>
            <w:pPr>
              <w:spacing w:after="0"/>
              <w:rPr>
                <w:sz w:val="16"/>
                <w:szCs w:val="16"/>
                <w:color w:val="auto"/>
              </w:rPr>
            </w:pPr>
          </w:p>
        </w:tc>
        <w:tc>
          <w:tcPr>
            <w:tcW w:w="278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3"/>
              </w:rPr>
              <w:t>(305) 422-4100</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83"/>
        </w:trPr>
        <w:tc>
          <w:tcPr>
            <w:tcW w:w="3320" w:type="dxa"/>
            <w:vAlign w:val="bottom"/>
          </w:tcPr>
          <w:p>
            <w:pPr>
              <w:spacing w:after="0"/>
              <w:rPr>
                <w:sz w:val="24"/>
                <w:szCs w:val="24"/>
                <w:color w:val="auto"/>
              </w:rPr>
            </w:pPr>
          </w:p>
        </w:tc>
        <w:tc>
          <w:tcPr>
            <w:tcW w:w="3520" w:type="dxa"/>
            <w:vAlign w:val="bottom"/>
            <w:gridSpan w:val="5"/>
          </w:tcPr>
          <w:p>
            <w:pPr>
              <w:jc w:val="center"/>
              <w:ind w:left="28"/>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3320" w:type="dxa"/>
            <w:vAlign w:val="bottom"/>
          </w:tcPr>
          <w:p>
            <w:pPr>
              <w:jc w:val="center"/>
              <w:ind w:left="508"/>
              <w:spacing w:after="0"/>
              <w:rPr>
                <w:sz w:val="20"/>
                <w:szCs w:val="20"/>
                <w:color w:val="auto"/>
              </w:rPr>
            </w:pPr>
            <w:r>
              <w:rPr>
                <w:rFonts w:ascii="Arial" w:cs="Arial" w:eastAsia="Arial" w:hAnsi="Arial"/>
                <w:sz w:val="14"/>
                <w:szCs w:val="14"/>
                <w:b w:val="1"/>
                <w:bCs w:val="1"/>
                <w:color w:val="auto"/>
                <w:w w:val="91"/>
              </w:rPr>
              <w:t>Title of Each Class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
        </w:trPr>
        <w:tc>
          <w:tcPr>
            <w:tcW w:w="3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r>
      <w:tr>
        <w:trPr>
          <w:trHeight w:val="212"/>
        </w:trPr>
        <w:tc>
          <w:tcPr>
            <w:tcW w:w="3320" w:type="dxa"/>
            <w:vAlign w:val="bottom"/>
          </w:tcPr>
          <w:p>
            <w:pPr>
              <w:jc w:val="center"/>
              <w:ind w:left="508"/>
              <w:spacing w:after="0"/>
              <w:rPr>
                <w:sz w:val="20"/>
                <w:szCs w:val="20"/>
                <w:color w:val="auto"/>
              </w:rPr>
            </w:pPr>
            <w:r>
              <w:rPr>
                <w:rFonts w:ascii="Arial" w:cs="Arial" w:eastAsia="Arial" w:hAnsi="Arial"/>
                <w:sz w:val="14"/>
                <w:szCs w:val="14"/>
                <w:color w:val="auto"/>
                <w:w w:val="93"/>
              </w:rPr>
              <w:t>Depositary Units of Icahn Enterprises L.P.</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IEP</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0" w:type="dxa"/>
            <w:vAlign w:val="bottom"/>
            <w:gridSpan w:val="2"/>
          </w:tcPr>
          <w:p>
            <w:pPr>
              <w:jc w:val="center"/>
              <w:ind w:right="428"/>
              <w:spacing w:after="0"/>
              <w:rPr>
                <w:sz w:val="20"/>
                <w:szCs w:val="20"/>
                <w:color w:val="auto"/>
              </w:rPr>
            </w:pPr>
            <w:r>
              <w:rPr>
                <w:rFonts w:ascii="Arial" w:cs="Arial" w:eastAsia="Arial" w:hAnsi="Arial"/>
                <w:sz w:val="14"/>
                <w:szCs w:val="14"/>
                <w:color w:val="auto"/>
                <w:w w:val="93"/>
              </w:rPr>
              <w:t>Nasdaq Global Select Market</w:t>
            </w:r>
          </w:p>
        </w:tc>
      </w:tr>
      <w:tr>
        <w:trPr>
          <w:trHeight w:val="182"/>
        </w:trPr>
        <w:tc>
          <w:tcPr>
            <w:tcW w:w="3320" w:type="dxa"/>
            <w:vAlign w:val="bottom"/>
          </w:tcPr>
          <w:p>
            <w:pPr>
              <w:jc w:val="center"/>
              <w:ind w:left="508"/>
              <w:spacing w:after="0"/>
              <w:rPr>
                <w:sz w:val="20"/>
                <w:szCs w:val="20"/>
                <w:color w:val="auto"/>
              </w:rPr>
            </w:pPr>
            <w:r>
              <w:rPr>
                <w:rFonts w:ascii="Arial" w:cs="Arial" w:eastAsia="Arial" w:hAnsi="Arial"/>
                <w:sz w:val="14"/>
                <w:szCs w:val="14"/>
                <w:color w:val="auto"/>
                <w:w w:val="92"/>
              </w:rPr>
              <w:t>Representing Limited Partner Interests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200" w:lineRule="exact"/>
        <w:rPr>
          <w:sz w:val="24"/>
          <w:szCs w:val="24"/>
          <w:color w:val="auto"/>
        </w:rPr>
      </w:pPr>
    </w:p>
    <w:p>
      <w:pPr>
        <w:spacing w:after="0" w:line="263" w:lineRule="exact"/>
        <w:rPr>
          <w:sz w:val="24"/>
          <w:szCs w:val="24"/>
          <w:color w:val="auto"/>
        </w:rPr>
      </w:pPr>
    </w:p>
    <w:p>
      <w:pPr>
        <w:ind w:left="20"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71" w:lineRule="exact"/>
        <w:rPr>
          <w:sz w:val="24"/>
          <w:szCs w:val="24"/>
          <w:color w:val="auto"/>
        </w:rPr>
      </w:pPr>
    </w:p>
    <w:p>
      <w:pPr>
        <w:ind w:left="20" w:right="2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30" w:lineRule="exact"/>
        <w:rPr>
          <w:sz w:val="24"/>
          <w:szCs w:val="24"/>
          <w:color w:val="auto"/>
        </w:rPr>
      </w:pPr>
    </w:p>
    <w:p>
      <w:pPr>
        <w:ind w:left="2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780" w:type="dxa"/>
            <w:vAlign w:val="bottom"/>
          </w:tcPr>
          <w:p>
            <w:pPr>
              <w:jc w:val="right"/>
              <w:ind w:right="10"/>
              <w:spacing w:after="0"/>
              <w:rPr>
                <w:sz w:val="20"/>
                <w:szCs w:val="20"/>
                <w:color w:val="auto"/>
              </w:rPr>
            </w:pPr>
            <w:r>
              <w:rPr>
                <w:rFonts w:ascii="Arial" w:cs="Arial" w:eastAsia="Arial" w:hAnsi="Arial"/>
                <w:sz w:val="18"/>
                <w:szCs w:val="18"/>
                <w:color w:val="auto"/>
                <w:w w:val="89"/>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40" w:type="dxa"/>
            <w:vAlign w:val="bottom"/>
          </w:tcPr>
          <w:p>
            <w:pPr>
              <w:ind w:left="22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780" w:type="dxa"/>
            <w:vAlign w:val="bottom"/>
          </w:tcPr>
          <w:p>
            <w:pPr>
              <w:jc w:val="right"/>
              <w:ind w:right="10"/>
              <w:spacing w:after="0"/>
              <w:rPr>
                <w:sz w:val="20"/>
                <w:szCs w:val="20"/>
                <w:color w:val="auto"/>
              </w:rPr>
            </w:pPr>
            <w:r>
              <w:rPr>
                <w:rFonts w:ascii="Arial" w:cs="Arial" w:eastAsia="Arial" w:hAnsi="Arial"/>
                <w:sz w:val="18"/>
                <w:szCs w:val="18"/>
                <w:color w:val="auto"/>
                <w:w w:val="96"/>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82" w:lineRule="exact"/>
        <w:rPr>
          <w:sz w:val="24"/>
          <w:szCs w:val="24"/>
          <w:color w:val="auto"/>
        </w:rPr>
      </w:pPr>
    </w:p>
    <w:p>
      <w:pPr>
        <w:ind w:left="20" w:right="180"/>
        <w:spacing w:after="0" w:line="23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23"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3, 2023, there were 393,458,414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494665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80" w:type="dxa"/>
            <w:vAlign w:val="bottom"/>
            <w:gridSpan w:val="10"/>
            <w:vMerge w:val="restart"/>
          </w:tcPr>
          <w:p>
            <w:pPr>
              <w:ind w:left="360"/>
              <w:spacing w:after="0"/>
              <w:rPr>
                <w:sz w:val="20"/>
                <w:szCs w:val="20"/>
                <w:color w:val="auto"/>
              </w:rPr>
            </w:pPr>
            <w:r>
              <w:rPr>
                <w:rFonts w:ascii="Arial" w:cs="Arial" w:eastAsia="Arial" w:hAnsi="Arial"/>
                <w:sz w:val="18"/>
                <w:szCs w:val="18"/>
                <w:color w:val="0000EE"/>
              </w:rPr>
              <w:t>Forward-Looking Statements</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80" w:type="dxa"/>
            <w:vAlign w:val="bottom"/>
            <w:gridSpan w:val="10"/>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0" w:type="dxa"/>
            <w:vAlign w:val="bottom"/>
            <w:gridSpan w:val="2"/>
          </w:tcPr>
          <w:p>
            <w:pPr>
              <w:spacing w:after="0" w:line="190" w:lineRule="exact"/>
              <w:rPr>
                <w:sz w:val="20"/>
                <w:szCs w:val="20"/>
                <w:color w:val="auto"/>
              </w:rPr>
            </w:pPr>
            <w:r>
              <w:rPr>
                <w:rFonts w:ascii="Arial" w:cs="Arial" w:eastAsia="Arial" w:hAnsi="Arial"/>
                <w:sz w:val="18"/>
                <w:szCs w:val="18"/>
                <w:color w:val="0000EE"/>
              </w:rPr>
              <w:t>Item 1.</w:t>
            </w:r>
          </w:p>
        </w:tc>
        <w:tc>
          <w:tcPr>
            <w:tcW w:w="7280" w:type="dxa"/>
            <w:vAlign w:val="bottom"/>
            <w:gridSpan w:val="10"/>
          </w:tcPr>
          <w:p>
            <w:pPr>
              <w:ind w:left="360"/>
              <w:spacing w:after="0" w:line="190" w:lineRule="exact"/>
              <w:rPr>
                <w:sz w:val="20"/>
                <w:szCs w:val="20"/>
                <w:color w:val="auto"/>
              </w:rPr>
            </w:pPr>
            <w:r>
              <w:rPr>
                <w:rFonts w:ascii="Arial" w:cs="Arial" w:eastAsia="Arial" w:hAnsi="Arial"/>
                <w:sz w:val="18"/>
                <w:szCs w:val="18"/>
                <w:color w:val="0000EE"/>
              </w:rPr>
              <w:t>Financial Statements (Unaudited)</w:t>
            </w: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7280" w:type="dxa"/>
            <w:vAlign w:val="bottom"/>
            <w:gridSpan w:val="10"/>
          </w:tcPr>
          <w:p>
            <w:pPr>
              <w:ind w:left="360"/>
              <w:spacing w:after="0" w:line="196" w:lineRule="exact"/>
              <w:rPr>
                <w:sz w:val="20"/>
                <w:szCs w:val="20"/>
                <w:color w:val="auto"/>
              </w:rPr>
            </w:pPr>
            <w:r>
              <w:rPr>
                <w:rFonts w:ascii="Arial" w:cs="Arial" w:eastAsia="Arial" w:hAnsi="Arial"/>
                <w:sz w:val="18"/>
                <w:szCs w:val="18"/>
                <w:color w:val="0000EE"/>
                <w:w w:val="97"/>
              </w:rPr>
              <w:t>Management’s Discussion and Analysis of Financial Condition and Results of Operations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3.</w:t>
            </w:r>
          </w:p>
        </w:tc>
        <w:tc>
          <w:tcPr>
            <w:tcW w:w="7280" w:type="dxa"/>
            <w:vAlign w:val="bottom"/>
            <w:gridSpan w:val="10"/>
          </w:tcPr>
          <w:p>
            <w:pPr>
              <w:ind w:left="360"/>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4</w:t>
            </w:r>
            <w:r>
              <w:rPr>
                <w:rFonts w:ascii="Arial" w:cs="Arial" w:eastAsia="Arial" w:hAnsi="Arial"/>
                <w:sz w:val="18"/>
                <w:szCs w:val="18"/>
                <w:color w:val="000000"/>
              </w:rPr>
              <w:t>.</w:t>
            </w:r>
          </w:p>
        </w:tc>
        <w:tc>
          <w:tcPr>
            <w:tcW w:w="7280" w:type="dxa"/>
            <w:vAlign w:val="bottom"/>
            <w:gridSpan w:val="10"/>
          </w:tcPr>
          <w:p>
            <w:pPr>
              <w:ind w:left="360"/>
              <w:spacing w:after="0" w:line="196" w:lineRule="exact"/>
              <w:rPr>
                <w:sz w:val="20"/>
                <w:szCs w:val="20"/>
                <w:color w:val="auto"/>
              </w:rPr>
            </w:pPr>
            <w:r>
              <w:rPr>
                <w:rFonts w:ascii="Arial" w:cs="Arial" w:eastAsia="Arial" w:hAnsi="Arial"/>
                <w:sz w:val="18"/>
                <w:szCs w:val="18"/>
                <w:color w:val="0000EE"/>
              </w:rPr>
              <w:t>Controls and Procedures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9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16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0" w:type="dxa"/>
            <w:vAlign w:val="bottom"/>
            <w:gridSpan w:val="2"/>
          </w:tcPr>
          <w:p>
            <w:pPr>
              <w:spacing w:after="0" w:line="190" w:lineRule="exact"/>
              <w:rPr>
                <w:sz w:val="20"/>
                <w:szCs w:val="20"/>
                <w:color w:val="auto"/>
              </w:rPr>
            </w:pPr>
            <w:r>
              <w:rPr>
                <w:rFonts w:ascii="Arial" w:cs="Arial" w:eastAsia="Arial" w:hAnsi="Arial"/>
                <w:sz w:val="18"/>
                <w:szCs w:val="18"/>
                <w:color w:val="0000EE"/>
              </w:rPr>
              <w:t>Item 1.</w:t>
            </w:r>
          </w:p>
        </w:tc>
        <w:tc>
          <w:tcPr>
            <w:tcW w:w="7280" w:type="dxa"/>
            <w:vAlign w:val="bottom"/>
            <w:gridSpan w:val="10"/>
          </w:tcPr>
          <w:p>
            <w:pPr>
              <w:ind w:left="360"/>
              <w:spacing w:after="0" w:line="190" w:lineRule="exact"/>
              <w:rPr>
                <w:sz w:val="20"/>
                <w:szCs w:val="20"/>
                <w:color w:val="auto"/>
              </w:rPr>
            </w:pPr>
            <w:r>
              <w:rPr>
                <w:rFonts w:ascii="Arial" w:cs="Arial" w:eastAsia="Arial" w:hAnsi="Arial"/>
                <w:sz w:val="18"/>
                <w:szCs w:val="18"/>
                <w:color w:val="0000EE"/>
              </w:rPr>
              <w:t>Legal Proceedings</w:t>
            </w: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0" w:type="dxa"/>
            <w:vAlign w:val="bottom"/>
            <w:tcBorders>
              <w:left w:val="single" w:sz="8" w:color="0000EE"/>
            </w:tcBorders>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7280" w:type="dxa"/>
            <w:vAlign w:val="bottom"/>
            <w:gridSpan w:val="10"/>
          </w:tcPr>
          <w:p>
            <w:pPr>
              <w:ind w:left="360"/>
              <w:spacing w:after="0" w:line="196" w:lineRule="exact"/>
              <w:rPr>
                <w:sz w:val="20"/>
                <w:szCs w:val="20"/>
                <w:color w:val="auto"/>
              </w:rPr>
            </w:pPr>
            <w:r>
              <w:rPr>
                <w:rFonts w:ascii="Arial" w:cs="Arial" w:eastAsia="Arial" w:hAnsi="Arial"/>
                <w:sz w:val="18"/>
                <w:szCs w:val="18"/>
                <w:color w:val="0000EE"/>
              </w:rPr>
              <w:t>Risk Factors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5.</w:t>
            </w:r>
          </w:p>
        </w:tc>
        <w:tc>
          <w:tcPr>
            <w:tcW w:w="7280" w:type="dxa"/>
            <w:vAlign w:val="bottom"/>
            <w:gridSpan w:val="10"/>
          </w:tcPr>
          <w:p>
            <w:pPr>
              <w:ind w:left="360"/>
              <w:spacing w:after="0" w:line="196" w:lineRule="exact"/>
              <w:rPr>
                <w:sz w:val="20"/>
                <w:szCs w:val="20"/>
                <w:color w:val="auto"/>
              </w:rPr>
            </w:pPr>
            <w:r>
              <w:rPr>
                <w:rFonts w:ascii="Arial" w:cs="Arial" w:eastAsia="Arial" w:hAnsi="Arial"/>
                <w:sz w:val="18"/>
                <w:szCs w:val="18"/>
                <w:color w:val="0000EE"/>
              </w:rPr>
              <w:t>Other Information</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6.</w:t>
            </w:r>
          </w:p>
        </w:tc>
        <w:tc>
          <w:tcPr>
            <w:tcW w:w="7280" w:type="dxa"/>
            <w:vAlign w:val="bottom"/>
            <w:gridSpan w:val="10"/>
          </w:tcPr>
          <w:p>
            <w:pPr>
              <w:ind w:left="360"/>
              <w:spacing w:after="0" w:line="196" w:lineRule="exact"/>
              <w:rPr>
                <w:sz w:val="20"/>
                <w:szCs w:val="20"/>
                <w:color w:val="auto"/>
              </w:rPr>
            </w:pPr>
            <w:r>
              <w:rPr>
                <w:rFonts w:ascii="Arial" w:cs="Arial" w:eastAsia="Arial" w:hAnsi="Arial"/>
                <w:sz w:val="18"/>
                <w:szCs w:val="18"/>
                <w:color w:val="0000EE"/>
              </w:rPr>
              <w:t>Exhibits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including economic volatility and the impacts of export controls and other economic sanctions;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the success of a spin-off of the fertilizer business including risks related to any decision to cease exploration of a spin-off; risks related to our automotive activities and exposure to adverse conditions in the automotive industry, including as a result of the COVID-19 pandemic and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2022 and below in Item 1A. Risk Factors, of Part II of this Quarterly Report on Form 10-Q.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656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tcPr>
          <w:p>
            <w:pPr>
              <w:jc w:val="center"/>
              <w:ind w:left="101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3"/>
          </w:tcPr>
          <w:p>
            <w:pPr>
              <w:ind w:left="20"/>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80" w:type="dxa"/>
            <w:vAlign w:val="bottom"/>
          </w:tcPr>
          <w:p>
            <w:pPr>
              <w:jc w:val="center"/>
              <w:ind w:left="10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right"/>
              <w:ind w:right="130"/>
              <w:spacing w:after="0" w:line="142" w:lineRule="exact"/>
              <w:rPr>
                <w:sz w:val="20"/>
                <w:szCs w:val="20"/>
                <w:color w:val="auto"/>
              </w:rPr>
            </w:pPr>
            <w:r>
              <w:rPr>
                <w:rFonts w:ascii="Arial" w:cs="Arial" w:eastAsia="Arial" w:hAnsi="Arial"/>
                <w:sz w:val="14"/>
                <w:szCs w:val="14"/>
                <w:color w:val="auto"/>
                <w:w w:val="98"/>
              </w:rPr>
              <w:t>(in millions, except unit amounts)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80" w:type="dxa"/>
            <w:vAlign w:val="bottom"/>
            <w:shd w:val="clear" w:color="auto" w:fill="CCEEFF"/>
          </w:tcPr>
          <w:p>
            <w:pPr>
              <w:jc w:val="center"/>
              <w:ind w:right="139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 party notes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80" w:type="dxa"/>
            <w:vAlign w:val="bottom"/>
            <w:vMerge w:val="restart"/>
          </w:tcPr>
          <w:p>
            <w:pPr>
              <w:jc w:val="center"/>
              <w:ind w:right="139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Derivative liabilities,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Due to brokers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 (Note 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5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Limited partners: Depositary units: 393,458,414 units issued and outstanding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June 30, 2023 and 353,572,182 units issued and outstanding at December 31, 2022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00"/>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09"/>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10"/>
        </w:trPr>
        <w:tc>
          <w:tcPr>
            <w:tcW w:w="65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40" w:type="dxa"/>
            <w:vAlign w:val="bottom"/>
            <w:gridSpan w:val="8"/>
          </w:tcPr>
          <w:p>
            <w:pPr>
              <w:ind w:left="2480"/>
              <w:spacing w:after="0"/>
              <w:rPr>
                <w:sz w:val="20"/>
                <w:szCs w:val="20"/>
                <w:color w:val="auto"/>
              </w:rPr>
            </w:pPr>
            <w:r>
              <w:rPr>
                <w:rFonts w:ascii="Arial" w:cs="Arial" w:eastAsia="Arial" w:hAnsi="Arial"/>
                <w:sz w:val="18"/>
                <w:szCs w:val="18"/>
                <w:b w:val="1"/>
                <w:bCs w:val="1"/>
                <w:color w:val="auto"/>
              </w:rPr>
              <w:t>ICAHN ENTERPRISES L.P. AND SUBSIDIARIES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gridSpan w:val="11"/>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4"/>
                <w:szCs w:val="24"/>
                <w:color w:val="auto"/>
              </w:rPr>
            </w:pPr>
          </w:p>
        </w:tc>
        <w:tc>
          <w:tcPr>
            <w:tcW w:w="164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w w:val="89"/>
              </w:rPr>
              <w:t>(in</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160" w:type="dxa"/>
            <w:vAlign w:val="bottom"/>
            <w:gridSpan w:val="8"/>
          </w:tcPr>
          <w:p>
            <w:pPr>
              <w:spacing w:after="0" w:line="142" w:lineRule="exact"/>
              <w:rPr>
                <w:sz w:val="20"/>
                <w:szCs w:val="20"/>
                <w:color w:val="auto"/>
              </w:rPr>
            </w:pPr>
            <w:r>
              <w:rPr>
                <w:rFonts w:ascii="Arial" w:cs="Arial" w:eastAsia="Arial" w:hAnsi="Arial"/>
                <w:sz w:val="14"/>
                <w:szCs w:val="14"/>
                <w:color w:val="auto"/>
              </w:rPr>
              <w:t>millions, except per unit amounts)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2,684</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5,442</w:t>
            </w:r>
          </w:p>
        </w:tc>
        <w:tc>
          <w:tcPr>
            <w:tcW w:w="8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Net (loss) gain from investment activities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Credit loss on related party note receivable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deconsolidation of subsidiary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Less: net (loss) income attributable to non-controlling interests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3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w w:val="96"/>
              </w:rPr>
              <w:t>Net (loss) income attributable to Icahn Enterprises allocated to:</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income per LP unit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Distributions declared per LP unit</w:t>
            </w: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2" w:lineRule="exact"/>
              <w:rPr>
                <w:sz w:val="20"/>
                <w:szCs w:val="20"/>
                <w:color w:val="auto"/>
              </w:rPr>
            </w:pPr>
            <w:r>
              <w:rPr>
                <w:rFonts w:ascii="Arial" w:cs="Arial" w:eastAsia="Arial" w:hAnsi="Arial"/>
                <w:sz w:val="14"/>
                <w:szCs w:val="14"/>
                <w:color w:val="auto"/>
              </w:rPr>
              <w:t>(in</w:t>
            </w:r>
          </w:p>
        </w:tc>
        <w:tc>
          <w:tcPr>
            <w:tcW w:w="940" w:type="dxa"/>
            <w:vAlign w:val="bottom"/>
            <w:gridSpan w:val="3"/>
          </w:tcPr>
          <w:p>
            <w:pPr>
              <w:jc w:val="center"/>
              <w:ind w:right="410"/>
              <w:spacing w:after="0" w:line="142" w:lineRule="exact"/>
              <w:rPr>
                <w:sz w:val="20"/>
                <w:szCs w:val="20"/>
                <w:color w:val="auto"/>
              </w:rPr>
            </w:pPr>
            <w:r>
              <w:rPr>
                <w:rFonts w:ascii="Arial" w:cs="Arial" w:eastAsia="Arial" w:hAnsi="Arial"/>
                <w:sz w:val="14"/>
                <w:szCs w:val="14"/>
                <w:color w:val="auto"/>
                <w:w w:val="85"/>
              </w:rPr>
              <w:t>millions)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Post-retirement benefits and other</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Less: Comprehensive (loss) income attributable to non-controlling</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Icahn Enterprises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 to Icahn Enterprises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allocated to:</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ind w:left="3360" w:right="839" w:hanging="2521"/>
        <w:spacing w:after="0" w:line="288" w:lineRule="auto"/>
        <w:rPr>
          <w:sz w:val="20"/>
          <w:szCs w:val="20"/>
          <w:color w:val="auto"/>
        </w:rPr>
      </w:pPr>
      <w:r>
        <w:rPr>
          <w:rFonts w:ascii="Arial" w:cs="Arial" w:eastAsia="Arial" w:hAnsi="Arial"/>
          <w:sz w:val="18"/>
          <w:szCs w:val="18"/>
          <w:b w:val="1"/>
          <w:bCs w:val="1"/>
          <w:color w:val="auto"/>
        </w:rPr>
        <w:t>CONDENSED CONSOLIDATED STATEMENTS OF CHANGES IN EQUITY (UNAUDITED) Equity Attributable to Icahn Enterprises</w:t>
      </w:r>
    </w:p>
    <w:tbl>
      <w:tblPr>
        <w:tblLayout w:type="fixed"/>
        <w:tblInd w:w="4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ind w:right="360"/>
              <w:spacing w:after="0" w:line="172" w:lineRule="exact"/>
              <w:rPr>
                <w:sz w:val="20"/>
                <w:szCs w:val="20"/>
                <w:color w:val="auto"/>
              </w:rPr>
            </w:pPr>
            <w:r>
              <w:rPr>
                <w:rFonts w:ascii="Arial" w:cs="Arial" w:eastAsia="Arial" w:hAnsi="Arial"/>
                <w:sz w:val="18"/>
                <w:szCs w:val="18"/>
                <w:b w:val="1"/>
                <w:bCs w:val="1"/>
                <w:color w:val="auto"/>
                <w:w w:val="95"/>
              </w:rPr>
              <w:t>General</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30"/>
              <w:spacing w:after="0" w:line="172" w:lineRule="exact"/>
              <w:rPr>
                <w:sz w:val="20"/>
                <w:szCs w:val="20"/>
                <w:color w:val="auto"/>
              </w:rPr>
            </w:pPr>
            <w:r>
              <w:rPr>
                <w:rFonts w:ascii="Arial" w:cs="Arial" w:eastAsia="Arial" w:hAnsi="Arial"/>
                <w:sz w:val="18"/>
                <w:szCs w:val="18"/>
                <w:b w:val="1"/>
                <w:bCs w:val="1"/>
                <w:color w:val="auto"/>
                <w:w w:val="93"/>
              </w:rPr>
              <w:t>Limited</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line="172"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Partner’s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Partners’</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Total Partners’</w:t>
            </w:r>
          </w:p>
        </w:tc>
        <w:tc>
          <w:tcPr>
            <w:tcW w:w="18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Total Equity</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Partnership distributions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2"/>
        </w:trPr>
        <w:tc>
          <w:tcPr>
            <w:tcW w:w="2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w w:val="93"/>
              </w:rPr>
              <w:t>Changes in subsidiary equity and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r>
      <w:tr>
        <w:trPr>
          <w:trHeight w:val="209"/>
        </w:trPr>
        <w:tc>
          <w:tcPr>
            <w:tcW w:w="2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Partnership distributions payable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reversal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02"/>
        </w:trPr>
        <w:tc>
          <w:tcPr>
            <w:tcW w:w="2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w w:val="93"/>
              </w:rPr>
              <w:t>Changes in subsidiary equity and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7,187</w:t>
            </w: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07"/>
        </w:trPr>
        <w:tc>
          <w:tcPr>
            <w:tcW w:w="312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4"/>
              </w:rPr>
              <w:t>Equity Attributable to Icahn Enterprises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General</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6"/>
              </w:rPr>
              <w:t>Limited</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Partner’s</w:t>
            </w:r>
          </w:p>
        </w:tc>
        <w:tc>
          <w:tcPr>
            <w:tcW w:w="18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Partners’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Total Partners’</w:t>
            </w:r>
          </w:p>
        </w:tc>
        <w:tc>
          <w:tcPr>
            <w:tcW w:w="8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Interests</w:t>
            </w: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Partnership distributions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Partnership contributions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2"/>
        </w:trPr>
        <w:tc>
          <w:tcPr>
            <w:tcW w:w="31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120" w:type="dxa"/>
            <w:vAlign w:val="bottom"/>
            <w:gridSpan w:val="3"/>
          </w:tcPr>
          <w:p>
            <w:pPr>
              <w:ind w:left="20"/>
              <w:spacing w:after="0"/>
              <w:rPr>
                <w:sz w:val="20"/>
                <w:szCs w:val="20"/>
                <w:color w:val="auto"/>
              </w:rPr>
            </w:pPr>
            <w:r>
              <w:rPr>
                <w:rFonts w:ascii="Arial" w:cs="Arial" w:eastAsia="Arial" w:hAnsi="Arial"/>
                <w:sz w:val="18"/>
                <w:szCs w:val="18"/>
                <w:color w:val="auto"/>
                <w:w w:val="98"/>
              </w:rPr>
              <w:t>Changes in subsidiary equity and other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09"/>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31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Partnership distributions payable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reversal</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Partnership contributions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31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Investment segment contributions from</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1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Investment segment distributions to</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1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20" w:type="dxa"/>
            <w:vAlign w:val="bottom"/>
            <w:gridSpan w:val="3"/>
          </w:tcPr>
          <w:p>
            <w:pPr>
              <w:ind w:left="20"/>
              <w:spacing w:after="0"/>
              <w:rPr>
                <w:sz w:val="20"/>
                <w:szCs w:val="20"/>
                <w:color w:val="auto"/>
              </w:rPr>
            </w:pPr>
            <w:r>
              <w:rPr>
                <w:rFonts w:ascii="Arial" w:cs="Arial" w:eastAsia="Arial" w:hAnsi="Arial"/>
                <w:sz w:val="18"/>
                <w:szCs w:val="18"/>
                <w:color w:val="auto"/>
                <w:w w:val="98"/>
              </w:rPr>
              <w:t>Changes in subsidiary equity and other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(loss) income to net cash provided by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Net gain (loss) from securities transactions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deconsolidation of subsidiary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Turnaround expenditures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Proceeds from disposition of businesses and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segment distributions to non-controlling interests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2"/>
        </w:trPr>
        <w:tc>
          <w:tcPr>
            <w:tcW w:w="6500" w:type="dxa"/>
            <w:vAlign w:val="bottom"/>
          </w:tcPr>
          <w:p>
            <w:pPr>
              <w:ind w:left="20"/>
              <w:spacing w:after="0" w:line="182" w:lineRule="exact"/>
              <w:rPr>
                <w:sz w:val="20"/>
                <w:szCs w:val="20"/>
                <w:color w:val="auto"/>
              </w:rPr>
            </w:pPr>
            <w:r>
              <w:rPr>
                <w:rFonts w:ascii="Arial" w:cs="Arial" w:eastAsia="Arial" w:hAnsi="Arial"/>
                <w:sz w:val="18"/>
                <w:szCs w:val="18"/>
                <w:color w:val="auto"/>
                <w:w w:val="93"/>
              </w:rPr>
              <w:t>Effect of exchange rate changes on cash and cash equivalents and restricted cash and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8"/>
        </w:trPr>
        <w:tc>
          <w:tcPr>
            <w:tcW w:w="65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2"/>
              </w:rPr>
              <w:t>Net increase in cash and cash equivalents and restricted cash and restricted cash</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equivalents</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2"/>
        </w:trPr>
        <w:tc>
          <w:tcPr>
            <w:tcW w:w="6500" w:type="dxa"/>
            <w:vAlign w:val="bottom"/>
          </w:tcPr>
          <w:p>
            <w:pPr>
              <w:ind w:left="20"/>
              <w:spacing w:after="0" w:line="201" w:lineRule="exact"/>
              <w:rPr>
                <w:sz w:val="20"/>
                <w:szCs w:val="20"/>
                <w:color w:val="auto"/>
              </w:rPr>
            </w:pPr>
            <w:r>
              <w:rPr>
                <w:rFonts w:ascii="Arial" w:cs="Arial" w:eastAsia="Arial" w:hAnsi="Arial"/>
                <w:sz w:val="18"/>
                <w:szCs w:val="18"/>
                <w:color w:val="auto"/>
                <w:w w:val="90"/>
              </w:rPr>
              <w:t>Cash and cash equivalents and restricted cash and restricted cash equivalents, beginning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 period</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182"/>
        </w:trPr>
        <w:tc>
          <w:tcPr>
            <w:tcW w:w="6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Cash and cash equivalents and restricted cash and restricted cash equivalents, end of</w:t>
            </w:r>
          </w:p>
        </w:tc>
        <w:tc>
          <w:tcPr>
            <w:tcW w:w="3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3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References to “we,” “our” or “us” herein include both Icahn Enterprises and Icahn Enterprises Holdings and their subsidiaries, unless the context otherwise requires.</w:t>
      </w:r>
    </w:p>
    <w:p>
      <w:pPr>
        <w:spacing w:after="0" w:line="184"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2023, representing an aggregate 1.99% general partner interest in Icahn Enterprises Holdings and us. Mr. Icahn and his affiliates owned approximately 85% of our outstanding depositary units as of June 30, 2023.</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14, “Segment Reporting,” for a reconciliation of each of our reporting segment’s results of operations to our consolidated results. Certain additional information with respect to our segments is discussed below.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$3.8 billion and $4.2 billion as of June 30, 2023 and December 31, 2022,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7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and approximately 37% of the outstanding common units of CVR Partners as of June 30, 2023. As of June 30, 2023, we owned approximately 71% of the total outstanding common stock of CVR Energy.</w:t>
      </w:r>
    </w:p>
    <w:p>
      <w:pPr>
        <w:spacing w:after="0" w:line="165"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On November 21, 2022, CVR Energy’s board of directors had authorized its management to explore a potential spin-off of CVR Energy’s interest in the nitrogen fertilizer business into a newly created and separately traded public company. On June 13, 2023, CVR Energy announced that it has concluded such process and that its board of directors has determined not to pursue the potential spin-off at this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and our wholly owned subsidiary, AEP PLC LLC (“AEP PLC”). Icahn Automotive is engaged in providing a full range of automotive repair and maintenance services (“automotive services”) to its customers as well as a retail business which consists of sales of automotive aftermarket parts and retailed merchandise (“aftermarket parts”).</w:t>
      </w:r>
    </w:p>
    <w:p>
      <w:pPr>
        <w:spacing w:after="0" w:line="171"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On January 31, 2023, a subsidiary of Icahn Automotive, IEH Auto Parts Holding LLC and its subsidiaries (“Auto Plus”), an aftermarket parts distributor held within our Automotive segment, filed voluntary petitions in the United States Bankruptcy Court. As a result of Auto Plus’s filings for bankruptcy protections on January 31, 2023, we no longer controlled the operations of Auto Plus, therefore, we deconsolidated Auto Plus as of January 31, 2023. See Note 3, “Subsidiary Bankruptcy and Deconsolidation”, for a detailed discussion of the Auto Plus bankruptcy and deconsolidation.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June 30, 2023, we owned approximately 90%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Vivus is a specialty pharmaceutical company with two approved therapies and one product candidate in active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2022.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except for the Company’s equity interest in Auto Plus.</w:t>
      </w:r>
    </w:p>
    <w:p>
      <w:pPr>
        <w:spacing w:after="0" w:line="168"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84"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During the quarter ended June 30, 2023, we established a captive insurance program to supplement the insurance coverage of the officers, directors, employees and agents of the Company, its subsidiaries and our general partner. We hold assets in a protected cell, which we are the primary beneficiary of, and therefore consolidate the protected cell. The total assets related to the protected cell were $100 million at June 30, 2023 and are included in restricted cash in the condensed consolidated balance sheet.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spacing w:after="0" w:line="188"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2023 was approximately $7.1 billion and $6.3 billion, respectively. The carrying value and estimated fair value of our long-term debt as of December 31, 2022 was approximately $7.1 billion and $6.6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Our cash held at consolidated affiliated partnerships balance was $367 million and $1,019 million as of June 30, 2023 and December 31, 2022,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157" w:lineRule="exact"/>
        <w:rPr>
          <w:sz w:val="20"/>
          <w:szCs w:val="20"/>
          <w:color w:val="auto"/>
        </w:rPr>
      </w:pPr>
    </w:p>
    <w:p>
      <w:pPr>
        <w:ind w:left="60" w:right="399" w:firstLine="324"/>
        <w:spacing w:after="0" w:line="286" w:lineRule="auto"/>
        <w:rPr>
          <w:sz w:val="20"/>
          <w:szCs w:val="20"/>
          <w:color w:val="auto"/>
        </w:rPr>
      </w:pPr>
      <w:r>
        <w:rPr>
          <w:rFonts w:ascii="Arial" w:cs="Arial" w:eastAsia="Arial" w:hAnsi="Arial"/>
          <w:sz w:val="17"/>
          <w:szCs w:val="17"/>
          <w:color w:val="auto"/>
        </w:rPr>
        <w:t>Our restricted cash balance was $2,231 million and $1,530 million as of June 30, 2023 and December 31, 2022, respectively. Restricted cash includes, but is not limited to, our Investment segment’s cash pledged and held for margin requirements on derivative transactions and cash held related our captive insurance program.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company reviews long-lived assets for impairment when impairment indcators exist. An evaluation of impairment consists of reviewing the carrying value of a long-lived asset for recoverability. Recoverability of long-lived assets to be held and used is measured by a comparison of the carrying amount of an asset to esimtaed undiscounted future net cash flows expected to be generated by the asset. If the carrying value of the long-lived asset is not determined to be recoverable, a fair value assessment if performed.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During the second quarter of 2023, a significant tenant of a commercial high-rise property, within our Real Estate segment, was notified of default for non-payment. The tenant was unable to cure the default status and the lease was terminated. We considered this default, along with other facts and circumstances, a triggering event for potential impairment and we assessed the carrying value of this long-lived asset for recoverability using the undiscounted cash flow method during the second quarter of 2023. We determined the total undiscounted cash flows of the property exceeded its carrying value and therefore, no impairment is required.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11,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14,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Our Energy segment’s deferred revenue is a contract liability that includes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In addition, it includes deferred revenue associated with agreements entered into with third-party investors that has allowed our Energy segment to monetize certain tax credits available under Section 45Q of the Internal Revenue Code (the “45Q Transaction”). Our Energy segment had deferred revenue of $44 million and $48 million as of June 30, 2023 and December 31, 2022, respectively. For the six months ended June 30, 2023 and 2022, our Energy segment recorded revenue of $46 million and $84 million, respectively, with respect to deferred revenue outstanding as of the beginning of each respective period.</w:t>
      </w:r>
    </w:p>
    <w:p>
      <w:pPr>
        <w:spacing w:after="0" w:line="172"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7"/>
          <w:szCs w:val="17"/>
          <w:color w:val="auto"/>
        </w:rPr>
        <w:t>As of June 30, 2023, our Energy segment had $2 million of remaining performance obligations for contracts with an original expected duration of more than one year. Our Energy segment expects to recognize a majority of these performance obligations as revenue by the end of 2023 and the remaining nominal balance in 2024.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Our Automotive segment had deferred revenue with respect to extended warranty plans of $44 million at each of June 30, 2023 and December 31, 2022, respectively, which are included in accrued expenses and other liabilities on the condensed consolidated balance sheets. For the six months ended June 30, 2023 and 2022, our Automotive segment recorded revenue of $13 million and $12 million, respectively, with respect to deferred revenue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60" w:right="179" w:firstLine="270"/>
        <w:spacing w:after="0" w:line="27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June 30, 2023,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We adopted this ASU effective January 1, 2023. The adoption of this standard did not have a significant impact on our condensed consolidated financial statements.</w:t>
      </w:r>
    </w:p>
    <w:p>
      <w:pPr>
        <w:spacing w:after="0" w:line="176"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 Supplier Finance Programs (Subtopic 405-50)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of Supplier Finance Program Obligations </w:t>
      </w:r>
      <w:r>
        <w:rPr>
          <w:rFonts w:ascii="Arial" w:cs="Arial" w:eastAsia="Arial" w:hAnsi="Arial"/>
          <w:sz w:val="16"/>
          <w:szCs w:val="16"/>
          <w:color w:val="auto"/>
        </w:rPr>
        <w:t>to require entities that use supplier finance programs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purchase of goods and services to disclose the key terms of such programs and information about obligations outstanding at the end of the reporting period, including a rollforward of those obligations of where in the financial statements outstanding amounts are present. The guidance does not affect the recognition, measurement, or financial statement presentation of supplier finance program obligations. The amendments are effective in periods beginning after December 15, 2022, except that the amendments to disclose a rollforward of obligations outstanding will be effective beginning after December 15, 2023. We early adopted provisions of this ASU effective January 1, 2023, with the exception of the amendment on rollforward information, which will be adopted in the fourth quarter of 2023. The adoption of this standard did not have a material impact on our condensed consolidated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 xml:space="preserve">In June 2022, the FASB issued ASU 2022-03, </w:t>
      </w:r>
      <w:r>
        <w:rPr>
          <w:rFonts w:ascii="Arial" w:cs="Arial" w:eastAsia="Arial" w:hAnsi="Arial"/>
          <w:sz w:val="16"/>
          <w:szCs w:val="16"/>
          <w:i w:val="1"/>
          <w:iCs w:val="1"/>
          <w:color w:val="auto"/>
        </w:rPr>
        <w:t>Fair Value Measurement of Equity Securities Subject to Contractual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Sale Restrictions, </w:t>
      </w:r>
      <w:r>
        <w:rPr>
          <w:rFonts w:ascii="Arial" w:cs="Arial" w:eastAsia="Arial" w:hAnsi="Arial"/>
          <w:sz w:val="16"/>
          <w:szCs w:val="16"/>
          <w:color w:val="auto"/>
        </w:rPr>
        <w:t>which amends guidance in Topic 820, Fair Value Measurement. The guidance clarifies that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Early adoption is permitted. We are currently assessing the impact of adopting this new accounting standard on our condensed consolidated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Subsidiary Bankruptcy and Deconsolidation</w:t>
      </w:r>
    </w:p>
    <w:p>
      <w:pPr>
        <w:spacing w:after="0" w:line="229"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On January 31, 2023, a subsidiary of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 On May 19, 2023, the Bankruptcy Court approved five sales of Auto Plus’ assets to five different bidders pursuant to Section 363 of the Bankruptcy Code, comprising a significant majority of Auto Plus’ total assets (the “363 Sales”). A wholly owned subsidiary of IEP, AEP PLC, was the buyer for one of the 363 Sales, pursuant to a credit bid of $10 million for a portion of its senior secured debtor-in-possession loan to Auto Plus. The last of the 363 sales closed on June 12, 2023. The proceeds of the 363 Sales will be used to satisfy obligations to Auto Plus’ creditors. On June 16, 2023, the Bankruptcy Court entered an order approving Auto Plus’ Third Amended Combined Disclosure Statement and Joint Plan of Liquidation (the “Bankruptcy Plan”). The Bankruptcy Plan provides for the orderly liquidation of Auto Plus and distribution of its assets. As of the date hereof, the effective date of the Bankruptcy Plan had not yet occurred.</w:t>
      </w:r>
    </w:p>
    <w:p>
      <w:pPr>
        <w:spacing w:after="0" w:line="180"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As a result of the filing of the Chapter 11 Cases, the Company has determined that it no longer controls Auto Plus under the criteria set out in Statement of Financial Accounting Standards (“FASB”) ASC Topic 810, “Consolidation” and has deconsolidated its investment effective January 31, 2023. In order to deconsolidate Auto Plus, we removed the carrying values of the assets and liabilities of Auto Plus as of January 31, 2023 and recorded our investment in Auto Plus at $0 resulting in a non-cash charge of $246 million during the six months ended June 30,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jc w:val="both"/>
        <w:ind w:left="60" w:right="119" w:firstLine="324"/>
        <w:spacing w:after="0" w:line="287" w:lineRule="auto"/>
        <w:rPr>
          <w:sz w:val="20"/>
          <w:szCs w:val="20"/>
          <w:color w:val="auto"/>
        </w:rPr>
      </w:pPr>
      <w:r>
        <w:rPr>
          <w:rFonts w:ascii="Arial" w:cs="Arial" w:eastAsia="Arial" w:hAnsi="Arial"/>
          <w:sz w:val="16"/>
          <w:szCs w:val="16"/>
          <w:color w:val="auto"/>
        </w:rPr>
        <w:t>As of June 30, 2023 and December 31, 2022, the total fair market value of investments in the Investment Funds made by Mr. Icahn and his affiliates (excluding us and Brett Icahn) was approximately $3.0 billion and $4.9 billion, respectively, representing approximately 44% and 54% of the Investment Funds’ assets under management as of each respective date.</w:t>
      </w:r>
    </w:p>
    <w:p>
      <w:pPr>
        <w:spacing w:after="0" w:line="2" w:lineRule="exact"/>
        <w:rPr>
          <w:sz w:val="20"/>
          <w:szCs w:val="20"/>
          <w:color w:val="auto"/>
        </w:rPr>
      </w:pPr>
    </w:p>
    <w:p>
      <w:pPr>
        <w:ind w:left="60" w:right="159"/>
        <w:spacing w:after="0" w:line="323" w:lineRule="auto"/>
        <w:rPr>
          <w:sz w:val="20"/>
          <w:szCs w:val="20"/>
          <w:color w:val="auto"/>
        </w:rPr>
      </w:pPr>
      <w:r>
        <w:rPr>
          <w:rFonts w:ascii="Arial" w:cs="Arial" w:eastAsia="Arial" w:hAnsi="Arial"/>
          <w:sz w:val="16"/>
          <w:szCs w:val="16"/>
          <w:color w:val="auto"/>
        </w:rPr>
        <w:t>During the six months ended June 30, 2023, Mr. Icahn and his affiliates (excluding us and Brett Icahn) had redemptions of $1,452 million from the Investment Funds. There were no redemptions in the six months ended June 30, 2022.</w:t>
      </w:r>
    </w:p>
    <w:p>
      <w:pPr>
        <w:spacing w:after="0" w:line="138"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six months ended June 30, 2023 and 2022, $7 million and $6 million, respectively, was allocated to the Investment Funds based on this expense-sharing arrangement.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 Plus and AEP PLC</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w:t>
      </w:r>
    </w:p>
    <w:p>
      <w:pPr>
        <w:spacing w:after="0" w:line="166"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For the five months from the date of deconsolidation of January 31, 2023 through June 30, 2023, the total lease revenues of entities within the Automotive segment from leases with Auto Plus was $3 million. Total inventory purchases of entities within the Automotive segment from Auto Plus were $4 million and total net trade accounts payable due to Auto Plus as of June 30, 2023 was 2 million.</w:t>
      </w:r>
    </w:p>
    <w:p>
      <w:pPr>
        <w:spacing w:after="0" w:line="187"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For the five months from the date of deconsolidation of January 31, 2023 through June 30, 2023, the total lease revenues of entities within the Real Estate segment from Auto Plus were $3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Note Receivable from Auto Plus</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May 2, 2023, we converted and rolled up our related party note receivable with our existing loans under the DIP Credit Facility. In the second quarter of 2023, we estimated our cash to be collected for the repayment of the note receivable to be $82 million, resulting in a write-off of $116 million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AEP PLC</w:t>
      </w:r>
    </w:p>
    <w:p>
      <w:pPr>
        <w:spacing w:after="0" w:line="225"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In connection with the Auto Plus auction, our wholly owned subsidiary AEP PLC, acquired $10 million of assets mostly comprised of aftermarket parts inventory during the second quarter of 2023. The transaction was considered an asset acquisition, as AEP PLC does not meet the definition of a business defined in FASB ASC Topic 805. The results of AEP PLC are consolidated within our Automotive segment at June 30, 2023 and were not material.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179" w:firstLine="324"/>
        <w:spacing w:after="0" w:line="284"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$8 million in the six months ended June 30, 2023 and contributed $3 million in accordance with the manager agreement in the six months ended June 30, 2022. As of June 30, 2023 and December 31, 2022 Brett Icahn had investments in the Investment Funds with a total fair market value of $39 million and $50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259" w:firstLine="324"/>
        <w:spacing w:after="0" w:line="275" w:lineRule="auto"/>
        <w:rPr>
          <w:sz w:val="20"/>
          <w:szCs w:val="20"/>
          <w:color w:val="auto"/>
        </w:rPr>
      </w:pPr>
      <w:r>
        <w:rPr>
          <w:rFonts w:ascii="Arial" w:cs="Arial" w:eastAsia="Arial" w:hAnsi="Arial"/>
          <w:sz w:val="17"/>
          <w:szCs w:val="17"/>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r>
      <w:tr>
        <w:trPr>
          <w:trHeight w:val="142"/>
        </w:trPr>
        <w:tc>
          <w:tcPr>
            <w:tcW w:w="6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40" w:type="dxa"/>
            <w:vAlign w:val="bottom"/>
            <w:gridSpan w:val="2"/>
          </w:tcPr>
          <w:p>
            <w:pPr>
              <w:spacing w:after="0" w:line="142" w:lineRule="exact"/>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12"/>
                <w:szCs w:val="12"/>
                <w:color w:val="auto"/>
              </w:rPr>
            </w:pPr>
          </w:p>
        </w:tc>
      </w:tr>
      <w:tr>
        <w:trPr>
          <w:trHeight w:val="216"/>
        </w:trPr>
        <w:tc>
          <w:tcPr>
            <w:tcW w:w="660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Communications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09"/>
        </w:trPr>
        <w:tc>
          <w:tcPr>
            <w:tcW w:w="6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10"/>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Financials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6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10"/>
        </w:trPr>
        <w:tc>
          <w:tcPr>
            <w:tcW w:w="6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4,821</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00" w:type="dxa"/>
            <w:vAlign w:val="bottom"/>
            <w:shd w:val="clear" w:color="auto" w:fill="CCEEFF"/>
          </w:tcPr>
          <w:p>
            <w:pPr>
              <w:ind w:left="282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09"/>
        </w:trPr>
        <w:tc>
          <w:tcPr>
            <w:tcW w:w="6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r>
      <w:tr>
        <w:trPr>
          <w:trHeight w:val="210"/>
        </w:trPr>
        <w:tc>
          <w:tcPr>
            <w:tcW w:w="660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Materials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9"/>
        </w:trPr>
        <w:tc>
          <w:tcPr>
            <w:tcW w:w="6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3,370</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6,495</w:t>
            </w: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The portion of unrealized (losses) and gains that relates to securities still held by our Investment segment, primarily equity securities, was $(69) million and $(894) million for the three months ended June 30, 2023 and 2022, respectively, and $(124) million and $(694) million for the six months ended June 30,2023 and 2022, respectively.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98"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2022</w:t>
            </w:r>
          </w:p>
        </w:tc>
      </w:tr>
      <w:tr>
        <w:trPr>
          <w:trHeight w:val="142"/>
        </w:trPr>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12"/>
                <w:szCs w:val="12"/>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9"/>
        </w:trPr>
        <w:tc>
          <w:tcPr>
            <w:tcW w:w="6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202" w:lineRule="exact"/>
        <w:rPr>
          <w:sz w:val="20"/>
          <w:szCs w:val="20"/>
          <w:color w:val="auto"/>
        </w:rPr>
      </w:pPr>
    </w:p>
    <w:p>
      <w:pPr>
        <w:ind w:left="60" w:right="259" w:firstLine="324"/>
        <w:spacing w:after="0" w:line="286" w:lineRule="auto"/>
        <w:rPr>
          <w:sz w:val="20"/>
          <w:szCs w:val="20"/>
          <w:color w:val="auto"/>
        </w:rPr>
      </w:pPr>
      <w:r>
        <w:rPr>
          <w:rFonts w:ascii="Arial" w:cs="Arial" w:eastAsia="Arial" w:hAnsi="Arial"/>
          <w:sz w:val="17"/>
          <w:szCs w:val="17"/>
          <w:color w:val="auto"/>
        </w:rPr>
        <w:t>The portion of unrealized gains and (losses) that relates to equity securities still held by our other segments and Holding Company was zero and $3 million for each of the three months ended June 30, 2023 and 2022, respectively, and zero and $61 million for the six months ended June 30, 2023 and 2022, respectively.</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37"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196"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61" w:lineRule="exact"/>
        <w:rPr>
          <w:sz w:val="20"/>
          <w:szCs w:val="20"/>
          <w:color w:val="auto"/>
        </w:rPr>
      </w:pPr>
    </w:p>
    <w:p>
      <w:pPr>
        <w:ind w:left="380" w:right="5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3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98"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2"/>
              </w:rPr>
              <w:t>June 30, 2023</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7"/>
              </w:rPr>
              <w:t>December 31, 2022</w:t>
            </w:r>
          </w:p>
        </w:tc>
        <w:tc>
          <w:tcPr>
            <w:tcW w:w="600" w:type="dxa"/>
            <w:vAlign w:val="bottom"/>
            <w:tcBorders>
              <w:bottom w:val="single" w:sz="8" w:color="auto"/>
            </w:tcBorders>
          </w:tcPr>
          <w:p>
            <w:pPr>
              <w:spacing w:after="0"/>
              <w:rPr>
                <w:sz w:val="20"/>
                <w:szCs w:val="20"/>
                <w:color w:val="auto"/>
              </w:rPr>
            </w:pPr>
          </w:p>
        </w:tc>
      </w:tr>
      <w:tr>
        <w:trPr>
          <w:trHeight w:val="209"/>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Level 3</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42"/>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35"/>
              <w:spacing w:after="0" w:line="142" w:lineRule="exact"/>
              <w:rPr>
                <w:sz w:val="20"/>
                <w:szCs w:val="20"/>
                <w:color w:val="auto"/>
              </w:rPr>
            </w:pPr>
            <w:r>
              <w:rPr>
                <w:rFonts w:ascii="Arial" w:cs="Arial" w:eastAsia="Arial" w:hAnsi="Arial"/>
                <w:sz w:val="14"/>
                <w:szCs w:val="14"/>
                <w:color w:val="auto"/>
              </w:rPr>
              <w:t>(in</w:t>
            </w:r>
          </w:p>
        </w:tc>
        <w:tc>
          <w:tcPr>
            <w:tcW w:w="780" w:type="dxa"/>
            <w:vAlign w:val="bottom"/>
            <w:gridSpan w:val="2"/>
          </w:tcPr>
          <w:p>
            <w:pPr>
              <w:jc w:val="right"/>
              <w:ind w:right="250"/>
              <w:spacing w:after="0" w:line="142" w:lineRule="exact"/>
              <w:rPr>
                <w:sz w:val="20"/>
                <w:szCs w:val="20"/>
                <w:color w:val="auto"/>
              </w:rPr>
            </w:pPr>
            <w:r>
              <w:rPr>
                <w:rFonts w:ascii="Arial" w:cs="Arial" w:eastAsia="Arial" w:hAnsi="Arial"/>
                <w:sz w:val="14"/>
                <w:szCs w:val="14"/>
                <w:color w:val="auto"/>
                <w:w w:val="81"/>
              </w:rPr>
              <w:t>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264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color w:val="auto"/>
              </w:rPr>
              <w:t>Investments (Note 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$ 3,648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1,134</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$ 4,824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1,142</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$ 6,722</w:t>
            </w:r>
          </w:p>
        </w:tc>
      </w:tr>
      <w:tr>
        <w:trPr>
          <w:trHeight w:val="21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 net (Note 7)</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09"/>
        </w:trPr>
        <w:tc>
          <w:tcPr>
            <w:tcW w:w="26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$ 3,648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1,478</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$ 5,168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1,947</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$ 7,527</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640" w:type="dxa"/>
            <w:vAlign w:val="bottom"/>
            <w:shd w:val="clear" w:color="auto" w:fill="CCEEFF"/>
          </w:tcPr>
          <w:p>
            <w:pPr>
              <w:ind w:left="960"/>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2"/>
        </w:trPr>
        <w:tc>
          <w:tcPr>
            <w:tcW w:w="2640" w:type="dxa"/>
            <w:vAlign w:val="bottom"/>
          </w:tcPr>
          <w:p>
            <w:pPr>
              <w:ind w:left="20"/>
              <w:spacing w:after="0" w:line="201" w:lineRule="exact"/>
              <w:rPr>
                <w:sz w:val="20"/>
                <w:szCs w:val="20"/>
                <w:color w:val="auto"/>
              </w:rPr>
            </w:pPr>
            <w:r>
              <w:rPr>
                <w:rFonts w:ascii="Arial" w:cs="Arial" w:eastAsia="Arial" w:hAnsi="Arial"/>
                <w:sz w:val="18"/>
                <w:szCs w:val="18"/>
                <w:color w:val="auto"/>
                <w:w w:val="96"/>
              </w:rPr>
              <w:t>Securities sold, not yet purchased</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(Note 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$ 3,198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$ 3,370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$ 6,326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$ 6,495</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color w:val="auto"/>
              </w:rPr>
              <w:t>RFS obligations (Note 18)</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r>
      <w:tr>
        <w:trPr>
          <w:trHeight w:val="229"/>
        </w:trPr>
        <w:tc>
          <w:tcPr>
            <w:tcW w:w="26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1,667</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1,552</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$ 7,878</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Assets Measured at Fair Value on a Non-Recurring Basis for Which We Use Level 3 Inputs to Determine Fair Value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319" w:firstLine="324"/>
        <w:spacing w:after="0" w:line="257" w:lineRule="auto"/>
        <w:rPr>
          <w:sz w:val="20"/>
          <w:szCs w:val="20"/>
          <w:color w:val="auto"/>
        </w:rPr>
      </w:pPr>
      <w:r>
        <w:rPr>
          <w:rFonts w:ascii="Arial" w:cs="Arial" w:eastAsia="Arial" w:hAnsi="Arial"/>
          <w:sz w:val="18"/>
          <w:szCs w:val="18"/>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 which is a non-recurring Level 3 measurement.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estimated fair value of the Company’s note receivable from Auto Plus was measured at January 31, 2023 using the income approach with Level 3 inputs by discounting the forecasted cash inflows associated with the note using an estimated market discount rate. During the second quarter of 2023, the Company measured the fair value of the related party note using the practical expedient for a collateral-dependent loan in accordance with ASC Topic 326 to determine the allowance based on the fair value of collateral less costs to sell. The note collateral is primarily made up of cash and accounts receivable and we estimated the fair value to be $82 million. The fair value of accounts receivable was estimated based on expected collectability.We determined the expected credit losses of $116 million were uncollectible and wrote off the valuation allowance against the note receivable.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June 30, 2023 and December 31,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8"/>
                <w:szCs w:val="18"/>
                <w:b w:val="1"/>
                <w:bCs w:val="1"/>
                <w:color w:val="auto"/>
              </w:rPr>
              <w:t>June 30, 2023</w:t>
            </w:r>
          </w:p>
        </w:tc>
        <w:tc>
          <w:tcPr>
            <w:tcW w:w="18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8"/>
              </w:rPr>
              <w:t>December 31, 2022</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18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18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18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24"/>
        </w:trPr>
        <w:tc>
          <w:tcPr>
            <w:tcW w:w="51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jc w:val="right"/>
              <w:ind w:right="39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1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contracts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5,354</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Credit contracts</w:t>
            </w:r>
            <w:r>
              <w:rPr>
                <w:rFonts w:ascii="Arial" w:cs="Arial" w:eastAsia="Arial" w:hAnsi="Arial"/>
                <w:sz w:val="25"/>
                <w:szCs w:val="25"/>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Commodity contracts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99" w:hanging="330"/>
        <w:spacing w:after="0" w:line="238" w:lineRule="auto"/>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short notional amount on our credit default swap positions was approximately $3.1 billion and $3.5 billion at June 30, 2023 and December 31, 2022, respectively. However, because credit spreads cannot compress below zero, our downside short notional exposure to loss is approximately $0.8 billion and $0.9 billion as of June 30, 2023 and December 31, 2022, respectively.</w:t>
      </w:r>
    </w:p>
    <w:p>
      <w:pPr>
        <w:spacing w:after="0" w:line="187"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8"/>
                <w:szCs w:val="18"/>
                <w:b w:val="1"/>
                <w:bCs w:val="1"/>
                <w:color w:val="auto"/>
              </w:rPr>
              <w:t>Derivative Assets</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93"/>
              </w:rPr>
              <w:t>Derivative Liabilities</w:t>
            </w:r>
          </w:p>
        </w:tc>
        <w:tc>
          <w:tcPr>
            <w:tcW w:w="500" w:type="dxa"/>
            <w:vAlign w:val="bottom"/>
            <w:tcBorders>
              <w:bottom w:val="single" w:sz="8" w:color="auto"/>
            </w:tcBorders>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2022</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2023</w:t>
            </w:r>
          </w:p>
        </w:tc>
        <w:tc>
          <w:tcPr>
            <w:tcW w:w="200" w:type="dxa"/>
            <w:vAlign w:val="bottom"/>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2022</w:t>
            </w:r>
          </w:p>
        </w:tc>
      </w:tr>
      <w:tr>
        <w:trPr>
          <w:trHeight w:val="210"/>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80" w:type="dxa"/>
            <w:vAlign w:val="bottom"/>
            <w:gridSpan w:val="5"/>
          </w:tcPr>
          <w:p>
            <w:pPr>
              <w:jc w:val="right"/>
              <w:ind w:right="108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86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16"/>
        </w:trPr>
        <w:tc>
          <w:tcPr>
            <w:tcW w:w="28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860" w:type="dxa"/>
            <w:vAlign w:val="bottom"/>
            <w:gridSpan w:val="2"/>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r>
    </w:tbl>
    <w:p>
      <w:pPr>
        <w:spacing w:after="0" w:line="76" w:lineRule="exact"/>
        <w:rPr>
          <w:sz w:val="20"/>
          <w:szCs w:val="20"/>
          <w:color w:val="auto"/>
        </w:rPr>
      </w:pPr>
    </w:p>
    <w:p>
      <w:pPr>
        <w:ind w:left="380" w:right="139" w:hanging="330"/>
        <w:spacing w:after="0" w:line="185" w:lineRule="auto"/>
        <w:tabs>
          <w:tab w:leader="none" w:pos="380" w:val="left"/>
        </w:tabs>
        <w:numPr>
          <w:ilvl w:val="0"/>
          <w:numId w:val="4"/>
        </w:numPr>
        <w:rPr>
          <w:rFonts w:ascii="Arial" w:cs="Arial" w:eastAsia="Arial" w:hAnsi="Arial"/>
          <w:sz w:val="28"/>
          <w:szCs w:val="28"/>
          <w:color w:val="auto"/>
          <w:vertAlign w:val="subscript"/>
        </w:rPr>
      </w:pPr>
      <w:r>
        <w:rPr>
          <w:rFonts w:ascii="Arial" w:cs="Arial" w:eastAsia="Arial" w:hAnsi="Arial"/>
          <w:sz w:val="13"/>
          <w:szCs w:val="13"/>
          <w:color w:val="auto"/>
        </w:rPr>
        <w:t>Excludes netting of cash collateral received and posted. The total collateral posted at June 30, 2023 and December 31, 2022 was $2,034 million and $1,436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8"/>
                <w:szCs w:val="18"/>
                <w:b w:val="1"/>
                <w:bCs w:val="1"/>
                <w:color w:val="auto"/>
              </w:rPr>
              <w:t xml:space="preserve">Gain (loss) Recognized in Income </w:t>
            </w:r>
            <w:r>
              <w:rPr>
                <w:rFonts w:ascii="Arial" w:cs="Arial" w:eastAsia="Arial" w:hAnsi="Arial"/>
                <w:sz w:val="26"/>
                <w:szCs w:val="26"/>
                <w:b w:val="1"/>
                <w:bCs w:val="1"/>
                <w:color w:val="auto"/>
                <w:vertAlign w:val="superscript"/>
              </w:rPr>
              <w:t>(1)</w:t>
            </w:r>
          </w:p>
        </w:tc>
        <w:tc>
          <w:tcPr>
            <w:tcW w:w="820" w:type="dxa"/>
            <w:vAlign w:val="bottom"/>
            <w:tcBorders>
              <w:bottom w:val="single" w:sz="8" w:color="auto"/>
            </w:tcBorders>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jc w:val="right"/>
              <w:ind w:right="380"/>
              <w:spacing w:after="0" w:line="191" w:lineRule="exact"/>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10"/>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2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62"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(loss) gain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CVR Energy’s businesses are subject to fluctuations of commodity prices caused by supply conditions, weather, economic conditions, interest rates, and other factors. To manage price risk on crude oil and other inventories and to fix margins on future production, CVR Energy from time to time enters into various commodity derivative transactions and hold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95"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As of June 30, 2023 and December 31, 2022, CVR Energy had 19 million and less than a million outstanding commodity swap positions, respectively. As of June 30, 2023 and December 31, 2022, CVR Energy had future contracts of less than 1 million barrels at each period. As of June 30, 2023 and December 31, 2022, CVR Energy had open fixed-price commitments to purchase a net 63 million and 34 million RINs, respectively.</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fair value of our Energy segment’s derivatives and the effect of the collateral netting: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87"/>
              </w:rPr>
              <w:t>Derivative Assets</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91"/>
              </w:rPr>
              <w:t>Derivative Liabilities</w:t>
            </w:r>
          </w:p>
        </w:tc>
        <w:tc>
          <w:tcPr>
            <w:tcW w:w="440" w:type="dxa"/>
            <w:vAlign w:val="bottom"/>
            <w:tcBorders>
              <w:bottom w:val="single" w:sz="8" w:color="auto"/>
            </w:tcBorders>
          </w:tcPr>
          <w:p>
            <w:pPr>
              <w:spacing w:after="0"/>
              <w:rPr>
                <w:sz w:val="20"/>
                <w:szCs w:val="20"/>
                <w:color w:val="auto"/>
              </w:rPr>
            </w:pPr>
          </w:p>
        </w:tc>
      </w:tr>
      <w:tr>
        <w:trPr>
          <w:trHeight w:val="210"/>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2023</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December 31, 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2023</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r>
      <w:tr>
        <w:trPr>
          <w:trHeight w:val="209"/>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4"/>
          </w:tcPr>
          <w:p>
            <w:pPr>
              <w:jc w:val="right"/>
              <w:ind w:right="79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600" w:type="dxa"/>
            <w:vAlign w:val="bottom"/>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60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7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393" w:lineRule="exact"/>
        <w:rPr>
          <w:sz w:val="20"/>
          <w:szCs w:val="20"/>
          <w:color w:val="auto"/>
        </w:rPr>
      </w:pPr>
    </w:p>
    <w:p>
      <w:pPr>
        <w:ind w:left="720" w:right="739" w:hanging="319"/>
        <w:spacing w:after="0" w:line="335" w:lineRule="auto"/>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Excludes netting of derivatives primarily related to initial margin requirements of $9 million and $7 million at June 30, 2023 and December 31, 2022, respectively, which was not offset against derivatives assets, net in the condensed consolidated balance sheets.</w:t>
      </w:r>
    </w:p>
    <w:p>
      <w:pPr>
        <w:spacing w:after="0" w:line="132"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(Losses) gains recognized on derivatives for our Energy segment were $(4) million and $(68) million for the three months ended June 30, 2023 and 2022, respectively, and $41 million and $(66) million for the six months ended June 30, 2023 and 2022, respectively. Gains and losses recognized on derivatives for our Energy segment are included in cost of goods sold on the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Related Party Notes Receivable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Related party notes receivable and its related allowance for expected credit losses consists of the following: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party notes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wp:posOffset>
            </wp:positionV>
            <wp:extent cx="56578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party notes receivable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June 30, 2023</w:t>
            </w:r>
          </w:p>
        </w:tc>
      </w:tr>
      <w:tr>
        <w:trPr>
          <w:trHeight w:val="398"/>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720"/>
            <w:col w:w="1899"/>
          </w:cols>
          <w:pgMar w:left="1440" w:top="517" w:right="1440" w:bottom="1440" w:gutter="0" w:footer="0" w:header="0"/>
          <w:type w:val="continuous"/>
        </w:sectPr>
      </w:pP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expected credit losses:</w:t>
            </w:r>
          </w:p>
        </w:tc>
        <w:tc>
          <w:tcPr>
            <w:tcW w:w="2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Beginning Balance</w:t>
            </w:r>
          </w:p>
        </w:tc>
        <w:tc>
          <w:tcPr>
            <w:tcW w:w="28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loss provision</w:t>
            </w:r>
          </w:p>
        </w:tc>
        <w:tc>
          <w:tcPr>
            <w:tcW w:w="2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Write-offs</w:t>
            </w:r>
          </w:p>
        </w:tc>
        <w:tc>
          <w:tcPr>
            <w:tcW w:w="2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CEEFF"/>
            </w:tcBorders>
          </w:tcPr>
          <w:p>
            <w:pPr>
              <w:spacing w:after="0"/>
              <w:rPr>
                <w:sz w:val="18"/>
                <w:szCs w:val="18"/>
                <w:color w:val="auto"/>
              </w:rPr>
            </w:pPr>
          </w:p>
        </w:tc>
      </w:tr>
      <w:tr>
        <w:trPr>
          <w:trHeight w:val="210"/>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Ending Balance</w:t>
            </w:r>
          </w:p>
        </w:tc>
        <w:tc>
          <w:tcPr>
            <w:tcW w:w="2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Write-offs associated with related party notes receivable was $116 million for the three and six months ended June 30, 2023. See Note 6, “Financial Instruments,” for additional information related to the fair value of the related party notes receivable.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9. Inventories, Net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496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7"/>
        </w:trPr>
        <w:tc>
          <w:tcPr>
            <w:tcW w:w="4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r>
      <w:tr>
        <w:trPr>
          <w:trHeight w:val="142"/>
        </w:trPr>
        <w:tc>
          <w:tcPr>
            <w:tcW w:w="4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40" w:type="dxa"/>
            <w:vAlign w:val="bottom"/>
            <w:gridSpan w:val="2"/>
          </w:tcPr>
          <w:p>
            <w:pPr>
              <w:spacing w:after="0" w:line="142" w:lineRule="exact"/>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12"/>
                <w:szCs w:val="12"/>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1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transit</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0"/>
        </w:trPr>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Due to the deconsolidation of Auto Plus inventories decreased $440 million from December 31, 2022.</w:t>
      </w:r>
    </w:p>
    <w:p>
      <w:pPr>
        <w:spacing w:after="0" w:line="235" w:lineRule="exact"/>
        <w:rPr>
          <w:sz w:val="20"/>
          <w:szCs w:val="20"/>
          <w:color w:val="auto"/>
        </w:rPr>
      </w:pPr>
    </w:p>
    <w:p>
      <w:pPr>
        <w:ind w:left="380" w:right="5919" w:hanging="330"/>
        <w:spacing w:after="0" w:line="572" w:lineRule="auto"/>
        <w:tabs>
          <w:tab w:leader="none" w:pos="37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5"/>
              </w:rPr>
              <w:t>June 30, 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90"/>
              </w:rPr>
              <w:t>December 31, 2022</w:t>
            </w:r>
          </w:p>
        </w:tc>
        <w:tc>
          <w:tcPr>
            <w:tcW w:w="640" w:type="dxa"/>
            <w:vAlign w:val="bottom"/>
            <w:tcBorders>
              <w:bottom w:val="single" w:sz="8" w:color="auto"/>
            </w:tcBorders>
          </w:tcPr>
          <w:p>
            <w:pPr>
              <w:spacing w:after="0"/>
              <w:rPr>
                <w:sz w:val="20"/>
                <w:szCs w:val="20"/>
                <w:color w:val="auto"/>
              </w:rPr>
            </w:pPr>
          </w:p>
        </w:tc>
      </w:tr>
      <w:tr>
        <w:trPr>
          <w:trHeight w:val="191"/>
        </w:trPr>
        <w:tc>
          <w:tcPr>
            <w:tcW w:w="2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3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Carrying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Impairment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Impairment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Value</w:t>
            </w:r>
          </w:p>
        </w:tc>
      </w:tr>
      <w:tr>
        <w:trPr>
          <w:trHeight w:val="210"/>
        </w:trPr>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right"/>
              <w:ind w:right="39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Pharma</w:t>
            </w: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9"/>
        </w:trPr>
        <w:tc>
          <w:tcPr>
            <w:tcW w:w="20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844"/>
        </w:trPr>
        <w:tc>
          <w:tcPr>
            <w:tcW w:w="20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561"/>
        </w:trPr>
        <w:tc>
          <w:tcPr>
            <w:tcW w:w="2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8"/>
              </w:rPr>
              <w:t>December 31, 2022</w:t>
            </w:r>
          </w:p>
        </w:tc>
        <w:tc>
          <w:tcPr>
            <w:tcW w:w="640" w:type="dxa"/>
            <w:vAlign w:val="bottom"/>
            <w:tcBorders>
              <w:bottom w:val="single" w:sz="8" w:color="auto"/>
            </w:tcBorders>
          </w:tcPr>
          <w:p>
            <w:pPr>
              <w:spacing w:after="0"/>
              <w:rPr>
                <w:sz w:val="20"/>
                <w:szCs w:val="20"/>
                <w:color w:val="auto"/>
              </w:rPr>
            </w:pPr>
          </w:p>
        </w:tc>
      </w:tr>
      <w:tr>
        <w:trPr>
          <w:trHeight w:val="191"/>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16"/>
        </w:trPr>
        <w:tc>
          <w:tcPr>
            <w:tcW w:w="28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286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39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8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86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Amortization expense associated with definite-lived intangible assets was $14 million and $16 million for the three months ended June 30, 2023 and 2022, respectively, and $29 million for each of the six months ended June 30, 2023 and 2022, respectively.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Right-of-use assets and lease liabilities are as follows: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27"/>
        </w:trPr>
        <w:tc>
          <w:tcPr>
            <w:tcW w:w="6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2022</w:t>
            </w:r>
          </w:p>
        </w:tc>
      </w:tr>
      <w:tr>
        <w:trPr>
          <w:trHeight w:val="142"/>
        </w:trPr>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7"/>
              </w:rPr>
              <w:t>millions)</w:t>
            </w:r>
          </w:p>
        </w:tc>
        <w:tc>
          <w:tcPr>
            <w:tcW w:w="860" w:type="dxa"/>
            <w:vAlign w:val="bottom"/>
          </w:tcPr>
          <w:p>
            <w:pPr>
              <w:spacing w:after="0"/>
              <w:rPr>
                <w:sz w:val="12"/>
                <w:szCs w:val="12"/>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Additional information with respect to our operating leases as of June 30, 2023 and December 31, 2022 is presented below. The lease terms and discount rates for our Energy, Automotive and Food Packaging segments represent weighted averages based on their respective lease liability balances.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tbl>
      <w:tblPr>
        <w:tblLayout w:type="fixed"/>
        <w:tblInd w:w="40" w:type="dxa"/>
        <w:tblCellMar>
          <w:top w:w="0" w:type="dxa"/>
          <w:left w:w="0" w:type="dxa"/>
          <w:bottom w:w="0" w:type="dxa"/>
          <w:right w:w="0" w:type="dxa"/>
        </w:tblCellMar>
      </w:tblPr>
      <w:tr>
        <w:trPr>
          <w:trHeight w:val="207"/>
        </w:trPr>
        <w:tc>
          <w:tcPr>
            <w:tcW w:w="500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Right-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Of-Use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Lease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Operating Leases as of June 30, 2023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Liabilities</w:t>
            </w:r>
          </w:p>
        </w:tc>
        <w:tc>
          <w:tcPr>
            <w:tcW w:w="16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Lease Term</w:t>
            </w: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gridSpan w:val="2"/>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Arial" w:cs="Arial" w:eastAsia="Arial" w:hAnsi="Arial"/>
                <w:sz w:val="14"/>
                <w:szCs w:val="14"/>
                <w:color w:val="auto"/>
              </w:rPr>
              <w:t>(in</w:t>
            </w:r>
          </w:p>
        </w:tc>
        <w:tc>
          <w:tcPr>
            <w:tcW w:w="20" w:type="dxa"/>
            <w:vAlign w:val="bottom"/>
          </w:tcPr>
          <w:p>
            <w:pPr>
              <w:spacing w:after="0"/>
              <w:rPr>
                <w:sz w:val="12"/>
                <w:szCs w:val="12"/>
                <w:color w:val="auto"/>
              </w:rPr>
            </w:pPr>
          </w:p>
        </w:tc>
        <w:tc>
          <w:tcPr>
            <w:tcW w:w="1020" w:type="dxa"/>
            <w:vAlign w:val="bottom"/>
            <w:gridSpan w:val="4"/>
          </w:tcPr>
          <w:p>
            <w:pPr>
              <w:jc w:val="right"/>
              <w:ind w:right="430"/>
              <w:spacing w:after="0" w:line="142" w:lineRule="exact"/>
              <w:rPr>
                <w:sz w:val="20"/>
                <w:szCs w:val="20"/>
                <w:color w:val="auto"/>
              </w:rPr>
            </w:pPr>
            <w:r>
              <w:rPr>
                <w:rFonts w:ascii="Arial" w:cs="Arial" w:eastAsia="Arial" w:hAnsi="Arial"/>
                <w:sz w:val="14"/>
                <w:szCs w:val="14"/>
                <w:color w:val="auto"/>
                <w:w w:val="93"/>
              </w:rPr>
              <w:t>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3.9 years</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5.3 years</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9.5 years</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segments and Holding Company</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right="13"/>
              <w:spacing w:after="0"/>
              <w:rPr>
                <w:sz w:val="20"/>
                <w:szCs w:val="20"/>
                <w:color w:val="auto"/>
              </w:rPr>
            </w:pPr>
            <w:r>
              <w:rPr>
                <w:rFonts w:ascii="Arial" w:cs="Arial" w:eastAsia="Arial" w:hAnsi="Arial"/>
                <w:sz w:val="18"/>
                <w:szCs w:val="18"/>
                <w:b w:val="1"/>
                <w:bCs w:val="1"/>
                <w:color w:val="auto"/>
                <w:w w:val="92"/>
              </w:rPr>
              <w:t>Right-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Of-Use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Lease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Discount</w:t>
            </w:r>
          </w:p>
        </w:tc>
      </w:tr>
      <w:tr>
        <w:trPr>
          <w:trHeight w:val="243"/>
        </w:trPr>
        <w:tc>
          <w:tcPr>
            <w:tcW w:w="5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Operating Leases as of December 31, 2022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Liabilities</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9"/>
              </w:rPr>
              <w:t>Lease Term</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(in</w:t>
            </w:r>
          </w:p>
        </w:tc>
        <w:tc>
          <w:tcPr>
            <w:tcW w:w="1020" w:type="dxa"/>
            <w:vAlign w:val="bottom"/>
            <w:gridSpan w:val="4"/>
          </w:tcPr>
          <w:p>
            <w:pPr>
              <w:jc w:val="right"/>
              <w:ind w:right="410"/>
              <w:spacing w:after="0" w:line="142" w:lineRule="exact"/>
              <w:rPr>
                <w:sz w:val="20"/>
                <w:szCs w:val="20"/>
                <w:color w:val="auto"/>
              </w:rPr>
            </w:pPr>
            <w:r>
              <w:rPr>
                <w:rFonts w:ascii="Arial" w:cs="Arial" w:eastAsia="Arial" w:hAnsi="Arial"/>
                <w:sz w:val="14"/>
                <w:szCs w:val="14"/>
                <w:color w:val="auto"/>
                <w:w w:val="97"/>
              </w:rPr>
              <w:t>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3"/>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6"/>
              </w:rPr>
              <w:t>4.1 years</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4.7 years</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5.9%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6"/>
              </w:rPr>
              <w:t>9.8 years</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9"/>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Other segments and Holding Company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For the three months ended June 30, 2023 and 2022, lease cost was comprised of (i) operating lease cost of $49 million and $51 million, respectively, (ii) amortization of financing lease right-of-use assets of $3 million and $1 million, respectively, and (iii) interest expense on financing lease liabilities of $1 million and $1 million, respectively. For the six months ended June 30, 2023 and 2022, lease cost was comprised of (i) operating lease cost of $90 million and $98 million, respectively, (ii) amortization of financing lease right-of-use assets of $4 million and $4 million, respectively, and (iii) interest expense on financing lease liabilities of $2 million at each period.</w:t>
      </w:r>
    </w:p>
    <w:p>
      <w:pPr>
        <w:spacing w:after="0" w:line="178"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Our automotive segment accounted for $72 million and $81 million of total lease cost for the six months ended June 30, 2023 and 2022,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Our Automotive segment leases certain operating locations under long-term operating leases. Our Automotive segment’s revenues from operating leases were $13 million and $13 million for the three months ended June 30, 2023 and 2022, respectively, and $29 million and $22 million for the six months ended June 30, 2023 and 2022, respectively. Revenues from operating leases are included in other revenue from operations in the condensed consolidated statements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June 30, 2023 and December 31, 2022, our Real Estate segment had assets leased to others included in property, plant and equipment of $256 million and $252 million, respectively, net of accumulated depreciation. Our Real Estate segment’s revenue from operating leases were $7 million and $1 million for the three months ended June 30, 2023 and 2022, respectively, and $12 million and $3 million for the six months ended June 30, 2023 and 2022, respectively. Revenues from operating leases are included in other revenue from operations in the condensed consolidated statements of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12. Debt</w:t>
            </w:r>
          </w:p>
        </w:tc>
        <w:tc>
          <w:tcPr>
            <w:tcW w:w="3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780" w:type="dxa"/>
            <w:vAlign w:val="bottom"/>
            <w:gridSpan w:val="2"/>
          </w:tcPr>
          <w:p>
            <w:pPr>
              <w:ind w:left="320"/>
              <w:spacing w:after="0"/>
              <w:rPr>
                <w:sz w:val="20"/>
                <w:szCs w:val="20"/>
                <w:color w:val="auto"/>
              </w:rPr>
            </w:pPr>
            <w:r>
              <w:rPr>
                <w:rFonts w:ascii="Arial" w:cs="Arial" w:eastAsia="Arial" w:hAnsi="Arial"/>
                <w:sz w:val="18"/>
                <w:szCs w:val="18"/>
                <w:color w:val="auto"/>
              </w:rPr>
              <w:t>Debt consists of the following:</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millions)</w:t>
            </w:r>
          </w:p>
        </w:tc>
        <w:tc>
          <w:tcPr>
            <w:tcW w:w="76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Holding Company: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4.750% senior unsecured notes due 2024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1,102</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6.375% senior unsecured notes due 2025</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6.250% senior unsecured notes due 2026</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5.250% senior unsecured notes due 2027</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16"/>
        </w:trPr>
        <w:tc>
          <w:tcPr>
            <w:tcW w:w="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4.375% senior unsecured notes due 2029</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w:t>
            </w:r>
          </w:p>
        </w:tc>
      </w:tr>
      <w:tr>
        <w:trPr>
          <w:trHeight w:val="209"/>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Reporting Segments: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Fashion</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In February 2022, we redeemed all of our $500 million aggregate principal amount of 6.750% senior unsecured notes due 2024 at par. As a result of this transaction, Icahn Enterprises recorded a loss on extinguishment of debt of $1 million during the six months ended June 30,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jc w:val="both"/>
        <w:ind w:left="60" w:right="499" w:firstLine="324"/>
        <w:spacing w:after="0" w:line="311" w:lineRule="auto"/>
        <w:rPr>
          <w:sz w:val="20"/>
          <w:szCs w:val="20"/>
          <w:color w:val="auto"/>
        </w:rPr>
      </w:pPr>
      <w:r>
        <w:rPr>
          <w:rFonts w:ascii="Arial" w:cs="Arial" w:eastAsia="Arial" w:hAnsi="Arial"/>
          <w:sz w:val="16"/>
          <w:szCs w:val="16"/>
          <w:color w:val="auto"/>
        </w:rPr>
        <w:t>The amortization of deferred financing costs and debt discounts and premiums included in interest expense in the condensed consolidated statements of operations were less than $1 million and $1 million for the three months ended June 30, 2023 and 2022, respectively, and $2 million for each of the six months ended June 30, 2023 and 2022.</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computation of basic and diluted income per LP unit of Icahn Enterprises are as follows: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60" w:type="dxa"/>
            <w:vAlign w:val="bottom"/>
            <w:gridSpan w:val="6"/>
          </w:tcPr>
          <w:p>
            <w:pPr>
              <w:jc w:val="right"/>
              <w:ind w:right="188"/>
              <w:spacing w:after="0"/>
              <w:rPr>
                <w:sz w:val="20"/>
                <w:szCs w:val="20"/>
                <w:color w:val="auto"/>
              </w:rPr>
            </w:pPr>
            <w:r>
              <w:rPr>
                <w:rFonts w:ascii="Arial" w:cs="Arial" w:eastAsia="Arial" w:hAnsi="Arial"/>
                <w:sz w:val="18"/>
                <w:szCs w:val="18"/>
                <w:b w:val="1"/>
                <w:bCs w:val="1"/>
                <w:color w:val="auto"/>
                <w:w w:val="93"/>
              </w:rPr>
              <w:t>Three Months Ended June 30,</w:t>
            </w:r>
          </w:p>
        </w:tc>
        <w:tc>
          <w:tcPr>
            <w:tcW w:w="22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 except</w:t>
            </w:r>
          </w:p>
        </w:tc>
        <w:tc>
          <w:tcPr>
            <w:tcW w:w="1180" w:type="dxa"/>
            <w:vAlign w:val="bottom"/>
            <w:gridSpan w:val="3"/>
          </w:tcPr>
          <w:p>
            <w:pPr>
              <w:jc w:val="right"/>
              <w:ind w:right="30"/>
              <w:spacing w:after="0" w:line="142" w:lineRule="exact"/>
              <w:rPr>
                <w:sz w:val="20"/>
                <w:szCs w:val="20"/>
                <w:color w:val="auto"/>
              </w:rPr>
            </w:pPr>
            <w:r>
              <w:rPr>
                <w:rFonts w:ascii="Arial" w:cs="Arial" w:eastAsia="Arial" w:hAnsi="Arial"/>
                <w:sz w:val="14"/>
                <w:szCs w:val="14"/>
                <w:color w:val="auto"/>
                <w:w w:val="95"/>
              </w:rPr>
              <w:t>per unit amounts)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income attributable to Icahn Enterprises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vMerge w:val="restart"/>
          </w:tcPr>
          <w:p>
            <w:pPr>
              <w:spacing w:after="0" w:line="189" w:lineRule="exact"/>
              <w:rPr>
                <w:sz w:val="20"/>
                <w:szCs w:val="20"/>
                <w:color w:val="auto"/>
              </w:rPr>
            </w:pPr>
            <w:r>
              <w:rPr>
                <w:rFonts w:ascii="Arial" w:cs="Arial" w:eastAsia="Arial" w:hAnsi="Arial"/>
                <w:sz w:val="18"/>
                <w:szCs w:val="18"/>
                <w:color w:val="auto"/>
                <w:w w:val="98"/>
              </w:rPr>
              <w:t>Net (loss) income attributable to Icahn Enterprises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vMerge w:val="continue"/>
          </w:tcPr>
          <w:p>
            <w:pPr>
              <w:spacing w:after="0"/>
              <w:rPr>
                <w:sz w:val="14"/>
                <w:szCs w:val="14"/>
                <w:color w:val="auto"/>
              </w:rPr>
            </w:pPr>
          </w:p>
        </w:tc>
        <w:tc>
          <w:tcPr>
            <w:tcW w:w="220" w:type="dxa"/>
            <w:vAlign w:val="bottom"/>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260" w:type="dxa"/>
            <w:vAlign w:val="bottom"/>
            <w:vMerge w:val="restart"/>
          </w:tcPr>
          <w:p>
            <w:pPr>
              <w:spacing w:after="0"/>
              <w:rPr>
                <w:sz w:val="14"/>
                <w:szCs w:val="14"/>
                <w:color w:val="auto"/>
              </w:rPr>
            </w:pPr>
          </w:p>
        </w:tc>
        <w:tc>
          <w:tcPr>
            <w:tcW w:w="260" w:type="dxa"/>
            <w:vAlign w:val="bottom"/>
            <w:vMerge w:val="restart"/>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88"/>
              <w:spacing w:after="0"/>
              <w:rPr>
                <w:sz w:val="20"/>
                <w:szCs w:val="20"/>
                <w:color w:val="auto"/>
              </w:rPr>
            </w:pPr>
            <w:r>
              <w:rPr>
                <w:rFonts w:ascii="Arial" w:cs="Arial" w:eastAsia="Arial" w:hAnsi="Arial"/>
                <w:sz w:val="18"/>
                <w:szCs w:val="18"/>
                <w:color w:val="auto"/>
              </w:rPr>
              <w:t>(125)</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(528)</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Arial" w:cs="Arial" w:eastAsia="Arial" w:hAnsi="Arial"/>
                <w:sz w:val="18"/>
                <w:szCs w:val="18"/>
                <w:color w:val="auto"/>
              </w:rPr>
              <w:t>allocated to limited partners (98.01% allocation)</w:t>
            </w: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Basic (loss) income per LP unit: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(0.72)</w:t>
            </w:r>
          </w:p>
        </w:tc>
        <w:tc>
          <w:tcPr>
            <w:tcW w:w="5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(0.41)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LP unit: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97"/>
        </w:trPr>
        <w:tc>
          <w:tcPr>
            <w:tcW w:w="39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Diluted weighted average LP units outstanding</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On February 22, 2023, we declared a quarterly distribution in the amount of $2.00 per depositary unit in which each depositary unitholder had the option to make an election to receive either cash or additional depositary units.</w:t>
      </w:r>
    </w:p>
    <w:p>
      <w:pPr>
        <w:spacing w:after="0" w:line="146" w:lineRule="exact"/>
        <w:rPr>
          <w:sz w:val="20"/>
          <w:szCs w:val="20"/>
          <w:color w:val="auto"/>
        </w:rPr>
      </w:pPr>
    </w:p>
    <w:p>
      <w:pPr>
        <w:ind w:left="60" w:right="699" w:firstLine="324"/>
        <w:spacing w:after="0" w:line="342" w:lineRule="auto"/>
        <w:rPr>
          <w:sz w:val="20"/>
          <w:szCs w:val="20"/>
          <w:color w:val="auto"/>
        </w:rPr>
      </w:pPr>
      <w:r>
        <w:rPr>
          <w:rFonts w:ascii="Arial" w:cs="Arial" w:eastAsia="Arial" w:hAnsi="Arial"/>
          <w:sz w:val="16"/>
          <w:szCs w:val="16"/>
          <w:color w:val="auto"/>
        </w:rPr>
        <w:t>On May 9, 2023, we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39" w:firstLine="369"/>
        <w:spacing w:after="0" w:line="257" w:lineRule="auto"/>
        <w:rPr>
          <w:sz w:val="20"/>
          <w:szCs w:val="20"/>
          <w:color w:val="auto"/>
        </w:rPr>
      </w:pPr>
      <w:r>
        <w:rPr>
          <w:rFonts w:ascii="Arial" w:cs="Arial" w:eastAsia="Arial" w:hAnsi="Arial"/>
          <w:sz w:val="18"/>
          <w:szCs w:val="18"/>
          <w:color w:val="auto"/>
        </w:rPr>
        <w:t>As a result of the above distributions declared, during the six months ended June 30, 2023, we distributed an aggregate 36,490,879 depository units to unitholders who did not elect to receive cash, of which an aggregate of 34,496,953 depository units were distributed to Mr. Icahn and his affiliates. In connection with these distributions, aggregate cash distributions to all depositary unitholders that made a timely election to receive cash was $152 million for the six months ended June 30,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7"/>
          <w:szCs w:val="17"/>
          <w:color w:val="auto"/>
        </w:rPr>
        <w:t>During the three months ended June 30, 2023, we did not sell depositary units pursuant to our Open Market Sale Agreement. During the six months ended June 30, 2023, we sold 3,395,353 depository units pursuant to the Open Market Sale Agreement, resulting in gross proceeds of $175 million. As of June 30, 2023, we continue to have an active Open Market Sale Agreement and Icahn Enterprises may sell its depositary units for up to an additional $149 million in aggregate gross sale proceeds pursuant to this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Repurchase Authorization</w:t>
      </w:r>
    </w:p>
    <w:p>
      <w:pPr>
        <w:spacing w:after="0" w:line="225"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Board of Directors. As of June 30, 2023, the Company has not repurchased any of the Company’s depository units or senior notes under the Repurchase Program.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Segment Reporting</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w w:val="89"/>
              </w:rPr>
              <w:t>Three Months Ended June 30, 2023</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56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w w:val="96"/>
              </w:rPr>
              <w:t>Investment</w:t>
            </w:r>
          </w:p>
        </w:tc>
        <w:tc>
          <w:tcPr>
            <w:tcW w:w="80" w:type="dxa"/>
            <w:vAlign w:val="bottom"/>
          </w:tcPr>
          <w:p>
            <w:pPr>
              <w:spacing w:after="0"/>
              <w:rPr>
                <w:sz w:val="13"/>
                <w:szCs w:val="13"/>
                <w:color w:val="auto"/>
              </w:rPr>
            </w:pP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Automotive</w:t>
            </w: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w w:val="71"/>
              </w:rPr>
              <w:t>(in</w:t>
            </w:r>
          </w:p>
        </w:tc>
        <w:tc>
          <w:tcPr>
            <w:tcW w:w="6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Estate</w:t>
            </w:r>
          </w:p>
        </w:tc>
        <w:tc>
          <w:tcPr>
            <w:tcW w:w="6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Fashion</w:t>
            </w: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Pharma</w:t>
            </w:r>
          </w:p>
        </w:tc>
        <w:tc>
          <w:tcPr>
            <w:tcW w:w="12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Company</w:t>
            </w:r>
          </w:p>
        </w:tc>
        <w:tc>
          <w:tcPr>
            <w:tcW w:w="1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54"/>
        </w:trPr>
        <w:tc>
          <w:tcPr>
            <w:tcW w:w="2820" w:type="dxa"/>
            <w:vAlign w:val="bottom"/>
            <w:vMerge w:val="restart"/>
          </w:tcPr>
          <w:p>
            <w:pPr>
              <w:ind w:left="20"/>
              <w:spacing w:after="0"/>
              <w:rPr>
                <w:sz w:val="20"/>
                <w:szCs w:val="20"/>
                <w:color w:val="auto"/>
              </w:rPr>
            </w:pPr>
            <w:r>
              <w:rPr>
                <w:rFonts w:ascii="Arial" w:cs="Arial" w:eastAsia="Arial" w:hAnsi="Arial"/>
                <w:sz w:val="13"/>
                <w:szCs w:val="13"/>
                <w:color w:val="auto"/>
              </w:rPr>
              <w:t>Revenues:</w:t>
            </w: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color w:val="auto"/>
                <w:w w:val="79"/>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2,237</w:t>
            </w: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248</w:t>
            </w:r>
          </w:p>
        </w:tc>
        <w:tc>
          <w:tcPr>
            <w:tcW w:w="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2,684</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177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35"/>
        </w:trPr>
        <w:tc>
          <w:tcPr>
            <w:tcW w:w="282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(384)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w w:val="92"/>
              </w:rPr>
              <w:t>2,248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428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118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46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120"/>
              <w:spacing w:after="0"/>
              <w:rPr>
                <w:sz w:val="20"/>
                <w:szCs w:val="20"/>
                <w:color w:val="auto"/>
              </w:rPr>
            </w:pPr>
            <w:r>
              <w:rPr>
                <w:rFonts w:ascii="Arial" w:cs="Arial" w:eastAsia="Arial" w:hAnsi="Arial"/>
                <w:sz w:val="13"/>
                <w:szCs w:val="13"/>
                <w:color w:val="auto"/>
              </w:rPr>
              <w:t>Cost of goods sold</w:t>
            </w: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1,990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2,310</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Credit loss on related party note receivable</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Loss on deconsolidation of subsidiaries</w:t>
            </w:r>
          </w:p>
        </w:tc>
        <w:tc>
          <w:tcPr>
            <w:tcW w:w="2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28"/>
        </w:trPr>
        <w:tc>
          <w:tcPr>
            <w:tcW w:w="28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2,051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430</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108</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216</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2,957</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4"/>
              </w:rPr>
              <w:t>(Loss) income before income tax (expense) benefit</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(435)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rPr>
                <w:sz w:val="20"/>
                <w:szCs w:val="20"/>
                <w:color w:val="auto"/>
              </w:rPr>
            </w:pPr>
            <w:r>
              <w:rPr>
                <w:rFonts w:ascii="Arial" w:cs="Arial" w:eastAsia="Arial" w:hAnsi="Arial"/>
                <w:sz w:val="13"/>
                <w:szCs w:val="13"/>
                <w:color w:val="auto"/>
              </w:rPr>
              <w:t>controlling interests</w:t>
            </w:r>
          </w:p>
        </w:tc>
        <w:tc>
          <w:tcPr>
            <w:tcW w:w="2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29"/>
        </w:trPr>
        <w:tc>
          <w:tcPr>
            <w:tcW w:w="28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Net (loss) income attributable to Icahn Enterprises</w:t>
            </w: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0"/>
        </w:trPr>
        <w:tc>
          <w:tcPr>
            <w:tcW w:w="282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89</w:t>
            </w:r>
          </w:p>
        </w:tc>
        <w:tc>
          <w:tcPr>
            <w:tcW w:w="60" w:type="dxa"/>
            <w:vAlign w:val="bottom"/>
          </w:tcPr>
          <w:p>
            <w:pPr>
              <w:spacing w:after="0"/>
              <w:rPr>
                <w:sz w:val="13"/>
                <w:szCs w:val="13"/>
                <w:color w:val="auto"/>
              </w:rPr>
            </w:pPr>
          </w:p>
        </w:tc>
        <w:tc>
          <w:tcPr>
            <w:tcW w:w="3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3"/>
                <w:szCs w:val="13"/>
                <w:color w:val="auto"/>
              </w:rPr>
            </w:pPr>
          </w:p>
        </w:tc>
        <w:tc>
          <w:tcPr>
            <w:tcW w:w="20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w w:val="89"/>
              </w:rPr>
              <w:t>Three Months Ended June 30, 2022</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ind w:right="11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Real</w:t>
            </w:r>
          </w:p>
        </w:tc>
        <w:tc>
          <w:tcPr>
            <w:tcW w:w="80" w:type="dxa"/>
            <w:vAlign w:val="bottom"/>
          </w:tcPr>
          <w:p>
            <w:pPr>
              <w:spacing w:after="0"/>
              <w:rPr>
                <w:sz w:val="9"/>
                <w:szCs w:val="9"/>
                <w:color w:val="auto"/>
              </w:rPr>
            </w:pPr>
          </w:p>
        </w:tc>
        <w:tc>
          <w:tcPr>
            <w:tcW w:w="56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0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Energy</w:t>
            </w:r>
          </w:p>
        </w:tc>
        <w:tc>
          <w:tcPr>
            <w:tcW w:w="1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Packaging</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Estate</w:t>
            </w:r>
          </w:p>
        </w:tc>
        <w:tc>
          <w:tcPr>
            <w:tcW w:w="6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Fashion</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Pharma</w:t>
            </w: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Company</w:t>
            </w:r>
          </w:p>
        </w:tc>
        <w:tc>
          <w:tcPr>
            <w:tcW w:w="1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vMerge w:val="restart"/>
          </w:tcPr>
          <w:p>
            <w:pPr>
              <w:ind w:left="20"/>
              <w:spacing w:after="0"/>
              <w:rPr>
                <w:sz w:val="20"/>
                <w:szCs w:val="20"/>
                <w:color w:val="auto"/>
              </w:rPr>
            </w:pPr>
            <w:r>
              <w:rPr>
                <w:rFonts w:ascii="Arial" w:cs="Arial" w:eastAsia="Arial" w:hAnsi="Arial"/>
                <w:sz w:val="13"/>
                <w:szCs w:val="13"/>
                <w:color w:val="auto"/>
              </w:rPr>
              <w:t>Revenues:</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w w:val="85"/>
              </w:rPr>
              <w:t>(in millions)</w:t>
            </w: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3,144</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438</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340" w:type="dxa"/>
            <w:vAlign w:val="bottom"/>
            <w:tcBorders>
              <w:left w:val="single" w:sz="8" w:color="CCEEFF"/>
            </w:tcBorders>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3,796</w:t>
            </w:r>
          </w:p>
        </w:tc>
        <w:tc>
          <w:tcPr>
            <w:tcW w:w="0" w:type="dxa"/>
            <w:vAlign w:val="bottom"/>
          </w:tcPr>
          <w:p>
            <w:pPr>
              <w:spacing w:after="0"/>
              <w:rPr>
                <w:sz w:val="1"/>
                <w:szCs w:val="1"/>
                <w:color w:val="auto"/>
              </w:rPr>
            </w:pPr>
          </w:p>
        </w:tc>
      </w:tr>
      <w:tr>
        <w:trPr>
          <w:trHeight w:val="135"/>
        </w:trPr>
        <w:tc>
          <w:tcPr>
            <w:tcW w:w="2800" w:type="dxa"/>
            <w:vAlign w:val="bottom"/>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2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35"/>
        </w:trPr>
        <w:tc>
          <w:tcPr>
            <w:tcW w:w="2800" w:type="dxa"/>
            <w:vAlign w:val="bottom"/>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(430)</w:t>
            </w: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w w:val="92"/>
              </w:rPr>
              <w:t>3,070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621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69</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3,503</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Expenses:</w:t>
            </w:r>
          </w:p>
        </w:tc>
        <w:tc>
          <w:tcPr>
            <w:tcW w:w="2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20"/>
              <w:spacing w:after="0"/>
              <w:rPr>
                <w:sz w:val="20"/>
                <w:szCs w:val="20"/>
                <w:color w:val="auto"/>
              </w:rPr>
            </w:pPr>
            <w:r>
              <w:rPr>
                <w:rFonts w:ascii="Arial" w:cs="Arial" w:eastAsia="Arial" w:hAnsi="Arial"/>
                <w:sz w:val="13"/>
                <w:szCs w:val="13"/>
                <w:color w:val="auto"/>
              </w:rPr>
              <w:t>Cost of goods sold</w:t>
            </w:r>
          </w:p>
        </w:tc>
        <w:tc>
          <w:tcPr>
            <w:tcW w:w="22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2,715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3,174</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35"/>
        </w:trPr>
        <w:tc>
          <w:tcPr>
            <w:tcW w:w="2800" w:type="dxa"/>
            <w:vAlign w:val="bottom"/>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80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28"/>
        </w:trPr>
        <w:tc>
          <w:tcPr>
            <w:tcW w:w="2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2,782</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3,788</w:t>
            </w:r>
          </w:p>
        </w:tc>
        <w:tc>
          <w:tcPr>
            <w:tcW w:w="0" w:type="dxa"/>
            <w:vAlign w:val="bottom"/>
          </w:tcPr>
          <w:p>
            <w:pPr>
              <w:spacing w:after="0"/>
              <w:rPr>
                <w:sz w:val="1"/>
                <w:szCs w:val="1"/>
                <w:color w:val="auto"/>
              </w:rPr>
            </w:pPr>
          </w:p>
        </w:tc>
      </w:tr>
      <w:tr>
        <w:trPr>
          <w:trHeight w:val="128"/>
        </w:trPr>
        <w:tc>
          <w:tcPr>
            <w:tcW w:w="2800" w:type="dxa"/>
            <w:vAlign w:val="bottom"/>
          </w:tcPr>
          <w:p>
            <w:pPr>
              <w:ind w:left="20"/>
              <w:spacing w:after="0" w:line="129" w:lineRule="exact"/>
              <w:rPr>
                <w:sz w:val="20"/>
                <w:szCs w:val="20"/>
                <w:color w:val="auto"/>
              </w:rPr>
            </w:pPr>
            <w:r>
              <w:rPr>
                <w:rFonts w:ascii="Arial" w:cs="Arial" w:eastAsia="Arial" w:hAnsi="Arial"/>
                <w:sz w:val="13"/>
                <w:szCs w:val="13"/>
                <w:color w:val="auto"/>
                <w:w w:val="94"/>
              </w:rPr>
              <w:t>(Loss) income before income tax (expense) benefit</w:t>
            </w:r>
          </w:p>
        </w:tc>
        <w:tc>
          <w:tcPr>
            <w:tcW w:w="22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(493)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288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(57)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8"/>
        </w:trPr>
        <w:tc>
          <w:tcPr>
            <w:tcW w:w="280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(493)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21"/>
        </w:trPr>
        <w:tc>
          <w:tcPr>
            <w:tcW w:w="28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w w:val="95"/>
              </w:rPr>
              <w:t>Net (loss) income attributable to Icahn Enterprises</w:t>
            </w: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16"/>
        </w:trPr>
        <w:tc>
          <w:tcPr>
            <w:tcW w:w="28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340" w:type="dxa"/>
            <w:vAlign w:val="bottom"/>
            <w:tcBorders>
              <w:left w:val="single" w:sz="8" w:color="CCEEFF"/>
            </w:tcBorders>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w w:val="87"/>
              </w:rPr>
              <w:t>Six Months Ended June 30, 2023</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44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95"/>
              </w:rPr>
              <w:t>Home</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w w:val="96"/>
              </w:rPr>
              <w:t>Investment</w:t>
            </w:r>
          </w:p>
        </w:tc>
        <w:tc>
          <w:tcPr>
            <w:tcW w:w="80" w:type="dxa"/>
            <w:vAlign w:val="bottom"/>
          </w:tcPr>
          <w:p>
            <w:pPr>
              <w:spacing w:after="0"/>
              <w:rPr>
                <w:sz w:val="13"/>
                <w:szCs w:val="13"/>
                <w:color w:val="auto"/>
              </w:rPr>
            </w:pP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Automotive</w:t>
            </w:r>
          </w:p>
        </w:tc>
        <w:tc>
          <w:tcPr>
            <w:tcW w:w="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w w:val="86"/>
              </w:rPr>
              <w:t>Packaging</w:t>
            </w: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w w:val="71"/>
              </w:rPr>
              <w:t>(in</w:t>
            </w:r>
          </w:p>
        </w:tc>
        <w:tc>
          <w:tcPr>
            <w:tcW w:w="6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Estate</w:t>
            </w: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Fashion</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Pharma</w:t>
            </w:r>
          </w:p>
        </w:tc>
        <w:tc>
          <w:tcPr>
            <w:tcW w:w="12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Company</w:t>
            </w:r>
          </w:p>
        </w:tc>
        <w:tc>
          <w:tcPr>
            <w:tcW w:w="1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color w:val="auto"/>
                <w:w w:val="79"/>
              </w:rPr>
              <w:t>millions)</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2"/>
              </w:rPr>
              <w:t>4,523</w:t>
            </w:r>
          </w:p>
        </w:tc>
        <w:tc>
          <w:tcPr>
            <w:tcW w:w="6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535</w:t>
            </w:r>
          </w:p>
        </w:tc>
        <w:tc>
          <w:tcPr>
            <w:tcW w:w="60" w:type="dxa"/>
            <w:vAlign w:val="bottom"/>
          </w:tcPr>
          <w:p>
            <w:pPr>
              <w:spacing w:after="0"/>
              <w:rPr>
                <w:sz w:val="11"/>
                <w:szCs w:val="11"/>
                <w:color w:val="auto"/>
              </w:rPr>
            </w:pP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235</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86</w:t>
            </w:r>
          </w:p>
        </w:tc>
        <w:tc>
          <w:tcPr>
            <w:tcW w:w="3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5,442</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00" w:type="dxa"/>
            <w:vAlign w:val="bottom"/>
          </w:tcPr>
          <w:p>
            <w:pPr>
              <w:spacing w:after="0"/>
              <w:rPr>
                <w:sz w:val="11"/>
                <w:szCs w:val="11"/>
                <w:color w:val="auto"/>
              </w:rPr>
            </w:pP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Pr>
          <w:p>
            <w:pPr>
              <w:spacing w:after="0"/>
              <w:rPr>
                <w:sz w:val="11"/>
                <w:szCs w:val="11"/>
                <w:color w:val="auto"/>
              </w:rPr>
            </w:pP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8"/>
        </w:trPr>
        <w:tc>
          <w:tcPr>
            <w:tcW w:w="28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4,542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5,181</w:t>
            </w: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3,916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4,570</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Credit loss on related party note receivable</w:t>
            </w:r>
          </w:p>
        </w:tc>
        <w:tc>
          <w:tcPr>
            <w:tcW w:w="2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Loss on deconsolidation of subsidiary</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143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29"/>
        </w:trPr>
        <w:tc>
          <w:tcPr>
            <w:tcW w:w="28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4,046</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520</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5,972</w:t>
            </w: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(Loss) before income tax (expense) benefit</w:t>
            </w:r>
          </w:p>
        </w:tc>
        <w:tc>
          <w:tcPr>
            <w:tcW w:w="200" w:type="dxa"/>
            <w:vAlign w:val="bottom"/>
          </w:tcPr>
          <w:p>
            <w:pPr>
              <w:spacing w:after="0"/>
              <w:rPr>
                <w:sz w:val="11"/>
                <w:szCs w:val="11"/>
                <w:color w:val="auto"/>
              </w:rPr>
            </w:pP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(810)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496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(473)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35"/>
        </w:trPr>
        <w:tc>
          <w:tcPr>
            <w:tcW w:w="282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00" w:type="dxa"/>
            <w:vAlign w:val="bottom"/>
          </w:tcPr>
          <w:p>
            <w:pPr>
              <w:spacing w:after="0"/>
              <w:rPr>
                <w:sz w:val="11"/>
                <w:szCs w:val="11"/>
                <w:color w:val="auto"/>
              </w:rPr>
            </w:pP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(810)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403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(371)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121"/>
        </w:trPr>
        <w:tc>
          <w:tcPr>
            <w:tcW w:w="2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line="115" w:lineRule="exact"/>
              <w:rPr>
                <w:sz w:val="20"/>
                <w:szCs w:val="20"/>
                <w:color w:val="auto"/>
              </w:rPr>
            </w:pPr>
            <w:r>
              <w:rPr>
                <w:rFonts w:ascii="Arial" w:cs="Arial" w:eastAsia="Arial" w:hAnsi="Arial"/>
                <w:sz w:val="13"/>
                <w:szCs w:val="13"/>
                <w:color w:val="auto"/>
                <w:w w:val="96"/>
              </w:rPr>
              <w:t>Net (loss) income attributable to Icahn Enterprises</w:t>
            </w: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15" w:lineRule="exact"/>
              <w:rPr>
                <w:sz w:val="20"/>
                <w:szCs w:val="20"/>
                <w:color w:val="auto"/>
              </w:rPr>
            </w:pPr>
            <w:r>
              <w:rPr>
                <w:rFonts w:ascii="Arial" w:cs="Arial" w:eastAsia="Arial" w:hAnsi="Arial"/>
                <w:sz w:val="13"/>
                <w:szCs w:val="13"/>
                <w:color w:val="auto"/>
              </w:rPr>
              <w:t>(386)</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15" w:lineRule="exact"/>
              <w:rPr>
                <w:sz w:val="20"/>
                <w:szCs w:val="20"/>
                <w:color w:val="auto"/>
              </w:rPr>
            </w:pPr>
            <w:r>
              <w:rPr>
                <w:rFonts w:ascii="Arial" w:cs="Arial" w:eastAsia="Arial" w:hAnsi="Arial"/>
                <w:sz w:val="13"/>
                <w:szCs w:val="13"/>
                <w:color w:val="auto"/>
              </w:rPr>
              <w:t>218</w:t>
            </w:r>
          </w:p>
        </w:tc>
        <w:tc>
          <w:tcPr>
            <w:tcW w:w="60" w:type="dxa"/>
            <w:vAlign w:val="bottom"/>
          </w:tcPr>
          <w:p>
            <w:pPr>
              <w:spacing w:after="0"/>
              <w:rPr>
                <w:sz w:val="11"/>
                <w:szCs w:val="11"/>
                <w:color w:val="auto"/>
              </w:rPr>
            </w:pPr>
          </w:p>
        </w:tc>
        <w:tc>
          <w:tcPr>
            <w:tcW w:w="300" w:type="dxa"/>
            <w:vAlign w:val="bottom"/>
            <w:gridSpan w:val="2"/>
          </w:tcPr>
          <w:p>
            <w:pPr>
              <w:ind w:left="60"/>
              <w:spacing w:after="0" w:line="11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line="115" w:lineRule="exact"/>
              <w:rPr>
                <w:sz w:val="20"/>
                <w:szCs w:val="20"/>
                <w:color w:val="auto"/>
              </w:rPr>
            </w:pPr>
            <w:r>
              <w:rPr>
                <w:rFonts w:ascii="Arial" w:cs="Arial" w:eastAsia="Arial" w:hAnsi="Arial"/>
                <w:sz w:val="13"/>
                <w:szCs w:val="13"/>
                <w:color w:val="auto"/>
              </w:rPr>
              <w:t>(9)</w:t>
            </w:r>
          </w:p>
        </w:tc>
        <w:tc>
          <w:tcPr>
            <w:tcW w:w="180" w:type="dxa"/>
            <w:vAlign w:val="bottom"/>
            <w:gridSpan w:val="2"/>
          </w:tcPr>
          <w:p>
            <w:pPr>
              <w:ind w:left="60"/>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11</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1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15" w:lineRule="exact"/>
              <w:rPr>
                <w:sz w:val="20"/>
                <w:szCs w:val="20"/>
                <w:color w:val="auto"/>
              </w:rPr>
            </w:pPr>
            <w:r>
              <w:rPr>
                <w:rFonts w:ascii="Arial" w:cs="Arial" w:eastAsia="Arial" w:hAnsi="Arial"/>
                <w:sz w:val="13"/>
                <w:szCs w:val="13"/>
                <w:color w:val="auto"/>
              </w:rPr>
              <w:t>(1)</w:t>
            </w:r>
          </w:p>
        </w:tc>
        <w:tc>
          <w:tcPr>
            <w:tcW w:w="320" w:type="dxa"/>
            <w:vAlign w:val="bottom"/>
            <w:gridSpan w:val="2"/>
          </w:tcPr>
          <w:p>
            <w:pPr>
              <w:jc w:val="right"/>
              <w:ind w:right="77"/>
              <w:spacing w:after="0" w:line="11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15" w:lineRule="exact"/>
              <w:rPr>
                <w:sz w:val="20"/>
                <w:szCs w:val="20"/>
                <w:color w:val="auto"/>
              </w:rPr>
            </w:pPr>
            <w:r>
              <w:rPr>
                <w:rFonts w:ascii="Arial" w:cs="Arial" w:eastAsia="Arial" w:hAnsi="Arial"/>
                <w:sz w:val="13"/>
                <w:szCs w:val="13"/>
                <w:color w:val="auto"/>
              </w:rPr>
              <w:t>(4)</w:t>
            </w:r>
          </w:p>
        </w:tc>
        <w:tc>
          <w:tcPr>
            <w:tcW w:w="280" w:type="dxa"/>
            <w:vAlign w:val="bottom"/>
            <w:gridSpan w:val="2"/>
          </w:tcPr>
          <w:p>
            <w:pPr>
              <w:ind w:left="120"/>
              <w:spacing w:after="0" w:line="11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15" w:lineRule="exact"/>
              <w:rPr>
                <w:sz w:val="20"/>
                <w:szCs w:val="20"/>
                <w:color w:val="auto"/>
              </w:rPr>
            </w:pPr>
            <w:r>
              <w:rPr>
                <w:rFonts w:ascii="Arial" w:cs="Arial" w:eastAsia="Arial" w:hAnsi="Arial"/>
                <w:sz w:val="13"/>
                <w:szCs w:val="13"/>
                <w:color w:val="auto"/>
              </w:rPr>
              <w:t>(371)</w:t>
            </w:r>
          </w:p>
        </w:tc>
        <w:tc>
          <w:tcPr>
            <w:tcW w:w="360" w:type="dxa"/>
            <w:vAlign w:val="bottom"/>
            <w:gridSpan w:val="2"/>
          </w:tcPr>
          <w:p>
            <w:pPr>
              <w:ind w:left="140"/>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6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60" w:type="dxa"/>
            <w:vAlign w:val="bottom"/>
          </w:tcPr>
          <w:p>
            <w:pPr>
              <w:spacing w:after="0"/>
              <w:rPr>
                <w:sz w:val="11"/>
                <w:szCs w:val="11"/>
                <w:color w:val="auto"/>
              </w:rPr>
            </w:pP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3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w:t>
            </w: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3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w w:val="93"/>
              </w:rPr>
              <w:t>Six Months Ended June 30, 2022</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10"/>
        </w:trPr>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60" w:type="dxa"/>
            <w:vAlign w:val="bottom"/>
          </w:tcPr>
          <w:p>
            <w:pPr>
              <w:spacing w:after="0"/>
              <w:rPr>
                <w:sz w:val="9"/>
                <w:szCs w:val="9"/>
                <w:color w:val="auto"/>
              </w:rPr>
            </w:pPr>
          </w:p>
        </w:tc>
        <w:tc>
          <w:tcPr>
            <w:tcW w:w="42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rPr>
              <w:t>Real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jc w:val="right"/>
              <w:ind w:right="57"/>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53"/>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4"/>
              </w:rPr>
              <w:t>Investment</w:t>
            </w:r>
          </w:p>
        </w:tc>
        <w:tc>
          <w:tcPr>
            <w:tcW w:w="140" w:type="dxa"/>
            <w:vAlign w:val="bottom"/>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Energy</w:t>
            </w:r>
          </w:p>
        </w:tc>
        <w:tc>
          <w:tcPr>
            <w:tcW w:w="120" w:type="dxa"/>
            <w:vAlign w:val="bottom"/>
          </w:tcPr>
          <w:p>
            <w:pPr>
              <w:spacing w:after="0"/>
              <w:rPr>
                <w:sz w:val="13"/>
                <w:szCs w:val="13"/>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3"/>
                <w:szCs w:val="13"/>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1"/>
              </w:rPr>
              <w:t>Estate</w:t>
            </w:r>
          </w:p>
        </w:tc>
        <w:tc>
          <w:tcPr>
            <w:tcW w:w="12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Fashion</w:t>
            </w:r>
          </w:p>
        </w:tc>
        <w:tc>
          <w:tcPr>
            <w:tcW w:w="1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w w:val="96"/>
              </w:rPr>
              <w:t>Pharma</w:t>
            </w: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4"/>
              </w:rPr>
              <w:t>Company</w:t>
            </w: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r>
      <w:tr>
        <w:trPr>
          <w:trHeight w:val="128"/>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jc w:val="right"/>
              <w:ind w:right="297"/>
              <w:spacing w:after="0" w:line="129"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270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2"/>
              </w:rPr>
              <w:t>5,517</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845</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211</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124</w:t>
            </w:r>
          </w:p>
        </w:tc>
        <w:tc>
          <w:tcPr>
            <w:tcW w:w="14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33</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6,764</w:t>
            </w:r>
          </w:p>
        </w:tc>
      </w:tr>
      <w:tr>
        <w:trPr>
          <w:trHeight w:val="135"/>
        </w:trPr>
        <w:tc>
          <w:tcPr>
            <w:tcW w:w="2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w:t>
            </w:r>
          </w:p>
        </w:tc>
      </w:tr>
      <w:tr>
        <w:trPr>
          <w:trHeight w:val="135"/>
        </w:trPr>
        <w:tc>
          <w:tcPr>
            <w:tcW w:w="270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48</w:t>
            </w: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497</w:t>
            </w:r>
          </w:p>
        </w:tc>
      </w:tr>
      <w:tr>
        <w:trPr>
          <w:trHeight w:val="135"/>
        </w:trPr>
        <w:tc>
          <w:tcPr>
            <w:tcW w:w="2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r>
      <w:tr>
        <w:trPr>
          <w:trHeight w:val="135"/>
        </w:trPr>
        <w:tc>
          <w:tcPr>
            <w:tcW w:w="270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4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r>
      <w:tr>
        <w:trPr>
          <w:trHeight w:val="128"/>
        </w:trPr>
        <w:tc>
          <w:tcPr>
            <w:tcW w:w="2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501</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5,433</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1,186</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right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36</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52</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7,596</w:t>
            </w:r>
          </w:p>
        </w:tc>
      </w:tr>
      <w:tr>
        <w:trPr>
          <w:trHeight w:val="128"/>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4,838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24</w:t>
            </w: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5,712</w:t>
            </w:r>
          </w:p>
        </w:tc>
      </w:tr>
      <w:tr>
        <w:trPr>
          <w:trHeight w:val="135"/>
        </w:trPr>
        <w:tc>
          <w:tcPr>
            <w:tcW w:w="270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285</w:t>
            </w:r>
          </w:p>
        </w:tc>
      </w:tr>
      <w:tr>
        <w:trPr>
          <w:trHeight w:val="135"/>
        </w:trPr>
        <w:tc>
          <w:tcPr>
            <w:tcW w:w="2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616</w:t>
            </w:r>
          </w:p>
        </w:tc>
      </w:tr>
      <w:tr>
        <w:trPr>
          <w:trHeight w:val="135"/>
        </w:trPr>
        <w:tc>
          <w:tcPr>
            <w:tcW w:w="270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147</w:t>
            </w: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285</w:t>
            </w:r>
          </w:p>
        </w:tc>
      </w:tr>
      <w:tr>
        <w:trPr>
          <w:trHeight w:val="128"/>
        </w:trPr>
        <w:tc>
          <w:tcPr>
            <w:tcW w:w="2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4,974</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1,243</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right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44</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159</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6,898</w:t>
            </w:r>
          </w:p>
        </w:tc>
      </w:tr>
      <w:tr>
        <w:trPr>
          <w:trHeight w:val="128"/>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w w:val="92"/>
              </w:rPr>
              <w:t>Income (loss) before income tax benefit (expense)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4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(8)</w:t>
            </w: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(107)</w:t>
            </w: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698</w:t>
            </w: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r>
      <w:tr>
        <w:trPr>
          <w:trHeight w:val="20"/>
        </w:trPr>
        <w:tc>
          <w:tcPr>
            <w:tcW w:w="2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29"/>
        </w:trPr>
        <w:tc>
          <w:tcPr>
            <w:tcW w:w="270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402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368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4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(8)</w:t>
            </w: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(127)</w:t>
            </w: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598</w:t>
            </w:r>
          </w:p>
        </w:tc>
      </w:tr>
      <w:tr>
        <w:trPr>
          <w:trHeight w:val="121"/>
        </w:trPr>
        <w:tc>
          <w:tcPr>
            <w:tcW w:w="27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8"/>
              </w:rPr>
              <w:t>Less: net income attributable to non-controlling</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r>
      <w:tr>
        <w:trPr>
          <w:trHeight w:val="168"/>
        </w:trPr>
        <w:tc>
          <w:tcPr>
            <w:tcW w:w="2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w w:val="92"/>
              </w:rPr>
              <w:t>Net income (loss) attributable to Icahn Enterprises</w:t>
            </w:r>
          </w:p>
        </w:tc>
        <w:tc>
          <w:tcPr>
            <w:tcW w:w="1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(8)</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(127)</w:t>
            </w: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195</w:t>
            </w:r>
          </w:p>
        </w:tc>
      </w:tr>
      <w:tr>
        <w:trPr>
          <w:trHeight w:val="115"/>
        </w:trPr>
        <w:tc>
          <w:tcPr>
            <w:tcW w:w="27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35"/>
        </w:trPr>
        <w:tc>
          <w:tcPr>
            <w:tcW w:w="270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154</w:t>
            </w:r>
          </w:p>
        </w:tc>
      </w:tr>
      <w:tr>
        <w:trPr>
          <w:trHeight w:val="135"/>
        </w:trPr>
        <w:tc>
          <w:tcPr>
            <w:tcW w:w="2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w:t>
            </w:r>
          </w:p>
        </w:tc>
        <w:tc>
          <w:tcPr>
            <w:tcW w:w="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8"/>
          </w:tcPr>
          <w:p>
            <w:pPr>
              <w:ind w:left="60"/>
              <w:spacing w:after="0"/>
              <w:rPr>
                <w:sz w:val="20"/>
                <w:szCs w:val="20"/>
                <w:color w:val="auto"/>
              </w:rPr>
            </w:pPr>
            <w:r>
              <w:rPr>
                <w:rFonts w:ascii="Arial" w:cs="Arial" w:eastAsia="Arial" w:hAnsi="Arial"/>
                <w:sz w:val="18"/>
                <w:szCs w:val="18"/>
                <w:b w:val="1"/>
                <w:bCs w:val="1"/>
                <w:color w:val="auto"/>
                <w:w w:val="94"/>
              </w:rPr>
              <w:t>Three Months Ended June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8"/>
          </w:tcPr>
          <w:p>
            <w:pPr>
              <w:ind w:left="8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12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2,054</w:t>
            </w:r>
          </w:p>
        </w:tc>
        <w:tc>
          <w:tcPr>
            <w:tcW w:w="4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Automotive</w:t>
            </w: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8"/>
          </w:tcPr>
          <w:p>
            <w:pPr>
              <w:ind w:left="20"/>
              <w:spacing w:after="0"/>
              <w:rPr>
                <w:sz w:val="20"/>
                <w:szCs w:val="20"/>
                <w:color w:val="auto"/>
              </w:rPr>
            </w:pPr>
            <w:r>
              <w:rPr>
                <w:rFonts w:ascii="Arial" w:cs="Arial" w:eastAsia="Arial" w:hAnsi="Arial"/>
                <w:sz w:val="18"/>
                <w:szCs w:val="18"/>
                <w:b w:val="1"/>
                <w:bCs w:val="1"/>
                <w:color w:val="auto"/>
                <w:w w:val="96"/>
              </w:rPr>
              <w:t>Three Months Ended June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8"/>
          </w:tcPr>
          <w:p>
            <w:pPr>
              <w:ind w:left="60"/>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2023</w:t>
            </w: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5"/>
          </w:tcPr>
          <w:p>
            <w:pPr>
              <w:jc w:val="right"/>
              <w:ind w:right="3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12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Aftermarket parts sales</w:t>
            </w:r>
          </w:p>
        </w:tc>
        <w:tc>
          <w:tcPr>
            <w:tcW w:w="9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29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June 30, 2023</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Real</w:t>
            </w:r>
          </w:p>
        </w:tc>
        <w:tc>
          <w:tcPr>
            <w:tcW w:w="80" w:type="dxa"/>
            <w:vAlign w:val="bottom"/>
          </w:tcPr>
          <w:p>
            <w:pPr>
              <w:spacing w:after="0"/>
              <w:rPr>
                <w:sz w:val="9"/>
                <w:szCs w:val="9"/>
                <w:color w:val="auto"/>
              </w:rPr>
            </w:pPr>
          </w:p>
        </w:tc>
        <w:tc>
          <w:tcPr>
            <w:tcW w:w="52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Home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3"/>
              </w:rPr>
              <w:t>Holding</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Packaging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Estate</w:t>
            </w:r>
          </w:p>
        </w:tc>
        <w:tc>
          <w:tcPr>
            <w:tcW w:w="8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7"/>
              </w:rPr>
              <w:t>Pharma</w:t>
            </w:r>
          </w:p>
        </w:tc>
        <w:tc>
          <w:tcPr>
            <w:tcW w:w="10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1"/>
              </w:rPr>
              <w:t>Company</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85"/>
              </w:rPr>
              <w:t>(in millions)</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0"/>
              <w:spacing w:after="0" w:line="135" w:lineRule="exact"/>
              <w:rPr>
                <w:sz w:val="20"/>
                <w:szCs w:val="20"/>
                <w:color w:val="auto"/>
              </w:rPr>
            </w:pPr>
            <w:r>
              <w:rPr>
                <w:rFonts w:ascii="Arial" w:cs="Arial" w:eastAsia="Arial" w:hAnsi="Arial"/>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2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751</w:t>
            </w:r>
          </w:p>
        </w:tc>
        <w:tc>
          <w:tcPr>
            <w:tcW w:w="30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24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1,574</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2,488</w:t>
            </w:r>
          </w:p>
        </w:tc>
        <w:tc>
          <w:tcPr>
            <w:tcW w:w="0" w:type="dxa"/>
            <w:vAlign w:val="bottom"/>
          </w:tcPr>
          <w:p>
            <w:pPr>
              <w:spacing w:after="0"/>
              <w:rPr>
                <w:sz w:val="1"/>
                <w:szCs w:val="1"/>
                <w:color w:val="auto"/>
              </w:rPr>
            </w:pPr>
          </w:p>
        </w:tc>
      </w:tr>
      <w:tr>
        <w:trPr>
          <w:trHeight w:val="121"/>
        </w:trPr>
        <w:tc>
          <w:tcPr>
            <w:tcW w:w="25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restricted cash</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2,598</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4,821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4,937</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Related party notes receivable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2,630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792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3,959</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assets</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4,644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298</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469</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217</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5,850</w:t>
            </w:r>
          </w:p>
        </w:tc>
        <w:tc>
          <w:tcPr>
            <w:tcW w:w="0" w:type="dxa"/>
            <w:vAlign w:val="bottom"/>
          </w:tcPr>
          <w:p>
            <w:pPr>
              <w:spacing w:after="0"/>
              <w:rPr>
                <w:sz w:val="1"/>
                <w:szCs w:val="1"/>
                <w:color w:val="auto"/>
              </w:rPr>
            </w:pPr>
          </w:p>
        </w:tc>
      </w:tr>
      <w:tr>
        <w:trPr>
          <w:trHeight w:val="129"/>
        </w:trPr>
        <w:tc>
          <w:tcPr>
            <w:tcW w:w="250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assets</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11,888</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4,801</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1,974</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473</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2,049</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22,214</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LIABILITIES AND EQUITY</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4,579</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3"/>
                <w:szCs w:val="13"/>
                <w:color w:val="auto"/>
                <w:w w:val="91"/>
              </w:rPr>
              <w:t>Securities sold, not yet purchased, at fair value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3,370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3,370</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Debt</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1,591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5,308</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7,078</w:t>
            </w:r>
          </w:p>
        </w:tc>
        <w:tc>
          <w:tcPr>
            <w:tcW w:w="0" w:type="dxa"/>
            <w:vAlign w:val="bottom"/>
          </w:tcPr>
          <w:p>
            <w:pPr>
              <w:spacing w:after="0"/>
              <w:rPr>
                <w:sz w:val="1"/>
                <w:szCs w:val="1"/>
                <w:color w:val="auto"/>
              </w:rPr>
            </w:pPr>
          </w:p>
        </w:tc>
      </w:tr>
      <w:tr>
        <w:trPr>
          <w:trHeight w:val="128"/>
        </w:trPr>
        <w:tc>
          <w:tcPr>
            <w:tcW w:w="250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5,007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3,318</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866</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5,381</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15,027</w:t>
            </w:r>
          </w:p>
        </w:tc>
        <w:tc>
          <w:tcPr>
            <w:tcW w:w="0" w:type="dxa"/>
            <w:vAlign w:val="bottom"/>
          </w:tcPr>
          <w:p>
            <w:pPr>
              <w:spacing w:after="0"/>
              <w:rPr>
                <w:sz w:val="1"/>
                <w:szCs w:val="1"/>
                <w:color w:val="auto"/>
              </w:rPr>
            </w:pPr>
          </w:p>
        </w:tc>
      </w:tr>
      <w:tr>
        <w:trPr>
          <w:trHeight w:val="129"/>
        </w:trPr>
        <w:tc>
          <w:tcPr>
            <w:tcW w:w="2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3,799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(3,332)</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3,396</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4"/>
              </w:rPr>
              <w:t>Equity attributable to non-controlling interests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28"/>
        </w:trPr>
        <w:tc>
          <w:tcPr>
            <w:tcW w:w="250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equity</w:t>
            </w:r>
          </w:p>
        </w:tc>
        <w:tc>
          <w:tcPr>
            <w:tcW w:w="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6,881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1,483</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1,108</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237</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(3,332)</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7,187</w:t>
            </w:r>
          </w:p>
        </w:tc>
        <w:tc>
          <w:tcPr>
            <w:tcW w:w="0" w:type="dxa"/>
            <w:vAlign w:val="bottom"/>
          </w:tcPr>
          <w:p>
            <w:pPr>
              <w:spacing w:after="0"/>
              <w:rPr>
                <w:sz w:val="1"/>
                <w:szCs w:val="1"/>
                <w:color w:val="auto"/>
              </w:rPr>
            </w:pPr>
          </w:p>
        </w:tc>
      </w:tr>
      <w:tr>
        <w:trPr>
          <w:trHeight w:val="128"/>
        </w:trPr>
        <w:tc>
          <w:tcPr>
            <w:tcW w:w="250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11,888</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4,801</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1,974</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473</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2,049</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22,214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center"/>
              <w:ind w:right="17"/>
              <w:spacing w:after="0"/>
              <w:rPr>
                <w:sz w:val="20"/>
                <w:szCs w:val="20"/>
                <w:color w:val="auto"/>
              </w:rPr>
            </w:pPr>
            <w:r>
              <w:rPr>
                <w:rFonts w:ascii="Arial" w:cs="Arial" w:eastAsia="Arial" w:hAnsi="Arial"/>
                <w:sz w:val="13"/>
                <w:szCs w:val="13"/>
                <w:b w:val="1"/>
                <w:bCs w:val="1"/>
                <w:color w:val="auto"/>
                <w:w w:val="87"/>
              </w:rPr>
              <w:t>December 31, 2022</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10"/>
        </w:trPr>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Real</w:t>
            </w:r>
          </w:p>
        </w:tc>
        <w:tc>
          <w:tcPr>
            <w:tcW w:w="60" w:type="dxa"/>
            <w:vAlign w:val="bottom"/>
          </w:tcPr>
          <w:p>
            <w:pPr>
              <w:spacing w:after="0"/>
              <w:rPr>
                <w:sz w:val="9"/>
                <w:szCs w:val="9"/>
                <w:color w:val="auto"/>
              </w:rPr>
            </w:pPr>
          </w:p>
        </w:tc>
        <w:tc>
          <w:tcPr>
            <w:tcW w:w="52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Home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89"/>
              </w:rPr>
              <w:t>Holding</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53"/>
        </w:trPr>
        <w:tc>
          <w:tcPr>
            <w:tcW w:w="25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Energy</w:t>
            </w:r>
          </w:p>
        </w:tc>
        <w:tc>
          <w:tcPr>
            <w:tcW w:w="1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Estate</w:t>
            </w: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7"/>
              </w:rPr>
              <w:t>Pharma</w:t>
            </w: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Company</w:t>
            </w:r>
          </w:p>
        </w:tc>
        <w:tc>
          <w:tcPr>
            <w:tcW w:w="1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r>
      <w:tr>
        <w:trPr>
          <w:trHeight w:val="128"/>
        </w:trPr>
        <w:tc>
          <w:tcPr>
            <w:tcW w:w="2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color w:val="auto"/>
                <w:w w:val="85"/>
              </w:rPr>
              <w:t>(in millions)</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r>
      <w:tr>
        <w:trPr>
          <w:trHeight w:val="135"/>
        </w:trPr>
        <w:tc>
          <w:tcPr>
            <w:tcW w:w="2540" w:type="dxa"/>
            <w:vAlign w:val="bottom"/>
            <w:shd w:val="clear" w:color="auto" w:fill="CCEEFF"/>
          </w:tcPr>
          <w:p>
            <w:pPr>
              <w:ind w:left="98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510</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1,720</w:t>
            </w:r>
          </w:p>
        </w:tc>
        <w:tc>
          <w:tcPr>
            <w:tcW w:w="3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2,337</w:t>
            </w:r>
          </w:p>
        </w:tc>
      </w:tr>
      <w:tr>
        <w:trPr>
          <w:trHeight w:val="121"/>
        </w:trPr>
        <w:tc>
          <w:tcPr>
            <w:tcW w:w="25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Cash held at consolidated affiliated</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partnerships 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w:t>
            </w: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6,719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6,809</w:t>
            </w: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606</w:t>
            </w: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624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1,531</w:t>
            </w: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4,038</w:t>
            </w: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821</w:t>
            </w:r>
          </w:p>
        </w:tc>
      </w:tr>
      <w:tr>
        <w:trPr>
          <w:trHeight w:val="135"/>
        </w:trPr>
        <w:tc>
          <w:tcPr>
            <w:tcW w:w="25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8,041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296</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527</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9,223</w:t>
            </w:r>
          </w:p>
        </w:tc>
      </w:tr>
      <w:tr>
        <w:trPr>
          <w:trHeight w:val="128"/>
        </w:trPr>
        <w:tc>
          <w:tcPr>
            <w:tcW w:w="2540" w:type="dxa"/>
            <w:vAlign w:val="bottom"/>
          </w:tcPr>
          <w:p>
            <w:pPr>
              <w:ind w:left="100"/>
              <w:spacing w:after="0" w:line="115" w:lineRule="exact"/>
              <w:rPr>
                <w:sz w:val="20"/>
                <w:szCs w:val="20"/>
                <w:color w:val="auto"/>
              </w:rPr>
            </w:pPr>
            <w:r>
              <w:rPr>
                <w:rFonts w:ascii="Arial" w:cs="Arial" w:eastAsia="Arial" w:hAnsi="Arial"/>
                <w:sz w:val="13"/>
                <w:szCs w:val="13"/>
                <w:color w:val="auto"/>
              </w:rPr>
              <w:t>Total assets</w:t>
            </w:r>
          </w:p>
        </w:tc>
        <w:tc>
          <w:tcPr>
            <w:tcW w:w="1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17,234</w:t>
            </w:r>
          </w:p>
        </w:tc>
        <w:tc>
          <w:tcPr>
            <w:tcW w:w="180" w:type="dxa"/>
            <w:vAlign w:val="bottom"/>
            <w:gridSpan w:val="2"/>
          </w:tcPr>
          <w:p>
            <w:pPr>
              <w:jc w:val="right"/>
              <w:ind w:right="20"/>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4,735</w:t>
            </w:r>
          </w:p>
        </w:tc>
        <w:tc>
          <w:tcPr>
            <w:tcW w:w="320" w:type="dxa"/>
            <w:vAlign w:val="bottom"/>
            <w:gridSpan w:val="2"/>
          </w:tcPr>
          <w:p>
            <w:pPr>
              <w:ind w:left="140"/>
              <w:spacing w:after="0" w:line="11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15" w:lineRule="exact"/>
              <w:rPr>
                <w:sz w:val="20"/>
                <w:szCs w:val="20"/>
                <w:color w:val="auto"/>
              </w:rPr>
            </w:pPr>
            <w:r>
              <w:rPr>
                <w:rFonts w:ascii="Arial" w:cs="Arial" w:eastAsia="Arial" w:hAnsi="Arial"/>
                <w:sz w:val="13"/>
                <w:szCs w:val="13"/>
                <w:color w:val="auto"/>
              </w:rPr>
              <w:t>2,532</w:t>
            </w:r>
          </w:p>
        </w:tc>
        <w:tc>
          <w:tcPr>
            <w:tcW w:w="24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475</w:t>
            </w:r>
          </w:p>
        </w:tc>
        <w:tc>
          <w:tcPr>
            <w:tcW w:w="200" w:type="dxa"/>
            <w:vAlign w:val="bottom"/>
            <w:gridSpan w:val="2"/>
          </w:tcPr>
          <w:p>
            <w:pPr>
              <w:ind w:left="100"/>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507</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213</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302</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3"/>
                <w:szCs w:val="13"/>
                <w:color w:val="auto"/>
              </w:rPr>
              <w:t>1,916</w:t>
            </w:r>
          </w:p>
        </w:tc>
        <w:tc>
          <w:tcPr>
            <w:tcW w:w="320" w:type="dxa"/>
            <w:vAlign w:val="bottom"/>
            <w:gridSpan w:val="2"/>
          </w:tcPr>
          <w:p>
            <w:pPr>
              <w:ind w:left="120"/>
              <w:spacing w:after="0" w:line="11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27,914</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540" w:type="dxa"/>
            <w:vAlign w:val="bottom"/>
            <w:shd w:val="clear" w:color="auto" w:fill="CCEEFF"/>
          </w:tcPr>
          <w:p>
            <w:pPr>
              <w:ind w:left="42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1"/>
        </w:trPr>
        <w:tc>
          <w:tcPr>
            <w:tcW w:w="2540" w:type="dxa"/>
            <w:vAlign w:val="bottom"/>
          </w:tcPr>
          <w:p>
            <w:pPr>
              <w:ind w:left="20"/>
              <w:spacing w:after="0" w:line="121" w:lineRule="exact"/>
              <w:rPr>
                <w:sz w:val="20"/>
                <w:szCs w:val="20"/>
                <w:color w:val="auto"/>
              </w:rPr>
            </w:pPr>
            <w:r>
              <w:rPr>
                <w:rFonts w:ascii="Arial" w:cs="Arial" w:eastAsia="Arial" w:hAnsi="Arial"/>
                <w:sz w:val="13"/>
                <w:szCs w:val="13"/>
                <w:color w:val="auto"/>
                <w:w w:val="91"/>
              </w:rPr>
              <w:t>Accounts payable, accrued expenses and other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54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1,589</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1,823</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149</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70</w:t>
            </w: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4,765</w:t>
            </w: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2"/>
              </w:rPr>
              <w:t>Securities sold, not yet purchased, at fair value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6,495</w:t>
            </w: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1,591</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5,309</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7,096</w:t>
            </w:r>
          </w:p>
        </w:tc>
      </w:tr>
      <w:tr>
        <w:trPr>
          <w:trHeight w:val="129"/>
        </w:trPr>
        <w:tc>
          <w:tcPr>
            <w:tcW w:w="254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8,084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3,414</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5,379</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18,356</w:t>
            </w:r>
          </w:p>
        </w:tc>
      </w:tr>
      <w:tr>
        <w:trPr>
          <w:trHeight w:val="128"/>
        </w:trPr>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3,900</w:t>
            </w: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w w:val="96"/>
              </w:rPr>
              <w:t>Equity attributable to non-controlling interests</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4,966</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673</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5,658</w:t>
            </w:r>
          </w:p>
        </w:tc>
      </w:tr>
      <w:tr>
        <w:trPr>
          <w:trHeight w:val="128"/>
        </w:trPr>
        <w:tc>
          <w:tcPr>
            <w:tcW w:w="254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9,150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1,321</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1,530</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(3,463)</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9,558</w:t>
            </w:r>
          </w:p>
        </w:tc>
      </w:tr>
      <w:tr>
        <w:trPr>
          <w:trHeight w:val="129"/>
        </w:trPr>
        <w:tc>
          <w:tcPr>
            <w:tcW w:w="2540" w:type="dxa"/>
            <w:vAlign w:val="bottom"/>
          </w:tcPr>
          <w:p>
            <w:pPr>
              <w:ind w:left="100"/>
              <w:spacing w:after="0" w:line="115" w:lineRule="exact"/>
              <w:rPr>
                <w:sz w:val="20"/>
                <w:szCs w:val="20"/>
                <w:color w:val="auto"/>
              </w:rPr>
            </w:pPr>
            <w:r>
              <w:rPr>
                <w:rFonts w:ascii="Arial" w:cs="Arial" w:eastAsia="Arial" w:hAnsi="Arial"/>
                <w:sz w:val="13"/>
                <w:szCs w:val="13"/>
                <w:color w:val="auto"/>
              </w:rPr>
              <w:t>Total liabilities and equity</w:t>
            </w:r>
          </w:p>
        </w:tc>
        <w:tc>
          <w:tcPr>
            <w:tcW w:w="1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17,234</w:t>
            </w:r>
          </w:p>
        </w:tc>
        <w:tc>
          <w:tcPr>
            <w:tcW w:w="180" w:type="dxa"/>
            <w:vAlign w:val="bottom"/>
            <w:gridSpan w:val="2"/>
          </w:tcPr>
          <w:p>
            <w:pPr>
              <w:jc w:val="right"/>
              <w:ind w:right="20"/>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4,735</w:t>
            </w:r>
          </w:p>
        </w:tc>
        <w:tc>
          <w:tcPr>
            <w:tcW w:w="320" w:type="dxa"/>
            <w:vAlign w:val="bottom"/>
            <w:gridSpan w:val="2"/>
          </w:tcPr>
          <w:p>
            <w:pPr>
              <w:ind w:left="140"/>
              <w:spacing w:after="0" w:line="11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15" w:lineRule="exact"/>
              <w:rPr>
                <w:sz w:val="20"/>
                <w:szCs w:val="20"/>
                <w:color w:val="auto"/>
              </w:rPr>
            </w:pPr>
            <w:r>
              <w:rPr>
                <w:rFonts w:ascii="Arial" w:cs="Arial" w:eastAsia="Arial" w:hAnsi="Arial"/>
                <w:sz w:val="13"/>
                <w:szCs w:val="13"/>
                <w:color w:val="auto"/>
              </w:rPr>
              <w:t>2,532</w:t>
            </w:r>
          </w:p>
        </w:tc>
        <w:tc>
          <w:tcPr>
            <w:tcW w:w="24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475</w:t>
            </w:r>
          </w:p>
        </w:tc>
        <w:tc>
          <w:tcPr>
            <w:tcW w:w="200" w:type="dxa"/>
            <w:vAlign w:val="bottom"/>
            <w:gridSpan w:val="2"/>
          </w:tcPr>
          <w:p>
            <w:pPr>
              <w:ind w:left="100"/>
              <w:spacing w:after="0" w:line="11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rPr>
              <w:t>507</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213</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302</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3"/>
                <w:szCs w:val="13"/>
                <w:color w:val="auto"/>
              </w:rPr>
              <w:t>1,916</w:t>
            </w:r>
          </w:p>
        </w:tc>
        <w:tc>
          <w:tcPr>
            <w:tcW w:w="320" w:type="dxa"/>
            <w:vAlign w:val="bottom"/>
            <w:gridSpan w:val="2"/>
          </w:tcPr>
          <w:p>
            <w:pPr>
              <w:ind w:left="120"/>
              <w:spacing w:after="0" w:line="11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15" w:lineRule="exact"/>
              <w:rPr>
                <w:sz w:val="20"/>
                <w:szCs w:val="20"/>
                <w:color w:val="auto"/>
              </w:rPr>
            </w:pPr>
            <w:r>
              <w:rPr>
                <w:rFonts w:ascii="Arial" w:cs="Arial" w:eastAsia="Arial" w:hAnsi="Arial"/>
                <w:sz w:val="13"/>
                <w:szCs w:val="13"/>
                <w:color w:val="auto"/>
              </w:rPr>
              <w:t>27,914</w:t>
            </w: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left="60" w:right="220" w:firstLine="324"/>
        <w:spacing w:after="0" w:line="259" w:lineRule="auto"/>
        <w:rPr>
          <w:sz w:val="20"/>
          <w:szCs w:val="20"/>
          <w:color w:val="auto"/>
        </w:rPr>
      </w:pPr>
      <w:r>
        <w:rPr>
          <w:rFonts w:ascii="Arial" w:cs="Arial" w:eastAsia="Arial" w:hAnsi="Arial"/>
          <w:sz w:val="18"/>
          <w:szCs w:val="18"/>
          <w:color w:val="auto"/>
        </w:rPr>
        <w:t>For the three months ended June 30, 2023, we recorded an income tax expense of $2 million on pre-tax loss of $417 million compared to an income tax expense of $2 million on pre-tax loss of $285 million for the three months ended June 30, 2022. Our effective income tax rate was (0.5%) and (0.7%) for the three months ended June 30, 2023 and 2022, respectively.</w:t>
      </w:r>
    </w:p>
    <w:p>
      <w:pPr>
        <w:spacing w:after="0" w:line="187" w:lineRule="exact"/>
        <w:rPr>
          <w:sz w:val="20"/>
          <w:szCs w:val="20"/>
          <w:color w:val="auto"/>
        </w:rPr>
      </w:pPr>
    </w:p>
    <w:p>
      <w:pPr>
        <w:jc w:val="both"/>
        <w:ind w:left="60" w:right="220" w:firstLine="324"/>
        <w:spacing w:after="0" w:line="263" w:lineRule="auto"/>
        <w:rPr>
          <w:sz w:val="20"/>
          <w:szCs w:val="20"/>
          <w:color w:val="auto"/>
        </w:rPr>
      </w:pPr>
      <w:r>
        <w:rPr>
          <w:rFonts w:ascii="Arial" w:cs="Arial" w:eastAsia="Arial" w:hAnsi="Arial"/>
          <w:sz w:val="18"/>
          <w:szCs w:val="18"/>
          <w:color w:val="auto"/>
        </w:rPr>
        <w:t>For the three months ended June 30, 2023 and 2022, the effective tax rate was lower than the statutory federal rate of 21%, for corporations, primarily due to partnership loss for which there was no tax benefit as such losses are allocated to the partners.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firstLine="369"/>
        <w:spacing w:after="0" w:line="259" w:lineRule="auto"/>
        <w:rPr>
          <w:sz w:val="20"/>
          <w:szCs w:val="20"/>
          <w:color w:val="auto"/>
        </w:rPr>
      </w:pPr>
      <w:r>
        <w:rPr>
          <w:rFonts w:ascii="Arial" w:cs="Arial" w:eastAsia="Arial" w:hAnsi="Arial"/>
          <w:sz w:val="18"/>
          <w:szCs w:val="18"/>
          <w:color w:val="auto"/>
        </w:rPr>
        <w:t>For the six months ended June 30, 2023, we recorded an income tax benefit of $14 million on a pre-tax loss of $791 million compared to an income tax expense of $100 million on pre-tax income of $698 million for the six months ended June 30, 2022. Our effective income tax rate was (1.8%) and 14.3% for the six months ended June 30, 2023 and 2022, respectively.</w:t>
      </w:r>
    </w:p>
    <w:p>
      <w:pPr>
        <w:spacing w:after="0" w:line="187"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For the six months ended June 30, 2023, the effective tax rate was lower than the statutory federal tax rate of 21%, for corporations, primarily due to partnership loss for which there was no tax benefit as such losses are allocated to the partners. For the six months ended June 30, 2022, the effective tax rate was lower than the statutory federal rate of 21% primarily due to partnership income for which there was no tax expense, as such income is allocated to the partners.</w:t>
      </w:r>
    </w:p>
    <w:p>
      <w:pPr>
        <w:spacing w:after="0" w:line="153"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4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Post-Retirement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Adjustments, Net</w:t>
            </w:r>
          </w:p>
        </w:tc>
        <w:tc>
          <w:tcPr>
            <w:tcW w:w="120" w:type="dxa"/>
            <w:vAlign w:val="bottom"/>
          </w:tcPr>
          <w:p>
            <w:pPr>
              <w:spacing w:after="0"/>
              <w:rPr>
                <w:sz w:val="18"/>
                <w:szCs w:val="18"/>
                <w:color w:val="auto"/>
              </w:rPr>
            </w:pPr>
          </w:p>
        </w:tc>
        <w:tc>
          <w:tcPr>
            <w:tcW w:w="14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89"/>
              </w:rPr>
              <w:t>Benefits,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of Tax</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 Tax</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466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6"/>
              </w:rPr>
              <w:t>Other comprehensive (loss) income before reclassifications,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Reclassifications from accumulated other comprehensive</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to earnings, net of tax</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3"/>
        </w:trPr>
        <w:tc>
          <w:tcPr>
            <w:tcW w:w="38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17. Other Loss, Net</w:t>
            </w:r>
          </w:p>
        </w:tc>
        <w:tc>
          <w:tcPr>
            <w:tcW w:w="7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340"/>
              <w:spacing w:after="0"/>
              <w:rPr>
                <w:sz w:val="20"/>
                <w:szCs w:val="20"/>
                <w:color w:val="auto"/>
              </w:rPr>
            </w:pPr>
            <w:r>
              <w:rPr>
                <w:rFonts w:ascii="Arial" w:cs="Arial" w:eastAsia="Arial" w:hAnsi="Arial"/>
                <w:sz w:val="18"/>
                <w:szCs w:val="18"/>
                <w:color w:val="auto"/>
              </w:rPr>
              <w:t>Other loss, net consists of the following: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80" w:type="dxa"/>
            <w:vAlign w:val="bottom"/>
          </w:tcPr>
          <w:p>
            <w:pPr>
              <w:spacing w:after="0"/>
              <w:rPr>
                <w:sz w:val="24"/>
                <w:szCs w:val="24"/>
                <w:color w:val="auto"/>
              </w:rPr>
            </w:pPr>
          </w:p>
        </w:tc>
        <w:tc>
          <w:tcPr>
            <w:tcW w:w="2640" w:type="dxa"/>
            <w:vAlign w:val="bottom"/>
            <w:gridSpan w:val="9"/>
          </w:tcPr>
          <w:p>
            <w:pPr>
              <w:jc w:val="right"/>
              <w:ind w:right="24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Pr>
          <w:p>
            <w:pPr>
              <w:spacing w:after="0"/>
              <w:rPr>
                <w:sz w:val="24"/>
                <w:szCs w:val="24"/>
                <w:color w:val="auto"/>
              </w:rPr>
            </w:pPr>
          </w:p>
        </w:tc>
        <w:tc>
          <w:tcPr>
            <w:tcW w:w="230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jc w:val="right"/>
              <w:ind w:right="316"/>
              <w:spacing w:after="0" w:line="142" w:lineRule="exact"/>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700" w:type="dxa"/>
            <w:vAlign w:val="bottom"/>
            <w:shd w:val="clear" w:color="auto" w:fill="CCEEFF"/>
          </w:tcPr>
          <w:p>
            <w:pPr>
              <w:jc w:val="right"/>
              <w:ind w:right="53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w:t>
            </w:r>
          </w:p>
        </w:tc>
        <w:tc>
          <w:tcPr>
            <w:tcW w:w="1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64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Equity earnings from non-consolidated affiliates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 net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Foreign currency transaction gain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loss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Due to the nature of our business, certain of our subsidiaries’ operations are subject to numerous existing and proposed laws and governmental regulations designed to protect human health and the environment, particularly regarding plant wastes and emissions and solid waste disposal. Our consolidated environmental liabilities on an undiscounted basis were $20 million and $22 million as of June 30, 2023 and December 31, 2022,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i w:val="1"/>
          <w:iCs w:val="1"/>
          <w:color w:val="auto"/>
        </w:rPr>
        <w:t xml:space="preserve">Clean Air Act Matter - </w:t>
      </w:r>
      <w:r>
        <w:rPr>
          <w:rFonts w:ascii="Arial" w:cs="Arial" w:eastAsia="Arial" w:hAnsi="Arial"/>
          <w:sz w:val="16"/>
          <w:szCs w:val="16"/>
          <w:color w:val="auto"/>
        </w:rPr>
        <w:t>CVR Energy’s indirect wholly-owned subsidiary, Coffeyville Resource Refining &amp;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LLC (“CRRM”) is party to proceedings relating to claims by the United States, on behalf of the U.S. Environmental Protection Agency (the “EPA”) and the State of Kansas, on behalf of the Kansas Department of Health and Environment (“KDHE”). One of these proceedings concerns claims arising under a 2012 Consent Decree (“CD”), which primarily relate to the CRRM refinery’s flares; the United States, on behalf of the EPA, and KDHE are seeking approximately $6.8 million in stipulated penalties under the CD (the “Stipulated Claims”), which amount CRRM previously deposited into a commercial escrow account and which escrowed funds are legally restricted for use and are included in other assets in our condensed consolidated balance sheets. CRRM has filed an appeal of an order from the Federal District Court for the District of Kansas (“D. Kan.”) denying its petition for judicial review of the Stipulated Claims in the United States Court of Appeals for the Tenth Circuit (the “Tenth Circuit”), which remains pending.</w:t>
      </w:r>
    </w:p>
    <w:p>
      <w:pPr>
        <w:spacing w:after="0" w:line="168"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CRRM is also party to proceedings brought by the United States, on behalf of the EPA, and KDHE in the D. Kan, alleging violations of the federal Clean Air Act, the Kansas State Implementation Plan, Kansas law, and CRRM’s permits relating to flares, heaters, and related matters; the United States, on behalf of the EPA, and KDHE are seeking civil penalties, injunctive relief, and related relief in connection with these claims (collectively, the “Statutory Claims”).</w:t>
      </w:r>
    </w:p>
    <w:p>
      <w:pPr>
        <w:spacing w:after="0" w:line="157"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In May 2023, the parties mediated both the Stipulated Claims and the Statutory Claims before the Tenth Circuit mediation office and agreed to stay the proceedings before the D. Kan. for 90 days while the parties work to reach a final settlement agreement, including with respect to injunctive relief. As negotiations and proceedings relating to the Stipulated Claims and the Statutory Claims are ongoing,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45Q Transaction</w:t>
      </w:r>
    </w:p>
    <w:p>
      <w:pPr>
        <w:spacing w:after="0" w:line="225" w:lineRule="exact"/>
        <w:rPr>
          <w:sz w:val="20"/>
          <w:szCs w:val="20"/>
          <w:color w:val="auto"/>
        </w:rPr>
      </w:pPr>
    </w:p>
    <w:p>
      <w:pPr>
        <w:ind w:left="60" w:right="119" w:firstLine="360"/>
        <w:spacing w:after="0" w:line="255" w:lineRule="auto"/>
        <w:rPr>
          <w:sz w:val="20"/>
          <w:szCs w:val="20"/>
          <w:color w:val="auto"/>
        </w:rPr>
      </w:pPr>
      <w:r>
        <w:rPr>
          <w:rFonts w:ascii="Arial" w:cs="Arial" w:eastAsia="Arial" w:hAnsi="Arial"/>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could be subject to fees of up to $15 million per year, with an overall cap at $45 million, should it fail to perform.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CVR Energy’s obligated-party subsidiaries are subject to the Renewable Fuel Standard (“RFS”) implemented primarily by the EPA which requires refiners to either blend renewable fuels into their transportation fuels or purchase renewable fuel credits, known as Renewable Identification Numbers (“RINs), in lieu of blending. CVR Energy’s obligated subsidiaries are not able to blend the substantial majority of their transportation fuels and, unless their obligations are waived by the EPA, have to purchase RINs on the open market and may have to obtain waiver credits for cellulosic biofuels or other exemptions from the EPA, to the extent available, in order to comply with the RFS. CVR Energy’s obligated-party subsidiaries have filed a number of petitions in the United States Court of Appeals for the Fifth Circuit (the “Fifth Circuit”) and the United States Court of Appeals for the District of Colombia Circuit (the “DC Circuit”) challenging certain actions taken by the EPA in April 2022 and June 2022 relating to the RFS including but not limited to the EPA’s denial of small refinery exemptions (“SREs”) sought by one of CVR Energy’s obligated-party subsidiaries, Wynnewood Refining Company, LLC (“WRC”), for the 2017 through 2021 compliance periods (the “SRE Denial”), and challegnging the EPA’s Final Rule issued in July 2022 establishing renewable volume obligations (“RVO”). CVR Energy’s obligated-party subsidiaries have also intervened in an action filed by certain biofuels producers relating to the RFS. In late 2022, the Fifth Circuit denied the EPA’s motions to stay the SRE Denial lawsuits. In March 2023, the Fifth Circuit granted WRC’s motion to stay enforcement of the RFS against WRC pending resolution of the SRE Denial lawsuits. In July 2023, the EPA denied 26 petitions from small refineries seeking SREs for one or more of the compliance years between 2016 and 2023, including the SRE sought by WRC for 2022, which denial WRC intends to challenge in court. CVR Energy cannot yet determine at this time the outcomes of these matters. However,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while CVR Energy intends to prosecute these actions vigorously, if these matters are ultimately concluded in a manner adverse to CVR Energy, they could have a material effect on our Energy business’ financial position, results of operations, or cash flows.</w:t>
      </w:r>
    </w:p>
    <w:p>
      <w:pPr>
        <w:spacing w:after="0" w:line="18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Energy segment recognized expenses of approximately $48 million and $135 million for the three months ended June 30, 2023 and 2022, respectively, for CVR Energy’s obligated-party subsidiaries’ compliance with the RFS (based on the 2020, 2021, 2022 and 2023 annual RVO for the respective periods, excluding the impacts of any exemptions or waivers to which the obligated-party subsidiaries may be entitled). For the six months ended June 30, 2023 and 2022, such expenses were $37 million and $241 million, respectively. These recognized amounts are included in cost of goods sold in the condensed consolidated statements of operations and represent costs to comply with the RFS obligation through purchasing of RINs not otherwise reduced by blending of ethanol or biodiesel. At each reporting period, to the extent RINs purchased or generated through blending are less than the RFS obligation (excluding the impact of exemptions or waivers to which CVR Refining may be entitled), the remaining position is marked-to-market using RIN market prices at period end. As of June 30, 2023 and December 31, 2022, CVR Energy’s obligated-party subsidiaries’ RFS position was $599 million and $692 million, respectively, and is included in accrued expenses and other liabilities in the condensed consolidated balance sheets.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59" w:firstLine="324"/>
        <w:spacing w:after="0" w:line="258" w:lineRule="auto"/>
        <w:rPr>
          <w:sz w:val="20"/>
          <w:szCs w:val="20"/>
          <w:color w:val="auto"/>
        </w:rPr>
      </w:pPr>
      <w:r>
        <w:rPr>
          <w:rFonts w:ascii="Arial" w:cs="Arial" w:eastAsia="Arial" w:hAnsi="Arial"/>
          <w:sz w:val="17"/>
          <w:szCs w:val="17"/>
          <w:i w:val="1"/>
          <w:iCs w:val="1"/>
          <w:color w:val="auto"/>
        </w:rPr>
        <w:t xml:space="preserve">Call Option Coverage Case </w:t>
      </w:r>
      <w:r>
        <w:rPr>
          <w:rFonts w:ascii="Arial" w:cs="Arial" w:eastAsia="Arial" w:hAnsi="Arial"/>
          <w:sz w:val="17"/>
          <w:szCs w:val="17"/>
          <w:color w:val="auto"/>
        </w:rPr>
        <w:t>– In July 2023, the Superior Court of the State of Delaware (the “Superior Court”) heard</w:t>
      </w:r>
      <w:r>
        <w:rPr>
          <w:rFonts w:ascii="Arial" w:cs="Arial" w:eastAsia="Arial" w:hAnsi="Arial"/>
          <w:sz w:val="17"/>
          <w:szCs w:val="17"/>
          <w:i w:val="1"/>
          <w:iCs w:val="1"/>
          <w:color w:val="auto"/>
        </w:rPr>
        <w:t xml:space="preserve"> </w:t>
      </w:r>
      <w:r>
        <w:rPr>
          <w:rFonts w:ascii="Arial" w:cs="Arial" w:eastAsia="Arial" w:hAnsi="Arial"/>
          <w:sz w:val="17"/>
          <w:szCs w:val="17"/>
          <w:color w:val="auto"/>
        </w:rPr>
        <w:t>oral argument on the motion filed by the primary and excess insurers (the “Insurers”) of CVR Energy and certain of its affiliates (the “Call Defendants”) seeking to stay the Call Defendants’ action against the Insurers. The Call Defendants’ action alleged breach of contract and breach of the implied covenant of good faith and fair dealing with respect to the Insurers’ denial of coverage of the Call Defendants’ defense expenses and indemnity, as well as other conduct of the Insurers, relating to the lawsuits filed by former unitholders of CVR Refining, LP (“CVR Refining”) against the Call Defendants regarding CVR Energy’s exercise of the call option under the CVR Refining Amended and Restated Agreement of Limited Partnership assigned to it by CVR Refining’s general partner, which action was settled by the parties on August 19, 2022 (the “Call Option Lawsuits"). The Insurers’ declaratory judgment action seeking determination that the Insurers owe no indemnity coverage in relation to insurance policies that have coverage limits of $50 million for settlement of the Call Option Lawsuits remains pending before the 434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Judicial District Court of Fort Bend County, Texas, which granted summary judgment in favor of the Insurers in November 2022, and which the Call Defendants intend to appeal once final judgment is entered.</w:t>
      </w:r>
    </w:p>
    <w:p>
      <w:pPr>
        <w:spacing w:after="0" w:line="193"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As the potential appeal of the Texas Court decision and the Superior Court lawsuit are in their early stages, CVR Energy cannot determine at this time the outcome of these lawsuits, including whether the outcome would have a material impact on our Energy business’ financial position,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Mr. Icahn, through certain affiliates, owns 100% of Icahn Enterprises GP and approximately 85% of Icahn Enterprises’ outstanding depositary units as of June 30, 2023.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creation of liens in favor of the pension plan or the Pension Benefit Guaranty Corporation (the “PBGC”) against the assets of each member of the controlled group.</w:t>
      </w:r>
    </w:p>
    <w:p>
      <w:pPr>
        <w:spacing w:after="0" w:line="170"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June 30, 2023. If the plans were voluntarily terminated, they would be underfunded by an aggregate of approximately $42 million as of June 30, 2023.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 xml:space="preserve">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We are cooperating with these requests and are providing documents in response to these voluntary requests for information. Neither the U.S. Attorney’s office nor the SEC has made any claims or allegations against us or Mr. Icahn with respect to the foregoing inquiries. In addition, two putative securities class action lawsuits have been filed against the Company in the U.S. District Court for the Southern District of Florida alleging violations of the federal securities laws, </w:t>
      </w:r>
      <w:r>
        <w:rPr>
          <w:rFonts w:ascii="Arial" w:cs="Arial" w:eastAsia="Arial" w:hAnsi="Arial"/>
          <w:sz w:val="16"/>
          <w:szCs w:val="16"/>
          <w:i w:val="1"/>
          <w:iCs w:val="1"/>
          <w:color w:val="auto"/>
        </w:rPr>
        <w:t>Okaro v. Icahn Enterprises L.P. et al.</w:t>
      </w:r>
      <w:r>
        <w:rPr>
          <w:rFonts w:ascii="Arial" w:cs="Arial" w:eastAsia="Arial" w:hAnsi="Arial"/>
          <w:sz w:val="16"/>
          <w:szCs w:val="16"/>
          <w:color w:val="auto"/>
        </w:rPr>
        <w:t>, Case No. 23-21773 (S.D. Fl.), and</w:t>
      </w:r>
      <w:r>
        <w:rPr>
          <w:rFonts w:ascii="Arial" w:cs="Arial" w:eastAsia="Arial" w:hAnsi="Arial"/>
          <w:sz w:val="16"/>
          <w:szCs w:val="16"/>
          <w:i w:val="1"/>
          <w:iCs w:val="1"/>
          <w:color w:val="auto"/>
        </w:rPr>
        <w:t xml:space="preserve"> Levine v. Icahn Enterprises L.P. et al.</w:t>
      </w:r>
      <w:r>
        <w:rPr>
          <w:rFonts w:ascii="Arial" w:cs="Arial" w:eastAsia="Arial" w:hAnsi="Arial"/>
          <w:sz w:val="16"/>
          <w:szCs w:val="16"/>
          <w:color w:val="auto"/>
        </w:rPr>
        <w:t>, Case No.</w:t>
      </w:r>
      <w:r>
        <w:rPr>
          <w:rFonts w:ascii="Arial" w:cs="Arial" w:eastAsia="Arial" w:hAnsi="Arial"/>
          <w:sz w:val="16"/>
          <w:szCs w:val="16"/>
          <w:i w:val="1"/>
          <w:iCs w:val="1"/>
          <w:color w:val="auto"/>
        </w:rPr>
        <w:t xml:space="preserve"> </w:t>
      </w:r>
      <w:r>
        <w:rPr>
          <w:rFonts w:ascii="Arial" w:cs="Arial" w:eastAsia="Arial" w:hAnsi="Arial"/>
          <w:sz w:val="16"/>
          <w:szCs w:val="16"/>
          <w:color w:val="auto"/>
        </w:rPr>
        <w:t>23-22009 (S.D. Fl.). These lawsuits have not yet been consolidated and a lead plaintiff has not been appointed.</w:t>
      </w:r>
    </w:p>
    <w:p>
      <w:pPr>
        <w:spacing w:after="0" w:line="168"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19. Supplemental Cash Flow Information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2022</w:t>
            </w: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w w:val="93"/>
              </w:rPr>
              <w:t>millions)</w:t>
            </w:r>
          </w:p>
        </w:tc>
        <w:tc>
          <w:tcPr>
            <w:tcW w:w="76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for interest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(216)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Cash payments for income taxes, net of payments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contributions receivable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Non-cash Investment segment distributions to non-controlling interests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On August 2, 2023, the Board of Directors of the general partner of Icahn Enterprises declared a quarterly distribution in the amount of $1.00 per depositary unit, which will be paid on or about September 27, 2023 to depositary unitholders of record at the close of business on August 18, 2023. Depositary unitholders will have until September 15,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22, 2023. Icahn Enterprises will make a cash payment in lieu of issuing fractional depositary units to any unitholders electing to receive (or who are deemed to have elected to receive) depositary units.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2023 (this “Report”), as well as our Annual Report on Form 10-K for the year ended December 31, 2022 filed with the Securities and Exchange Commission on February 24, 2023.</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or “us” herein include Icahn Enterprises and its subsidiaries, unless the context otherwise requires.</w:t>
      </w:r>
    </w:p>
    <w:p>
      <w:pPr>
        <w:spacing w:after="0" w:line="19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2023, representing an aggregate 1.99% general partner interest in Icahn Enterprises Holdings and us. Mr. Icahn and his affiliates owned approximately 85% of Icahn Enterprises’ outstanding depositary units as of June 30, 2023.</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right="259" w:firstLine="324"/>
        <w:spacing w:after="0" w:line="284" w:lineRule="auto"/>
        <w:rPr>
          <w:sz w:val="20"/>
          <w:szCs w:val="20"/>
          <w:color w:val="auto"/>
        </w:rPr>
      </w:pPr>
      <w:r>
        <w:rPr>
          <w:rFonts w:ascii="Arial" w:cs="Arial" w:eastAsia="Arial" w:hAnsi="Arial"/>
          <w:sz w:val="16"/>
          <w:szCs w:val="16"/>
          <w:color w:val="auto"/>
        </w:rPr>
        <w:t>On January 31, 2023, a subsidiary of Icahn Automotive, IEH Auto Parts Holding LLC and its subsidiaries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As a result of this filing, the Company has determined that it no longer controls Auto Plus under the criteria set out in Statement of Financial Accounting Standards ASC Topic 810, “Consolidation” and has deconsolidated its investment effective the date of the filing. As a result of Auto Plus’s bankruptcy, the Company recorded a non-cash charge of $246 million in the six months ended June 30, 2023.</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During the second quarter of 2023, we estimated our cash expected to be collected solely for the repayment of the note receivable to be $82 million, resulting in a non-cash credit loss of $116 million during the six months ended June 30, 2023, related to the note receivable expected to be uncollectible.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14, “Segment Reporting,” to the condensed consolidated financial statements for a reconciliation of each of our reporting segment’s results of continuing operations to our consolidated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In February 2022, Russia invaded Ukraine, creating uncertainty in the global oil, fertilizer and agricultural markets, as sanctions on Russian oil exports, specifically diesel exports, have significantly influenced commodity markets in 2022 and 2023. This conflict could continue to affect markets going forward. Current inventory levels have remained low, particularly for distillate, with the days of supply for jet fuel at approximately 4.0 days below the seasonally adjusted five-year average. Furthermore, planned and unplanned outages at domestic refineries are continuing to contribute to further inventory tightening and volatility. The ultimate outcome of the Russia-Ukraine conflict and any associated market disruptions are difficult to predict and may materially affect our business, operations, and cash flows in unforeseen ways.</w:t>
      </w:r>
    </w:p>
    <w:p>
      <w:pPr>
        <w:spacing w:after="0" w:line="166"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The comparability of our summarized consolidated financial results presented below its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Net Income (Loss)</w:t>
            </w:r>
          </w:p>
        </w:tc>
        <w:tc>
          <w:tcPr>
            <w:tcW w:w="80" w:type="dxa"/>
            <w:vAlign w:val="bottom"/>
          </w:tcPr>
          <w:p>
            <w:pPr>
              <w:spacing w:after="0"/>
              <w:rPr>
                <w:sz w:val="14"/>
                <w:szCs w:val="14"/>
                <w:color w:val="auto"/>
              </w:rPr>
            </w:pPr>
          </w:p>
        </w:tc>
        <w:tc>
          <w:tcPr>
            <w:tcW w:w="22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3"/>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Borders>
              <w:top w:val="single" w:sz="8" w:color="auto"/>
              <w:bottom w:val="single" w:sz="8" w:color="auto"/>
            </w:tcBorders>
            <w:gridSpan w:val="5"/>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Six Months Ended June 30,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4"/>
          </w:tcPr>
          <w:p>
            <w:pPr>
              <w:jc w:val="right"/>
              <w:ind w:right="48"/>
              <w:spacing w:after="0" w:line="142" w:lineRule="exact"/>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248"/>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vMerge w:val="restart"/>
          </w:tcPr>
          <w:p>
            <w:pPr>
              <w:spacing w:after="0"/>
              <w:rPr>
                <w:sz w:val="20"/>
                <w:szCs w:val="20"/>
                <w:color w:val="auto"/>
              </w:rPr>
            </w:pPr>
            <w:r>
              <w:rPr>
                <w:rFonts w:ascii="Arial" w:cs="Arial" w:eastAsia="Arial" w:hAnsi="Arial"/>
                <w:sz w:val="14"/>
                <w:szCs w:val="14"/>
                <w:color w:val="auto"/>
              </w:rPr>
              <w:t>(in</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rPr>
              <w:t>millions)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4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8"/>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89"/>
              </w:rPr>
              <w:t>Other Operating Segments: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4,542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Automotive</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1,186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Real Estate</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Home Fashion</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Pharma</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Metals</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w w:val="95"/>
              </w:rPr>
              <w:t>Other operating segments</w:t>
            </w:r>
          </w:p>
        </w:tc>
        <w:tc>
          <w:tcPr>
            <w:tcW w:w="10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5,845</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7,043</w:t>
            </w: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w:t>
            </w:r>
          </w:p>
        </w:tc>
        <w:tc>
          <w:tcPr>
            <w:tcW w:w="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10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5,181</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7,596</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(777)</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(539)</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We invest our proprietary capital through various private investment funds (“Investment Funds”). As of June 30, 2023 and December 31, 2022, we had investments with a fair market value of approximately $3.8 billion and $4.2 billion, respectively, in the Investment Funds. As of June 30, 2023 and December 31, 2022, the total fair market value of investments in the Investment Funds made by Mr. Icahn and his affiliates (excluding us and Brett Icahn) was approximately $3.0 billion and $4.9 billion, respectively. During the six months ended June 30, 2023, Mr. Icahn and his affiliates (excluding us and Brett Icahn) had redemptions of $1,452 million from the Investment Funds.</w:t>
      </w:r>
    </w:p>
    <w:p>
      <w:pPr>
        <w:spacing w:after="0" w:line="178" w:lineRule="exact"/>
        <w:rPr>
          <w:sz w:val="20"/>
          <w:szCs w:val="20"/>
          <w:color w:val="auto"/>
        </w:rPr>
      </w:pPr>
    </w:p>
    <w:p>
      <w:pPr>
        <w:ind w:left="60" w:right="59" w:firstLine="324"/>
        <w:spacing w:after="0" w:line="287" w:lineRule="auto"/>
        <w:rPr>
          <w:sz w:val="20"/>
          <w:szCs w:val="20"/>
          <w:color w:val="auto"/>
        </w:rPr>
      </w:pPr>
      <w:r>
        <w:rPr>
          <w:rFonts w:ascii="Arial" w:cs="Arial" w:eastAsia="Arial" w:hAnsi="Arial"/>
          <w:sz w:val="16"/>
          <w:szCs w:val="16"/>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2023.</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79" w:firstLine="324"/>
        <w:spacing w:after="0" w:line="259" w:lineRule="auto"/>
        <w:rPr>
          <w:sz w:val="20"/>
          <w:szCs w:val="20"/>
          <w:color w:val="auto"/>
        </w:rPr>
      </w:pPr>
      <w:r>
        <w:rPr>
          <w:rFonts w:ascii="Arial" w:cs="Arial" w:eastAsia="Arial" w:hAnsi="Arial"/>
          <w:sz w:val="18"/>
          <w:szCs w:val="18"/>
          <w:color w:val="auto"/>
        </w:rPr>
        <w:t>For the three months ended June 30, 2023 and 2022, our Investment Funds’ returns were (5.4)% and (4.8%), respectively. For the six months ended June 30, 2023 and 2022, our Investment Funds’ returns were (9.3)% and 4.3%, respectively. Our Investment Funds’ returns represent a weighted-average composite of the average returns, net of expenses.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4"/>
              </w:rPr>
              <w:t>Three Months Ended June 30,</w:t>
            </w:r>
          </w:p>
        </w:tc>
        <w:tc>
          <w:tcPr>
            <w:tcW w:w="26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09"/>
        </w:trPr>
        <w:tc>
          <w:tcPr>
            <w:tcW w:w="32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8"/>
                <w:szCs w:val="18"/>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(20.8)%</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16.1 %</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(8.9)%</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9.1 %</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0.6 %</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1.4 %</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09"/>
        </w:trPr>
        <w:tc>
          <w:tcPr>
            <w:tcW w:w="32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3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six months ended June 30, 2023 and 2022, respectively.</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09"/>
        </w:trPr>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142"/>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ind w:left="500"/>
              <w:spacing w:after="0" w:line="142" w:lineRule="exact"/>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4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For the three months ended June 30, 2023, the Investment Funds’ negative performance was primarily driven by net losses in long positions. The negative performance of our Investment segment’s long positions was driven primarily by losses from one consumer, cyclical investment of $110 million, one healthcare sector investment of $104 million and the aggregate performance of long positions with net losses across various sectors of $93 million. The negative performance of our Investment segment’s short positions was driven by the negative performance of a broad market hedge of $253 million.</w:t>
      </w:r>
    </w:p>
    <w:p>
      <w:pPr>
        <w:spacing w:after="0" w:line="16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For the three months ended June 30, 2022, the Investment Funds’ negative performance was primarily driven by net losses in long positions, offset in part by net gains in short positions. The negative performance of our Investment segment’s long positions was driven primarily by losses from one healthcare sector investment of approximately $819 million and one industrial sector investment of approximately $307 million. The aggregate performance of investments with net losses across various other sectors accounted for an additional negative performance of our Investment segment’s long positions. The positive performance of our Investment segment’s short positions was driven primarily by the positive performance of broad market hedges of $758 million.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For the six months ended June 30, 2023, the Investment Funds’ negative performance was primarily driven by net losses in short positions. The negative performance of our Investment segment’s short positions was driven primarily by losses from a broad market hedge of $618 million and the aggregate performance of short equity and short credit positions with net losses across various sectors of $128 million.</w:t>
      </w:r>
    </w:p>
    <w:p>
      <w:pPr>
        <w:spacing w:after="0" w:line="187" w:lineRule="exact"/>
        <w:rPr>
          <w:sz w:val="20"/>
          <w:szCs w:val="20"/>
          <w:color w:val="auto"/>
        </w:rPr>
      </w:pPr>
    </w:p>
    <w:p>
      <w:pPr>
        <w:jc w:val="both"/>
        <w:ind w:left="60" w:right="219" w:firstLine="324"/>
        <w:spacing w:after="0" w:line="311" w:lineRule="auto"/>
        <w:rPr>
          <w:sz w:val="20"/>
          <w:szCs w:val="20"/>
          <w:color w:val="auto"/>
        </w:rPr>
      </w:pPr>
      <w:r>
        <w:rPr>
          <w:rFonts w:ascii="Arial" w:cs="Arial" w:eastAsia="Arial" w:hAnsi="Arial"/>
          <w:sz w:val="16"/>
          <w:szCs w:val="16"/>
          <w:color w:val="auto"/>
        </w:rPr>
        <w:t>For the six months ended June 30, 2022, the Investment Funds’ positive performance was driven by net gains in their short positions, offset in part by net losses in certain long positions and credit default swaps. The positive performance of our Investment segment’s short positions was driven primarily by a broad market hedge totaling $1.0</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billion and the aggregate performance of short positions with net gains across various sectors. The negative performance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Investment segment’s long positions was driven primarily by the negative performance of one healthcare investment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$1.1 billion and the aggregate performance of investments with net losses across various sectors accounted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additional negative performance, offset in part by gains in two energy sector investments aggregating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 billion. The positive performance of short positions was offset in part by the negative performance of an energy sector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hedge totaling $400 million and the negative performance of certain credit default swaps positions of $406 million.</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91% and 92% of our Energy segment’s net sales for the six months ended June 30, 2023 and 2022, respectively.</w:t>
      </w:r>
    </w:p>
    <w:p>
      <w:pPr>
        <w:spacing w:after="0" w:line="184"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On November 21, 2022, CVR Energy’s board of directors had authorized its management to explore a potential spin-off of CVR Energy’s interest in the nitrogen fertilizer business into a newly created and separately traded public company. On June 13, 2023, CVR Energy announced that it has concluded such process and that its board of directors has determined not to pursue the potential spin-off at this time.</w:t>
      </w:r>
    </w:p>
    <w:p>
      <w:pPr>
        <w:spacing w:after="0" w:line="18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addition to recent market conditions, including the impact of the Russia/Ukraine conflict, there are long-term factors that may impact the demand for refined products. These factors include mandated renewable fuels standards, proposed climate change laws and regulations, and increased mileage and emissions standards for vehicles. The petroleum business is also subject to the EPA’s Renewable Fuel Standard (“RFS”),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18, “Commitments and Contingencies,” to the condensed consolidated financial statements for further discussion of RINs.</w:t>
      </w:r>
    </w:p>
    <w:p>
      <w:pPr>
        <w:spacing w:after="0" w:line="179"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 April 2022, our Energy segment completed a renewable diesel project at one of its refineries, which converted the refinery’s hydrocracker to a renewable diesel unit (“RDU”) capable of producing up to 100 million gallons of renewable diesel per year at a total cost of $179 million. The renewable diesel facility produces renewable diesel and has a capacity of approximately 7,500 barrels per day. Further, the conversion enables our Energy segment to capture additional benefits associated with the existing blenders’ tax credit that is currently set to expire at the end of 2024 and low carbon fuel standard programs in states such as California. Our Energy segment has additional plans to add pretreating capabilities for the RDU, which is expected to be completed in the fourth quarter of 2023, at an estimated cost of $91 million. These collective renewable efforts could reduce our Energy segment’s RFS exposure. However, impacts from recent climate change initiatives under the Biden Administration, actions taken by the courts, resulting administration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actions under the RFS, and market conditions, could significantly impact the amount by which our Energy segment’s renewables business could mitigate our costs to comply with the RFS, if at all.</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20"/>
                <w:szCs w:val="20"/>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09"/>
        </w:trPr>
        <w:tc>
          <w:tcPr>
            <w:tcW w:w="2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142"/>
        </w:trPr>
        <w:tc>
          <w:tcPr>
            <w:tcW w:w="2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ind w:left="50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r>
      <w:tr>
        <w:trPr>
          <w:trHeight w:val="216"/>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r>
      <w:tr>
        <w:trPr>
          <w:trHeight w:val="21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0"/>
        </w:trPr>
        <w:tc>
          <w:tcPr>
            <w:tcW w:w="2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Net sales for our Energy segment decreased by $907 million (29%) for the three months ended June 30, 2023 as compared to the comparable prior year period due to a decrease in our petroleum business’ net sales, which have decreased $846 million, as well as a decrease in our nitrogen fertilizer businesses’ net sales, which have decreased $61 million. The decrease in the petroleum business’ net sales was due to a decrease in refined product prices primarily due to lower crude oil prices as the onset of the Russia-Ukraine war disrupted global energy markets in the prior period, recession concerns and slowing demand trends in the current period, as well as reduced volumes in the current period driven by a planned outage at one of the refineries during the three months ended June 30, 2023. The decrease in our nitrogen fertilizer business’ net sales was primarily due to a decrease in urea ammonium nitrate (“UAN”) and ammonia pricing conditions, offset in part by increased sales volume, which was primarily attributable to increased production at both fertilizer facilities due to operating reliability after the planned turnarounds in the third quarter of 2022. .</w:t>
      </w:r>
    </w:p>
    <w:p>
      <w:pPr>
        <w:spacing w:after="0" w:line="168"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Cost of goods sold for our Energy segment decreased by $725 million (27%) for the three months ended June 30, 2023 as compared to the comparable prior year period. The decrease was primarily due to our petroleum business as a result of a decrease in net sales due to lower crude oil prices, lower costs to comply with the RFS of $14 million, excluding revaluation expense variance of $49 million driven by a decline in RINs prices and higher derivative performance of $64 million compared to the prior period. Gross margin for our Energy segment decreased by $182 million for the three months ended June 30, 2023 as compared to the comparable prior year period. Gross margin as a percentage of net sales was 11% and 14% for the three months ended June 30, 2023 and 2022, respectively. The decrease in gross margin as a percentage of net sales was primarily attributable to the petroleum business, which was primarily due to lower crack spreads, offset in part by lower RFS costs and higher derivative performance.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Net sales for our Energy segment decreased by $994 million (18%) for the six months ended June 30, 2023 as compared to the comparable prior year period due to a decrease in our petroleum business’ net sales, which decreased $936 million, as well as a decrease in our nitrogen fertilizer business’ net sales, which decreased $58 million over the comparable periods. The decrease in the petroleum business’ net sales was due to a decrease in refined product prices primarily due to lower crude oil prices as the onset of the Russia-Ukraine war disrupted global energy markets in the prior period and recession concerns and slowing demand trends in the current period, as well as lower volumes in the current period driven by a planned outage at one of the refineries during the six months ended June 30, 2023. The decrease in our nitrogen fertilizer business’ net sales was primarily due to a decrease in UAN and ammonia pricing conditions, offset in part by increased sales volumes, which was primarily attributable to increased production at both fertilizer facilities due to operating reliability after the planned turnarounds in the third quarter of 2022.</w:t>
      </w:r>
    </w:p>
    <w:p>
      <w:pPr>
        <w:spacing w:after="0" w:line="168"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Cost of goods sold for our Energy segment decreased by $922 million (19%) for the six months ended June 30, 2023 as compared to the comparable prior year period. The decrease was primarily due to our petroleum business as a result of a decrease in net sales due to lower crude oil prices, favorable RINs liability revaluation of $124 million driven by a decline in RINs prices and higher derivative performance of $107 million. Gross margin for our Energy segment decreased by $72 million for the six months ended June 30, 2023 as compared to the comparable prior year period. Gross margin as</w:t>
      </w:r>
    </w:p>
    <w:p>
      <w:pPr>
        <w:spacing w:after="0" w:line="2"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a percentage of net sales was 13% and 12% for the six months ended June 30, 2023 and 2022, respectively. The decrease in the gross margin as a percentage of net sales was primarily attributable to the petroleum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business, which was primarily due to lower crack spreads, offset in part by favorable RINs liability revaluation and higher derivative performance.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84"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Our Automotive segment has been in the process of a multi-year transformation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has reduced our Automotive segment’s assets, reduced the sales of our Automotive segment in the six months ended June 30, 2023, and will result in lower net sales from our Automotive segment in future periods. Our results of operations for the six months ended June 30, 2023 include the results of Auto Plus prior to its January 31, 2023 bankruptcy petition.</w:t>
      </w:r>
    </w:p>
    <w:p>
      <w:pPr>
        <w:spacing w:after="0" w:line="177"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Our Automotive segment’s results include a wholly owned subsidiary the Company, which acquired $10 million of assets, mainly comprised of aftermarket parts inventory from the Auto Plus auction. There have been no significant transactions with this entity for the six months ended June 30, 2023.</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and tire distribution network;</w:t>
      </w:r>
    </w:p>
    <w:p>
      <w:pPr>
        <w:spacing w:after="0" w:line="9" w:lineRule="exact"/>
        <w:rPr>
          <w:rFonts w:ascii="Arial" w:cs="Arial" w:eastAsia="Arial" w:hAnsi="Arial"/>
          <w:sz w:val="18"/>
          <w:szCs w:val="18"/>
          <w:color w:val="auto"/>
        </w:rPr>
      </w:pPr>
    </w:p>
    <w:p>
      <w:pPr>
        <w:ind w:left="720" w:right="21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and strategic review of, capital projects within Icahn Automotive’s owned and leased locations to increase leasing revenue, restructure lease liabilities, and reduce occupancy costs;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The following table presents our Automotive segment’s operating revenue, cost of revenue and gross margin. Our Automotive segment’s results of operations include automotive services labor. Automotive services labor revenues are included in other revenues from operations in our condensed consolidated statements of operations, however, the sales of any installed parts or materials related to automotive services are included in net sales. Rental revenues for properties leased to third parties are included in other revenues from operations in our condensed consolidated statements of operations, however, are excluded from the table below. Therefore, we discuss the combined results of our automotive net sales and automotive services labor revenues below.</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142"/>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ind w:left="500"/>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revenues from operations</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1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Cost of goods sold and other expenses from operations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1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Net sales and other revenues from operations for our Automotive segment for the three months ended June 30, 2023 decreased by $196 million (32%) as compared to the comparable prior year period. The decrease was attributable to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in aftermarket parts sales of $196 million (91%), due to the deconsolidation of Auto Plus as of January 31, 2023.</w:t>
      </w:r>
    </w:p>
    <w:p>
      <w:pPr>
        <w:spacing w:after="0" w:line="248" w:lineRule="exact"/>
        <w:rPr>
          <w:sz w:val="20"/>
          <w:szCs w:val="20"/>
          <w:color w:val="auto"/>
        </w:rPr>
      </w:pPr>
    </w:p>
    <w:p>
      <w:pPr>
        <w:ind w:left="60" w:right="279" w:firstLine="324"/>
        <w:spacing w:after="0" w:line="255" w:lineRule="auto"/>
        <w:rPr>
          <w:sz w:val="20"/>
          <w:szCs w:val="20"/>
          <w:color w:val="auto"/>
        </w:rPr>
      </w:pPr>
      <w:r>
        <w:rPr>
          <w:rFonts w:ascii="Arial" w:cs="Arial" w:eastAsia="Arial" w:hAnsi="Arial"/>
          <w:sz w:val="18"/>
          <w:szCs w:val="18"/>
          <w:color w:val="auto"/>
        </w:rPr>
        <w:t>Cost of goods sold and other expenses from operations for the three months ended June 30, 2023 decreased by $107 million (25%) as compared to the comparable prior year period. The decrease was primarily driven by decreased aftermarket parts sales related to the deconsolidation of Auto Plus. Gross margin on net sales and other revenue from operations for the three months ended June 30, 2023 decreased from the comparable prior year period. Gross margin as a percentage of net sales and other revenue from operations was 24% and 31% for the three months ended June 30, 2023 and 2022,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Net sales and other revenues from operations for our Automotive segment for the six months ended June 30, 2023 decreased by $309 million (27%) as compared to the comparable prior year period. The decrease was attributable to a decrease in aftermarket parts sales of $324 million (78%), offset in part by an increase in automotive services revenue of $15 million (2%). The decrease in aftermarket part sales was due to the deconsolidation of Auto Plus as of January 31, 2023.</w:t>
      </w:r>
    </w:p>
    <w:p>
      <w:pPr>
        <w:spacing w:after="0" w:line="188" w:lineRule="exact"/>
        <w:rPr>
          <w:sz w:val="20"/>
          <w:szCs w:val="20"/>
          <w:color w:val="auto"/>
        </w:rPr>
      </w:pPr>
    </w:p>
    <w:p>
      <w:pPr>
        <w:ind w:left="60" w:right="439" w:firstLine="324"/>
        <w:spacing w:after="0" w:line="286" w:lineRule="auto"/>
        <w:rPr>
          <w:sz w:val="20"/>
          <w:szCs w:val="20"/>
          <w:color w:val="auto"/>
        </w:rPr>
      </w:pPr>
      <w:r>
        <w:rPr>
          <w:rFonts w:ascii="Arial" w:cs="Arial" w:eastAsia="Arial" w:hAnsi="Arial"/>
          <w:sz w:val="16"/>
          <w:szCs w:val="16"/>
          <w:color w:val="auto"/>
        </w:rPr>
        <w:t>Cost of goods sold and other expenses from operations for the six months ended June 30, 2023 decreased by $162 million (19%) as compared to the comparable prior year period. The decrease was primarily driven by decreased aftermarket parts sales related to the deconsolidation of Auto Plus. Gross margin on net sales and other revenue from operations for the six months ended June 30, 2023 decreased from the comparable prior year period. Gross margin as</w:t>
      </w:r>
    </w:p>
    <w:p>
      <w:pPr>
        <w:spacing w:after="0" w:line="1"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a percentage of net sales and other revenue from operations was 23% and 30% for the six months ended June 30, 2023 and 2022, respectively.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three months ended June 30, 2023 increased $7 million (6%) as compared to the comparable</w:t>
      </w:r>
    </w:p>
    <w:p>
      <w:pPr>
        <w:spacing w:after="0" w:line="35" w:lineRule="exact"/>
        <w:rPr>
          <w:sz w:val="20"/>
          <w:szCs w:val="20"/>
          <w:color w:val="auto"/>
        </w:rPr>
      </w:pPr>
    </w:p>
    <w:p>
      <w:pPr>
        <w:ind w:left="60" w:right="59"/>
        <w:spacing w:after="0" w:line="292" w:lineRule="auto"/>
        <w:rPr>
          <w:sz w:val="20"/>
          <w:szCs w:val="20"/>
          <w:color w:val="auto"/>
        </w:rPr>
      </w:pPr>
      <w:r>
        <w:rPr>
          <w:rFonts w:ascii="Arial" w:cs="Arial" w:eastAsia="Arial" w:hAnsi="Arial"/>
          <w:sz w:val="16"/>
          <w:szCs w:val="16"/>
          <w:color w:val="auto"/>
        </w:rPr>
        <w:t>prior year period. Impacts to sales were due to an increase of $8 million in price and product mix and $1 million due to the favorable effects of foreign exchange, offset in part by a decrease of $2 million due to lower volume. Cost of goods sold for the three months ended June 30, 2023 was flat as compared to the comparable prior year period due to the effects of higher purchase price variance and manufacturing variances offset by lower volume and improved distribution costs. Gross margin as a percentage of net sales was 23% and 18% for the three months ended June 30, 2023 and 2022,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Net sales for the six months ended June 30, 2023 increased $24 million (11%) as compared to the comparable prior year period. Impacts to sales were due to an increase of $29 million in price and product mix, offset in part by a decrease of $2 million from the unfavorable effects of foreign exchange offset and a decrease of $3 million due to volume. Cost of goods sold for the six months ended June 30, 2023 increased by $10 million (6%) as compared to the comparable prior year period due to the effects of manufacturing variances offset in part by lower distribution costs and volume. Gross margin as a percentage of net sales was 23% and 19% for the six months ended June 30, 2023 and 2022,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three months ended June 30, 2023 and 2022 were primarily derived from the sale of residential units and rental operations.</w:t>
      </w:r>
    </w:p>
    <w:p>
      <w:pPr>
        <w:spacing w:after="0" w:line="161"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During the second quarter of 2023, a significant tenant of a commercial high-rise property within our Real Estate segment was notified of default for non-payment. The tenant was unable to cure the default status and the lease was terminated. We considered this default, along with other facts and circumstances, a triggering event for potential impairment and we assessed the carrying value of this long-lived asset for recoverability during the second quarter of 2023. Based on the recoverability analysis, we determined the undiscounted cash flows of the commercial high-rise property exceeded its carrying value and therefore, no impairment is required. We do not anticipate that this lease termination will have a substantial impact on other revenues from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60" w:right="239" w:firstLine="324"/>
        <w:spacing w:after="0" w:line="285" w:lineRule="auto"/>
        <w:rPr>
          <w:sz w:val="20"/>
          <w:szCs w:val="20"/>
          <w:color w:val="auto"/>
        </w:rPr>
      </w:pPr>
      <w:r>
        <w:rPr>
          <w:rFonts w:ascii="Arial" w:cs="Arial" w:eastAsia="Arial" w:hAnsi="Arial"/>
          <w:sz w:val="16"/>
          <w:szCs w:val="16"/>
          <w:color w:val="auto"/>
        </w:rPr>
        <w:t>Net sales for the three months ended June 30, 2023 decreased by $23 million (33%) compared to the comparable prior year period due to normalized demand for our hospitality business in 2023 compared to a post pandemic related increase in demand in 2022 and a one-time textile award for the 2022 FIFA World Cup. Retail sales decreased as the soft home category has slowed, retailers have trimmed inventory and some retail customers have filed for bankruptcy. Cost of goods sold for the three months ended June 30, 2023 decreased by $22 million (39%) compared to the comparable</w:t>
      </w:r>
    </w:p>
    <w:p>
      <w:pPr>
        <w:spacing w:after="0" w:line="2" w:lineRule="exact"/>
        <w:rPr>
          <w:sz w:val="20"/>
          <w:szCs w:val="20"/>
          <w:color w:val="auto"/>
        </w:rPr>
      </w:pPr>
    </w:p>
    <w:p>
      <w:pPr>
        <w:ind w:left="60" w:right="159"/>
        <w:spacing w:after="0" w:line="323" w:lineRule="auto"/>
        <w:rPr>
          <w:sz w:val="20"/>
          <w:szCs w:val="20"/>
          <w:color w:val="auto"/>
        </w:rPr>
      </w:pPr>
      <w:r>
        <w:rPr>
          <w:rFonts w:ascii="Arial" w:cs="Arial" w:eastAsia="Arial" w:hAnsi="Arial"/>
          <w:sz w:val="16"/>
          <w:szCs w:val="16"/>
          <w:color w:val="auto"/>
        </w:rPr>
        <w:t>prior year period mostly due to lower hospitality and retail sales along with lower material and freight costs. Gross margin as a percentage of net sales was 24% and 17% for the three months ended June 30, 2023 and 2022, respectively.</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Net sales for the six months ended June 30, 2023 decreased by $38 million (31%) compared to the comparable prior year period due to normalized demand for our hospitality business in 2023 compared to a post pandemic related increase in demand in 2022 and a one-time textile award for the 2022 FIFA World Cup. Retail sales decreased as the soft home category has slowed, retailers have trimmed inventory and some retail customers have filed for bankruptcy. Cost of goods sold for the six months ended June 30, 2023 decreased by $35 million (34%) compared to the comparable prior year period mostly due to lower hospitality and retail sales along with lower material and freight costs. Gross margin as a percentage of net sales was 22% and 18% for the six months ended June 30, 2023 and 2022,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Pharma segment derives revenues primarily from the sale of its products directly to customers, wholesalers and pharmacies.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Net sales for the three months ended June 30, 2023 increased by $5 million (28%) compared to the comparable prior year period primarily due to higher prescription growth resulting in increased sales. Cost of goods sold for the three months ended June 30, 2023 increased $2 million (17%) compared to the prior year period due to increased sales. Gross margin as a percentage of net sales was 39% and 33% for both of the three months ended June 30, 2023 and 2022, respectively.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Net sales for the six months ended June 30, 2023 increased by $10 million (30%) compared to the comparable prior year period primarily due to higher prescription growth resulting in increased sales. Cost of goods sold for the six months ended June 30, 2023 increased $2 million (8%) compared to the prior year period due to increased sales. Gross margin as a percentage of net sales was 40% and 27% for both of the six months ended June 30, 2023 and 2022,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Holding Company’s results of operations primarily reflect the loss on deconsolidation of subsidiary, credit loss on related party note receivable, net and interest expense on its senior unsecured notes for each of the three and six months ended June 30, 2023 and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on deconsolidation of subsidiary</w:t>
      </w:r>
    </w:p>
    <w:p>
      <w:pPr>
        <w:spacing w:after="0" w:line="229" w:lineRule="exact"/>
        <w:rPr>
          <w:sz w:val="20"/>
          <w:szCs w:val="20"/>
          <w:color w:val="auto"/>
        </w:rPr>
      </w:pPr>
    </w:p>
    <w:p>
      <w:pPr>
        <w:jc w:val="both"/>
        <w:ind w:left="60" w:right="299" w:firstLine="360"/>
        <w:spacing w:after="0" w:line="263" w:lineRule="auto"/>
        <w:rPr>
          <w:sz w:val="20"/>
          <w:szCs w:val="20"/>
          <w:color w:val="auto"/>
        </w:rPr>
      </w:pPr>
      <w:r>
        <w:rPr>
          <w:rFonts w:ascii="Arial" w:cs="Arial" w:eastAsia="Arial" w:hAnsi="Arial"/>
          <w:sz w:val="18"/>
          <w:szCs w:val="18"/>
          <w:color w:val="auto"/>
        </w:rPr>
        <w:t>As discussed in Note 3, “Subsidiary Bankruptcy and Deconsolidation”, to the consolidated financial statements, we deconsolidated Auto Plus effective as of January 31, 2023, resulting in a pretax loss on deconsolidation of subsidiary of $246 million during the six months ended June 30,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loss on related party note receivable</w:t>
      </w:r>
    </w:p>
    <w:p>
      <w:pPr>
        <w:spacing w:after="0" w:line="229" w:lineRule="exact"/>
        <w:rPr>
          <w:sz w:val="20"/>
          <w:szCs w:val="20"/>
          <w:color w:val="auto"/>
        </w:rPr>
      </w:pPr>
    </w:p>
    <w:p>
      <w:pPr>
        <w:jc w:val="both"/>
        <w:ind w:left="60" w:right="239" w:firstLine="324"/>
        <w:spacing w:after="0" w:line="277" w:lineRule="auto"/>
        <w:rPr>
          <w:sz w:val="20"/>
          <w:szCs w:val="20"/>
          <w:color w:val="auto"/>
        </w:rPr>
      </w:pPr>
      <w:r>
        <w:rPr>
          <w:rFonts w:ascii="Arial" w:cs="Arial" w:eastAsia="Arial" w:hAnsi="Arial"/>
          <w:sz w:val="18"/>
          <w:szCs w:val="18"/>
          <w:color w:val="auto"/>
        </w:rPr>
        <w:t>Our credit loss on related party note receivable of $116 million for the six months ended June 30, 2023 relates to the note receivable expected to be uncollectible.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Our consolidated selling, general and administrative costs during the three months ended June 30, 2023 decreased by $100 million (32%) as compared to the comparable prior year period primarily due to lower expenses of our Automotive segment mainly related to the deconsolidation of Auto Plus.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Our consolidated selling, general and administrative costs during the six months ended June 30, 2023 decreased by $172 million (28%) as compared to the comparable prior year period primarily due to lower expenses of our Automotive segment mainly related to the deconsolidation of Auto Plus.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2023 and 2022</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Our consolidated interest expense during the three months ended June 30, 2023 decreased by $15 million (10%) as compared to the comparable prior year period. The decrease was primarily due to lower interest expense for our Investment segment due to a reduction in short credit exposure.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2023 and 2022</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Our consolidated interest expense during the six months ended June 30, 2023 decreased by $7 million (2%) as compared to the comparable prior year period. The decrease was primarily due to lower interest expense for our Holding Company due to the $500 million debt repayment in February 2022.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15,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As of June 30, 2023, our Holding Company had cash and cash equivalents of approximately $1.6 billion and total debt of approximately $5.3 billion. During the quarter ended June 30, 2023, the cash available to our Holding Company declined by $100 million in connection with the establishment of a captive insurance program to supplement the insurance coverage of the officers, directors, employees and agents of the Company, its subsidiaries and our general partner, in addition to our newly established commercial insurance program. If and when the captive insurance program is cancelled, previously restricted funds will be released and returned to the Holding Company. As of June 30, 2023, our Holding Company had investments in the Investment Funds with a total fair market value of approximately $3.8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1"/>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40" w:type="dxa"/>
            <w:vAlign w:val="bottom"/>
            <w:gridSpan w:val="2"/>
          </w:tcPr>
          <w:p>
            <w:pPr>
              <w:spacing w:after="0" w:line="142" w:lineRule="exact"/>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87"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the 6.375% senior unsecured note due 2025 and the 6.250% senior unsecured note due 2026 are subject to optional redemption premiums in the event we redeem any of the notes prior to certain dates as described in the indentures.</w:t>
      </w:r>
    </w:p>
    <w:p>
      <w:pPr>
        <w:spacing w:after="0" w:line="181"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As of June 30, 2023 and December 31, 2022, we were in compliance with all covenants, including maintaining certain minimum financial ratios, as defined in the indentures. Additionally, as of June 30, 2023,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During the six months ended June 30, 2023, Icahn Enterprises sold 3,395,353 depositary units pursuant to its Open Market Sale Agreement, resulting in gross proceeds of $175 million. We continue to have an active Open Market Sale Agreement and Icahn Enterprises may sell its depositary units for up to an additional $149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depository units during the six months ended June 30, 2023 (all of which were completed during the three months ended March 31, 2023), there can be no assurance that any future capital will be available on acceptable terms or at all under this program.</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jc w:val="both"/>
        <w:ind w:left="60" w:right="139" w:firstLine="324"/>
        <w:spacing w:after="0" w:line="279" w:lineRule="auto"/>
        <w:rPr>
          <w:sz w:val="20"/>
          <w:szCs w:val="20"/>
          <w:color w:val="auto"/>
        </w:rPr>
      </w:pPr>
      <w:r>
        <w:rPr>
          <w:rFonts w:ascii="Arial" w:cs="Arial" w:eastAsia="Arial" w:hAnsi="Arial"/>
          <w:sz w:val="17"/>
          <w:szCs w:val="17"/>
          <w:color w:val="auto"/>
        </w:rPr>
        <w:t>During the six months ended June 30, 2023, Icahn Enterprises declared two quarterly dividends aggregating $4.00 per depository unit in which each depository unitholder had the option to make an election to receive either cash or additional depository units. In connection with this distribution, aggregate cash distributions to all depository unitholders that made a timely election to receive cash was $175 million during the six months ended June 30, 2023.</w:t>
      </w:r>
    </w:p>
    <w:p>
      <w:pPr>
        <w:spacing w:after="0" w:line="171"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On August 2, 2023, the Board of Directors of the general partner of Icahn Enterprises declared a quarterly distribution in the amount of $1.00 per depositary unit, which will be paid on or about September 27, 2023 to depositary unitholders of record at the close of business on August 18, 2023. Depositary unitholders will have until September 15, 2023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22, 2023. Icahn Enterprises will make a cash payment in lieu of issuing fractional depositary units to any unitholders electing to receive (or who are deemed to have elected to receive) depositary units.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Repurchase Authorization</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As of June 30, 2023, the Company has not repurchased any of the Company’s depository units or senior notes under the Repurchase Program.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319" w:firstLine="324"/>
        <w:spacing w:after="0" w:line="296" w:lineRule="auto"/>
        <w:rPr>
          <w:sz w:val="20"/>
          <w:szCs w:val="20"/>
          <w:color w:val="auto"/>
        </w:rPr>
      </w:pPr>
      <w:r>
        <w:rPr>
          <w:rFonts w:ascii="Arial" w:cs="Arial" w:eastAsia="Arial" w:hAnsi="Arial"/>
          <w:sz w:val="16"/>
          <w:szCs w:val="16"/>
          <w:color w:val="auto"/>
        </w:rPr>
        <w:t>Additionally, our Investment segment liquidity is driven by the investment activities and performance of the Investment Funds. As of June 30, 2023, the Investment Funds had a net short notional exposure of 18%. The Investment Funds’ long exposure was 103% (87% long equity and 16% long credit) and its short exposure was 121% (101% short equity, 14% short credit and 6% short other). The notional exposure represents the ratio of the notional exposure of the Investment Funds’ invested capital to the net asset value of the Investment Funds at June 30, 2023.</w:t>
      </w:r>
    </w:p>
    <w:p>
      <w:pPr>
        <w:spacing w:after="0" w:line="161"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Of the Investment Funds’ 103% long exposure, 70% was comprised of the fair value of its long positions and 33% was comprised mostly of single name equity forward and swap contracts. Of the Investment Funds’ 121% short exposure, 49% was comprised of the fair value of its short positions (with certain adjustments) and 72% was comprised mostly of short broad market index swap derivative contracts and short credit default swap contracts.</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(70% long exposure) and our short positions that are not notionalized (49%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(72%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During the second quarter, our bearish view on the market shifted which has impacted and may continue to impact our net short position accordingly.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Funds Redemption</w:t>
      </w:r>
    </w:p>
    <w:p>
      <w:pPr>
        <w:spacing w:after="0" w:line="225"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During the six months ended June 30, 2023, Mr. Icahn and his affiliates (excluding us and Brett Icahn) redeemed $1,452 million from his personal interests in the Investment Funds included in the Investment segment.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June 30,</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2022</w:t>
            </w: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7"/>
              </w:rPr>
              <w:t>millions)</w:t>
            </w:r>
          </w:p>
        </w:tc>
        <w:tc>
          <w:tcPr>
            <w:tcW w:w="780" w:type="dxa"/>
            <w:vAlign w:val="bottom"/>
          </w:tcPr>
          <w:p>
            <w:pPr>
              <w:spacing w:after="0"/>
              <w:rPr>
                <w:sz w:val="12"/>
                <w:szCs w:val="1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Pharma</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6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197"/>
        </w:trPr>
        <w:tc>
          <w:tcPr>
            <w:tcW w:w="6580" w:type="dxa"/>
            <w:vAlign w:val="bottom"/>
            <w:tcBorders>
              <w:top w:val="single" w:sz="8" w:color="CCEEFF"/>
            </w:tcBorders>
          </w:tcPr>
          <w:p>
            <w:pPr>
              <w:ind w:left="20"/>
              <w:spacing w:after="0" w:line="197" w:lineRule="exact"/>
              <w:rPr>
                <w:sz w:val="20"/>
                <w:szCs w:val="20"/>
                <w:color w:val="auto"/>
              </w:rPr>
            </w:pPr>
            <w:r>
              <w:rPr>
                <w:rFonts w:ascii="Arial" w:cs="Arial" w:eastAsia="Arial" w:hAnsi="Arial"/>
                <w:sz w:val="18"/>
                <w:szCs w:val="18"/>
                <w:i w:val="1"/>
                <w:iCs w:val="1"/>
                <w:color w:val="auto"/>
              </w:rPr>
              <w:t>Segment Borrowings and Availability</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431"/>
        </w:trPr>
        <w:tc>
          <w:tcPr>
            <w:tcW w:w="6580" w:type="dxa"/>
            <w:vAlign w:val="bottom"/>
          </w:tcPr>
          <w:p>
            <w:pPr>
              <w:ind w:left="340"/>
              <w:spacing w:after="0"/>
              <w:rPr>
                <w:sz w:val="20"/>
                <w:szCs w:val="20"/>
                <w:color w:val="auto"/>
              </w:rPr>
            </w:pPr>
            <w:r>
              <w:rPr>
                <w:rFonts w:ascii="Arial" w:cs="Arial" w:eastAsia="Arial" w:hAnsi="Arial"/>
                <w:sz w:val="18"/>
                <w:szCs w:val="18"/>
                <w:color w:val="auto"/>
              </w:rPr>
              <w:t>Segment debt consists of the following:</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(in</w:t>
            </w:r>
          </w:p>
        </w:tc>
        <w:tc>
          <w:tcPr>
            <w:tcW w:w="540" w:type="dxa"/>
            <w:vAlign w:val="bottom"/>
            <w:gridSpan w:val="2"/>
          </w:tcPr>
          <w:p>
            <w:pPr>
              <w:spacing w:after="0" w:line="142" w:lineRule="exact"/>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6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2022 for information concerning terms, restrictions and covenants pertaining to our subsidiaries’ debt. As of June 30, 2023, all of our subsidiaries were in compliance with all debt covenants.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Energy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Food Packaging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Home Fashion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249"/>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ind w:left="409"/>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543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229"/>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635</wp:posOffset>
            </wp:positionV>
            <wp:extent cx="56578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869" w:hanging="869"/>
        <w:spacing w:after="0"/>
        <w:tabs>
          <w:tab w:leader="none" w:pos="8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290</w:t>
      </w:r>
    </w:p>
    <w:p>
      <w:pPr>
        <w:spacing w:after="0" w:line="41" w:lineRule="exact"/>
        <w:rPr>
          <w:rFonts w:ascii="Arial" w:cs="Arial" w:eastAsia="Arial" w:hAnsi="Arial"/>
          <w:sz w:val="15"/>
          <w:szCs w:val="15"/>
          <w:color w:val="auto"/>
        </w:rPr>
      </w:pPr>
    </w:p>
    <w:p>
      <w:pPr>
        <w:ind w:left="949"/>
        <w:spacing w:after="0"/>
        <w:rPr>
          <w:rFonts w:ascii="Arial" w:cs="Arial" w:eastAsia="Arial" w:hAnsi="Arial"/>
          <w:sz w:val="15"/>
          <w:szCs w:val="15"/>
          <w:color w:val="auto"/>
        </w:rPr>
      </w:pPr>
      <w:r>
        <w:rPr>
          <w:rFonts w:ascii="Arial" w:cs="Arial" w:eastAsia="Arial" w:hAnsi="Arial"/>
          <w:sz w:val="16"/>
          <w:szCs w:val="16"/>
          <w:color w:val="auto"/>
        </w:rPr>
        <w:t>25</w:t>
      </w:r>
    </w:p>
    <w:p>
      <w:pPr>
        <w:spacing w:after="0" w:line="32" w:lineRule="exact"/>
        <w:rPr>
          <w:rFonts w:ascii="Arial" w:cs="Arial" w:eastAsia="Arial" w:hAnsi="Arial"/>
          <w:sz w:val="15"/>
          <w:szCs w:val="15"/>
          <w:color w:val="auto"/>
        </w:rPr>
      </w:pPr>
    </w:p>
    <w:p>
      <w:pPr>
        <w:ind w:left="1049"/>
        <w:spacing w:after="0"/>
        <w:rPr>
          <w:rFonts w:ascii="Arial" w:cs="Arial" w:eastAsia="Arial" w:hAnsi="Arial"/>
          <w:sz w:val="15"/>
          <w:szCs w:val="15"/>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-93980</wp:posOffset>
            </wp:positionV>
            <wp:extent cx="565785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47" w:lineRule="exact"/>
        <w:rPr>
          <w:sz w:val="20"/>
          <w:szCs w:val="20"/>
          <w:color w:val="auto"/>
        </w:rPr>
      </w:pPr>
    </w:p>
    <w:p>
      <w:pPr>
        <w:ind w:left="869" w:hanging="869"/>
        <w:spacing w:after="0"/>
        <w:tabs>
          <w:tab w:leader="none" w:pos="8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543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7051" w:space="720"/>
            <w:col w:w="1248"/>
          </w:cols>
          <w:pgMar w:left="1440" w:top="517" w:right="1440" w:bottom="1440" w:gutter="0" w:footer="0" w:header="0"/>
          <w:type w:val="continuous"/>
        </w:sect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-302260</wp:posOffset>
            </wp:positionV>
            <wp:extent cx="7543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the six months ended June 30, 2023, CVR Partners did not repurchase any common units.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During the six months ended June 30, 2022, CVR Partners repurchased 111,695 common units on the open market at a cost of $12 million. As of June 30, 2023, CVR Partners has a nominal amount remaining under its unit repurchase program.</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For the first quarter of 2023, our Energy segment paid a cash dividend of $0.50 per share, which was paid May 22, 2023 to shareholders of record as of May 15, 2023. Our portion of the dividend included approximately $36 million in cash.</w:t>
      </w:r>
    </w:p>
    <w:p>
      <w:pPr>
        <w:spacing w:after="0" w:line="184"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For the second quarter of 2023, our Energy segment declared a cash dividend of $0.50 per share, which is payable August 21, 2023 to shareholders of record as of August 14, 2023. Our portion of the dividend will include approximately $36 million in cash.</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second quarter of 2023, our Energy segment declared a special dividend of $1.00 per share, or $101 million, which is payable August 21, 2023 to shareholders on record as of August 14, 2023. Our portion of the dividend will include approximately $71 million in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issuances of equity by Icahn Enterprises.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6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8"/>
          </w:tcPr>
          <w:p>
            <w:pPr>
              <w:jc w:val="center"/>
              <w:ind w:right="188"/>
              <w:spacing w:after="0"/>
              <w:rPr>
                <w:sz w:val="20"/>
                <w:szCs w:val="20"/>
                <w:color w:val="auto"/>
              </w:rPr>
            </w:pPr>
            <w:r>
              <w:rPr>
                <w:rFonts w:ascii="Arial" w:cs="Arial" w:eastAsia="Arial" w:hAnsi="Arial"/>
                <w:sz w:val="14"/>
                <w:szCs w:val="14"/>
                <w:b w:val="1"/>
                <w:bCs w:val="1"/>
                <w:color w:val="auto"/>
                <w:w w:val="92"/>
              </w:rPr>
              <w:t>Six Months Ended June 30, 2023</w:t>
            </w:r>
          </w:p>
        </w:tc>
        <w:tc>
          <w:tcPr>
            <w:tcW w:w="100" w:type="dxa"/>
            <w:vAlign w:val="bottom"/>
          </w:tcPr>
          <w:p>
            <w:pPr>
              <w:spacing w:after="0"/>
              <w:rPr>
                <w:sz w:val="14"/>
                <w:szCs w:val="14"/>
                <w:color w:val="auto"/>
              </w:rPr>
            </w:pPr>
          </w:p>
        </w:tc>
        <w:tc>
          <w:tcPr>
            <w:tcW w:w="2680" w:type="dxa"/>
            <w:vAlign w:val="bottom"/>
            <w:gridSpan w:val="7"/>
          </w:tcPr>
          <w:p>
            <w:pPr>
              <w:jc w:val="center"/>
              <w:ind w:right="13"/>
              <w:spacing w:after="0"/>
              <w:rPr>
                <w:sz w:val="20"/>
                <w:szCs w:val="20"/>
                <w:color w:val="auto"/>
              </w:rPr>
            </w:pPr>
            <w:r>
              <w:rPr>
                <w:rFonts w:ascii="Arial" w:cs="Arial" w:eastAsia="Arial" w:hAnsi="Arial"/>
                <w:sz w:val="14"/>
                <w:szCs w:val="14"/>
                <w:b w:val="1"/>
                <w:bCs w:val="1"/>
                <w:color w:val="auto"/>
                <w:w w:val="93"/>
              </w:rPr>
              <w:t>Six Months Ended June 30, 2022</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8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80" w:type="dxa"/>
            <w:vAlign w:val="bottom"/>
            <w:tcBorders>
              <w:top w:val="single" w:sz="8" w:color="auto"/>
              <w:bottom w:val="single" w:sz="8" w:color="auto"/>
            </w:tcBorders>
            <w:gridSpan w:val="7"/>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Investing</w:t>
            </w:r>
          </w:p>
        </w:tc>
        <w:tc>
          <w:tcPr>
            <w:tcW w:w="80" w:type="dxa"/>
            <w:vAlign w:val="bottom"/>
          </w:tcPr>
          <w:p>
            <w:pPr>
              <w:spacing w:after="0"/>
              <w:rPr>
                <w:sz w:val="10"/>
                <w:szCs w:val="10"/>
                <w:color w:val="auto"/>
              </w:rPr>
            </w:pPr>
          </w:p>
        </w:tc>
        <w:tc>
          <w:tcPr>
            <w:tcW w:w="72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9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72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Investing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4"/>
              <w:spacing w:after="0" w:line="142" w:lineRule="exact"/>
              <w:rPr>
                <w:sz w:val="20"/>
                <w:szCs w:val="20"/>
                <w:color w:val="auto"/>
              </w:rPr>
            </w:pPr>
            <w:r>
              <w:rPr>
                <w:rFonts w:ascii="Arial" w:cs="Arial" w:eastAsia="Arial" w:hAnsi="Arial"/>
                <w:sz w:val="14"/>
                <w:szCs w:val="14"/>
                <w:color w:val="auto"/>
              </w:rPr>
              <w:t>(in</w:t>
            </w:r>
          </w:p>
        </w:tc>
        <w:tc>
          <w:tcPr>
            <w:tcW w:w="980" w:type="dxa"/>
            <w:vAlign w:val="bottom"/>
            <w:gridSpan w:val="3"/>
          </w:tcPr>
          <w:p>
            <w:pPr>
              <w:jc w:val="center"/>
              <w:ind w:right="434"/>
              <w:spacing w:after="0" w:line="142" w:lineRule="exact"/>
              <w:rPr>
                <w:sz w:val="20"/>
                <w:szCs w:val="20"/>
                <w:color w:val="auto"/>
              </w:rPr>
            </w:pPr>
            <w:r>
              <w:rPr>
                <w:rFonts w:ascii="Arial" w:cs="Arial" w:eastAsia="Arial" w:hAnsi="Arial"/>
                <w:sz w:val="14"/>
                <w:szCs w:val="14"/>
                <w:color w:val="auto"/>
                <w:w w:val="89"/>
              </w:rPr>
              <w:t>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Investment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75"/>
        </w:trPr>
        <w:tc>
          <w:tcPr>
            <w:tcW w:w="1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Other Operating Segments: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Automotive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Home Fashion</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Pharma</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8"/>
              </w:rPr>
              <w:t>Other operating segments</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1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8"/>
              </w:rPr>
              <w:t>Total before eliminations</w:t>
            </w:r>
          </w:p>
        </w:tc>
        <w:tc>
          <w:tcPr>
            <w:tcW w:w="1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Consolidated</w:t>
            </w:r>
          </w:p>
        </w:tc>
        <w:tc>
          <w:tcPr>
            <w:tcW w:w="1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333"/>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Holding Company’s cash flows from operating activities for each of the six months ended June 30, 2023 and 2022 were primarily attributable to our semi-annual interest payments on our senior unsecured notes. The decrease in interest payments over the comparable period is primarily due to the redemption of $500 million of senior unsecured notes in February 2022.</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Holding Company’s cash flows from investing activities for the six months ended June 30, 2023 were primarily attributable to dividends from our Energy segment of $71 million offset in part by net contributions to our operating subsidiaries aggregating $18 million. Our Holding Company’s cash flows from investing activities for the six months ended June 30, 2022 were primarily attributable to proceeds from the sale of equity investments aggregating $153 million.</w:t>
      </w:r>
    </w:p>
    <w:p>
      <w:pPr>
        <w:spacing w:after="0" w:line="15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Holding Company’s cash flows used in financing activities for the six months ended June 30, 2023 were due to proceeds of $185 million from our “at-the-market” offering offset in part by the aggregate payments on our quarterly distributions. Our Holding Company’s cash flows used in financing activities for the six months ended June 30, 2022 were due to the redemption of $500 million of senior unsecured notes offset in part by proceeds from our “at-the-market” offering offset in part by the aggregate payments on our quarterly distributions.</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Our Investment segment’s cash flows from financing activities for the six months ended June 30, 2023 was mainly attributable to redemptions paid to Mr. Icahn and his affiliates (excluding us and Brett Icahn) of $1,452 million. Our Investment segment’s cash flows from financing activities for the six months ended June 30, 2022 was attributable to Brett Icahn’s contribution to the Funds of $5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Our other operating segments’ cash flows from operating activities included net cash flows from operating activities before changes in operating assets and liabilities of $667 million and $597 million for the six months ended June 30, 2023 and 2022, respectively, primarily due to the results of our Energy segment during both periods. The change in cash flows from operating activities for the six months ended June 30, 2023 as compared to the comparable prior year was primarily due to an increase in the operating results of our Automotive segment primarily associated with the deconsolidation of Auto Plus.</w:t>
      </w:r>
    </w:p>
    <w:p>
      <w:pPr>
        <w:spacing w:after="0" w:line="192" w:lineRule="exact"/>
        <w:rPr>
          <w:sz w:val="20"/>
          <w:szCs w:val="20"/>
          <w:color w:val="auto"/>
        </w:rPr>
      </w:pPr>
    </w:p>
    <w:p>
      <w:pPr>
        <w:jc w:val="both"/>
        <w:ind w:left="60" w:right="459" w:firstLine="324"/>
        <w:spacing w:after="0" w:line="286" w:lineRule="auto"/>
        <w:rPr>
          <w:sz w:val="20"/>
          <w:szCs w:val="20"/>
          <w:color w:val="auto"/>
        </w:rPr>
      </w:pPr>
      <w:r>
        <w:rPr>
          <w:rFonts w:ascii="Arial" w:cs="Arial" w:eastAsia="Arial" w:hAnsi="Arial"/>
          <w:sz w:val="17"/>
          <w:szCs w:val="17"/>
          <w:color w:val="auto"/>
        </w:rPr>
        <w:t>Our other operating segments’ cash flows from investing activities were primarily due to capital expenditures and turnaround expenditures in our Energy segment of $150 million in 2023 compared to $156 million in 2022 and capital expenditures within our Automotive segment of $21 million in 2023 compared to $51 million in 2022.</w:t>
      </w:r>
    </w:p>
    <w:p>
      <w:pPr>
        <w:spacing w:after="0" w:line="16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Our other operating segments’ cash flows from financing activities were primarily due to our Energy segment. For the six months ended June 30, 2023, our Energy segment paid a distribution to noncontrolling interests of $170 million, compared to $62 million paid in the six months ended June 30, 2022. In addition, for the six months ended June 30, 2022, our Energy segment redeemed senior notes of $65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2023 reported in our Annual Report on Form 10-K for the year ended December 31, 2022.</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9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2022.</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2023, we estimate that in the event of a 10% adverse change in the fair value of these investments, the fair values of securities owned, securities sold, not yet purchased and derivatives would be negatively impacted by approximately $482 million, $337 million and $880 million, respectively. However, as of June 30, 2023, we estimate that the impact to our share of the net gain (loss) from investment activities reported in our condensed consolidated statement of operations would be less than the change in fair value since we have an interest of approximately 55% in the Investment Funds.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As of June 30, 2023,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18,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than as set forth below, there were no material changes to our risk factors during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June 30, 2023 as compared to those reported in our Annual Report on Form 10-K for the year ended December 31, 2022.</w:t>
      </w:r>
    </w:p>
    <w:p>
      <w:pPr>
        <w:spacing w:after="0" w:line="23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b w:val="1"/>
          <w:bCs w:val="1"/>
          <w:i w:val="1"/>
          <w:iCs w:val="1"/>
          <w:color w:val="auto"/>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spacing w:after="0" w:line="184"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approximately 85% of Icahn Enterprises’ outstanding depositary units as of June 30, 2023, and, as a result, has the ability to influence many aspects of our operations and affairs.</w:t>
      </w:r>
    </w:p>
    <w:p>
      <w:pPr>
        <w:spacing w:after="0" w:line="184"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66"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July 10, 2023, Mr. Icahn and his affiliates have pledged 320 million depositary units and approximately $2 billion of interests in the Investment Funds. Neither Icahn Enterprises nor any of its subsidiaries are party to these loans. Mr. Icahn amended and restated his loan agreements in July of 2023 (as amended and restated, the “Loan Agreement”), extending the maturity of certain of the previous loans, amending certain covenants, and providing for a principal payment of $500 million on or before September 1, 2023, quarterly principal payments of $87.5 million beginning in September 2024, and a final principal payment of $2.5 billion at the end of the term. The terms of the Loan Agreement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w:t>
      </w:r>
    </w:p>
    <w:p>
      <w:pPr>
        <w:spacing w:after="0" w:line="167"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Unlike the previous loan agreements, for purposes of the loan-to-value ratio set forth in the Loan Agreement, the value of the pledged depositary units will be calculated based upon IEP’s indicative net asset value rather than the market price of the depositary units. Only a significant decline in the Company’s indicative net asset value, or the value of the interests in the Investment Funds, could result in margin calls. Declines in the trading price of the Company’s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depositary units will no longer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some of which are out of our control.</w:t>
      </w:r>
    </w:p>
    <w:p>
      <w:pPr>
        <w:spacing w:after="0" w:line="19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Mr. Icahn may sell depositary units or make withdrawals from the Investment Funds in order to satisfy payment obligations under the Loan Agreements. Mr. Icahn has made withdrawals from the Investment Funds in recent months, and may make additional withdrawals,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affect the value of the assets held by the Investment Funds as well as the liquidity available to the Company.</w:t>
      </w:r>
    </w:p>
    <w:p>
      <w:pPr>
        <w:spacing w:after="0" w:line="195" w:lineRule="exact"/>
        <w:rPr>
          <w:sz w:val="20"/>
          <w:szCs w:val="20"/>
          <w:color w:val="auto"/>
        </w:rPr>
      </w:pPr>
    </w:p>
    <w:p>
      <w:pPr>
        <w:ind w:left="60" w:right="59" w:firstLine="324"/>
        <w:spacing w:after="0" w:line="272"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85%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spacing w:after="0" w:line="177"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18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spacing w:after="0" w:line="184"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On May 2, 2023, a firm published a report making allegations about the Company in an attempt to drive down the market price of our depositary units, and the price of our depositary units declined significantly after the publication of this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a result of the recent short seller report we may also be the subject of suits or government inquiries prompted by the allegations made by the short seller, and future short seller reports could prompt additional lawsuits or investigations.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 xml:space="preserve">Since the publication of the short seller report in May of 2023, we have received two, and may receive additional, putative securities class action lawsuits. The two putative securities class action lawsuits were filed in the U.S. District Court for the Southern District of Florida, </w:t>
      </w:r>
      <w:r>
        <w:rPr>
          <w:rFonts w:ascii="Arial" w:cs="Arial" w:eastAsia="Arial" w:hAnsi="Arial"/>
          <w:sz w:val="16"/>
          <w:szCs w:val="16"/>
          <w:i w:val="1"/>
          <w:iCs w:val="1"/>
          <w:color w:val="auto"/>
        </w:rPr>
        <w:t>Okaro v. Icahn Enterprises L.P. et al.</w:t>
      </w:r>
      <w:r>
        <w:rPr>
          <w:rFonts w:ascii="Arial" w:cs="Arial" w:eastAsia="Arial" w:hAnsi="Arial"/>
          <w:sz w:val="16"/>
          <w:szCs w:val="16"/>
          <w:color w:val="auto"/>
        </w:rPr>
        <w:t xml:space="preserve">, Case No. 23-21773 (S.D. Fl.), and </w:t>
      </w:r>
      <w:r>
        <w:rPr>
          <w:rFonts w:ascii="Arial" w:cs="Arial" w:eastAsia="Arial" w:hAnsi="Arial"/>
          <w:sz w:val="16"/>
          <w:szCs w:val="16"/>
          <w:i w:val="1"/>
          <w:iCs w:val="1"/>
          <w:color w:val="auto"/>
        </w:rPr>
        <w:t>Levine</w:t>
      </w:r>
      <w:r>
        <w:rPr>
          <w:rFonts w:ascii="Arial" w:cs="Arial" w:eastAsia="Arial" w:hAnsi="Arial"/>
          <w:sz w:val="16"/>
          <w:szCs w:val="16"/>
          <w:color w:val="auto"/>
        </w:rPr>
        <w:t xml:space="preserve"> </w:t>
      </w:r>
      <w:r>
        <w:rPr>
          <w:rFonts w:ascii="Arial" w:cs="Arial" w:eastAsia="Arial" w:hAnsi="Arial"/>
          <w:sz w:val="16"/>
          <w:szCs w:val="16"/>
          <w:i w:val="1"/>
          <w:iCs w:val="1"/>
          <w:color w:val="auto"/>
        </w:rPr>
        <w:t>v. Icahn Enterprises L.P. et al.</w:t>
      </w:r>
      <w:r>
        <w:rPr>
          <w:rFonts w:ascii="Arial" w:cs="Arial" w:eastAsia="Arial" w:hAnsi="Arial"/>
          <w:sz w:val="16"/>
          <w:szCs w:val="16"/>
          <w:color w:val="auto"/>
        </w:rPr>
        <w:t>, Case No. 23-22009 (S.D. Fl.). These lawsuits have not yet been consolidated and a lead</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 has not been appointed. In addition, we have received demands for inspection of our books and records from plaintiffs purporting to be record holders of our depositary units. We have also received voluntary requests for information from the staff of the Division of Enforcement of the SEC and the U.S. Attorney’s office for the Southern District of New York, relating to, among other things, our corporate governance, capitalization, securities offerings, the sufficiency of our disclosure, including with respect to Mr. Icahn’s loans and pledges of depositary units, dividends, the valuation of our assets, marketing materials, due diligence and other materials. See Item 1 of Part II, “Legal Proceedings,” of this Report. We can provide no assurance as to the outcome or resolution of any pending or potential legal or administrative actions or investigations, and such actions and investigations may result in administrative orders against us, the imposition of penalties and/or fines against us and/or the imposition of sanctions against certain of the Company's current or former officers, directors and/or employees. Resolution of these types of matters can be prolonged and costly, and the ultimate results or judgments are uncertain due to the inherent uncertainty in the outcomes of litigation and other proceedings. However, as we have stated, 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w:t>
      </w:r>
    </w:p>
    <w:p>
      <w:pPr>
        <w:spacing w:after="0" w:line="17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become taxable as a corporation if we are no longer treated as a partnership for U.S. federal income tax purposes.</w:t>
      </w:r>
    </w:p>
    <w:p>
      <w:pPr>
        <w:spacing w:after="0" w:line="170"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w:t>
      </w:r>
    </w:p>
    <w:p>
      <w:pPr>
        <w:spacing w:after="0" w:line="149"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The Board of Directors of our General Partner has approved the repurchase by the Company of up to $500 million of our outstanding senior notes, and if any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spacing w:after="0" w:line="340" w:lineRule="auto"/>
        <w:rPr>
          <w:sz w:val="20"/>
          <w:szCs w:val="20"/>
          <w:color w:val="auto"/>
        </w:rPr>
      </w:pPr>
      <w:r>
        <w:rPr>
          <w:rFonts w:ascii="Arial" w:cs="Arial" w:eastAsia="Arial" w:hAnsi="Arial"/>
          <w:sz w:val="15"/>
          <w:szCs w:val="15"/>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spacing w:after="0" w:line="131"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With respect to our Automotive segment, we have invested significant resources in various initiatives to remain competitive and stimulate growth. Despite these efforts, in January 2023, Auto Plus filed the Chapter 11 Cases in Bankruptcy Court. As a result of this filing, the Company has determined that it no longer controls Auto Plus and has deconsolidated its investment in Auto Plus effective as of January 31, 2023 resulting in a non-cash charge of $246 million recorded in the three months ended June 30, 2023 and determined that our remaining equity investment in Auto Plus is now worth $0. In the course of the Chapter 11 cases, Auto Plus will seek to sell substantially all of its assets pursuant to Section 363 of the Bankruptcy Code, with the proceeds of such sale used to satisfy obligations to its creditors, and to settle or discharge all of its obligations, in each case subject to approval by the Bankruptcy Court, which has had and continue to have a negative impact on the results of operations and balance sheet of our Automotive segment.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While we made cash distributions to Icahn Enterprises’ unitholders in each of the four quarters of 2022 and the first two quarters of 2023,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 For our quarterly distribution declared August 4, 2023, we have continued to provide an option for unitholders to receive a distribution in either depositary units or cash; however, for this distribution, unitholders will receive a distribution of $1.00 per unit payable in depositary units or cash at the election of the unitholder.</w:t>
      </w:r>
    </w:p>
    <w:p>
      <w:pPr>
        <w:spacing w:after="0" w:line="177"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Mr. Icahn and his affiliates own approximately 85% of our outstanding depositary units, and he has generally elected to take his quarterly distribution in units instead of cash. We anticipate that Mr. Icahn will elect to take his distributions in a mix of cash and units with respect to future distributions, which could further reduce the ability of the Company to maintain its current or historical cash distribution amounts.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During our last fiscal quarter, no director or officer, as defined in Rule 16a-f(1), adopted or terminated a “Rule 10b5-1 trading arrangement” or a “non-Rule 10b5-1 trading arrangement,” each as defined in Regulation S-K Item 408.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7"/>
              </w:rPr>
              <w:t>Table of Contents</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Item 6. Exhibits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20" w:type="dxa"/>
            <w:vAlign w:val="bottom"/>
            <w:gridSpan w:val="8"/>
          </w:tcPr>
          <w:p>
            <w:pPr>
              <w:ind w:left="29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gridSpan w:val="9"/>
          </w:tcPr>
          <w:p>
            <w:pPr>
              <w:spacing w:after="0" w:line="169" w:lineRule="exact"/>
              <w:rPr>
                <w:sz w:val="20"/>
                <w:szCs w:val="20"/>
                <w:color w:val="auto"/>
              </w:rPr>
            </w:pPr>
            <w:r>
              <w:rPr>
                <w:rFonts w:ascii="Arial" w:cs="Arial" w:eastAsia="Arial" w:hAnsi="Arial"/>
                <w:sz w:val="18"/>
                <w:szCs w:val="18"/>
                <w:color w:val="0000EE"/>
                <w:w w:val="95"/>
              </w:rPr>
              <w:t>Amended and Restated Depositary Agreement among Icahn Enterprises, Icahn Enterprises GP and</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Computershare Inc., dated as of August 2, 2016</w:t>
            </w:r>
          </w:p>
        </w:tc>
        <w:tc>
          <w:tcPr>
            <w:tcW w:w="540" w:type="dxa"/>
            <w:vAlign w:val="bottom"/>
            <w:gridSpan w:val="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0000EE"/>
                <w:w w:val="94"/>
              </w:rPr>
              <w:t>Certification of Chief Executive Officer pursuant to Section 302(a) of the Sarbanes-Oxley Act of 2002</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and Rule 13a-14(a) of the Securities Exchange Act of 1934.</w:t>
            </w:r>
          </w:p>
        </w:tc>
        <w:tc>
          <w:tcPr>
            <w:tcW w:w="3060" w:type="dxa"/>
            <w:vAlign w:val="bottom"/>
            <w:tcBorders>
              <w:top w:val="single" w:sz="8" w:color="0000EE"/>
            </w:tcBorders>
            <w:gridSpan w:val="5"/>
          </w:tcPr>
          <w:p>
            <w:pPr>
              <w:spacing w:after="0"/>
              <w:rPr>
                <w:sz w:val="17"/>
                <w:szCs w:val="17"/>
                <w:color w:val="auto"/>
              </w:rPr>
            </w:pPr>
          </w:p>
        </w:tc>
        <w:tc>
          <w:tcPr>
            <w:tcW w:w="2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Chief Financial Officer pursuant to Section 302(a) of the Sarbanes-Oxley Act of 2002</w:t>
            </w:r>
          </w:p>
        </w:tc>
        <w:tc>
          <w:tcPr>
            <w:tcW w:w="300" w:type="dxa"/>
            <w:vAlign w:val="bottom"/>
            <w:gridSpan w:val="2"/>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and Rule 13a-14(a) of the Securities Exchange Act of 1934.</w:t>
            </w:r>
          </w:p>
        </w:tc>
        <w:tc>
          <w:tcPr>
            <w:tcW w:w="3320" w:type="dxa"/>
            <w:vAlign w:val="bottom"/>
            <w:gridSpan w:val="6"/>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0000EE"/>
                <w:w w:val="99"/>
              </w:rPr>
              <w:t>Certification of Chief Executive Officer and Chief Financial Officer pursuant to Section 906 of the</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gridSpan w:val="9"/>
          </w:tcPr>
          <w:p>
            <w:pPr>
              <w:spacing w:after="0" w:line="196" w:lineRule="exact"/>
              <w:rPr>
                <w:sz w:val="20"/>
                <w:szCs w:val="20"/>
                <w:color w:val="auto"/>
              </w:rPr>
            </w:pPr>
            <w:r>
              <w:rPr>
                <w:rFonts w:ascii="Arial" w:cs="Arial" w:eastAsia="Arial" w:hAnsi="Arial"/>
                <w:sz w:val="18"/>
                <w:szCs w:val="18"/>
                <w:color w:val="0000EE"/>
                <w:w w:val="95"/>
              </w:rPr>
              <w:t>Sarbanes-Oxley Act of 2002 (18 U.S.C. 1350) and Rule 13a-14(b) of the Securities Exchange Act of</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ind w:left="20"/>
              <w:spacing w:after="0" w:line="196" w:lineRule="exact"/>
              <w:rPr>
                <w:sz w:val="20"/>
                <w:szCs w:val="20"/>
                <w:color w:val="auto"/>
              </w:rPr>
            </w:pPr>
            <w:r>
              <w:rPr>
                <w:rFonts w:ascii="Arial" w:cs="Arial" w:eastAsia="Arial" w:hAnsi="Arial"/>
                <w:sz w:val="18"/>
                <w:szCs w:val="18"/>
                <w:color w:val="0000EE"/>
                <w:w w:val="84"/>
              </w:rPr>
              <w:t>1934.</w:t>
            </w:r>
          </w:p>
        </w:tc>
        <w:tc>
          <w:tcPr>
            <w:tcW w:w="3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1"/>
                <w:szCs w:val="21"/>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20" w:type="dxa"/>
            <w:vAlign w:val="bottom"/>
          </w:tcPr>
          <w:p>
            <w:pPr>
              <w:spacing w:after="0"/>
              <w:rPr>
                <w:sz w:val="23"/>
                <w:szCs w:val="23"/>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3"/>
                <w:szCs w:val="23"/>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20" w:type="dxa"/>
            <w:vAlign w:val="bottom"/>
          </w:tcPr>
          <w:p>
            <w:pPr>
              <w:spacing w:after="0"/>
              <w:rPr>
                <w:sz w:val="23"/>
                <w:szCs w:val="23"/>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3"/>
                <w:szCs w:val="23"/>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20" w:type="dxa"/>
            <w:vAlign w:val="bottom"/>
          </w:tcPr>
          <w:p>
            <w:pPr>
              <w:spacing w:after="0"/>
              <w:rPr>
                <w:sz w:val="23"/>
                <w:szCs w:val="23"/>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23"/>
                <w:szCs w:val="23"/>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20" w:type="dxa"/>
            <w:vAlign w:val="bottom"/>
          </w:tcPr>
          <w:p>
            <w:pPr>
              <w:spacing w:after="0"/>
              <w:rPr>
                <w:sz w:val="23"/>
                <w:szCs w:val="23"/>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3"/>
                <w:szCs w:val="23"/>
                <w:color w:val="auto"/>
              </w:rPr>
            </w:pPr>
          </w:p>
        </w:tc>
        <w:tc>
          <w:tcPr>
            <w:tcW w:w="76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0" w:lineRule="exact"/>
        <w:rPr>
          <w:sz w:val="20"/>
          <w:szCs w:val="20"/>
          <w:color w:val="auto"/>
        </w:rPr>
      </w:pPr>
    </w:p>
    <w:p>
      <w:pPr>
        <w:ind w:left="1340" w:hanging="923"/>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00"/>
        <w:spacing w:after="0"/>
        <w:tabs>
          <w:tab w:leader="none" w:pos="524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00"/>
        <w:spacing w:after="0"/>
        <w:tabs>
          <w:tab w:leader="none" w:pos="5240" w:val="left"/>
        </w:tabs>
        <w:rPr>
          <w:sz w:val="20"/>
          <w:szCs w:val="20"/>
          <w:color w:val="auto"/>
        </w:rPr>
      </w:pPr>
      <w:r>
        <w:rPr>
          <w:rFonts w:ascii="Arial" w:cs="Arial" w:eastAsia="Arial" w:hAnsi="Arial"/>
          <w:sz w:val="18"/>
          <w:szCs w:val="18"/>
          <w:color w:val="auto"/>
        </w:rPr>
        <w:t>By:</w:t>
        <w:tab/>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23742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President, Chief Executive Officer and Director</w:t>
      </w:r>
    </w:p>
    <w:p>
      <w:pPr>
        <w:spacing w:after="0" w:line="200" w:lineRule="exact"/>
        <w:rPr>
          <w:sz w:val="20"/>
          <w:szCs w:val="20"/>
          <w:color w:val="auto"/>
        </w:rPr>
      </w:pPr>
    </w:p>
    <w:p>
      <w:pPr>
        <w:spacing w:after="0" w:line="238" w:lineRule="exact"/>
        <w:rPr>
          <w:sz w:val="20"/>
          <w:szCs w:val="20"/>
          <w:color w:val="auto"/>
        </w:rPr>
      </w:pPr>
    </w:p>
    <w:p>
      <w:pPr>
        <w:ind w:left="4800"/>
        <w:spacing w:after="0"/>
        <w:tabs>
          <w:tab w:leader="none" w:pos="524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00"/>
        <w:spacing w:after="0"/>
        <w:tabs>
          <w:tab w:leader="none" w:pos="5240" w:val="left"/>
        </w:tabs>
        <w:rPr>
          <w:sz w:val="20"/>
          <w:szCs w:val="20"/>
          <w:color w:val="auto"/>
        </w:rPr>
      </w:pPr>
      <w:r>
        <w:rPr>
          <w:rFonts w:ascii="Arial" w:cs="Arial" w:eastAsia="Arial" w:hAnsi="Arial"/>
          <w:sz w:val="18"/>
          <w:szCs w:val="18"/>
          <w:color w:val="auto"/>
        </w:rPr>
        <w:t>By:</w:t>
        <w:tab/>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23742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Chief Financial Officer, Chief Accounting Officer</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jc w:val="right"/>
        <w:ind w:right="59"/>
        <w:spacing w:after="0"/>
        <w:rPr>
          <w:sz w:val="20"/>
          <w:szCs w:val="20"/>
          <w:color w:val="auto"/>
        </w:rPr>
      </w:pPr>
      <w:r>
        <w:rPr>
          <w:rFonts w:ascii="Arial" w:cs="Arial" w:eastAsia="Arial" w:hAnsi="Arial"/>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AGREEMENT</w:t>
      </w:r>
    </w:p>
    <w:p>
      <w:pPr>
        <w:spacing w:after="0" w:line="229"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THIS SECOND AMENDED AND RESTATED DEPOSITARY AGREEMENT is entered into as of August 2, 2016, (the “Agreement”), among Icahn Enterprises, L.P. (formerly American Real Estate Partners, L.P.), a Delaware limited partnership (the “Partnership”), Icahn Enterprises G.P. Inc. (formerly American Property Investors, Inc.), a Delaware corporation (the “General Partner”), and Computershare Inc., a Delaware corporation (the “Computershare”), and its fully owned subsidiary Computershare Trust Company, N.A., a federally chartered trust company (together with Computershare, the “Depositary”), effective as of the date of the Original Agreement (as hereinafter defined).</w:t>
      </w:r>
    </w:p>
    <w:p>
      <w:pPr>
        <w:spacing w:after="0" w:line="164" w:lineRule="exact"/>
        <w:rPr>
          <w:sz w:val="20"/>
          <w:szCs w:val="20"/>
          <w:color w:val="auto"/>
        </w:rPr>
      </w:pPr>
    </w:p>
    <w:p>
      <w:pPr>
        <w:ind w:left="60" w:right="439" w:firstLine="648"/>
        <w:spacing w:after="0" w:line="286" w:lineRule="auto"/>
        <w:rPr>
          <w:sz w:val="20"/>
          <w:szCs w:val="20"/>
          <w:color w:val="auto"/>
        </w:rPr>
      </w:pPr>
      <w:r>
        <w:rPr>
          <w:rFonts w:ascii="Arial" w:cs="Arial" w:eastAsia="Arial" w:hAnsi="Arial"/>
          <w:sz w:val="17"/>
          <w:szCs w:val="17"/>
          <w:color w:val="auto"/>
        </w:rPr>
        <w:t>WHEREAS, the Partnership is a limited partnership formed pursuant to an Agreement of Limited Partnership dated as of May 12, 1987 by and among, the General Partner and the organizational limited partner, as amended and restated from time to time in accordance with its terms (the “Partnership Agreement”);</w:t>
      </w:r>
    </w:p>
    <w:p>
      <w:pPr>
        <w:spacing w:after="0" w:line="16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WHEREAS, the Partnership and the General Partner entered into a Depositary Agreement with the Depositary dated July 1, 1987, as amended by Amendment No. 1 to the Depositary Agreement dated February 22, 1995, and as amended and restated as of August 23, 2013, (as amended and restated,the “Original Agreement”), to appoint the Depositary to act as depositary in connection with the Partnership’s depositary units (the “Depositary Units”) representing limited partner interests;</w:t>
      </w:r>
    </w:p>
    <w:p>
      <w:pPr>
        <w:spacing w:after="0" w:line="188"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WHEREAS, Section 10.2 of the Original Agreement provides that any provision of the Original Agreement may be amended upon mutual agreement of the Partnership and the Depositary, so long as such amendment does not impair the right of a Record Holder who is a Limited Partner to surrender a Depositary Unit and withdraw from deposit any of the Depositary Units evidenced thereby or to redeposit Units previously withdrawn from deposit and receive a Depositary Receipt evidencing such redeposited Units;</w:t>
      </w:r>
    </w:p>
    <w:p>
      <w:pPr>
        <w:spacing w:after="0" w:line="188"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WHEREAS, the Partnership and the Depositary desire to amend and restate the Original Agreement to in compliance with Section 10.2 of the Original Agreement;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NOW, THEREFORE, the parties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Capitalized terms not otherwise defined in this Agreement shall have the meanings ascribed to them in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DEPOSIT OF CERTIFICATES OF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PARTNER INTERESTS; REPRESENTATIONS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WARRANTIES OF THE PARTNERSHIP</w:t>
      </w:r>
    </w:p>
    <w:p>
      <w:pPr>
        <w:spacing w:after="0" w:line="211"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Deposit of Certificates of Limited Partner Interests</w:t>
      </w:r>
      <w:r>
        <w:rPr>
          <w:rFonts w:ascii="Arial" w:cs="Arial" w:eastAsia="Arial" w:hAnsi="Arial"/>
          <w:sz w:val="17"/>
          <w:szCs w:val="17"/>
          <w:color w:val="auto"/>
        </w:rPr>
        <w:t>. Pursuant to Section 9.01 of the Partnership Agreement, and subject to the terms and conditions of this Agreement, on the date of any issuance of Depositary Units by the Partnership, the General Partner shall either (i) deposit with the Depositary a Certificate or Certificates or (ii) in the case of uncertificated Depositary Units, provide evidence of a credit to the book-entry account maintained by the Registrar (as hereinafter defined), in either case evidencing the aggregate whole number of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326390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62" w:name="page63"/>
    <w:bookmarkEnd w:id="62"/>
    <w:p>
      <w:pPr>
        <w:ind w:left="60" w:right="299"/>
        <w:spacing w:after="0" w:line="293" w:lineRule="auto"/>
        <w:rPr>
          <w:sz w:val="20"/>
          <w:szCs w:val="20"/>
          <w:color w:val="auto"/>
        </w:rPr>
      </w:pPr>
      <w:r>
        <w:rPr>
          <w:rFonts w:ascii="Arial" w:cs="Arial" w:eastAsia="Arial" w:hAnsi="Arial"/>
          <w:sz w:val="16"/>
          <w:szCs w:val="16"/>
          <w:color w:val="auto"/>
        </w:rPr>
        <w:t>Units so issued. Such deposit or book-entry credit shall be accompanied by (a) written instructions containing the name, address, social security or taxpayer identification number of and the number of Depositary Units to be issued to each investor in the Partnership, and (b) a written request that the Depositary execute and deliver to each such investor Depositary Receipts evidencing the Depositary Units, registered in the name of such investor, or book-entry credit in the name of such investor, in accordance with such written instructions. Each investor shall thereupon be recognized by the Partnership as a Record Holder as of the closing date of such issuance of Depositary Units.</w:t>
      </w:r>
    </w:p>
    <w:p>
      <w:pPr>
        <w:spacing w:after="0" w:line="16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Representations and Warranties of the Partnership</w:t>
      </w:r>
      <w:r>
        <w:rPr>
          <w:rFonts w:ascii="Arial" w:cs="Arial" w:eastAsia="Arial" w:hAnsi="Arial"/>
          <w:sz w:val="17"/>
          <w:szCs w:val="17"/>
          <w:color w:val="auto"/>
        </w:rPr>
        <w:t>. The Partnership represents and warrants that (a) upon delivery, each Certificate or book-entry will evidence validly issued, fully paid and non-assessable limited partner interests and (b) any Depositary Receipts duly executed and delivered by the Depositary under this Agreement will evidence validly issued, fully paid and non-assessable Depositary Units. The Depositary shall not be liable to any Person for any expense or damage incurred as the result of any breach by the Partnership of these representations and warranties, which shall survive the deposit of Certificates and the delivery of Depositary Receipts.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DEPOSITARY RECEIPTS</w:t>
      </w:r>
    </w:p>
    <w:p>
      <w:pPr>
        <w:spacing w:after="0" w:line="225"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Delivery of Depositary Receipts</w:t>
      </w:r>
      <w:r>
        <w:rPr>
          <w:rFonts w:ascii="Arial" w:cs="Arial" w:eastAsia="Arial" w:hAnsi="Arial"/>
          <w:sz w:val="17"/>
          <w:szCs w:val="17"/>
          <w:color w:val="auto"/>
        </w:rPr>
        <w:t>. Subject to the terms and conditions of this Agreement, upon the deposit of one or more Certificates (or in the case of uncertificated Depositary Units, evidence of a book-entry credit) by the General Partner pursuant to Section 2.1 hereof, the Depositary shall execute and deliver Depositary Receipts in accordance with the written instructions of the General Partner accompanying such deposit.</w:t>
      </w:r>
    </w:p>
    <w:p>
      <w:pPr>
        <w:spacing w:after="0" w:line="171"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Book-Entry</w:t>
      </w:r>
      <w:r>
        <w:rPr>
          <w:rFonts w:ascii="Arial" w:cs="Arial" w:eastAsia="Arial" w:hAnsi="Arial"/>
          <w:sz w:val="18"/>
          <w:szCs w:val="18"/>
          <w:color w:val="auto"/>
        </w:rPr>
        <w:t>. Depositary Receipts may be issued in the form of uncertificated Depositary Receipts. Such uncertificated Depositary Receipts shall be credited to a book entry account maintained by the Registrar (as defined herein).</w:t>
      </w:r>
    </w:p>
    <w:p>
      <w:pPr>
        <w:spacing w:after="0" w:line="184"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Effect of Acceptance of Depositary Receipt</w:t>
      </w:r>
      <w:r>
        <w:rPr>
          <w:rFonts w:ascii="Arial" w:cs="Arial" w:eastAsia="Arial" w:hAnsi="Arial"/>
          <w:sz w:val="17"/>
          <w:szCs w:val="17"/>
          <w:color w:val="auto"/>
        </w:rPr>
        <w:t>. By acceptance of delivery of a Depositary Receipt, the person to whom such Depositary Receipt is delivered or the transferee thereof shall be deemed to be bound by the terms and conditions of this Agreement and the Depositary Receipt as each may be amended from time to time.</w:t>
      </w:r>
    </w:p>
    <w:p>
      <w:pPr>
        <w:spacing w:after="0" w:line="165"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Form of Depositary Receipt; Denominations; Execution</w:t>
      </w:r>
      <w:r>
        <w:rPr>
          <w:rFonts w:ascii="Arial" w:cs="Arial" w:eastAsia="Arial" w:hAnsi="Arial"/>
          <w:sz w:val="16"/>
          <w:szCs w:val="16"/>
          <w:color w:val="auto"/>
        </w:rPr>
        <w:t>.</w:t>
      </w:r>
    </w:p>
    <w:p>
      <w:pPr>
        <w:spacing w:after="0" w:line="225" w:lineRule="exact"/>
        <w:rPr>
          <w:sz w:val="20"/>
          <w:szCs w:val="20"/>
          <w:color w:val="auto"/>
        </w:rPr>
      </w:pPr>
    </w:p>
    <w:p>
      <w:pPr>
        <w:jc w:val="both"/>
        <w:ind w:left="60" w:right="339" w:firstLine="638"/>
        <w:spacing w:after="0" w:line="259" w:lineRule="auto"/>
        <w:tabs>
          <w:tab w:leader="none" w:pos="13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Depositary Receipts shall be engraved, printed or lithographed on steel-engraved borders and shall be substantially in the form of Exhibit A to this Agreement, with appropriate insertions, modifications and omissions as are required or permitted by this Agreement and shall be pre-numbered by the bank note company prior to delivery of the Depositary Receipts to the Depositary.</w:t>
      </w:r>
    </w:p>
    <w:p>
      <w:pPr>
        <w:spacing w:after="0" w:line="186" w:lineRule="exact"/>
        <w:rPr>
          <w:rFonts w:ascii="Arial" w:cs="Arial" w:eastAsia="Arial" w:hAnsi="Arial"/>
          <w:sz w:val="18"/>
          <w:szCs w:val="18"/>
          <w:color w:val="auto"/>
        </w:rPr>
      </w:pPr>
    </w:p>
    <w:p>
      <w:pPr>
        <w:ind w:left="60" w:right="99" w:firstLine="638"/>
        <w:spacing w:after="0" w:line="268" w:lineRule="auto"/>
        <w:tabs>
          <w:tab w:leader="none" w:pos="13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Pending the preparation of definitive Depositary Receipts, the Depositary, upon the written order of the Partnership, delivered in compliance with Section 2.01, shall execute and deliver temporary Receipts which may be engraved, printed or lithographed on steel-engraved borders or otherwise substantially of the tenor of the definitive Depositary Receipts in lieu of which they are issued and with such appropriate insertions, omissions, substitutions and other variations as the persons executing such Depositary Receipts may determine, as evidenced by their execution of such Depositary Receipts. If temporary Depositary Receipts are issued, the Partnership and the Depositary will cause definitive Depositary Receipts to be prepared without unreasonable delay. After the preparation of definitive Depositary Receipts, the temporary Depositary Receipts shall be exchangeable for definitive Receipts upon surrender of the temporary Depositary Receipts at the Corporate Office (as defined herein) or such other offices, if any, as the Depositary may designate, without charge to the Holder. Upon surrender for cancellation of any one or more temporary Depositary Receipts, the Depositary shall execute and deliver in exchange therefor definitive Receipts representing the same number of Depositary Shares as represented by the surrendered temporary Depositary Receipt(s). Such exchange shall be made at the Partnership’s expense and without any charge therefor. Until so exchanged, the temporary Depositary Receipts shall in all respects be entitled to the same benefits under this Agreement, and with respect to the Depositary Units deposited, as definitive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741680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60" w:right="279" w:firstLine="638"/>
        <w:spacing w:after="0" w:line="277" w:lineRule="auto"/>
        <w:tabs>
          <w:tab w:leader="none" w:pos="13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Depositary Receipts shall be issuable in denominations of any number of Depositary Units, except that no Depositary Receipt shall represent a fraction of a Depositary Unit.</w:t>
      </w:r>
    </w:p>
    <w:p>
      <w:pPr>
        <w:spacing w:after="0" w:line="170" w:lineRule="exact"/>
        <w:rPr>
          <w:rFonts w:ascii="Arial" w:cs="Arial" w:eastAsia="Arial" w:hAnsi="Arial"/>
          <w:sz w:val="18"/>
          <w:szCs w:val="18"/>
          <w:color w:val="auto"/>
        </w:rPr>
      </w:pPr>
    </w:p>
    <w:p>
      <w:pPr>
        <w:ind w:left="60" w:right="79" w:firstLine="638"/>
        <w:spacing w:after="0" w:line="255" w:lineRule="auto"/>
        <w:tabs>
          <w:tab w:leader="none" w:pos="13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Depositary Receipts may be endorsed with, or have incorporated in the text thereof or be accompanied by such legends or recitals, attachments or changes, not inconsistent with the provisions of this Agreement and the Partnership Agreement, as may be required to comply with any applicable law or regulation or the rules and regulations of any securities exchange upon which the Depositary Units may be listed, or to conform with any usage with respect thereto, or to indicate any special limitation or restriction to which any particular Depositary Unit may be subject, or as may for any other reason be required.</w:t>
      </w:r>
    </w:p>
    <w:p>
      <w:pPr>
        <w:spacing w:after="0" w:line="192" w:lineRule="exact"/>
        <w:rPr>
          <w:rFonts w:ascii="Arial" w:cs="Arial" w:eastAsia="Arial" w:hAnsi="Arial"/>
          <w:sz w:val="18"/>
          <w:szCs w:val="18"/>
          <w:color w:val="auto"/>
        </w:rPr>
      </w:pPr>
    </w:p>
    <w:p>
      <w:pPr>
        <w:ind w:left="60" w:right="79" w:firstLine="638"/>
        <w:spacing w:after="0" w:line="259" w:lineRule="auto"/>
        <w:tabs>
          <w:tab w:leader="none" w:pos="13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Depositary Receipt represented by a Certificate shall be duly executed on behalf of the Depositary by the manual or facsimile signature of a duly authorized person of the Depositary. No Depositary Receipt represented by a Certificate shall be entitled to any benefit under the Partnership Agreement or this Agreement or be valid for any purpose unless it has been executed with such a signature.</w:t>
      </w:r>
    </w:p>
    <w:p>
      <w:pPr>
        <w:spacing w:after="0" w:line="186" w:lineRule="exact"/>
        <w:rPr>
          <w:rFonts w:ascii="Arial" w:cs="Arial" w:eastAsia="Arial" w:hAnsi="Arial"/>
          <w:sz w:val="18"/>
          <w:szCs w:val="18"/>
          <w:color w:val="auto"/>
        </w:rPr>
      </w:pPr>
    </w:p>
    <w:p>
      <w:pPr>
        <w:ind w:left="60" w:right="119" w:firstLine="638"/>
        <w:spacing w:after="0" w:line="254" w:lineRule="auto"/>
        <w:tabs>
          <w:tab w:leader="none" w:pos="13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the foregoing or anything else herein, all or a portion of the Depositary Receipts may be held through The Depository Trust Company’s (“DTC”) book-entry settlement system. All Depositary Receipts accepted for book-entry settlement with DTC shall be represented by a single receipt (the “DTC Receipt”), which shall be deposited with DTC (or its custodian) evidencing all such Depositary Units and registered in the name of the nominee of DTC (initially Cede &amp; Co.). The Depositary or such other entity as is agreed to by DTC may hold the DTC Receipt as custodian for DTC. Ownership of beneficial interests in the DTC Receipt shall be shown on, and the transfer of such ownership shall be effected through, records maintained by (i) DTC or its nominee for such DTC Receipt, or (ii) institutions that have accounts with DTC.</w:t>
      </w:r>
    </w:p>
    <w:p>
      <w:pPr>
        <w:spacing w:after="0" w:line="192"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If issued, the DTC Receipt shall be exchangeable for definitive Depositary Receipts only if (i) DTC notifies the Partnership at any time that it is unwilling or unable to continue to make its book-entry settlement system available for the Depositary Receipts and a successor to DTC is not appointed by the Partnership within 90 days of the date the Partnership is so informed in writing, (ii) DTC notifies the Partnership at any time that it has ceased to be a clearing agency registered under applicable law and a successor to DTC is not appointed by the Partnership within 90 days of the date the Partnership is so informed in writing or (iii) the Partnership executes and delivers to DTC a notice to the effect that such DTC Receipt shall be so exchangeable. If the beneficial owners of interests in Depositary Units are entitled to exchange such interests for definitive Depositary Receipts as the result of an event described in the preceding sentence, then without unnecessary delay but in any event not later than the earliest date on which such beneficial interests may be so exchanged, the Depositary is hereby directed to and shall provide written instructions to DTC to deliver to the Depositary for cancellation the DTC Receipt, and the Partnership shall instruct the Depositary in writing to execute and deliver to the beneficial owners of the Depositary Units previously evidenced by the DTC Receipt definitive Depositary Receipts in physical form evidencing such Depositary Units. The DTC Receipt shall be in such form and shall bear such legend or legends as may be appropriate or required by DTC in order for it to accept the Depositary Units for its book-entry settlement system. Notwithstanding any other provision herein to the contrary, if the Depositary Receipts are at any time eligible for book-entry settlement through DTC, delivery of Units and other property in connection with the withdrawal of Depositary Units will be made through DTC and in accordance with its procedures, unless the holder of the relevant Depositary Receipt otherwise requests and such request is reasonably acceptable to the Depositary and the Partnership.</w:t>
      </w:r>
    </w:p>
    <w:p>
      <w:pPr>
        <w:spacing w:after="0" w:line="17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Numbering and Registration of the Depositary Receipts</w:t>
      </w:r>
      <w:r>
        <w:rPr>
          <w:rFonts w:ascii="Arial" w:cs="Arial" w:eastAsia="Arial" w:hAnsi="Arial"/>
          <w:sz w:val="18"/>
          <w:szCs w:val="18"/>
          <w:color w:val="auto"/>
        </w:rPr>
        <w:t>. All Depositary Receipts executed by the Depositary shall be issued in numerical order. The Record Holder of each number of Depositary Receipt shall be registered on the books of the Depositary and the Transfer Agent.</w:t>
      </w:r>
    </w:p>
    <w:p>
      <w:pPr>
        <w:spacing w:after="0" w:line="184"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Combination and Split-Ups of Depositary Receipts</w:t>
      </w:r>
      <w:r>
        <w:rPr>
          <w:rFonts w:ascii="Arial" w:cs="Arial" w:eastAsia="Arial" w:hAnsi="Arial"/>
          <w:sz w:val="16"/>
          <w:szCs w:val="16"/>
          <w:color w:val="auto"/>
        </w:rPr>
        <w:t>. Upon surrender by the Record Holder, in person or by duly authorized attorney, of one or more Depositary Receipts at the Depositary’s corporate office located at 480 Washington Boulevard, 29</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Jersey City, NJ 07310 (the “Corporate Office”), or any other office it may designate for such purpose, for split-up or combination, the Depositary shall, subject to the terms and conditions of this Agreement and the Partnership Agreement, execute and deliver one or more new Depositary Receipts in authorized denominations as requested, evidencing the same number of Depositary Units as evidenced by the Depositary Receipts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60" w:right="159" w:firstLine="648"/>
        <w:spacing w:after="0" w:line="270"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Lost or Mutilated Depositary Receipts</w:t>
      </w:r>
      <w:r>
        <w:rPr>
          <w:rFonts w:ascii="Arial" w:cs="Arial" w:eastAsia="Arial" w:hAnsi="Arial"/>
          <w:sz w:val="17"/>
          <w:szCs w:val="17"/>
          <w:color w:val="auto"/>
        </w:rPr>
        <w:t>. If any Depositary Receipt is mutilated, destroyed, lost or stolen, the Depositary shall execute and deliver a Depositary Receipt of like form in substitution for the mutilated, destroyed, lost or stolen Depositary Receipt; provided, that the Depositary may require the Record Holder (a) to surrender any mutilated Depositary Receipt, (b) to file with the Depositary in a form and manner satisfactory to it, proof of the destruction, loss or theft, and of such Record Holder’s ownership, of the Depositary Receipt and (c) to furnish the Depositary with an open penalty surety bond for the benefit of the Depositary and the Partnership, satisfactory to the Depositary. The Depositary may charge holders an administrative fee for processing payment with respect to lost Depositary Receipts, which shall be charged only once in instances where a single surety bond obtained covers multiple Depositary Receipts in a single account.</w:t>
      </w:r>
    </w:p>
    <w:p>
      <w:pPr>
        <w:spacing w:after="0" w:line="181"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Limitations on Exchange and Delivery, Transfer, Surrender and Exchange of Depositary Receipts</w:t>
      </w:r>
      <w:r>
        <w:rPr>
          <w:rFonts w:ascii="Arial" w:cs="Arial" w:eastAsia="Arial" w:hAnsi="Arial"/>
          <w:sz w:val="16"/>
          <w:szCs w:val="16"/>
          <w:color w:val="auto"/>
        </w:rPr>
        <w:t>. As a condition precedent to the execution and delivery, transfer, split-up, combination, surrender, or conversion or exchange of any Depositary Receipt, the Depositary may require (a) payment of a sum sufficient for reimbursement of any tax or governmental charge with respect thereto (including any such tax or charge with respect to Depositary Units being deposited or withdrawn), (b) production of proof satisfactory to it as to the identity and genuineness of any signature or endorsement or as to the due authorization of the action, (c) filing of such information and execution of such documents by the transferor and/or the transferee as may be required by the Partnership Agreement or otherwise be deemed necessary or appropriate by the Depositary and (d) compliance with such other conditions as may be imposed under applicable laws and regulations. The Depositary shall be entitled to rely upon, and shall not have any liability to the Partnership, the General Partner, any Record Holder or any other Person with respect to the content of any proof submitted to it pursuant to this Section 3.8, and shall have no obligation to inquire as to the truth and accuracy thereof.</w:t>
      </w:r>
    </w:p>
    <w:p>
      <w:pPr>
        <w:spacing w:after="0" w:line="17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Cancellation and Return of Surrendered Depositary Receipts</w:t>
      </w:r>
      <w:r>
        <w:rPr>
          <w:rFonts w:ascii="Arial" w:cs="Arial" w:eastAsia="Arial" w:hAnsi="Arial"/>
          <w:sz w:val="17"/>
          <w:szCs w:val="17"/>
          <w:color w:val="auto"/>
        </w:rPr>
        <w:t>. All Depositary Receipts surrendered to the Depositary shall be cancelled and disposed of in accordance with the regulatory obligations of the Depositary. The Depositary shall, in instances in which Depositary Units have been converted to limited partner interests pursuant to Article V hereof, return to the Partnership the corresponding Certificate, and shall retain other instruments, documents and records in accordance with the policies and regulations of the Depositary, federal securities laws and rules and regulations of any securities exchange upon which Depositary Receipts may be listed, and from time to time may deliver such instruments, documents and records in the form retained to the Partnership.</w:t>
      </w:r>
    </w:p>
    <w:p>
      <w:pPr>
        <w:spacing w:after="0" w:line="177"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Supply of Depositary Receipts</w:t>
      </w:r>
      <w:r>
        <w:rPr>
          <w:rFonts w:ascii="Arial" w:cs="Arial" w:eastAsia="Arial" w:hAnsi="Arial"/>
          <w:sz w:val="18"/>
          <w:szCs w:val="18"/>
          <w:color w:val="auto"/>
        </w:rPr>
        <w:t>. The Partnership shall deliver to the Depositary from time to time such quantities of forms of Depositary Receipts as the Depositary may request to enable the Depositary to perform its obligations under this Agreement.</w:t>
      </w:r>
    </w:p>
    <w:p>
      <w:pPr>
        <w:spacing w:after="0" w:line="184" w:lineRule="exact"/>
        <w:rPr>
          <w:sz w:val="20"/>
          <w:szCs w:val="20"/>
          <w:color w:val="auto"/>
        </w:rPr>
      </w:pPr>
    </w:p>
    <w:p>
      <w:pPr>
        <w:ind w:left="60" w:right="419" w:firstLine="648"/>
        <w:spacing w:after="0" w:line="29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Proofs, Certificates and Other Information</w:t>
      </w:r>
      <w:r>
        <w:rPr>
          <w:rFonts w:ascii="Arial" w:cs="Arial" w:eastAsia="Arial" w:hAnsi="Arial"/>
          <w:sz w:val="16"/>
          <w:szCs w:val="16"/>
          <w:color w:val="auto"/>
        </w:rPr>
        <w:t>. Any Record Holder or transferee thereof may be required from time to time to file such information, to execute such certificates and to make such representations and warranties as the Depositary or the General Partner may reasonably deem necessary or proper. The Depositary may withhold the delivery, transfer or exchange of any Depositary Receipt (or any distribution in respect thereof) until such information is filed or such certificates are executed or such representations or warranties are made.</w:t>
      </w:r>
    </w:p>
    <w:p>
      <w:pPr>
        <w:spacing w:after="0" w:line="16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Transfer, etc</w:t>
      </w:r>
      <w:r>
        <w:rPr>
          <w:rFonts w:ascii="Arial" w:cs="Arial" w:eastAsia="Arial" w:hAnsi="Arial"/>
          <w:sz w:val="16"/>
          <w:szCs w:val="16"/>
          <w:color w:val="auto"/>
        </w:rPr>
        <w:t>. The execution and delivery of Depositary Receipts may be suspended, or the transfer, split-up, combination, surrender, conversion, exchange or delivery of outstanding Depositary Receipts may be suspended during any period when the register of Record Holders is closed or at any time and from time to time because of any provision of the Partnership Agreement or this Agreement or any requirement of law, any governmental body or commission or any securities exchange upon which the Depositary Units underlying the Depositary Receipts may be listed, or when suspension is otherwise deemed necessary or advisable by the Partnership, the General Partner or the Depositary.</w:t>
      </w:r>
    </w:p>
    <w:p>
      <w:pPr>
        <w:spacing w:after="0" w:line="16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Registrar and Transfer Agent</w:t>
      </w:r>
      <w:r>
        <w:rPr>
          <w:rFonts w:ascii="Arial" w:cs="Arial" w:eastAsia="Arial" w:hAnsi="Arial"/>
          <w:sz w:val="18"/>
          <w:szCs w:val="18"/>
          <w:color w:val="auto"/>
        </w:rPr>
        <w:t>. Unless or until prohibited by law, regulation or securities exchange rule, the Depositary shall also be the Registrar and Transfer Agent for Depositary Receipts so long as it continues to be the depositary for the Partnership pursuant to this Agreement it being acknowledged by the parties hereto that the Registrar and Transfer Agent shall be entitled to terminate this Agreement and withdraw as Registrar, Transfer Agent or Depositary pursuant to Section 10.1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 OF UNITS</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the terms and conditions of this Agreement and the Partnership Agreement, title to a Depositary Unit(s) may only be transferred upon surrender of the Depositary Receipt evidencing such Depositary Unit(s) by the holder thereof, in person or by duly authorized attorney, to the Depositary at the Corporate Office or at any other office the Depositary may designate for the purpose, properly endorsed and properly signature guaranteed or accompanied by an instrument of transfer executed by the transferor. Upon surrender of a Depositary Receipt for registration or transfer, and subject to the provisions of the Partnership Agreement, the appropriate officers of the General Partner on behalf of the Partnership shall execute and deliver, and the Depositary shall countersign and deliver, in the name of the holder or the designated transferee or transferees, as required pursuant to the holder’s instructions, one or more new Depositary Receipts evidencing the same aggregate number and type of Depositary Units as was evidenced by the Depositary Receipts so surrendered. Until any such transfer is so recorded and recognized the Depositary shall treat the transferor of such Depositary Units as the Record Holder thereof notwithstanding any notice to the contrary or notwithstanding any notation or other writing on the Depositary Receipt evidencing such Depositary Units.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Issuance of New Depositary Receipts</w:t>
      </w:r>
      <w:r>
        <w:rPr>
          <w:rFonts w:ascii="Arial" w:cs="Arial" w:eastAsia="Arial" w:hAnsi="Arial"/>
          <w:sz w:val="18"/>
          <w:szCs w:val="18"/>
          <w:color w:val="auto"/>
        </w:rPr>
        <w:t>. At the option of the transferee, the Depositary shall, upon satisfaction of the provisions of Section 4.1. hereof, execute and deliver to the transferee one or more new Depositary Receipts representing, in the aggregate, the number of Depositary Units as to which such transferee has been recorded on the books of the Depositary as the Record Holder.</w:t>
      </w:r>
    </w:p>
    <w:p>
      <w:pPr>
        <w:spacing w:after="0" w:line="187"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Transfers of Depositary Units Held in Book-Entry Form</w:t>
      </w:r>
      <w:r>
        <w:rPr>
          <w:rFonts w:ascii="Arial" w:cs="Arial" w:eastAsia="Arial" w:hAnsi="Arial"/>
          <w:sz w:val="18"/>
          <w:szCs w:val="18"/>
          <w:color w:val="auto"/>
        </w:rPr>
        <w:t>. Anything contained herein to the contrary notwithstanding, Depositary Units held in book-entry form shall be transferred through DTC’s book-entry settlement system as set forth in Section 3.4(f)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WITHDRAWAL AND REDEPOSIT OF UNITS</w:t>
      </w:r>
    </w:p>
    <w:p>
      <w:pPr>
        <w:spacing w:after="0" w:line="225" w:lineRule="exact"/>
        <w:rPr>
          <w:sz w:val="20"/>
          <w:szCs w:val="20"/>
          <w:color w:val="auto"/>
        </w:rPr>
      </w:pPr>
    </w:p>
    <w:p>
      <w:pPr>
        <w:ind w:left="60" w:right="239" w:firstLine="648"/>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Surrender of Depositary Receipts</w:t>
      </w:r>
      <w:r>
        <w:rPr>
          <w:rFonts w:ascii="Arial" w:cs="Arial" w:eastAsia="Arial" w:hAnsi="Arial"/>
          <w:sz w:val="18"/>
          <w:szCs w:val="18"/>
          <w:color w:val="auto"/>
        </w:rPr>
        <w:t>. Any Record Holder who is a Limited Partner of the Partnership desiring to surrender his Depositary Receipts and withdraw his Depositary Units from deposit may do so by delivering to the Depositary at the Corporate Offices or such other office as the Depositary may designate, his Depositary Receipts, in person or by duly authorized attorney, properly endorsed in blank or accompanied by a properly executed instrument of transfer (which may be in blank form). Such delivery shall be accompanied by written instructions which set forth an intention by the Record Holder to surrender his Depositary Receipts and withdraw his Depositary Units from deposit, together with such other instruments or documents as the General Partner or the Depositary may deem necessary or desirable. The Depositary shall deliver a copy of such instructions to the Partnership at the Partnership’s sole cost and expense.</w:t>
      </w:r>
    </w:p>
    <w:p>
      <w:pPr>
        <w:spacing w:after="0" w:line="196" w:lineRule="exact"/>
        <w:rPr>
          <w:sz w:val="20"/>
          <w:szCs w:val="20"/>
          <w:color w:val="auto"/>
        </w:rPr>
      </w:pPr>
    </w:p>
    <w:p>
      <w:pPr>
        <w:ind w:left="60" w:right="319"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Issuance of Certificates of Limited Partner Interests</w:t>
      </w:r>
      <w:r>
        <w:rPr>
          <w:rFonts w:ascii="Arial" w:cs="Arial" w:eastAsia="Arial" w:hAnsi="Arial"/>
          <w:sz w:val="18"/>
          <w:szCs w:val="18"/>
          <w:color w:val="auto"/>
        </w:rPr>
        <w:t>. Upon receipt of those instructions from the Depositary as set forth in Section 5.1, the Partnership shall cause a Certificate evidencing the limited partner interests corresponding to the surrendered Depositary Receipts to be delivered to the Record Holder as promptly as possible following the surrender of the Depositary Receipts. The Partnership will promptly notify the Depositary to cancel the Depositary Receipts, to deliver to the Partnership the Certificate held by the Depositary corresponding to the Depositary Receipts to be cancelled and to adjust its records accordingly.</w:t>
      </w:r>
    </w:p>
    <w:p>
      <w:pPr>
        <w:spacing w:after="0" w:line="19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Representations and Warranties by Record Holder</w:t>
      </w:r>
      <w:r>
        <w:rPr>
          <w:rFonts w:ascii="Arial" w:cs="Arial" w:eastAsia="Arial" w:hAnsi="Arial"/>
          <w:sz w:val="18"/>
          <w:szCs w:val="18"/>
          <w:color w:val="auto"/>
        </w:rPr>
        <w:t>. Each Record Holder surrendering one or more Depositary Receipts under Section 5.1 shall be deemed thereby to represent and warrant that (a) he or it is a Limited Partner of the Partnership, (b) he or it is, or is duly authorized to be, acting for a Record Holder and (c) to the best of such Record Holder’s knowledge, each Depositary Unit evidenced by such Depositary Receipt is validly issued. The Depositary shall not be liable to the Partnership, any Record Holder or any other Person for any expense or damage incurred as a result of any breach by such Record Holder of the foregoing representations and warranties, which shall survive the surrender of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700"/>
        <w:spacing w:after="0"/>
        <w:tabs>
          <w:tab w:leader="none" w:pos="1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u w:val="single" w:color="auto"/>
          <w:color w:val="auto"/>
        </w:rPr>
        <w:t>Redeposit</w:t>
      </w:r>
      <w:r>
        <w:rPr>
          <w:rFonts w:ascii="Arial" w:cs="Arial" w:eastAsia="Arial" w:hAnsi="Arial"/>
          <w:sz w:val="15"/>
          <w:szCs w:val="15"/>
          <w:color w:val="auto"/>
        </w:rPr>
        <w:t>.</w:t>
      </w:r>
    </w:p>
    <w:p>
      <w:pPr>
        <w:spacing w:after="0" w:line="225" w:lineRule="exact"/>
        <w:rPr>
          <w:sz w:val="20"/>
          <w:szCs w:val="20"/>
          <w:color w:val="auto"/>
        </w:rPr>
      </w:pPr>
    </w:p>
    <w:p>
      <w:pPr>
        <w:ind w:left="60" w:right="79" w:firstLine="638"/>
        <w:spacing w:after="0" w:line="271" w:lineRule="auto"/>
        <w:tabs>
          <w:tab w:leader="none" w:pos="13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Units withdrawn from deposit may be redeposited by a Record Holder (a “Depositor”) by depositing with the Depositary the Certificate evidencing such Units. Redeposit of Units that have been withdrawn shall be subject to receipt by the Depositary of 60 days’ advance written notice and a check, made payable to the Depositary, in the amount of five (5) dollars for each one hundred (100) Units so redeposited and to such other conditions as may be prescribed in the Partnership Agreement. Any amounts so received by the Depositary shall be applied by the Depositary to amounts owed by the Partnership to the Depositary. In the event that such notice is not accompanied by such payment, the Depositary shall nevertheless perform in accordance with the instructions contained in the notice. The Depositary shall promptly notify the Partnership of any redeposit of Units.</w:t>
      </w:r>
    </w:p>
    <w:p>
      <w:pPr>
        <w:spacing w:after="0" w:line="178" w:lineRule="exact"/>
        <w:rPr>
          <w:rFonts w:ascii="Arial" w:cs="Arial" w:eastAsia="Arial" w:hAnsi="Arial"/>
          <w:sz w:val="17"/>
          <w:szCs w:val="17"/>
          <w:color w:val="auto"/>
        </w:rPr>
      </w:pPr>
    </w:p>
    <w:p>
      <w:pPr>
        <w:jc w:val="both"/>
        <w:ind w:left="60" w:right="159" w:firstLine="638"/>
        <w:spacing w:after="0" w:line="263" w:lineRule="auto"/>
        <w:tabs>
          <w:tab w:leader="none" w:pos="13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each delivery to the Depositary of Certificate(s) to be redeposited, the Depositary shall, as soon as transfer and recordation can be accomplished, present such Certificate(s) to the Partnership for transfer and recordation of the Units being deposited in the name of the Depositary.</w:t>
      </w:r>
    </w:p>
    <w:p>
      <w:pPr>
        <w:spacing w:after="0" w:line="183" w:lineRule="exact"/>
        <w:rPr>
          <w:rFonts w:ascii="Arial" w:cs="Arial" w:eastAsia="Arial" w:hAnsi="Arial"/>
          <w:sz w:val="18"/>
          <w:szCs w:val="18"/>
          <w:color w:val="auto"/>
        </w:rPr>
      </w:pPr>
    </w:p>
    <w:p>
      <w:pPr>
        <w:jc w:val="both"/>
        <w:ind w:left="60" w:right="399" w:firstLine="638"/>
        <w:spacing w:after="0" w:line="311" w:lineRule="auto"/>
        <w:tabs>
          <w:tab w:leader="none" w:pos="13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receipt of Certificate(s) from the Partnership in the name of the Depositor, the Depositary shall issue and deliver at its Corporate Office to or upon the order of the Person(s) designated by the Depositor, a Depositary Receipt or Receipts registered in the name or names and representing the number of Depositary Units requested.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DUTIES OF DEPOSITARY</w:t>
      </w:r>
    </w:p>
    <w:p>
      <w:pPr>
        <w:spacing w:after="0" w:line="225"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Reports</w:t>
      </w:r>
      <w:r>
        <w:rPr>
          <w:rFonts w:ascii="Arial" w:cs="Arial" w:eastAsia="Arial" w:hAnsi="Arial"/>
          <w:sz w:val="15"/>
          <w:szCs w:val="15"/>
          <w:color w:val="auto"/>
        </w:rPr>
        <w:t>.</w:t>
      </w:r>
    </w:p>
    <w:p>
      <w:pPr>
        <w:spacing w:after="0" w:line="225" w:lineRule="exact"/>
        <w:rPr>
          <w:sz w:val="20"/>
          <w:szCs w:val="20"/>
          <w:color w:val="auto"/>
        </w:rPr>
      </w:pPr>
    </w:p>
    <w:p>
      <w:pPr>
        <w:ind w:left="60" w:right="99" w:firstLine="638"/>
        <w:spacing w:after="0" w:line="257" w:lineRule="auto"/>
        <w:tabs>
          <w:tab w:leader="none" w:pos="13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shall make available for inspection by Record Holders at the Corporate Office and at such other office or offices as it may designate, during normal business hours, and shall, as required, furnish to the Securities and Exchange Commission (the “Commission”) any report, financial statement or communication received from the Partnership or the Managing General Partner that is both (i) received by the Depositary as the depositary of Certificates and (ii) made generally available to Record Holders.</w:t>
      </w:r>
    </w:p>
    <w:p>
      <w:pPr>
        <w:spacing w:after="0" w:line="187" w:lineRule="exact"/>
        <w:rPr>
          <w:rFonts w:ascii="Arial" w:cs="Arial" w:eastAsia="Arial" w:hAnsi="Arial"/>
          <w:sz w:val="18"/>
          <w:szCs w:val="18"/>
          <w:color w:val="auto"/>
        </w:rPr>
      </w:pPr>
    </w:p>
    <w:p>
      <w:pPr>
        <w:ind w:left="60" w:right="99" w:firstLine="638"/>
        <w:spacing w:after="0" w:line="254" w:lineRule="auto"/>
        <w:tabs>
          <w:tab w:leader="none" w:pos="13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shall keep all records required to be kept, for the periods specified, and shall file with the Commission all materials required so to be filed, under the Securities Act of 1933, as amended, and the Securities Exchange Act of 1934, by virtue of its agreement to act as Depositary and as Transfer Agent under this Agreement. A copy of any material filed by the Depositary with the Commission shall be mailed to the Partnership and the General Partner within two business days after its filing. To the extent that any such filing requires information from the Partnership or the General Partner, such information shall be furnished to the Depositary by the Partnership or the General Partner in sufficient quantity and a sufficient time in advance of the date the filing is required to be made to enable the Depositary to comply with such requirements.</w:t>
      </w:r>
    </w:p>
    <w:p>
      <w:pPr>
        <w:spacing w:after="0" w:line="192"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Lists of Record Holders</w:t>
      </w:r>
      <w:r>
        <w:rPr>
          <w:rFonts w:ascii="Arial" w:cs="Arial" w:eastAsia="Arial" w:hAnsi="Arial"/>
          <w:sz w:val="18"/>
          <w:szCs w:val="18"/>
          <w:color w:val="auto"/>
        </w:rPr>
        <w:t>. Upon the written request of the Partnership, the Depositary shall as promptly as practicable furnish to the Partnership a list, as of the date specified in such request, of the names, addresses and social security or taxpayer identification numbers of all Record Holders.</w:t>
      </w:r>
    </w:p>
    <w:p>
      <w:pPr>
        <w:spacing w:after="0" w:line="184"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Maintenance of Offices and Transfer Books by Depositary</w:t>
      </w:r>
      <w:r>
        <w:rPr>
          <w:rFonts w:ascii="Arial" w:cs="Arial" w:eastAsia="Arial" w:hAnsi="Arial"/>
          <w:sz w:val="16"/>
          <w:szCs w:val="16"/>
          <w:color w:val="auto"/>
        </w:rPr>
        <w:t>.</w:t>
      </w:r>
    </w:p>
    <w:p>
      <w:pPr>
        <w:spacing w:after="0" w:line="225" w:lineRule="exact"/>
        <w:rPr>
          <w:sz w:val="20"/>
          <w:szCs w:val="20"/>
          <w:color w:val="auto"/>
        </w:rPr>
      </w:pPr>
    </w:p>
    <w:p>
      <w:pPr>
        <w:ind w:left="60" w:right="299" w:firstLine="638"/>
        <w:spacing w:after="0" w:line="263" w:lineRule="auto"/>
        <w:tabs>
          <w:tab w:leader="none" w:pos="13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Depositary shall maintain at its Corporate Office, and at such office or offices as it may designate, facilities for the execution, transfer, split-up, combination, surrender, conversion, exchange and delivery of Depositary Receipts.</w:t>
      </w:r>
    </w:p>
    <w:p>
      <w:pPr>
        <w:spacing w:after="0" w:line="183" w:lineRule="exact"/>
        <w:rPr>
          <w:rFonts w:ascii="Arial" w:cs="Arial" w:eastAsia="Arial" w:hAnsi="Arial"/>
          <w:sz w:val="18"/>
          <w:szCs w:val="18"/>
          <w:color w:val="auto"/>
        </w:rPr>
      </w:pPr>
    </w:p>
    <w:p>
      <w:pPr>
        <w:jc w:val="both"/>
        <w:ind w:left="60" w:right="459" w:firstLine="638"/>
        <w:spacing w:after="0" w:line="263" w:lineRule="auto"/>
        <w:tabs>
          <w:tab w:leader="none" w:pos="13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Depositary shall keep books at its Corporate Office for the transfer of Depositary Receipts. The books shall be open during normal business hours for inspection by the Record Holders upon demonstration of a valid business purpose for such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7" w:name="page68"/>
    <w:bookmarkEnd w:id="67"/>
    <w:p>
      <w:pPr>
        <w:ind w:left="60" w:right="239" w:firstLine="638"/>
        <w:spacing w:after="0" w:line="277" w:lineRule="auto"/>
        <w:tabs>
          <w:tab w:leader="none" w:pos="13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Depositary may close the transfer books, at any time or from time to time, when deemed expedient by it in connection with the performance of its duties under this Agreement.</w:t>
      </w:r>
    </w:p>
    <w:p>
      <w:pPr>
        <w:spacing w:after="0" w:line="170" w:lineRule="exact"/>
        <w:rPr>
          <w:rFonts w:ascii="Arial" w:cs="Arial" w:eastAsia="Arial" w:hAnsi="Arial"/>
          <w:sz w:val="18"/>
          <w:szCs w:val="18"/>
          <w:color w:val="auto"/>
        </w:rPr>
      </w:pPr>
    </w:p>
    <w:p>
      <w:pPr>
        <w:ind w:left="1360" w:hanging="662"/>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Depositary may maintain such books in customary electronic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INFORMATION AND DISTRIBUTION</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Duty to Furnish and Transmit Certain Information</w:t>
      </w:r>
      <w:r>
        <w:rPr>
          <w:rFonts w:ascii="Arial" w:cs="Arial" w:eastAsia="Arial" w:hAnsi="Arial"/>
          <w:sz w:val="16"/>
          <w:szCs w:val="16"/>
          <w:color w:val="auto"/>
        </w:rPr>
        <w:t>. The Partnership is required by the Partnership Agreement to furnish to Record Holders certain reports and notices. To facilitate the furnishing of such reports and notices, the Depositary shall, at the General Partner’s request, furnish to the Partnership, as promptly as practicable, the name and address of each Person who was a Record Holder on any record date previously established by the General Partner. The Partnership may, in its sole discretion, elect to furnish any or all reports or notices pursuant to the Partnership Agreement to the Depositary and direct the Depositary to distribute to Record Holders any or all of such reports or notices. If the Partnership shall elect to direct the Depositary to furnish any report or notice, the Partnership shall furnish to the Depositary a sufficient quantity of each such report or notice for transmittal to Record Holders, accompanied by directions to the Depositary as to the Persons to whom such reports or notices are to be transmitted. Upon receipt of any such report or notice and directions, the Depositary shall, within five business days and at the Partnership’s expense, mail such report or notice to the Persons specified in such directions. The Depositary shall be entitled to rely upon, and shall not have any liability to the Partnership, any Record Holder or any other Person for distribution of such reports or notices in accordance with such directions, and the Depositary shall not have any liability to the Partnership, any Record Holder or any other Person with respect to the content (including the truth, accuracy, completeness or fairness thereof, or the conformity thereof to the requirements of the Partnership Agreement or applicable law) of any such report.</w:t>
      </w:r>
    </w:p>
    <w:p>
      <w:pPr>
        <w:spacing w:after="0" w:line="167"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Distributions</w:t>
      </w:r>
      <w:r>
        <w:rPr>
          <w:rFonts w:ascii="Arial" w:cs="Arial" w:eastAsia="Arial" w:hAnsi="Arial"/>
          <w:sz w:val="17"/>
          <w:szCs w:val="17"/>
          <w:color w:val="auto"/>
        </w:rPr>
        <w:t>. As provided in the Partnership Agreement, the Partnership may from time to time make distributions to Record Holders. To facilitate the making of any distributions, the Depositary shall, at the General Partner’s request, furnish to the Partnership, as promptly as practicable, (i) the name and address of each Person who was a Record Holder on any record date previously established by the General Partner and (ii) the number of Depositary Units (or Units in the case of Record Holders who have surrendered their Depositary Receipts) registered in the name of such Record Holder on any such record date. The Partnership may, in its sole discretion, elect to make any such distribution directly or elect to direct the Depositary to make any such distribution to Record Holders. If the Partnership shall elect to direct the Depositary to make such cash distribution, then at least ten business days before the distribution is to be made, the Partnership shall furnish to the Depositary directions as to the Persons to whom such distributions are to be made, the amount to be distributed to each Person, the rate of distribution, and the date on or prior to which such distribution is to be made.</w:t>
      </w:r>
    </w:p>
    <w:p>
      <w:pPr>
        <w:spacing w:after="0" w:line="182" w:lineRule="exact"/>
        <w:rPr>
          <w:sz w:val="20"/>
          <w:szCs w:val="20"/>
          <w:color w:val="auto"/>
        </w:rPr>
      </w:pPr>
    </w:p>
    <w:p>
      <w:pPr>
        <w:ind w:left="60" w:right="99" w:firstLine="638"/>
        <w:spacing w:after="0" w:line="257" w:lineRule="auto"/>
        <w:tabs>
          <w:tab w:leader="none" w:pos="13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of a cash distribution, along with such directions, the Partnership shall provide the Depositary with sufficient funds as necessary to make such distributions. In connection therewith, a separate disbursement account for cash distributions shall be set up, and the Depositary shall be the sole signatory thereof. The Depositary shall, not later than the date specified in the Partnership’s directions, deliver to the Record Holders funds in conformity with such directions and at the expense of the Partnership.</w:t>
      </w:r>
    </w:p>
    <w:p>
      <w:pPr>
        <w:spacing w:after="0" w:line="187" w:lineRule="exact"/>
        <w:rPr>
          <w:rFonts w:ascii="Arial" w:cs="Arial" w:eastAsia="Arial" w:hAnsi="Arial"/>
          <w:sz w:val="18"/>
          <w:szCs w:val="18"/>
          <w:color w:val="auto"/>
        </w:rPr>
      </w:pPr>
    </w:p>
    <w:p>
      <w:pPr>
        <w:ind w:left="60" w:right="239" w:firstLine="638"/>
        <w:spacing w:after="0" w:line="275" w:lineRule="auto"/>
        <w:tabs>
          <w:tab w:leader="none" w:pos="14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event of a distribution other than cash, along with such directions, the Partnership shall provide the Depositary with sufficient securities, rights, preferences, privileges or property, as applicable, as necessary to make such distributions. The Depositary shall, not later than the date specified in the Partnership’s directions, deliver to the Record Holders securities, rights, preferences, privileges or property, as applicable, as applicable in conformity with such directions and at the expense of the Partnership.</w:t>
      </w:r>
    </w:p>
    <w:p>
      <w:pPr>
        <w:spacing w:after="0" w:line="176" w:lineRule="exact"/>
        <w:rPr>
          <w:rFonts w:ascii="Arial" w:cs="Arial" w:eastAsia="Arial" w:hAnsi="Arial"/>
          <w:sz w:val="17"/>
          <w:szCs w:val="17"/>
          <w:color w:val="auto"/>
        </w:rPr>
      </w:pPr>
    </w:p>
    <w:p>
      <w:pPr>
        <w:ind w:left="60" w:right="139" w:firstLine="638"/>
        <w:spacing w:after="0" w:line="286" w:lineRule="auto"/>
        <w:tabs>
          <w:tab w:leader="none" w:pos="13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Notwithstanding the foregoing, the amounts to be so distributed may be reduced by any amount required to be withheld by the Partnership or the Depositary on account of taxes or other charges which are the expense of the Record Holders. The Depositary shall be entitled to rely upon, and shall not have any liability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525780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60" w:right="599"/>
        <w:spacing w:after="0" w:line="277" w:lineRule="auto"/>
        <w:rPr>
          <w:sz w:val="20"/>
          <w:szCs w:val="20"/>
          <w:color w:val="auto"/>
        </w:rPr>
      </w:pPr>
      <w:r>
        <w:rPr>
          <w:rFonts w:ascii="Arial" w:cs="Arial" w:eastAsia="Arial" w:hAnsi="Arial"/>
          <w:sz w:val="18"/>
          <w:szCs w:val="18"/>
          <w:color w:val="auto"/>
        </w:rPr>
        <w:t>Partnership, any Record Holder or any other Person for making any distribution or withholding any such amounts in accordance with such directions.</w:t>
      </w:r>
    </w:p>
    <w:p>
      <w:pPr>
        <w:spacing w:after="0" w:line="170" w:lineRule="exact"/>
        <w:rPr>
          <w:sz w:val="20"/>
          <w:szCs w:val="20"/>
          <w:color w:val="auto"/>
        </w:rPr>
      </w:pPr>
    </w:p>
    <w:p>
      <w:pPr>
        <w:ind w:left="60" w:right="59" w:firstLine="638"/>
        <w:spacing w:after="0" w:line="286" w:lineRule="auto"/>
        <w:tabs>
          <w:tab w:leader="none" w:pos="13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funds received by Computershare under this Agreement that are to be distributed or applied by Computershare in the performance of Services (the “Funds”) shall be held by Computershare as agent for the Company and deposited in one or more bank accounts to be maintained by Computershare in its name as agent for the Company. Until paid pursuant to this Agreement, Computershare may hold or invest the Funds through such accounts in: (i) obligations of, or guaranteed by, the United States of America, (ii) commercial paper obligations rated A-1 or P-1 or better by Standard &amp; Poor's Corporation (“S&amp;P”) or Moody's Investors Service, Inc. (“Moody’s”), respectively, (iii) money market funds that comply with Rule 2a-7 of the Investment Company Act of 1940, or (iv) demand deposit accounts, short term certificates of deposit, bank repurchase agreements or bankers’ acceptances,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w:t>
      </w:r>
    </w:p>
    <w:p>
      <w:pPr>
        <w:spacing w:after="0" w:line="16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Voting</w:t>
      </w:r>
      <w:r>
        <w:rPr>
          <w:rFonts w:ascii="Arial" w:cs="Arial" w:eastAsia="Arial" w:hAnsi="Arial"/>
          <w:sz w:val="18"/>
          <w:szCs w:val="18"/>
          <w:color w:val="auto"/>
        </w:rPr>
        <w:t>. Upon receipt from the Partnership of notice of any meeting at which Record Holders are entitled to vote or of which they are entitled to notice, the Depositary shall, at the request of the Partnership, mail to each Record Holder, as of the Record Date specified in the notice of meeting, a copy of the notice. At least ten business days before the notice is to be mailed the Partnership shall furnish sufficient copies of said statement to accomplish the foregoing notice. Whether or not a Record Holder is entitled to vote on any matter concerning the Partnership shall be governed by the terms of the Partnership Agreement and applicable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 AND OTHER ACTIVITIES OF DEPOSITARY;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IMMUNITIES, INDEMNIFICATION</w:t>
      </w:r>
    </w:p>
    <w:p>
      <w:pPr>
        <w:spacing w:after="0" w:line="211"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Depositary Not a Trustee, Issuer, etc</w:t>
      </w:r>
      <w:r>
        <w:rPr>
          <w:rFonts w:ascii="Arial" w:cs="Arial" w:eastAsia="Arial" w:hAnsi="Arial"/>
          <w:sz w:val="18"/>
          <w:szCs w:val="18"/>
          <w:color w:val="auto"/>
        </w:rPr>
        <w:t>. The Depositary is not a trustee. The Depositary shall have no right or legal or equitable title to Certificates deposited under this Agreement or the Units evidenced thereby. The Depositary shall have no right or power to sell, invest in, pledge, mortgage or borrow against any Certificates deposited under this Agreement or the Units evidenced thereby. It is intended that the Depositary in its capacity as depositary not be needed to be an “issuer” or “underwriter” of securities under the Federal securities laws or applicable state securities laws, it being expressly understood and agreed that the Depositary is acting only as a ministerial depositary for Certificates and the Units evidenced thereby.</w:t>
      </w:r>
    </w:p>
    <w:p>
      <w:pPr>
        <w:spacing w:after="0" w:line="195"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Activities of Depositary</w:t>
      </w:r>
      <w:r>
        <w:rPr>
          <w:rFonts w:ascii="Arial" w:cs="Arial" w:eastAsia="Arial" w:hAnsi="Arial"/>
          <w:sz w:val="18"/>
          <w:szCs w:val="18"/>
          <w:color w:val="auto"/>
        </w:rPr>
        <w:t>. The Depositary may own and deal in, and act as registrar or transfer agent for, any class of securities of the Partnership (including Certificates, Depositary Receipts, Units and Depositary Units), the General Partner or Affiliates of the General Partner.</w:t>
      </w:r>
    </w:p>
    <w:p>
      <w:pPr>
        <w:spacing w:after="0" w:line="18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Immunities</w:t>
      </w:r>
      <w:r>
        <w:rPr>
          <w:rFonts w:ascii="Arial" w:cs="Arial" w:eastAsia="Arial" w:hAnsi="Arial"/>
          <w:sz w:val="17"/>
          <w:szCs w:val="17"/>
          <w:color w:val="auto"/>
        </w:rPr>
        <w:t>. Neither the Depositary, the General Partner or any Affiliates of the General Partner (i) assumes any obligation or shall be subject to any liability under this Agreement to any Record Holder or their transferees, other than that each of them agrees to use its best judgment and good faith in the performance of such duties as are specifically set forth in this Agreement; (ii) shall be under any obligation to appear in, prosecute or defend any action, suit or other proceeding in respect of Certificates (or the Units evidenced thereby) or Depositary Receipts (or the Depositary Units evidenced thereby) that in its opinion may involve it in expense or liability unless indemnity, in addition to that provided by Section 8.4, satisfactory to it against all expense and liability be furnished as often as may be required; or (iii) shall be liable for any action or nonaction by it in reliance upon the oral or written instructions of the Partnership or its authorized representatives, advice of or information from legal counsel, accountants, any person presenting Units for deposit, any Record Holder or their assignees, or any other Person believed by it in good faith to be competent to give such advice or information. The Depositary, the General Partner and any Affiliates of the General Partner each may rely and shall be protected in acting upon any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465455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60" w:right="79"/>
        <w:spacing w:after="0" w:line="277" w:lineRule="auto"/>
        <w:rPr>
          <w:sz w:val="20"/>
          <w:szCs w:val="20"/>
          <w:color w:val="auto"/>
        </w:rPr>
      </w:pPr>
      <w:r>
        <w:rPr>
          <w:rFonts w:ascii="Arial" w:cs="Arial" w:eastAsia="Arial" w:hAnsi="Arial"/>
          <w:sz w:val="18"/>
          <w:szCs w:val="18"/>
          <w:color w:val="auto"/>
        </w:rPr>
        <w:t>request, direction or other document believed by it to be genuine and to have been signed or presented by the proper Person or Persons.</w:t>
      </w:r>
    </w:p>
    <w:p>
      <w:pPr>
        <w:spacing w:after="0" w:line="170"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left="60" w:right="159" w:firstLine="638"/>
        <w:spacing w:after="0" w:line="287" w:lineRule="auto"/>
        <w:tabs>
          <w:tab w:leader="none" w:pos="13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Depositary shall indemnify and hold harmless the Partnership, the General Partner and the officers, directors and employees of the General Partner from any loss, liability or damage incurred or suffered by any such Person, including attorneys’ fees, due to the fraud, gross negligence or willful or criminal misconduct of the Depositary.</w:t>
      </w:r>
    </w:p>
    <w:p>
      <w:pPr>
        <w:spacing w:after="0" w:line="2" w:lineRule="exact"/>
        <w:rPr>
          <w:rFonts w:ascii="Arial" w:cs="Arial" w:eastAsia="Arial" w:hAnsi="Arial"/>
          <w:sz w:val="16"/>
          <w:szCs w:val="16"/>
          <w:color w:val="auto"/>
        </w:rPr>
      </w:pPr>
    </w:p>
    <w:p>
      <w:pPr>
        <w:ind w:left="60" w:right="279"/>
        <w:spacing w:after="0" w:line="252" w:lineRule="auto"/>
        <w:rPr>
          <w:rFonts w:ascii="Arial" w:cs="Arial" w:eastAsia="Arial" w:hAnsi="Arial"/>
          <w:sz w:val="16"/>
          <w:szCs w:val="16"/>
          <w:color w:val="auto"/>
        </w:rPr>
      </w:pPr>
      <w:r>
        <w:rPr>
          <w:rFonts w:ascii="Arial" w:cs="Arial" w:eastAsia="Arial" w:hAnsi="Arial"/>
          <w:sz w:val="18"/>
          <w:szCs w:val="18"/>
          <w:color w:val="auto"/>
        </w:rPr>
        <w:t>Notwithstanding anything contained herein to the contrary, the Depositary’s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Partnership to Depositary as fees and charges, but not including reimbursable expenses during the twelve (12) months immediately preceding the event for which recovery from Depositary is being sought.</w:t>
      </w:r>
    </w:p>
    <w:p>
      <w:pPr>
        <w:spacing w:after="0" w:line="193" w:lineRule="exact"/>
        <w:rPr>
          <w:rFonts w:ascii="Arial" w:cs="Arial" w:eastAsia="Arial" w:hAnsi="Arial"/>
          <w:sz w:val="16"/>
          <w:szCs w:val="16"/>
          <w:color w:val="auto"/>
        </w:rPr>
      </w:pPr>
    </w:p>
    <w:p>
      <w:pPr>
        <w:ind w:left="60" w:right="59" w:firstLine="638"/>
        <w:spacing w:after="0" w:line="284" w:lineRule="auto"/>
        <w:tabs>
          <w:tab w:leader="none" w:pos="136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Partnership and the General Partner hereby represent and warrant that they will indemnify and hold harmless the Depositary, the Depositary’s directors, officers, employees, servants, agents or contractors, or their affiliates, or their heirs, successors or assigns (individually, the “Indemnitee”) incurred by them or any one of them at any time after the date of this Agreement from and against any and all, but not limited to, losses, damages, claims, demands, actions, suits, proceedings, liabilities (joint and several), judgments, fines, penalties, awards, settlements, costs or expenses of any nature, including reasonable attorneys’ fees brought against, incurred, suffered, or sustained by them, or any of them, for reasons arising by, through or as a result of any and all claims, demands, actions, suits or civil, criminal or administrative or investigative proceedings in which the Indemnitee may be involved or threatened to be involved, as a party of otherwise, by reason of (i) this Agreement, the Partnership Agreement or any agreements related thereto; (ii) the Indemnitee, acting pursuant to the terms of this Agreement, or (iii) the activities of the Partnership, General Partner or their affiliates, the Record Holders or Limited Partners; provided, however, that any such indemnification shall only be from the assets of the Partnership and the General Partner and not from the Record Holders or their assigns. Unless such claim, demand, action, suit or proceeding arises out of the willful, intentional or criminal misconduct, gross negligence or fraud of the Indemnitee, expenses incurred by an Indemnitee in defending any claim, demand, action, suit or proceeding will be paid by the Partnership or the General Partner within twenty (20) days of demand for payment by the Indemnitee and prior to the final disposition of such claim, demand, action, suit or proceeding. Notwithstanding the foregoing, no Indemnitee whose willful, intentional or criminal misconduct, gross negligence or fraud caused the loss, damages, claims, demands, actions, suits, proceedings, liabilities (joint and several), judgments, fines, penalties, awards, settlements, costs or expenses of any nature, including reasonable attorney’s fees may receive such indemnification and any such Indemnitee who has received payment for expenses pursuant to the previous sentence shall be obligated to repay the amount of such payment to the Partnership or the General Partner, as the case may be, promptly after it has been determined that such Indemnitee was not entitled to be so indemnified; however, the termination of any action, suit or proceeding by judgment, order, settlement, or conviction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in and of itself, create a presumption or otherwise constitute evidence that the Indemnitee’s acts were willful, criminal or intentional misconduct, gross negligence, or fraud on its part. The representations and warranties contained herein shall survive the date and termination of this Agreement.</w:t>
      </w:r>
    </w:p>
    <w:p>
      <w:pPr>
        <w:spacing w:after="0" w:line="173"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Tax Matters</w:t>
      </w:r>
      <w:r>
        <w:rPr>
          <w:rFonts w:ascii="Arial" w:cs="Arial" w:eastAsia="Arial" w:hAnsi="Arial"/>
          <w:sz w:val="17"/>
          <w:szCs w:val="17"/>
          <w:color w:val="auto"/>
        </w:rPr>
        <w:t>. The Depositary shall not have any duty, obligation or liability with respect to (i) allocation and distribution of Federal tax benefits and responsibilities respecting the Partnership, the General Partner or the Record Holders or (ii) any income or other tax reporting obligations imposed upon the Partnership or any Record Holder to the Internal Revenue Service or any other Federal, state or local taxing authority.</w:t>
      </w:r>
    </w:p>
    <w:p>
      <w:pPr>
        <w:spacing w:after="0" w:line="171"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Damages</w:t>
      </w:r>
      <w:r>
        <w:rPr>
          <w:rFonts w:ascii="Arial" w:cs="Arial" w:eastAsia="Arial" w:hAnsi="Arial"/>
          <w:sz w:val="18"/>
          <w:szCs w:val="18"/>
          <w:color w:val="auto"/>
        </w:rPr>
        <w:t>. Neither party to this Agreement shall be liable to the other party for any consequential, indirect,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EXPENSES AND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60" w:right="199"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General</w:t>
      </w:r>
      <w:r>
        <w:rPr>
          <w:rFonts w:ascii="Arial" w:cs="Arial" w:eastAsia="Arial" w:hAnsi="Arial"/>
          <w:sz w:val="18"/>
          <w:szCs w:val="18"/>
          <w:color w:val="auto"/>
        </w:rPr>
        <w:t>. The Depositary shall be reimbursed for its services by the Partnership in amounts equal to the amounts as shall be agreed upon by the Partnership and the Depositary from time to time.</w:t>
      </w:r>
    </w:p>
    <w:p>
      <w:pPr>
        <w:spacing w:after="0" w:line="170"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Governmental Charges</w:t>
      </w:r>
      <w:r>
        <w:rPr>
          <w:rFonts w:ascii="Arial" w:cs="Arial" w:eastAsia="Arial" w:hAnsi="Arial"/>
          <w:sz w:val="16"/>
          <w:szCs w:val="16"/>
          <w:color w:val="auto"/>
        </w:rPr>
        <w:t>. If any tax or other governmental charge becomes payable with respect to a Certificate or a Depositary Receipt or Units or Depositary Unit evidenced thereby or with respect to the deposit, transfer or surrender of any of the foregoing, such tax (including transfer tax, if any) or governmental charge shall be payable by the appropriate Record Holder. Transfer of a Depositary Receipt or conversion of the underlying Depositary Units into Units may be refused until such payment is made, and any distribution may be withheld and be applied to payment of such tax or other governmental charge, with such Record Holder remaining liable for any deficiency.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RESIGNATION AND REMOVAL OF DEPOSITARY;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AND TERMINATION OF AGREEMENT</w:t>
      </w:r>
    </w:p>
    <w:p>
      <w:pPr>
        <w:spacing w:after="0" w:line="211"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Resignation and Removal of Depositary; Appointment of Successor Depositary</w:t>
      </w:r>
      <w:r>
        <w:rPr>
          <w:rFonts w:ascii="Arial" w:cs="Arial" w:eastAsia="Arial" w:hAnsi="Arial"/>
          <w:sz w:val="16"/>
          <w:szCs w:val="16"/>
          <w:color w:val="auto"/>
        </w:rPr>
        <w:t>.</w:t>
      </w:r>
    </w:p>
    <w:p>
      <w:pPr>
        <w:spacing w:after="0" w:line="225" w:lineRule="exact"/>
        <w:rPr>
          <w:sz w:val="20"/>
          <w:szCs w:val="20"/>
          <w:color w:val="auto"/>
        </w:rPr>
      </w:pPr>
    </w:p>
    <w:p>
      <w:pPr>
        <w:ind w:left="60" w:right="99" w:firstLine="638"/>
        <w:spacing w:after="0" w:line="296" w:lineRule="auto"/>
        <w:tabs>
          <w:tab w:leader="none" w:pos="13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Depositary may at any time resign as Depositary under this Depositary Agreement upon sixty (60) days’ written notice of its election to do so delivered to the Partnership, such resignation to take effect upon the appointment of a successor depositary and its acceptance of such appointment as hereinafter provided. The Depositary may terminate its obligations under this Agreement ten (10) days after a demand for payment of unpaid invoices is delivered in writing to the Partnership and the Partnership has not responded with payments as demanded.</w:t>
      </w:r>
    </w:p>
    <w:p>
      <w:pPr>
        <w:spacing w:after="0" w:line="161" w:lineRule="exact"/>
        <w:rPr>
          <w:rFonts w:ascii="Arial" w:cs="Arial" w:eastAsia="Arial" w:hAnsi="Arial"/>
          <w:sz w:val="16"/>
          <w:szCs w:val="16"/>
          <w:color w:val="auto"/>
        </w:rPr>
      </w:pPr>
    </w:p>
    <w:p>
      <w:pPr>
        <w:ind w:left="60" w:right="299" w:firstLine="638"/>
        <w:spacing w:after="0" w:line="263"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 may at any time be removed by the Partnership upon sixty (60) days’ written notice of removal delivered by the Partnership to the Depositary. Such removal shall be effective upon the appointment of a successor depositary and its acceptance of such appointment as hereinafter provided.</w:t>
      </w:r>
    </w:p>
    <w:p>
      <w:pPr>
        <w:spacing w:after="0" w:line="183" w:lineRule="exact"/>
        <w:rPr>
          <w:rFonts w:ascii="Arial" w:cs="Arial" w:eastAsia="Arial" w:hAnsi="Arial"/>
          <w:sz w:val="18"/>
          <w:szCs w:val="18"/>
          <w:color w:val="auto"/>
        </w:rPr>
      </w:pPr>
    </w:p>
    <w:p>
      <w:pPr>
        <w:ind w:left="60" w:right="79" w:firstLine="638"/>
        <w:spacing w:after="0" w:line="269" w:lineRule="auto"/>
        <w:tabs>
          <w:tab w:leader="none" w:pos="13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Depositary resigns or is removed, the Partnership shall, after the delivery of the notice of resignation or removal, as the case may be, appoint a successor depositary. If no successor has been appointed within seventy-five (75) days of the delivery of the notice of resignation or removal, the General Partner shall become the successor depositary. Any successor depositary shall execute and deliver to its predecessor and to the Partnership an instrument accepting its appointment, and thereupon such successor depositary, without any further act or deed, shall become fully vested with all the rights, powers, duties and obligations of its predecessor. The predecessor, upon payment of any sum due it and on the written request of the Partnership and at the Partnership’s sole expense shall execute and deliver an instrument transferring to the successor depositary all rights and powers of the predecessor under this Agreement, shall duly deliver to and deposit with the successor depositary all Certificates theretofore on deposit with the predecessor and shall deliver to the successor depositary a list of the Record Holders of all outstanding Depositary Units and Units and all records and books maintained by it. Any successor depositary shall promptly mail notice of its appointment to the Record Holders.</w:t>
      </w:r>
    </w:p>
    <w:p>
      <w:pPr>
        <w:spacing w:after="0" w:line="178" w:lineRule="exact"/>
        <w:rPr>
          <w:rFonts w:ascii="Arial" w:cs="Arial" w:eastAsia="Arial" w:hAnsi="Arial"/>
          <w:sz w:val="17"/>
          <w:szCs w:val="17"/>
          <w:color w:val="auto"/>
        </w:rPr>
      </w:pPr>
    </w:p>
    <w:p>
      <w:pPr>
        <w:ind w:left="60" w:right="119" w:firstLine="638"/>
        <w:spacing w:after="0" w:line="277"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corporation into or with which the Depositary may be merged or consolidated shall be the successor of the Depositary without the execution or filing of any document of any further act.</w:t>
      </w:r>
    </w:p>
    <w:p>
      <w:pPr>
        <w:spacing w:after="0" w:line="170"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left="60" w:right="299" w:firstLine="638"/>
        <w:spacing w:after="0" w:line="275" w:lineRule="auto"/>
        <w:tabs>
          <w:tab w:leader="none" w:pos="13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provision of this Agreement, including the form of Depositary Receipt, may at any time and from time to time be amended in any respect by mutual agreement of the Partnership and the Depositary, so long as such amendment does not impair the right of a Record Holder who is a Limited Partner to surrender a Depositary Unit and withdraw from deposit any of the Depositary Units evidenced thereby or to redeposit Units previously withdrawn from deposit and receive a Depositary Receipt evidencing such redeposited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806450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60" w:right="359" w:firstLine="638"/>
        <w:spacing w:after="0" w:line="311" w:lineRule="auto"/>
        <w:tabs>
          <w:tab w:leader="none" w:pos="13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amendment of this Agreement that imposes any fee, tax or charge (other than fees and charges provided for in this Agreement) upon, or otherwise adversely affects the rights of, Record Holders shall not be effective until the expiration of 30 days after notice of the amendment has been given to the Record Holders.</w:t>
      </w:r>
    </w:p>
    <w:p>
      <w:pPr>
        <w:spacing w:after="0" w:line="148" w:lineRule="exact"/>
        <w:rPr>
          <w:rFonts w:ascii="Arial" w:cs="Arial" w:eastAsia="Arial" w:hAnsi="Arial"/>
          <w:sz w:val="16"/>
          <w:szCs w:val="16"/>
          <w:color w:val="auto"/>
        </w:rPr>
      </w:pPr>
    </w:p>
    <w:p>
      <w:pPr>
        <w:jc w:val="both"/>
        <w:ind w:left="60" w:right="199" w:firstLine="638"/>
        <w:spacing w:after="0" w:line="259" w:lineRule="auto"/>
        <w:tabs>
          <w:tab w:leader="none" w:pos="13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Depositary shall give notice of any amendment of this Agreement to each securities exchange upon which Depositary Units may be listed and shall also give notice thereof in writing to all Record Holders. In the discretion of the Depositary, the text or substance of any amendment may be incorporated in the Depositary Receipts issued after its adoption.</w:t>
      </w:r>
    </w:p>
    <w:p>
      <w:pPr>
        <w:spacing w:after="0" w:line="186" w:lineRule="exact"/>
        <w:rPr>
          <w:rFonts w:ascii="Arial" w:cs="Arial" w:eastAsia="Arial" w:hAnsi="Arial"/>
          <w:sz w:val="18"/>
          <w:szCs w:val="18"/>
          <w:color w:val="auto"/>
        </w:rPr>
      </w:pPr>
    </w:p>
    <w:p>
      <w:pPr>
        <w:jc w:val="both"/>
        <w:ind w:left="60" w:right="159" w:firstLine="684"/>
        <w:spacing w:after="0" w:line="263" w:lineRule="auto"/>
        <w:tabs>
          <w:tab w:leader="none" w:pos="14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Every Record Holder at the time any amendment of this Agreement becomes effective shall be deemed, by continuing to hold a Depositary Receipt evidencing Depositary Units, to consent and agree to the amendment and to be bound by this Depositary Agreement as amended thereby.</w:t>
      </w:r>
    </w:p>
    <w:p>
      <w:pPr>
        <w:spacing w:after="0" w:line="184"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left="60" w:right="79" w:firstLine="638"/>
        <w:spacing w:after="0" w:line="263" w:lineRule="auto"/>
        <w:tabs>
          <w:tab w:leader="none" w:pos="13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Depositary shall terminate this Agreement, whenever directed to do so by the Partnership, by mailing, at the Partnership’s sole expense, notice of termination to the Record Holders at least 60 days before the date fixed for the termination in such notice.</w:t>
      </w:r>
    </w:p>
    <w:p>
      <w:pPr>
        <w:spacing w:after="0" w:line="183" w:lineRule="exact"/>
        <w:rPr>
          <w:rFonts w:ascii="Arial" w:cs="Arial" w:eastAsia="Arial" w:hAnsi="Arial"/>
          <w:sz w:val="18"/>
          <w:szCs w:val="18"/>
          <w:color w:val="auto"/>
        </w:rPr>
      </w:pPr>
    </w:p>
    <w:p>
      <w:pPr>
        <w:ind w:left="60" w:right="99" w:firstLine="638"/>
        <w:spacing w:after="0" w:line="269" w:lineRule="auto"/>
        <w:tabs>
          <w:tab w:leader="none" w:pos="13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termination of this Agreement, the Depositary shall discontinue the transfer of Depositary Units, shall suspend the distribution of reports, notices and disbursements to Record Holders, shall be discharged from all obligations under this Agreement, except for its obligations under Section 8.4 hereof, and shall not give any further notice (other than notice of such termination) or perform any further act under this Agreement except, if such termination is not in connection with the execution of a new Agreement with a new Depositary, that the Depositary shall, at the Partnership’s sole expense, continue to accept Depositary Receipts and written instructions for the surrender thereof pursuant to Section 5.1 hereof and shall return such instructions to the presenter thereof, along with notice as to the appropriate recipient, as indicated by the Partnership, to whom such instructions should be sent. Upon request of the Partnership, the Depositary shall deliver all books, records, Certificates, Depositary Receipts and other documents respecting the subject matter of this Agreement to the Partnership.</w:t>
      </w:r>
    </w:p>
    <w:p>
      <w:pPr>
        <w:spacing w:after="0" w:line="185" w:lineRule="exact"/>
        <w:rPr>
          <w:rFonts w:ascii="Arial" w:cs="Arial" w:eastAsia="Arial" w:hAnsi="Arial"/>
          <w:sz w:val="17"/>
          <w:szCs w:val="17"/>
          <w:color w:val="auto"/>
        </w:rPr>
      </w:pPr>
    </w:p>
    <w:p>
      <w:pPr>
        <w:ind w:left="60" w:right="259" w:firstLine="638"/>
        <w:spacing w:after="0" w:line="263" w:lineRule="auto"/>
        <w:tabs>
          <w:tab w:leader="none" w:pos="13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termination of this Agreement, the Partnership, the General Partner and the Record Holders shall be discharged from all obligations under this Agreement, except for the obligations of the Partnership and the Managing General Partner under Section 8.4 and Article IX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left="60" w:right="279" w:firstLine="648"/>
        <w:spacing w:after="0" w:line="28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which shall constitute one and the same instrument. Copies of this Agreement shall be filed with the Depositary and shall be open to inspection during normal business hours at the Depositary’s Corporate Office by any Record Holder.</w:t>
      </w:r>
    </w:p>
    <w:p>
      <w:pPr>
        <w:spacing w:after="0" w:line="16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Invalidity of Provisions</w:t>
      </w:r>
      <w:r>
        <w:rPr>
          <w:rFonts w:ascii="Arial" w:cs="Arial" w:eastAsia="Arial" w:hAnsi="Arial"/>
          <w:sz w:val="18"/>
          <w:szCs w:val="18"/>
          <w:color w:val="auto"/>
        </w:rPr>
        <w:t>. If any provision of this Agreement or of the Depositary Receipts is or becomes invalid, illegal or unenforceable in any respect, the validity, legality and enforceability of the remaining provisions contained herein or therein shall not be affected thereby.</w:t>
      </w:r>
    </w:p>
    <w:p>
      <w:pPr>
        <w:spacing w:after="0" w:line="184"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by Agent or Company to the other pursuant to this Agreement is duly given if in writing and delivered in person or sent by overnight delivery service or first class mail, postage prepaid, to the other’s address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Partnership:</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Icahn Enterprises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2000"/>
        <w:spacing w:after="0"/>
        <w:rPr>
          <w:sz w:val="20"/>
          <w:szCs w:val="20"/>
          <w:color w:val="auto"/>
        </w:rPr>
      </w:pPr>
      <w:r>
        <w:rPr>
          <w:rFonts w:ascii="Arial" w:cs="Arial" w:eastAsia="Arial" w:hAnsi="Arial"/>
          <w:sz w:val="18"/>
          <w:szCs w:val="18"/>
          <w:color w:val="auto"/>
        </w:rPr>
        <w:t>767 Fifth Avenue, 47th floor</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Managing Partner:</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Icahn Enterprises G.P. Inc.</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767 Fifth Avenue, 47th floor</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Depositary:</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Computershare Inc.</w:t>
      </w:r>
    </w:p>
    <w:p>
      <w:pPr>
        <w:ind w:left="2000"/>
        <w:spacing w:after="0" w:line="193" w:lineRule="auto"/>
        <w:rPr>
          <w:sz w:val="20"/>
          <w:szCs w:val="20"/>
          <w:color w:val="auto"/>
        </w:rPr>
      </w:pPr>
      <w:r>
        <w:rPr>
          <w:rFonts w:ascii="Arial" w:cs="Arial" w:eastAsia="Arial" w:hAnsi="Arial"/>
          <w:sz w:val="18"/>
          <w:szCs w:val="18"/>
          <w:color w:val="auto"/>
        </w:rPr>
        <w:t>480 Washington Blvd., 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Jersey City, New Jersey 07310</w:t>
      </w:r>
    </w:p>
    <w:p>
      <w:pPr>
        <w:spacing w:after="0" w:line="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Attn:  Stephen R. Jones</w:t>
      </w:r>
    </w:p>
    <w:p>
      <w:pPr>
        <w:spacing w:after="0" w:line="211" w:lineRule="exact"/>
        <w:rPr>
          <w:sz w:val="20"/>
          <w:szCs w:val="20"/>
          <w:color w:val="auto"/>
        </w:rPr>
      </w:pPr>
    </w:p>
    <w:p>
      <w:pPr>
        <w:jc w:val="both"/>
        <w:ind w:left="60" w:right="259" w:firstLine="638"/>
        <w:spacing w:after="0" w:line="301" w:lineRule="auto"/>
        <w:tabs>
          <w:tab w:leader="none" w:pos="13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notice to be given to any Record Holder shall be deemed to have been duly given if personally delivered or sent by mailL, addressed to such Record Holder at the address of such Record Holder as it appears on the books of the Depositary or if such Record Holder has filed with the Depositary a written request that notices intended for such Record Holder be mailed to some other address, at the address designated in such request.</w:t>
      </w:r>
    </w:p>
    <w:p>
      <w:pPr>
        <w:spacing w:after="0" w:line="157" w:lineRule="exact"/>
        <w:rPr>
          <w:rFonts w:ascii="Arial" w:cs="Arial" w:eastAsia="Arial" w:hAnsi="Arial"/>
          <w:sz w:val="16"/>
          <w:szCs w:val="16"/>
          <w:color w:val="auto"/>
        </w:rPr>
      </w:pPr>
    </w:p>
    <w:p>
      <w:pPr>
        <w:ind w:left="60" w:right="59" w:firstLine="638"/>
        <w:spacing w:after="0" w:line="259"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notice shall be deemed given, unless earlier received, (i) if sent by certified or registered mail, return receipt requested, or by first-class mail, five calendar days after being deposited in the United States mails, postage prepaid, (ii) if sent by United States Express Mail, two calendar days after being deposited in the United States mails, postage prepaid, or (iii) if delivered by hand, on the date of receipt.</w:t>
      </w:r>
    </w:p>
    <w:p>
      <w:pPr>
        <w:spacing w:after="0" w:line="18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Holders of Receipts are Parties</w:t>
      </w:r>
      <w:r>
        <w:rPr>
          <w:rFonts w:ascii="Arial" w:cs="Arial" w:eastAsia="Arial" w:hAnsi="Arial"/>
          <w:sz w:val="18"/>
          <w:szCs w:val="18"/>
          <w:color w:val="auto"/>
        </w:rPr>
        <w:t>. The holders of Receipts and their transferees from time to time shall be, and shall be deemed to be, parties to this Agreement and shall be bound by all the terms and conditions hereof and of the Depositary Receipts by acceptance thereof.</w:t>
      </w:r>
    </w:p>
    <w:p>
      <w:pPr>
        <w:spacing w:after="0" w:line="184"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Binding Effects</w:t>
      </w:r>
      <w:r>
        <w:rPr>
          <w:rFonts w:ascii="Arial" w:cs="Arial" w:eastAsia="Arial" w:hAnsi="Arial"/>
          <w:sz w:val="17"/>
          <w:szCs w:val="17"/>
          <w:color w:val="auto"/>
        </w:rPr>
        <w:t>. No party to this Agreement, other than a Record Holder, may sell, transfer or otherwise convey any of its rights, or delegate any of its duties, under this Agreement without the prior written consent of all other parties hereto except that the Depositary may, in its discretion, delegate those ministerial duties which are so delegated in the normal course of its business; provided, however, that any merger, sale or reorganization of any party shall not constitute a sale, assignment, transfer, conveyance or delegation for this purpose. Any attempted sale, assignment, transfer, conveyance or delegation in violation of this Section 11.5 shall be void.</w:t>
      </w:r>
    </w:p>
    <w:p>
      <w:pPr>
        <w:spacing w:after="0" w:line="178"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Pronouns and Plurals</w:t>
      </w:r>
      <w:r>
        <w:rPr>
          <w:rFonts w:ascii="Arial" w:cs="Arial" w:eastAsia="Arial" w:hAnsi="Arial"/>
          <w:sz w:val="18"/>
          <w:szCs w:val="18"/>
          <w:color w:val="auto"/>
        </w:rPr>
        <w:t>. Whenever the context may require, any pronoun used herein shall include the corresponding masculine, feminine or neuter forms, and the singular form of nouns, pronouns and verbs shall include the plural and vice versa.</w:t>
      </w:r>
    </w:p>
    <w:p>
      <w:pPr>
        <w:spacing w:after="0" w:line="184"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Depositary Receipts and all rights hereunder and thereunder and provisions hereof and thereof shall be governed by and construed in accordance with the laws of the State of Delaware applicable to agreements made and to be performed in said State, without regard to conflicts of law principals thereof</w:t>
      </w:r>
    </w:p>
    <w:p>
      <w:pPr>
        <w:spacing w:after="0" w:line="149"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Captions</w:t>
      </w:r>
      <w:r>
        <w:rPr>
          <w:rFonts w:ascii="Arial" w:cs="Arial" w:eastAsia="Arial" w:hAnsi="Arial"/>
          <w:sz w:val="18"/>
          <w:szCs w:val="18"/>
          <w:color w:val="auto"/>
        </w:rPr>
        <w:t>. The headings of articles and sections in this Agreement and in the form of Depositary Receipt set forth in Exhibit A hereto have been inserted for convenience only and are not to be regarded as a part of this Agreement or of any Depositary Receipt or to have any bearing upon the meaning or interpretation of any provisions contained herein or in the Depositary Receipt.</w:t>
      </w:r>
    </w:p>
    <w:p>
      <w:pPr>
        <w:spacing w:after="0" w:line="187"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Partnership shall perform, acknowledge and deliver or cause to be performed, acknowledged and delivered all such further and other acts, documents, instruments and assurances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430530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60" w:right="79"/>
        <w:spacing w:after="0" w:line="277" w:lineRule="auto"/>
        <w:rPr>
          <w:sz w:val="20"/>
          <w:szCs w:val="20"/>
          <w:color w:val="auto"/>
        </w:rPr>
      </w:pPr>
      <w:r>
        <w:rPr>
          <w:rFonts w:ascii="Arial" w:cs="Arial" w:eastAsia="Arial" w:hAnsi="Arial"/>
          <w:sz w:val="18"/>
          <w:szCs w:val="18"/>
          <w:color w:val="auto"/>
        </w:rPr>
        <w:t>may be reasonably required by the Depositary for the carrying out or performing by the Depositary of the provisions of this Agreement.</w:t>
      </w:r>
    </w:p>
    <w:p>
      <w:pPr>
        <w:spacing w:after="0" w:line="17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Depositary and the Company agree that all books, records, information and data pertaining to the business of the other party, including inter alia, personal, non-public record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law, including, without limitation, pursuant to subpoenas from state or federal government authorities (e.g., in divorce and criminal actions).</w:t>
      </w:r>
    </w:p>
    <w:p>
      <w:pPr>
        <w:spacing w:after="0" w:line="192" w:lineRule="exact"/>
        <w:rPr>
          <w:sz w:val="20"/>
          <w:szCs w:val="20"/>
          <w:color w:val="auto"/>
        </w:rPr>
      </w:pPr>
    </w:p>
    <w:p>
      <w:pPr>
        <w:ind w:left="60" w:right="479" w:firstLine="630"/>
        <w:spacing w:after="0" w:line="277"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Counterparts</w:t>
      </w:r>
      <w:r>
        <w:rPr>
          <w:rFonts w:ascii="Arial" w:cs="Arial" w:eastAsia="Arial" w:hAnsi="Arial"/>
          <w:sz w:val="18"/>
          <w:szCs w:val="18"/>
          <w:color w:val="auto"/>
        </w:rPr>
        <w:t>. A signature to this Agreement transmitted electronically shall have the same authority, effect, and enforceability as an original signature.</w:t>
      </w:r>
    </w:p>
    <w:p>
      <w:pPr>
        <w:spacing w:after="0" w:line="170" w:lineRule="exact"/>
        <w:rPr>
          <w:sz w:val="20"/>
          <w:szCs w:val="20"/>
          <w:color w:val="auto"/>
        </w:rPr>
      </w:pPr>
    </w:p>
    <w:p>
      <w:pPr>
        <w:ind w:left="60" w:right="379" w:firstLine="585"/>
        <w:spacing w:after="0" w:line="25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Depositary will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spacing w:after="0" w:line="3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WITNESS WHEREOF, the parties have executed this Depositary Agreement as of the date first above written.</w:t>
      </w:r>
    </w:p>
    <w:p>
      <w:pPr>
        <w:spacing w:after="0" w:line="200" w:lineRule="exact"/>
        <w:rPr>
          <w:sz w:val="20"/>
          <w:szCs w:val="20"/>
          <w:color w:val="auto"/>
        </w:rPr>
      </w:pPr>
    </w:p>
    <w:p>
      <w:pPr>
        <w:spacing w:after="0" w:line="29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ICAHN ENTERPRISES, L.P.</w:t>
      </w:r>
    </w:p>
    <w:p>
      <w:pPr>
        <w:spacing w:after="0" w:line="225" w:lineRule="exact"/>
        <w:rPr>
          <w:sz w:val="20"/>
          <w:szCs w:val="20"/>
          <w:color w:val="auto"/>
        </w:rPr>
      </w:pPr>
    </w:p>
    <w:p>
      <w:pPr>
        <w:ind w:left="4480"/>
        <w:spacing w:after="0"/>
        <w:tabs>
          <w:tab w:leader="none" w:pos="4960" w:val="left"/>
        </w:tabs>
        <w:rPr>
          <w:sz w:val="20"/>
          <w:szCs w:val="20"/>
          <w:color w:val="auto"/>
        </w:rPr>
      </w:pPr>
      <w:r>
        <w:rPr>
          <w:rFonts w:ascii="Arial" w:cs="Arial" w:eastAsia="Arial" w:hAnsi="Arial"/>
          <w:sz w:val="18"/>
          <w:szCs w:val="18"/>
          <w:color w:val="auto"/>
        </w:rPr>
        <w:t>By:</w:t>
        <w:tab/>
        <w:t>Icahn Enterprises G.P.,</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Inc., the general partner</w:t>
      </w:r>
    </w:p>
    <w:p>
      <w:pPr>
        <w:spacing w:after="0" w:line="211" w:lineRule="exact"/>
        <w:rPr>
          <w:sz w:val="20"/>
          <w:szCs w:val="20"/>
          <w:color w:val="auto"/>
        </w:rPr>
      </w:pPr>
    </w:p>
    <w:p>
      <w:pPr>
        <w:ind w:left="4480"/>
        <w:spacing w:after="0"/>
        <w:tabs>
          <w:tab w:leader="none" w:pos="4960" w:val="left"/>
        </w:tabs>
        <w:rPr>
          <w:sz w:val="20"/>
          <w:szCs w:val="20"/>
          <w:color w:val="auto"/>
        </w:rPr>
      </w:pPr>
      <w:r>
        <w:rPr>
          <w:rFonts w:ascii="Arial" w:cs="Arial" w:eastAsia="Arial" w:hAnsi="Arial"/>
          <w:sz w:val="18"/>
          <w:szCs w:val="18"/>
          <w:color w:val="auto"/>
        </w:rPr>
        <w:t>By:</w:t>
        <w:tab/>
        <w:t>/s/ 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25285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Keith Cozza</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President, Chief Executive Officer and Director</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ICAHN ENTERPRISES G.P. INC.</w:t>
      </w:r>
    </w:p>
    <w:p>
      <w:pPr>
        <w:spacing w:after="0" w:line="225" w:lineRule="exact"/>
        <w:rPr>
          <w:sz w:val="20"/>
          <w:szCs w:val="20"/>
          <w:color w:val="auto"/>
        </w:rPr>
      </w:pPr>
    </w:p>
    <w:p>
      <w:pPr>
        <w:ind w:left="4480"/>
        <w:spacing w:after="0"/>
        <w:tabs>
          <w:tab w:leader="none" w:pos="4960" w:val="left"/>
        </w:tabs>
        <w:rPr>
          <w:sz w:val="20"/>
          <w:szCs w:val="20"/>
          <w:color w:val="auto"/>
        </w:rPr>
      </w:pPr>
      <w:r>
        <w:rPr>
          <w:rFonts w:ascii="Arial" w:cs="Arial" w:eastAsia="Arial" w:hAnsi="Arial"/>
          <w:sz w:val="18"/>
          <w:szCs w:val="18"/>
          <w:color w:val="auto"/>
        </w:rPr>
        <w:t>By:</w:t>
        <w:tab/>
        <w:t>/s/ 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2528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Keith Cozza</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President, Chief Executive Officer and Director</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COMPUTERSHARE INC.</w:t>
      </w:r>
    </w:p>
    <w:p>
      <w:pPr>
        <w:spacing w:after="0" w:line="225" w:lineRule="exact"/>
        <w:rPr>
          <w:sz w:val="20"/>
          <w:szCs w:val="20"/>
          <w:color w:val="auto"/>
        </w:rPr>
      </w:pPr>
    </w:p>
    <w:p>
      <w:pPr>
        <w:ind w:left="4480"/>
        <w:spacing w:after="0"/>
        <w:tabs>
          <w:tab w:leader="none" w:pos="4960" w:val="left"/>
        </w:tabs>
        <w:rPr>
          <w:sz w:val="20"/>
          <w:szCs w:val="20"/>
          <w:color w:val="auto"/>
        </w:rPr>
      </w:pPr>
      <w:r>
        <w:rPr>
          <w:rFonts w:ascii="Arial" w:cs="Arial" w:eastAsia="Arial" w:hAnsi="Arial"/>
          <w:sz w:val="18"/>
          <w:szCs w:val="18"/>
          <w:color w:val="auto"/>
        </w:rPr>
        <w:t>By:</w:t>
        <w:tab/>
        <w:t>/s/ Dennis V. Moccia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2528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Dennis V. Moccia</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Manager, Contract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1840230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2400300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Icahn Enterprises L.P. for the period ended June 30, 2023;</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20" w:firstLine="321"/>
        <w:spacing w:after="0" w:line="263" w:lineRule="auto"/>
        <w:tabs>
          <w:tab w:leader="none" w:pos="5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14605</wp:posOffset>
            </wp:positionV>
            <wp:extent cx="332613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6130" cy="26035"/>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David Willetts</w:t>
      </w:r>
    </w:p>
    <w:p>
      <w:pPr>
        <w:spacing w:after="0" w:line="63" w:lineRule="exact"/>
        <w:rPr>
          <w:sz w:val="20"/>
          <w:szCs w:val="20"/>
          <w:color w:val="auto"/>
        </w:rPr>
      </w:pPr>
    </w:p>
    <w:p>
      <w:pPr>
        <w:ind w:left="4220" w:right="240"/>
        <w:spacing w:after="0" w:line="246"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0"/>
          </w:cols>
          <w:pgMar w:left="1240" w:top="661" w:right="1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Icahn Enterprises L.P. for the period ended June 30, 2023;</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0" w:firstLine="321"/>
        <w:spacing w:after="0" w:line="263" w:lineRule="auto"/>
        <w:tabs>
          <w:tab w:leader="none" w:pos="5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33947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661" w:right="1239" w:bottom="1440" w:gutter="0" w:footer="0" w:header="0"/>
        </w:sectPr>
      </w:pPr>
    </w:p>
    <w:bookmarkStart w:id="78" w:name="page79"/>
    <w:bookmarkEnd w:id="78"/>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connection with the quarterly report on Form 10-Q of Icahn Enterprises L.P., for the period ended June 30, 2023, the undersigned certify that, to the best of his knowledge, based upon a review of the Icahn Enterprises L.P. quarterly report on Form 10-Q for the period ended August 4, 2023:</w:t>
      </w:r>
    </w:p>
    <w:p>
      <w:pPr>
        <w:spacing w:after="0" w:line="184" w:lineRule="exact"/>
        <w:rPr>
          <w:sz w:val="20"/>
          <w:szCs w:val="20"/>
          <w:color w:val="auto"/>
        </w:rPr>
      </w:pPr>
    </w:p>
    <w:p>
      <w:pPr>
        <w:ind w:right="460" w:firstLine="321"/>
        <w:spacing w:after="0" w:line="277" w:lineRule="auto"/>
        <w:tabs>
          <w:tab w:leader="none" w:pos="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14605</wp:posOffset>
            </wp:positionV>
            <wp:extent cx="3420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0110" cy="25400"/>
                    </a:xfrm>
                    <a:prstGeom prst="rect">
                      <a:avLst/>
                    </a:prstGeom>
                    <a:noFill/>
                  </pic:spPr>
                </pic:pic>
              </a:graphicData>
            </a:graphic>
          </wp:anchor>
        </w:drawing>
      </w:r>
    </w:p>
    <w:p>
      <w:pPr>
        <w:spacing w:after="0" w:line="7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David Willetts</w:t>
      </w:r>
    </w:p>
    <w:p>
      <w:pPr>
        <w:spacing w:after="0" w:line="63" w:lineRule="exact"/>
        <w:rPr>
          <w:sz w:val="20"/>
          <w:szCs w:val="20"/>
          <w:color w:val="auto"/>
        </w:rPr>
      </w:pPr>
    </w:p>
    <w:p>
      <w:pPr>
        <w:ind w:left="4080" w:right="120"/>
        <w:spacing w:after="0" w:line="246"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7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33947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94710" cy="25400"/>
                    </a:xfrm>
                    <a:prstGeom prst="rect">
                      <a:avLst/>
                    </a:prstGeom>
                    <a:noFill/>
                  </pic:spPr>
                </pic:pic>
              </a:graphicData>
            </a:graphic>
          </wp:anchor>
        </w:drawing>
      </w:r>
    </w:p>
    <w:p>
      <w:pPr>
        <w:spacing w:after="0" w:line="7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63"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sectPr>
      <w:pgSz w:w="11900" w:h="16838" w:orient="portrait"/>
      <w:cols w:equalWidth="0" w:num="1">
        <w:col w:w="9420"/>
      </w:cols>
      <w:pgMar w:left="1240" w:top="66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1."/>
      <w:numFmt w:val="decimal"/>
      <w:start w:val="13"/>
    </w:lvl>
  </w:abstractNum>
  <w:abstractNum w:abstractNumId="8">
    <w:nsid w:val="257130A3"/>
    <w:multiLevelType w:val="hybridMultilevel"/>
    <w:lvl w:ilvl="0">
      <w:lvlJc w:val="left"/>
      <w:lvlText w:val="%1."/>
      <w:numFmt w:val="decimal"/>
      <w:start w:val="16"/>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04"/>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3"/>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3"/>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4"/>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2"/>
    </w:lvl>
    <w:lvl w:ilvl="1">
      <w:lvlJc w:val="left"/>
      <w:lvlText w:val="(%2)"/>
      <w:numFmt w:val="lowerLetter"/>
      <w:start w:val="4"/>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2023-08-04T15:36:28Z</dcterms:created>
  <dcterms:modified xsi:type="dcterms:W3CDTF">2023-08-04T15:36:28Z</dcterms:modified>
</cp:coreProperties>
</file>