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374"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0"/>
              </w:rPr>
              <w:t>(State or Other</w:t>
            </w:r>
          </w:p>
        </w:tc>
        <w:tc>
          <w:tcPr>
            <w:tcW w:w="130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580" w:type="dxa"/>
            <w:vAlign w:val="bottom"/>
          </w:tcPr>
          <w:p>
            <w:pPr>
              <w:jc w:val="center"/>
              <w:ind w:left="145"/>
              <w:spacing w:after="0" w:line="149" w:lineRule="exact"/>
              <w:rPr>
                <w:sz w:val="20"/>
                <w:szCs w:val="20"/>
                <w:color w:val="auto"/>
              </w:rPr>
            </w:pPr>
            <w:r>
              <w:rPr>
                <w:rFonts w:ascii="Arial" w:cs="Arial" w:eastAsia="Arial" w:hAnsi="Arial"/>
                <w:sz w:val="14"/>
                <w:szCs w:val="14"/>
                <w:color w:val="auto"/>
                <w:w w:val="98"/>
              </w:rPr>
              <w:t>Jurisdiction of</w:t>
            </w:r>
          </w:p>
        </w:tc>
        <w:tc>
          <w:tcPr>
            <w:tcW w:w="13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7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580" w:type="dxa"/>
            <w:vAlign w:val="bottom"/>
          </w:tcPr>
          <w:p>
            <w:pPr>
              <w:jc w:val="center"/>
              <w:ind w:left="12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00" w:type="dxa"/>
            <w:vAlign w:val="bottom"/>
          </w:tcPr>
          <w:p>
            <w:pPr>
              <w:jc w:val="center"/>
              <w:ind w:left="95"/>
              <w:spacing w:after="0"/>
              <w:rPr>
                <w:sz w:val="20"/>
                <w:szCs w:val="20"/>
                <w:color w:val="auto"/>
              </w:rPr>
            </w:pPr>
            <w:r>
              <w:rPr>
                <w:rFonts w:ascii="Arial" w:cs="Arial" w:eastAsia="Arial" w:hAnsi="Arial"/>
                <w:sz w:val="14"/>
                <w:szCs w:val="14"/>
                <w:color w:val="auto"/>
                <w:w w:val="92"/>
              </w:rPr>
              <w:t>(Telephone Number)</w:t>
            </w: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00" w:type="dxa"/>
            <w:vAlign w:val="bottom"/>
          </w:tcPr>
          <w:p>
            <w:pPr>
              <w:jc w:val="right"/>
              <w:ind w:right="1102"/>
              <w:spacing w:after="0"/>
              <w:rPr>
                <w:sz w:val="20"/>
                <w:szCs w:val="20"/>
                <w:color w:val="auto"/>
              </w:rPr>
            </w:pPr>
            <w:r>
              <w:rPr>
                <w:rFonts w:ascii="Arial" w:cs="Arial" w:eastAsia="Arial" w:hAnsi="Arial"/>
                <w:sz w:val="16"/>
                <w:szCs w:val="16"/>
                <w:b w:val="1"/>
                <w:bCs w:val="1"/>
                <w:color w:val="auto"/>
              </w:rPr>
              <w:t>1-9516</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00" w:type="dxa"/>
            <w:vAlign w:val="bottom"/>
          </w:tcPr>
          <w:p>
            <w:pPr>
              <w:jc w:val="right"/>
              <w:ind w:right="842"/>
              <w:spacing w:after="0"/>
              <w:rPr>
                <w:sz w:val="20"/>
                <w:szCs w:val="20"/>
                <w:color w:val="auto"/>
              </w:rPr>
            </w:pPr>
            <w:r>
              <w:rPr>
                <w:rFonts w:ascii="Arial" w:cs="Arial" w:eastAsia="Arial" w:hAnsi="Arial"/>
                <w:sz w:val="16"/>
                <w:szCs w:val="16"/>
                <w:b w:val="1"/>
                <w:bCs w:val="1"/>
                <w:color w:val="auto"/>
              </w:rPr>
              <w:t>333-118021-01</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HOLDINGS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Icahn Enterprises L.P.</w:t>
            </w: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Icahn Enterprises Holdings L.P.</w:t>
            </w:r>
          </w:p>
        </w:tc>
        <w:tc>
          <w:tcPr>
            <w:tcW w:w="1240" w:type="dxa"/>
            <w:vAlign w:val="bottom"/>
          </w:tcPr>
          <w:p>
            <w:pPr>
              <w:spacing w:after="0"/>
              <w:rPr>
                <w:sz w:val="18"/>
                <w:szCs w:val="18"/>
                <w:color w:val="auto"/>
              </w:rPr>
            </w:pPr>
          </w:p>
        </w:tc>
      </w:tr>
      <w:tr>
        <w:trPr>
          <w:trHeight w:val="291"/>
        </w:trPr>
        <w:tc>
          <w:tcPr>
            <w:tcW w:w="2240" w:type="dxa"/>
            <w:vAlign w:val="bottom"/>
            <w:gridSpan w:val="2"/>
          </w:tcPr>
          <w:p>
            <w:pPr>
              <w:jc w:val="center"/>
              <w:ind w:right="310"/>
              <w:spacing w:after="0"/>
              <w:rPr>
                <w:sz w:val="20"/>
                <w:szCs w:val="20"/>
                <w:color w:val="auto"/>
              </w:rPr>
            </w:pPr>
            <w:r>
              <w:rPr>
                <w:rFonts w:ascii="Arial" w:cs="Arial" w:eastAsia="Arial" w:hAnsi="Arial"/>
                <w:sz w:val="18"/>
                <w:szCs w:val="18"/>
                <w:color w:val="auto"/>
                <w:w w:val="91"/>
              </w:rPr>
              <w:t>Large Accelerated Filer x</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Accelerated Filer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6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40" w:type="dxa"/>
            <w:vAlign w:val="bottom"/>
            <w:gridSpan w:val="2"/>
          </w:tcPr>
          <w:p>
            <w:pPr>
              <w:jc w:val="center"/>
              <w:ind w:right="29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Smaller Reporting Company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6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524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Emerging Growth Company o</w:t>
            </w:r>
          </w:p>
        </w:tc>
        <w:tc>
          <w:tcPr>
            <w:tcW w:w="1640" w:type="dxa"/>
            <w:vAlign w:val="bottom"/>
          </w:tcPr>
          <w:p>
            <w:pPr>
              <w:spacing w:after="0"/>
              <w:rPr>
                <w:sz w:val="23"/>
                <w:szCs w:val="23"/>
                <w:color w:val="auto"/>
              </w:rPr>
            </w:pPr>
          </w:p>
        </w:tc>
        <w:tc>
          <w:tcPr>
            <w:tcW w:w="354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Emerging Growth Company o</w:t>
            </w:r>
          </w:p>
        </w:tc>
      </w:tr>
    </w:tbl>
    <w:p>
      <w:pPr>
        <w:spacing w:after="0" w:line="12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May 3, 2018, there were 178,183,925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40" w:type="dxa"/>
            <w:vAlign w:val="bottom"/>
            <w:tcBorders>
              <w:right w:val="single" w:sz="8" w:color="CCEEFF"/>
            </w:tcBorders>
            <w:gridSpan w:val="2"/>
            <w:shd w:val="clear" w:color="auto" w:fill="CCEEFF"/>
          </w:tcPr>
          <w:p>
            <w:pPr>
              <w:jc w:val="center"/>
              <w:ind w:left="275"/>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21"/>
                <w:szCs w:val="21"/>
                <w:color w:val="auto"/>
              </w:rPr>
            </w:pPr>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4"/>
            <w:shd w:val="clear" w:color="auto" w:fill="CCEEFF"/>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2"/>
          </w:tcPr>
          <w:p>
            <w:pPr>
              <w:jc w:val="center"/>
              <w:ind w:left="275"/>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2.</w:t>
              </w:r>
            </w:hyperlink>
          </w:p>
        </w:tc>
        <w:tc>
          <w:tcPr>
            <w:tcW w:w="740" w:type="dxa"/>
            <w:vAlign w:val="bottom"/>
            <w:gridSpan w:val="2"/>
            <w:shd w:val="clear" w:color="auto" w:fill="CCEEFF"/>
          </w:tcPr>
          <w:p>
            <w:pPr>
              <w:spacing w:after="0"/>
              <w:rPr>
                <w:sz w:val="17"/>
                <w:szCs w:val="17"/>
                <w:color w:val="auto"/>
              </w:rPr>
            </w:pPr>
          </w:p>
        </w:tc>
        <w:tc>
          <w:tcPr>
            <w:tcW w:w="6500" w:type="dxa"/>
            <w:vAlign w:val="bottom"/>
            <w:gridSpan w:val="8"/>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center"/>
              <w:ind w:right="360"/>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6500" w:type="dxa"/>
            <w:vAlign w:val="bottom"/>
            <w:gridSpan w:val="8"/>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57">
              <w:r>
                <w:rPr>
                  <w:rFonts w:ascii="Arial" w:cs="Arial" w:eastAsia="Arial" w:hAnsi="Arial"/>
                  <w:sz w:val="17"/>
                  <w:szCs w:val="17"/>
                  <w:color w:val="0000EE"/>
                  <w:w w:val="73"/>
                </w:rPr>
                <w:t>55</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9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4.</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56</w:t>
              </w:r>
            </w:hyperlink>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4"/>
            <w:shd w:val="clear" w:color="auto" w:fill="CCEEFF"/>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900" w:type="dxa"/>
            <w:vAlign w:val="bottom"/>
            <w:gridSpan w:val="3"/>
          </w:tcPr>
          <w:p>
            <w:pPr>
              <w:jc w:val="center"/>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1A.</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6.</w:t>
              </w:r>
            </w:hyperlink>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82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60">
              <w:r>
                <w:rPr>
                  <w:rFonts w:ascii="Arial" w:cs="Arial" w:eastAsia="Arial" w:hAnsi="Arial"/>
                  <w:sz w:val="17"/>
                  <w:szCs w:val="17"/>
                  <w:color w:val="0000EE"/>
                  <w:w w:val="73"/>
                </w:rPr>
                <w:t>58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in our Annual Report on Form 10-K for the year ended December 31, 2017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(Unaudited)</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30,498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11,208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w w:val="98"/>
              </w:rPr>
              <w:t>Limited partners: Depositary units: 173,579,378 units issued and outstanding at March 31, 2018 and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173,564,307 units issued and outstanding at December 31, 2017</w:t>
            </w:r>
          </w:p>
        </w:tc>
        <w:tc>
          <w:tcPr>
            <w:tcW w:w="16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4,945</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11,755</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30,498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364"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 from investment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 allocable to:</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(loss) per LP unit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income (loss) per LP unit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 allocable to:</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812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8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$1,368 million and $1,411 million at March 31,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11,755</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8,567</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1,129</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(1,798)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earnings from non-consolidated affiliates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8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Changes in other operating assets and liabilities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disposition of assets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1,195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1,150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1,243</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decrease in cash of assets held for sale</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388</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2,637</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3,025</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(In millions)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(Unaudited)</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30,530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11,213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318"/>
        </w:trPr>
        <w:tc>
          <w:tcPr>
            <w:tcW w:w="8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5,260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11,782</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30,530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380"/>
          </w:cols>
          <w:pgMar w:left="260" w:top="58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60" w:top="580"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 from investment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 Holdings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 Holdings allocable to:</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6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103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0"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7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79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7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79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 Holdings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7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 Holdings allocable to:</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7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7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$1,368 million and $1,411 million at March 31,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64" w:right="239" w:bottom="1440" w:gutter="0" w:footer="0" w:header="0"/>
          <w:type w:val="continuous"/>
        </w:sectPr>
      </w:pPr>
    </w:p>
    <w:bookmarkStart w:id="11" w:name="page12"/>
    <w:bookmarkEnd w:id="11"/>
    <w:p>
      <w:pPr>
        <w:ind w:left="318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11,782</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77"/>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8,592</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36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1,129</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(1,798)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earnings from non-consolidated affiliates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8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disposition of assets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1,195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1,150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1,243</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decrease in cash of assets held for sale</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388</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2,637</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3,025</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Icahn Enterprises L.P. ("Icahn Enterprises") owns a 99% limited partner interest in Icahn Enterprises Holdings L.P. ("Icahn Enterprises Holdings"). Icahn Enterprises G.P. Inc. ("Icahn Enterprises GP"), which is owned and controlled by Mr. Carl C. Icahn, owns a 1% general partner interest in each of Icahn Enterprises and Icahn Enterprises Holdings as of March 31, 2018.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of the general partner interest, which is reflected as an aggregate 1.99% general partner interest in the financial statements of Icahn Enterprises, as well as due to the carrying amount of deferred financing costs related to our senior unsecured notes. In addition to the above, Mr. Icahn and his affiliates owned approximately 91.0% of Icahn Enterprises' outstanding depositary units as of March 31, 2018.</w:t>
      </w:r>
    </w:p>
    <w:p>
      <w:pPr>
        <w:spacing w:after="0" w:line="8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References to "we," "our" or "us" herein include both Icahn Enterprises and Icahn Enterprises Holdings and their subsidiaries, unless the context otherwise requires.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Operating Businesses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Automotive, Energy, Railcar, Gaming,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 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value of approximately $3.2 billion and $3.0 billion as of March 31, 2018 and December 31,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conduct our Automotive segment through our wholly owned subsidiaries Federal-Mogul LLC ("Federal-Mogul") and Icahn Automotive Group LLC ("Icahn Automotive"). During January 2017, we increased our ownership in Federal-Mogul from 82.0% to 100% for an aggregate purchase price of $305 million. In April 2018, we announced a definitive agreement to sell Federal-Mogul. Refer to Note 18, "Subsequent Events," for further discussion.</w:t>
      </w:r>
    </w:p>
    <w:p>
      <w:pPr>
        <w:spacing w:after="0" w:line="5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Federal-Mogul is engaged in the manufacture and distribution of automotive parts. Icahn Automotive is engaged in the distribution of automotive parts in the aftermarket as well as providing automotive services to its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conduct our Energy segment through our majority ownership in CVR Energy, Inc. ("CVR Energy"). CVR Energy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As of March 31, 2018, CVR Energy owned 100% of each of the general partners of CVR Refining and CVR Partners and approximately 66% and 34% of the common units of CVR Refining and CVR Partners, respectively.</w:t>
      </w:r>
    </w:p>
    <w:p>
      <w:pPr>
        <w:spacing w:after="0" w:line="8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March 31, 2018, we owned approximately 82.0% of the total outstanding common stock of CVR Energy. In addition, as of March 31, 2018, we directly owned approximately 3.9% of the total outstanding common units of CVR Refining.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conduct our Railcar segment through our majority ownership in American Railcar Industries, Inc. ("ARI") and, prior to its sale on June 1, 2017, our wholly owned subsidiary American Railcar Leasing, LLC ("ARL"). As of March 31, 2018, we owned approximately 62.2% of the total outstanding common stock of ARI.</w:t>
      </w:r>
    </w:p>
    <w:p>
      <w:pPr>
        <w:spacing w:after="0" w:line="7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ARI is a North American designer and manufacturer of hopper and tank railcars. ARI provides its railcar customers with integrated solutions through a comprehensive set of high-quality products and related services through its manufacturing, leasing and railcar services operations. ARI's manufacturing consists of railcar manufacturing and railcar and industrial component manufacturing. ARI's railcar leasing business consists of railcars built by ARI leased to third parties under operating leases. ARI's railcar services consist of railcar repair, engineering and field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We conduct our Gaming segment through our majority ownership in Tropicana Entertainment Inc. ("Tropicana") and our wholly owned subsidiary Trump Entertainment Resorts Inc. ("TER"). As of March 31, 2018, we owned approximately 83.9% of the total outstanding common stock of Tropicana. In April 2018, we announced a definitive agreement to sell Tropicana. Refer to Note 18, "Subsequent Events," for further discussion.</w:t>
      </w:r>
    </w:p>
    <w:p>
      <w:pPr>
        <w:spacing w:after="0" w:line="57"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Tropicana is an owner and operator of regional casino and entertainment properties located in the United States and one hotel, timeshare and casino resort located on the island of Aruba. TER owned the Trump Taj Mahal Casino Resort, which closed in October 2016, and was subsequently sold on March 31, 2017. TER also owns Trump Plaza Hotel and Casino, which ceased operations in September 2014, prior to our obtaining a controlling interest in TER.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conduct our Mining segment through our majority ownership in Ferrous Resources Ltd. ("Ferrous Resources"). As of March 31, 2018,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Viskase is a producer of cellulosic, fibrous and plastic casings used to prepare and package processed meat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Our Real Estate operations consist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conduct our Home Fashion segment through our indirect wholly owned subsidiary, WestPoint Home LLC (“WPH”). WPH's business consists of manufacturing, sourcing, marketing, distributing and selling home fashion consumer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37"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4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discussed in Note 18, "Subsequent Events," in April 2018, we announced definitive agreements to sell Federal-Mogul and Tropicana. Following the closing of our contemplated sale of Federal-Mogul, it is likely that we would be considered an investment company but for an exemption under the '40 Act that would provide us up to one year to take steps to avoid becoming classified as an investment company. We expect to take steps to avoid becoming classified as an investment company during this exemption period, but no assurance can be made that we will successfully be able to take the steps necessary to avoid becoming classified as an investment company.</w:t>
      </w:r>
    </w:p>
    <w:p>
      <w:pPr>
        <w:spacing w:after="0" w:line="80"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2017.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2018, our condensed consolidated financial statements include the accounts of (i) Icahn Enterprises and Icahn Enterprises Holdings and</w:t>
      </w:r>
    </w:p>
    <w:p>
      <w:pPr>
        <w:spacing w:after="0" w:line="46" w:lineRule="exact"/>
        <w:rPr>
          <w:sz w:val="20"/>
          <w:szCs w:val="20"/>
          <w:color w:val="auto"/>
        </w:rPr>
      </w:pPr>
    </w:p>
    <w:p>
      <w:pPr>
        <w:ind w:right="20" w:firstLine="8"/>
        <w:spacing w:after="0" w:line="290"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56" w:lineRule="exact"/>
        <w:rPr>
          <w:sz w:val="20"/>
          <w:szCs w:val="20"/>
          <w:color w:val="auto"/>
        </w:rPr>
      </w:pPr>
    </w:p>
    <w:p>
      <w:pPr>
        <w:ind w:right="860" w:firstLine="405"/>
        <w:spacing w:after="0" w:line="308" w:lineRule="auto"/>
        <w:rPr>
          <w:sz w:val="20"/>
          <w:szCs w:val="20"/>
          <w:color w:val="auto"/>
        </w:rPr>
      </w:pPr>
      <w:r>
        <w:rPr>
          <w:rFonts w:ascii="Arial" w:cs="Arial" w:eastAsia="Arial" w:hAnsi="Arial"/>
          <w:sz w:val="17"/>
          <w:szCs w:val="17"/>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 xml:space="preserve">In connection with our adoption of Financial Accounting Standards Board ("FASB") Accounting Standards Update ("ASU") No. 2016-18, </w:t>
      </w:r>
      <w:r>
        <w:rPr>
          <w:rFonts w:ascii="Arial" w:cs="Arial" w:eastAsia="Arial" w:hAnsi="Arial"/>
          <w:sz w:val="16"/>
          <w:szCs w:val="16"/>
          <w:i w:val="1"/>
          <w:iCs w:val="1"/>
          <w:color w:val="auto"/>
        </w:rPr>
        <w:t>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Cash</w:t>
      </w:r>
      <w:r>
        <w:rPr>
          <w:rFonts w:ascii="Arial" w:cs="Arial" w:eastAsia="Arial" w:hAnsi="Arial"/>
          <w:sz w:val="16"/>
          <w:szCs w:val="16"/>
          <w:color w:val="auto"/>
        </w:rPr>
        <w:t>, as discussed below, we decreased our net cash used in operating activities for the three months ended March 31, 2017 by $203 million.</w:t>
      </w:r>
    </w:p>
    <w:p>
      <w:pPr>
        <w:spacing w:after="0" w:line="1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 xml:space="preserve">In connection with our adoption of FASB ASU No. 2017-07, </w:t>
      </w:r>
      <w:r>
        <w:rPr>
          <w:rFonts w:ascii="Arial" w:cs="Arial" w:eastAsia="Arial" w:hAnsi="Arial"/>
          <w:sz w:val="18"/>
          <w:szCs w:val="18"/>
          <w:i w:val="1"/>
          <w:iCs w:val="1"/>
          <w:color w:val="auto"/>
        </w:rPr>
        <w:t>Improving the Presentation of Net Periodic Pension Cost and Net Periodic Postretirement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Cost</w:t>
      </w:r>
      <w:r>
        <w:rPr>
          <w:rFonts w:ascii="Arial" w:cs="Arial" w:eastAsia="Arial" w:hAnsi="Arial"/>
          <w:sz w:val="18"/>
          <w:szCs w:val="18"/>
          <w:color w:val="auto"/>
        </w:rPr>
        <w:t>, as discussed below, we decreased our cost of goods sold and selling, general and administrative by $4 million and $6 million,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other income, net by $10 million for the three months ended March 31, 2017.</w:t>
      </w:r>
    </w:p>
    <w:p>
      <w:pPr>
        <w:spacing w:after="0" w:line="73"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addition, certain other reclassifications from the prior year presentation have been made to conform to the current year presentation, which did not have an impact on previously reported net income and equity and are not deemed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 The balances with respect to Icahn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320"/>
        <w:spacing w:after="0" w:line="375" w:lineRule="auto"/>
        <w:rPr>
          <w:sz w:val="20"/>
          <w:szCs w:val="20"/>
          <w:color w:val="auto"/>
        </w:rPr>
      </w:pPr>
      <w:r>
        <w:rPr>
          <w:rFonts w:ascii="Arial" w:cs="Arial" w:eastAsia="Arial" w:hAnsi="Arial"/>
          <w:sz w:val="18"/>
          <w:szCs w:val="18"/>
          <w:color w:val="auto"/>
        </w:rPr>
        <w:t xml:space="preserve">Enterprises Holdings' consolidated VIEs are discussed below, comprising the Investment Funds, CVR Refining, CVR Partners and Viskase. </w:t>
      </w:r>
      <w:r>
        <w:rPr>
          <w:rFonts w:ascii="Arial" w:cs="Arial" w:eastAsia="Arial" w:hAnsi="Arial"/>
          <w:sz w:val="18"/>
          <w:szCs w:val="18"/>
          <w:i w:val="1"/>
          <w:iCs w:val="1"/>
          <w:color w:val="auto"/>
        </w:rPr>
        <w:t>Investment</w:t>
      </w:r>
    </w:p>
    <w:p>
      <w:pPr>
        <w:spacing w:after="0" w:line="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CVR Refining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and CVR Partners. Based upon this evaluation, CVR Energy continues to consolidate both CVR Refining and CVR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includes balances of assets and liabilities of VIE's included in Icahn Enterprises Holdings'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b w:val="1"/>
                <w:bCs w:val="1"/>
                <w:color w:val="auto"/>
                <w:w w:val="95"/>
              </w:rPr>
              <w:t>March 31, 2018</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2017</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734</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7,601</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1,236</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506</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3,146</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424</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385</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1,023</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1,167</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9"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2018 was approximately $11.2 billion and $11.5 billion, respectively. The carrying value and estimated fair value of our long-term debt as of December 31, 2017 was approximately $11.2 billion and $11.5 billion,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$351 million and $594 million as of March 31, 2018 and December 31, 2017,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Transfers of receivables relate primarily to our Automotive segment. Federal-Mogul's subsidiaries in Brazil, France, Germany, Italy, Canada and the United States are party to accounts receivable factoring and securitization facilities. Gross accounts receivable transferred under these facilities were $674 million and $641 million as of March 31, 2018 and December 31, 2017, respectively. Of those gross amounts, $668 million and $635 million, respectively, qualify as sales in accordance with U.S. GAAP. The remaining transferred receivables were pledged as collateral and accounted for as secured borrowings and recorded in the condensed consolidated balance sheets within accounts receivable, net and debt. Under the terms of these facilities, Federal-Mogul is not obligated to draw cash immediately upon the transfer of accounts receivable. As of March 31, 2018 and December 31, 2017, Federal-Mogul did not have any undrawn cash related to such transferred receivables.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Proceeds from the transfers of accounts receivable qualifying as sales were approximately $491 million and $474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March 31, 2018 and 2017, respectively. Expenses associated with transfers of receivables were $5 million and $4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2017, respectively. Such expenses were recorded in the condensed consolidated statements of operations within other income (loss),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Where Federal-Mogul receives a fee to service and monitor these transferred receivables, such fees are sufficient to offset the costs and as such, a servicing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 or liability is not incurred as a result of such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As discussed below, on January 1, 2018, we adopted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Due to the nature of our business, we derive revenue from various sources in various industries. Investment segment and Holding Company revenues are not in scope of FASB ASC Topic 606. Railcar leasing and Real Estate leasing revenues are also not in scope of FASB ASC Topic 606. The following is a summary of our revenue recognition that is in scope of FASB ASC Topic 606 for certain of our reporting segments. In addition, we present disaggregated revenue information in Note 12, "Segment Reporting."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Automotive segment revenue from sales is measured based on consideration specified in a contract with a customer and excludes any</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incentives and amounts collected on behalf of third parties. Our Automotive segment recognizes revenue when it satisfies a performance obligation by transferring control over a product or service to a customer. Automotive service revenues are recognized on completion of the service and consist of the labor charged for installing products or maintaining or repairing vehicles. Automotive services labor revenues are included in other revenues from operations in our condensed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and 3 and 5-year plans for alignments, which it receives payment upfront. Revenues from extended warranties are recognized over the term of the warranty contract with the satisfaction of its performance obligations measured using the output method. Our Automotive segment recognizes revenues from franchise fees, which it receives payment upfront, and franchise royalties, for which it receives payment over time. Revenues from upfront franchise fees are recognized at the time the store opens, as that is when our Automotive segment's performance obligations are deemed complete, and revenues from franchise royalties are recognized in the period in which royalties are earned, generally based on a percentage of franchise sales.</w:t>
      </w:r>
    </w:p>
    <w:p>
      <w:pPr>
        <w:spacing w:after="0" w:line="6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Our Automotive segment has contract assets that primarily relate to its rights to consideration for work completed but not billed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reporting date for production parts. The contract assets are reclassified into accounts receivable when the rights to receive payment become unconditional. Our Automotive segment has determined that the value of contract assets is immaterial. Our Automotive segment has deferred revenue with respect to extended warranty plans of $30 million and $29 million as of March 31, 2018 and January 1, 2018, respectively, which are included in accrued expense and other liabilities on the condensed consolidated balance sheets. For the three months ended March 31, 2018, our Automotive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segment recorded revenue of $4 million with respect to deferred revenue outstanding as of January 1, 2018. For deferred revenue outstanding as of March 31, 2018, our Automotive segment expects to recognize approximately $15 million in 2019 and thereafter.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Energy segment revenues from the sale of petroleum products are recorded upon delivery of the products to customers, which is the point</w:t>
      </w:r>
      <w:r>
        <w:rPr>
          <w:rFonts w:ascii="Arial" w:cs="Arial" w:eastAsia="Arial" w:hAnsi="Arial"/>
          <w:sz w:val="16"/>
          <w:szCs w:val="16"/>
          <w:i w:val="1"/>
          <w:iCs w:val="1"/>
          <w:color w:val="auto"/>
        </w:rPr>
        <w:t xml:space="preserve"> </w:t>
      </w:r>
      <w:r>
        <w:rPr>
          <w:rFonts w:ascii="Arial" w:cs="Arial" w:eastAsia="Arial" w:hAnsi="Arial"/>
          <w:sz w:val="16"/>
          <w:szCs w:val="16"/>
          <w:color w:val="auto"/>
        </w:rPr>
        <w:t>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pacing w:after="0" w:line="5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Many of the petroleum business' contracts have index-based pricing which is considered variable consideration that should be estimated in determining the transaction 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8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Energy segment has elected to not disclose the amount of the transaction price allocated to remaining performance obligations for contracts with an original expected duration of less than one year. Our Energy segment has elected to not disclose variable consideration allocated to wholly unsatisfied performance obligations that are based on market prices that have not yet been determined.</w:t>
      </w:r>
    </w:p>
    <w:p>
      <w:pPr>
        <w:spacing w:after="0" w:line="7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Our Energy segment's deferred revenue is a contract liability that primarily relates to fertilizer sales contracts requiring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$24 million and $34 million as of March 31, 2018 and December 31, 2017, respectively, which is included in accrued expense and other liabilities on the condensed consolidated balance sheets. For the three months ended March 31, 2018, our Energy segment recorded revenue of $12 million with respect to deferred revenue outstanding as of January 1, 2018. For deferred revenue outstanding as of March 31, 2018, our Energy segment expects to recognize approximately $13 million of revenue in 2019 and thereafter.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from manufactured railcar sales are recognized following completion of manufacturing, inspection, customer acceptance and title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which is when the risk for any damage or loss with respect to the railcars passes to the customer, in accordance with our Railcar segment's contractual terms. Revenues from railcar and industrial components are recorded at the time of product shipment, in accordance with our Railcar segment's contractual terms. Revenues from railcar maintenance services are recognized upon completion and shipment of railcars from our Railcar segment's plants. Our Railcar segment does not currently bundle railcar service contracts with new railcar sales. Revenues from engineering and field services are recognized as performed.</w:t>
      </w:r>
    </w:p>
    <w:p>
      <w:pPr>
        <w:spacing w:after="0" w:line="85"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As of March 31, 2018, our Railcar segment had $279 million of remaining performance obligations for contractual commitments from customers for which work is partially completed. Our Railcar segment expects to recognize approximately $159 million of these performance obligations as revenue over the next twelve months and an additional $120 million thereafter. There was no revenue recognized for the three months ended March 31, 2018 from performance obligations satisfied, or partially satisfied, in previous periods due to the adoption of FASB ASC Topic 606.</w:t>
      </w:r>
    </w:p>
    <w:p>
      <w:pPr>
        <w:spacing w:after="0" w:line="6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ARI bills its customers once services have been rendered or products have been delivered and ARI has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as only the passage of time is required before payment of that consideration is due. The contract assets that ARI maintains are related to unbilled revenues recognized on repair services that have been performed but the entire project has not yet been completed, and the railcar has not yet been shipped to the customer. Contract liabilities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represent deferred revenue related to railcar manufacturing and repair services. Our Railcar segment has determined that the value of contract assets and liabilities are immaterial.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Gaming segment revenues from contracts with customers consist primarily of gaming wagers, hotel room sales, food and beverage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and sales of other retail goods and services. Casino revenue represents the difference between wins and losses from gaming activities. Tropicana applies a practical expedient by accounting for gaming contracts on a portfolio basis, rather than as individual contracts, as gaming wagers have similar characteristics and Tropicana reasonably expects the effects on the condensed consolidated financial statements will not differ materially from what which would result if applying the revenue recognition standard to each individual wagering transaction. Room, food and beverage and other casino related revenues are recognized at the time the goods or services are provided, and are reported net of any sales, use and other applicable taxes that are collected by Tropicana at the point of sale. Revenues are recorded net of any taxes collected. The majority of Tropicana's casino revenue is counted in the form of cash and chips and, therefore, is not subject to any significant or complex estimation. The retail value of rooms, food and beverage and other services provided to customers through our loyalty programs on a complimentary basis is included in gross revenues when the incentive is redeemed. Tropicana rewards customers, through the use of bonus programs, with points based on amounts wagered that can be redeemed for a specified period of time, principally for complimentary play, and also for goods or services such as rooms, food and beverages, depending upon the property. Certain revenue with respect to loyalty programs are deferred until redeemed by customers, which are not material to our condensed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Accounting Standards Updates</w:t>
      </w:r>
    </w:p>
    <w:p>
      <w:pPr>
        <w:spacing w:after="0" w:line="117"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 xml:space="preserve">In May 2014, the FASB issued ASU No. 2014-09, creating a new topic,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superseding revenue recognition requirements in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and 2017 to FASB ASC Topic 606 that include implementation guidance to principal versus agent considerations, guidance to identifying performance obligations and licensing guidance and other narrow scope improvements. We adopted these new standards on January 1, 2018 using the modified retrospective application method which required a cumulative effect adjustment recognized in equity at such date. The standard has been applied to all contracts at the date of initial application. No adjustment to revenue for periods prior to adoption were required. We have not identified any material differences in our revenue recognition methods that required modification under the new standards. Additionally, our internal control framework did not materially change as a result of the adoption of these new standards. The impact of adopting these new standards on our condensed consolidated financial statements is a cumulative effect adjustment to decrease our equity attributable to Icahn Enterprises and Icahn Enterprises Holdings as of January 1, 2018 by $20 million, primarily relating to our Automotive segment.</w:t>
      </w:r>
    </w:p>
    <w:p>
      <w:pPr>
        <w:spacing w:after="0" w:line="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of January 1, 2018, our Automotive segment increased each of inventories, net and accrued expenses and other liabilities by $26 million for product returns to reflect the value of inventory to be returned and to record a liability. Previously, product returns were recorded as a reduction to revenue. In addition, our Automotive segment increased accrued expenses and other liabilities by $30 million and decreased deferred tax liabilities by $7 million for certain extended warranties to reflect the revenues from these plans as deferred revenue. Previously, revenues from these plans were recognized upfront. Our Automotive segment also recognizes revenue from the sale of goods on a drop ship basis. Previously, revenues from these transactions were recognized gross. For the three months ended March 31, 2018, net sales and costs of goods sold would have been $18 million and $17 million higher, respectively, under prior accounting principles.</w:t>
      </w:r>
    </w:p>
    <w:p>
      <w:pPr>
        <w:spacing w:after="0" w:line="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January 1, 2018, our Energy segment increased each of accounts receivable, net and accrued expenses and other liabilities by $21 million for customer prepayments prior to delivery and to gross up certain fees collected from customers to reflect a receivable and deferred revenue recorded at the point in time in which a prepaid contract is legally enforceable and the associated right to consideration is unconditional. Previously, deferred revenue was recorded by our Energy segment upon customer prepayment.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In addition to the above, we increased assets by an aggregate $6 million and increased liabilities by $3 million as of January 1, 2018. For the three months ended March 31, 2018, the impact on revenues would have been immaterial under prior accounting principles.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xml:space="preserve">, which amends FASB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We adopted this new standard on January 1, 2018 using the modified retrospective application method which required a cumulative effect adjustment recognized in equity at such date. The amendments related to equity securities without readily determinable fair values were applied prospectively to equity investments that existed as of the date of adoption. The adoption of this standard did not have a material impact on our condensed consolidated financial statements.</w:t>
      </w:r>
    </w:p>
    <w:p>
      <w:pPr>
        <w:spacing w:after="0" w:line="5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w:t>
      </w:r>
      <w:r>
        <w:rPr>
          <w:rFonts w:ascii="Arial" w:cs="Arial" w:eastAsia="Arial" w:hAnsi="Arial"/>
          <w:sz w:val="18"/>
          <w:szCs w:val="18"/>
          <w:color w:val="auto"/>
        </w:rPr>
        <w:t xml:space="preserve">s, which amends FASB ASC Topic 230,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This ASU seeks to reduce the diversity currently in practice by providing guidance on the presentation of eight specific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issues in the statement of cash flows. This ASU is effective for fiscal years beginning after December 15, 2017, and interim periods within those fiscal years. We adopted this standard on January 1, 2018 using the retrospective application method. The adoption of this standard did not have a material impact on our condensed consolidated statements of cash flows.</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which amends FASB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This ASU requires that the statement of cash flows explain the change during the period total cash, cash equivalents, and amounts generally described as restricted cash or restricted cash equivalents. This ASU is effective for fiscal years beginning after December 15, 2017, and interim periods within those fiscal years. We have adopted this standard on January 1, 2018 using the retrospective application method. The impact of adopting this new standard is discussed above under "Reclassifications."</w:t>
      </w:r>
    </w:p>
    <w:p>
      <w:pPr>
        <w:spacing w:after="0" w:line="8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 which amends FASB ASC Topic 715,</w:t>
      </w:r>
      <w:r>
        <w:rPr>
          <w:rFonts w:ascii="Arial" w:cs="Arial" w:eastAsia="Arial" w:hAnsi="Arial"/>
          <w:sz w:val="18"/>
          <w:szCs w:val="18"/>
          <w:i w:val="1"/>
          <w:iCs w:val="1"/>
          <w:color w:val="auto"/>
        </w:rPr>
        <w:t xml:space="preserve"> Compensation - Retirement Benefits</w:t>
      </w:r>
      <w:r>
        <w:rPr>
          <w:rFonts w:ascii="Arial" w:cs="Arial" w:eastAsia="Arial" w:hAnsi="Arial"/>
          <w:sz w:val="18"/>
          <w:szCs w:val="18"/>
          <w:color w:val="auto"/>
        </w:rPr>
        <w:t>. This ASU requires entities to present the service cost component of net</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benefit cost in the same line item or items in the financial statements as other compensation costs arising from services rendered by the pertinent employees during the period. This ASU is effective for fiscal years beginning after December 15, 2017, and interim periods within those fiscal years. We adopted this standard on January 1, 2018 using the retrospective application method. The impact of adopting this new standard is discussed above under "Reclassifications."</w:t>
      </w:r>
    </w:p>
    <w:p>
      <w:pPr>
        <w:spacing w:after="0" w:line="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which amends FASB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This ASU provides updated guidance about which changes to the terms and conditions of a share-based payment award require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in Topic 718. This ASU is effective for fiscal years beginning after December 15, 2017, and interim periods within those fiscal years. We adopted this standard on January 1, 2018 which has been applied prospectively and which did not have a material impact on our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supersedes FASB ASC Topic 840,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the recognition of right-of-use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Furthermore, quantification and qualitative 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Early application is permitted. We believe the most significant impact will relate to the recognition of right-of-use assets and lease liabilities on our condensed consolidated balance sheets for long-term operating leases. We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37"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anticipate our assessment and implementation plan to be ongoing during the remainder of 2018 and continue to evaluate the impact of this standard on our condensed consolidated financial statements.</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 application is permitted for fiscal years beginning after December 15, 2018. We are currently evaluating the impact of this standard on our condensed consolidated financial statements.</w:t>
      </w:r>
    </w:p>
    <w:p>
      <w:pPr>
        <w:spacing w:after="0" w:line="85"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Targeting Improvements to Accounting for Hedging Activities</w:t>
      </w:r>
      <w:r>
        <w:rPr>
          <w:rFonts w:ascii="Arial" w:cs="Arial" w:eastAsia="Arial" w:hAnsi="Arial"/>
          <w:sz w:val="17"/>
          <w:szCs w:val="17"/>
          <w:color w:val="auto"/>
        </w:rPr>
        <w:t xml:space="preserve">, which amends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ASU includes amendments to existing guidance to better align an entity’s risk management activities and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Early adoption is permitted. We are currently evaluating the impact of this standard on our condensed consolidated financial statements.</w:t>
      </w:r>
    </w:p>
    <w:p>
      <w:pPr>
        <w:spacing w:after="0" w:line="64"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which amends FASB ASC Topic 220,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Early adoption is permitted. We are currently evaluating the impact of this standard on our condensed consolidated financial statements.</w:t>
      </w:r>
    </w:p>
    <w:p>
      <w:pPr>
        <w:spacing w:after="0" w:line="15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During the three months ended March 31, 2018 and 2017, Mr. Icahn and his affiliates (excluding us) invested $280 million and $600 million, respectively, in the Investment Funds, net of redemptions. As of March 31, 2018 and December 31, 2017, the total fair market value of investments in the Investment Funds made by Mr. Icahn and his affiliates (excluding us) was approximately $4.9 billion and $4.4 billion, respectively, representing approximately 60% and 59% of the Investment Funds' assets under management as of each respective date.</w:t>
      </w:r>
    </w:p>
    <w:p>
      <w:pPr>
        <w:spacing w:after="0" w:line="6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March 31, 2018 and 2017, $1 million and $2 million, respectively, was allocated to the Investment Funds based on this expense-sharing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discussed in Note 4, "Investments and Related Matters,"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three months ended March 31, 2018, revenue from Hertz was $6 million. Additionally, Federal-Mogul had payments to Hertz in the ordinary course of business of $1 million for the three months ended March 31, 2018.</w:t>
      </w:r>
    </w:p>
    <w:p>
      <w:pPr>
        <w:spacing w:after="0" w:line="6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addition to our transactions with Hertz disclosed above, in January 2018, a wholly owned subsidiary of ours entered into a Master Motor Vehicle Lease and Management Agreement with The Hertz Corporation, a subsidiary of Hertz Global Holdings, Inc. (collectively, "Hertz"), pursuant to which Hertz granted us the option to acquire certain vehicles from Hertz at rates aligned with the rates at which Hertz sells vehicles to third parties. Under this agreement, Hertz will lease the vehicles purchased by us from Hertz, or from third parties, under a mutually developed fleet plan and Hertz will manage, service, repair, sell and maintain those leased vehicles on behalf of us. Additionally, Hertz will rent the leased vehicles to transportation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37" w:right="2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network company drivers from rental counters within locations leased or owned by us. This agreement has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Transactions with Hertz in accordance with this agreement were immaterial for the three months ended March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Inc.</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Railcar segment has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repair services and support for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purchases from ACF (prior to June 1, 2017)</w:t>
      </w:r>
    </w:p>
    <w:p>
      <w:pPr>
        <w:spacing w:after="0" w:line="13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Purchases from ACF were $1 million and $2 million for the three months ended March 31, 2018 and 2017, respectively. For each of the three months ended March 31, 2018 and 2017, revenues from ACF were not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Federal-Mogul, CVR Energy, PSC Metals, ARI, ARL (prior to June 1, 2017), Tropicana, Viskase and WPH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each of the three months ended March 31, 2018 and 2017, we and certain of our subsidiaries paid certain of Insight Portfolio Group's operating expenses of $2 million and $1 million, respectively, in respect to certain of Insight Portfolio Group's operating expenses.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37"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356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24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3560" w:type="dxa"/>
            <w:vAlign w:val="bottom"/>
          </w:tcPr>
          <w:p>
            <w:pPr>
              <w:spacing w:after="0"/>
              <w:rPr>
                <w:sz w:val="20"/>
                <w:szCs w:val="20"/>
                <w:color w:val="auto"/>
              </w:rPr>
            </w:pPr>
          </w:p>
        </w:tc>
        <w:tc>
          <w:tcPr>
            <w:tcW w:w="4540" w:type="dxa"/>
            <w:vAlign w:val="bottom"/>
          </w:tcPr>
          <w:p>
            <w:pPr>
              <w:jc w:val="right"/>
              <w:ind w:right="373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Borders>
              <w:top w:val="single" w:sz="8" w:color="auto"/>
            </w:tcBorders>
          </w:tcPr>
          <w:p>
            <w:pPr>
              <w:spacing w:after="0"/>
              <w:rPr>
                <w:sz w:val="20"/>
                <w:szCs w:val="20"/>
                <w:color w:val="auto"/>
              </w:rPr>
            </w:pPr>
          </w:p>
        </w:tc>
      </w:tr>
      <w:tr>
        <w:trPr>
          <w:trHeight w:val="255"/>
        </w:trPr>
        <w:tc>
          <w:tcPr>
            <w:tcW w:w="3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356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1,489</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Financial</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9,377</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7,518</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9,532</w:t>
            </w:r>
          </w:p>
        </w:tc>
      </w:tr>
      <w:tr>
        <w:trPr>
          <w:trHeight w:val="67"/>
        </w:trPr>
        <w:tc>
          <w:tcPr>
            <w:tcW w:w="356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2"/>
            <w:shd w:val="clear" w:color="auto" w:fill="CCEEFF"/>
          </w:tcPr>
          <w:p>
            <w:pPr>
              <w:jc w:val="right"/>
              <w:ind w:right="3730"/>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3"/>
              </w:rPr>
              <w:t>Securities sold, not yet purchased, at fair value:</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Industrial</w:t>
            </w:r>
          </w:p>
        </w:tc>
        <w:tc>
          <w:tcPr>
            <w:tcW w:w="4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1,023</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portion of trading gains that relates to trading securities still held by our Investment segment was $175 million and $444 million for the three months ended March 31, 2018 and 2017, respectively.</w:t>
      </w:r>
    </w:p>
    <w:p>
      <w:pPr>
        <w:spacing w:after="0" w:line="62"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As of March 31, 2018, the Investment Funds owned approximately 28.0% of the outstanding common stock of Hertz. Our Investment segment recorded net losses of $52 million and $94 million for the three months ended March 31, 2018 and 2017, respectively, with respect to its investment in Hertz. As of March 31, 2018 and December 31, 2017, the aggregate fair value of our Investment segment's investment in Hertz was $465 million and $517 million, respectively.</w:t>
      </w:r>
    </w:p>
    <w:p>
      <w:pPr>
        <w:spacing w:after="0" w:line="79"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The Investment Funds also owned approximately 20.9% of the outstanding common stock of Herbalife Ltd. ("Herbalife") as of March 31, 2018. Our Investment segment recorded net gains of $544 million and $182 million for the three months ended March 31, 2018 and 2017, respectively, with respect to its investment in Herbalife. As of March 31, 2018 and December 31, 2017, the aggregate fair value of our Investment segment's investment in Herbalife was approximately $1.8 billion and $1.2 billion, respectively.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Herbalife and Hertz each file annual, quarterly and current reports, and proxy and information statements with the SEC, which are publicly available.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disclosed in the table below, our investments are measured at fair value in our condensed consolidated balance sheets. The carrying value of investments held by our other segments and our Holding Company consist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2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valuation of our assets and liabilities by the above fair value hierarchy levels measured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December 31, 2017:</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22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2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212</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unrealized gains</w:t>
            </w:r>
          </w:p>
        </w:tc>
        <w:tc>
          <w:tcPr>
            <w:tcW w:w="108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 in</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214</w:t>
            </w: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Net unrealized gains during the three months ended March 31, 2018 relates to a certain equity investment which is considered a Level 3 investment due to unobservable market data and is measured at fair value on a recurring basis. We determined the fair value of this investment based on recent market transactions. As of March 31, 2018 and December 31, 2017, the fair value of this investment was $297 million and $274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Certain assets measured at fair value using Level 3 inputs on a non-recurring basis have been impaired. During the three months ended March 31, 2017, we recorded impairment charges of $3 million relating to property, plant and equipment. We determined the fair value of property, plant and equipment by applying probability weighted, expected present value techniques to the estimated future cash flows using assumptions a market participant would utilize. In addition, during the three months ended March 31, 2017, we recorded a loss of $5 million from marking inventory down to net realizable value at our Automotive segment. There was no impairment recorded for the three months ended March 31, 2018. Refer to Note 12, "Segment Reporting," for total impairment recorded by each of our segments.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7"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4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March 31, 2018 and December 31, 2017 was zero and $17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Federal-Mogul is exposed to market risks, such as fluctuations in foreign currency exchange rates, commodity prices and changes in interest rates, which may result in cash flow risks. To manage the volatility relating to these exposures, Federal-Mogul aggregates the exposures on a consolidated basis to take advantage of natural offsets. For exposures not offset within its operations, Federal-Mogul enters into various derivative transactions pursuant to its risk management policies, which prohibit holding or issuing derivative financial instruments for speculative purposes, and designation of derivative instruments is performed on a transaction basis to support hedge accounting. The changes in fair value of these hedging instruments are offset in part or in whole by corresponding changes in the fair value or cash flows of the underlying exposures being hedged. Federal-Mogul assesses the initial and ongoing effectiveness of its hedging relationships in accordance with its documented policy.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condensed consolidated balance sheets with changes in fair value currently recognized in the condensed consolidated statements of operations. Quoted prices for similar assets or liabilities in active markets (Level 2) are considered to determine the fair values for the purpose of marking to market the hedging instruments at each period end. At March 31, 2018 and December 31, 2017, CVR Refining had open commodity swap instruments consisting of 2.9 million and 14.3 million barrels of crack spreads, respectively, primarily to fix the margin on a portion of its future gasoline and distillate production. Additionally, as of March 31, 2018 and December 31, 2017, CVR Refining had open forward purchase and sale commitments for 4.2 million and 5.8 million barrels, respectively, of Canadian crude oil priced at fixed differentials that are not considered probable of physical settlement and are accounted for as derivatives.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Certain derivative contracts executed by the Investment Funds with a single counterparty, by our Automotive segment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8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 in accordance with U.S GAAP:</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Liability Derivatives</w:t>
            </w:r>
          </w:p>
        </w:tc>
        <w:tc>
          <w:tcPr>
            <w:tcW w:w="680" w:type="dxa"/>
            <w:vAlign w:val="bottom"/>
            <w:tcBorders>
              <w:bottom w:val="single" w:sz="8" w:color="auto"/>
            </w:tcBorders>
          </w:tcPr>
          <w:p>
            <w:pPr>
              <w:spacing w:after="0"/>
              <w:rPr>
                <w:sz w:val="24"/>
                <w:szCs w:val="24"/>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20" w:type="dxa"/>
            <w:vAlign w:val="bottom"/>
            <w:gridSpan w:val="5"/>
          </w:tcPr>
          <w:p>
            <w:pPr>
              <w:ind w:left="32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6"/>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468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2"/>
                <w:szCs w:val="22"/>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1,275</w:t>
            </w: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condensed consolidated balance sheets.</w:t>
      </w:r>
    </w:p>
    <w:p>
      <w:pPr>
        <w:spacing w:after="0" w:line="13" w:lineRule="exact"/>
        <w:rPr>
          <w:rFonts w:ascii="Arial" w:cs="Arial" w:eastAsia="Arial" w:hAnsi="Arial"/>
          <w:sz w:val="9"/>
          <w:szCs w:val="9"/>
          <w:color w:val="auto"/>
        </w:rPr>
      </w:pPr>
    </w:p>
    <w:p>
      <w:pPr>
        <w:ind w:left="180" w:right="580" w:hanging="172"/>
        <w:spacing w:after="0" w:line="293" w:lineRule="auto"/>
        <w:tabs>
          <w:tab w:leader="none" w:pos="180" w:val="left"/>
        </w:tabs>
        <w:numPr>
          <w:ilvl w:val="0"/>
          <w:numId w:val="10"/>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March 31, 2018 and December 31, 2017 was $295 million and $542 million, respectively, across all counterparties, which are included in cash held at consolidated affiliated partnerships and restricted cash on the condensed consolidated balance sheets.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37"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derivatives not designated as hedging instruments: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5"/>
                <w:szCs w:val="25"/>
                <w:b w:val="1"/>
                <w:bCs w:val="1"/>
                <w:color w:val="auto"/>
                <w:w w:val="88"/>
                <w:vertAlign w:val="superscript"/>
              </w:rPr>
              <w:t>(1)</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0" w:type="dxa"/>
            <w:vAlign w:val="bottom"/>
          </w:tcPr>
          <w:p>
            <w:pPr>
              <w:spacing w:after="0"/>
              <w:rPr>
                <w:sz w:val="20"/>
                <w:szCs w:val="20"/>
                <w:color w:val="auto"/>
              </w:rPr>
            </w:pPr>
          </w:p>
        </w:tc>
        <w:tc>
          <w:tcPr>
            <w:tcW w:w="1400" w:type="dxa"/>
            <w:vAlign w:val="bottom"/>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3"/>
          </w:tcPr>
          <w:p>
            <w:pPr>
              <w:jc w:val="center"/>
              <w:ind w:left="852"/>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2"/>
                <w:szCs w:val="22"/>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300" w:hanging="172"/>
        <w:spacing w:after="0" w:line="273"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 and are included in other income (loss), net for all other segments.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volume of our derivative activities based on their notional exposure, categorized by primary underlying risk, is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92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Short Notional</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Short Notional</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Exposure</w:t>
            </w:r>
          </w:p>
        </w:tc>
        <w:tc>
          <w:tcPr>
            <w:tcW w:w="200" w:type="dxa"/>
            <w:vAlign w:val="bottom"/>
          </w:tcPr>
          <w:p>
            <w:pPr>
              <w:spacing w:after="0"/>
              <w:rPr>
                <w:sz w:val="18"/>
                <w:szCs w:val="18"/>
                <w:color w:val="auto"/>
              </w:rPr>
            </w:pPr>
          </w:p>
        </w:tc>
        <w:tc>
          <w:tcPr>
            <w:tcW w:w="1400" w:type="dxa"/>
            <w:vAlign w:val="bottom"/>
          </w:tcPr>
          <w:p>
            <w:pPr>
              <w:jc w:val="right"/>
              <w:ind w:right="39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4"/>
          </w:tcPr>
          <w:p>
            <w:pPr>
              <w:jc w:val="right"/>
              <w:ind w:right="1214"/>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83"/>
        </w:trPr>
        <w:tc>
          <w:tcPr>
            <w:tcW w:w="468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right="440" w:hanging="172"/>
        <w:spacing w:after="0" w:line="273" w:lineRule="auto"/>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short notional amount on our credit default swap positions was approximately $2.5 billion as of December 31, 2017. However, because credit spreads cannot compress below zero, our downside short notional exposure to loss is $391 million as of December 31,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Non-Derivative Instruments Designated as Hedging Instruments</w:t>
      </w:r>
    </w:p>
    <w:p>
      <w:pPr>
        <w:spacing w:after="0" w:line="117"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As of March 31, 2018 and December 31, 2017, Federal-Mogul had foreign currency denominated debt, of which $901 million and $884 million, respectively, was designated as a net investment hedge in certain foreign subsidiaries and affiliates of Federal-Mogul. Changes to its carrying value are included in other comprehensive loss as translation adjustments and other. The amount recognized in accumulated other comprehensive loss for the three months ended March 31, 2018 was a loss of $24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0" w:type="dxa"/>
            <w:vAlign w:val="bottom"/>
            <w:vMerge w:val="restart"/>
          </w:tcPr>
          <w:p>
            <w:pPr>
              <w:jc w:val="right"/>
              <w:ind w:right="223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420" w:right="826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Impairment</w:t>
            </w: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w:t>
            </w: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Railcar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Food Packaging</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1,275</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60"/>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140" w:type="dxa"/>
            <w:vAlign w:val="bottom"/>
          </w:tcPr>
          <w:p>
            <w:pPr>
              <w:jc w:val="center"/>
              <w:ind w:right="18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240" w:type="dxa"/>
            <w:vAlign w:val="bottom"/>
          </w:tcPr>
          <w:p>
            <w:pPr>
              <w:spacing w:after="0"/>
              <w:rPr>
                <w:sz w:val="18"/>
                <w:szCs w:val="18"/>
                <w:color w:val="auto"/>
              </w:rPr>
            </w:pPr>
          </w:p>
        </w:tc>
        <w:tc>
          <w:tcPr>
            <w:tcW w:w="1140" w:type="dxa"/>
            <w:vAlign w:val="bottom"/>
          </w:tcPr>
          <w:p>
            <w:pPr>
              <w:jc w:val="center"/>
              <w:ind w:right="16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529</w:t>
            </w:r>
          </w:p>
        </w:tc>
        <w:tc>
          <w:tcPr>
            <w:tcW w:w="4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782</w:t>
            </w:r>
          </w:p>
        </w:tc>
      </w:tr>
      <w:tr>
        <w:trPr>
          <w:trHeight w:val="73"/>
        </w:trPr>
        <w:tc>
          <w:tcPr>
            <w:tcW w:w="26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316</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1,135</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Amortization expense associated with definite-lived intangible assets was $24 million and $23 million for the three months ended March 31, 2018 and 2017, respectively. We utilize the straight-line method of amortization, recognized over the estimated useful lives of the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37"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12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0"/>
                <w:szCs w:val="20"/>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Holding Company:</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Reporting Segments: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3,470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Gaming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11,185</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Other Post-Retirement Benefits and Employee Benefit Plans.</w:t>
      </w:r>
    </w:p>
    <w:p>
      <w:pPr>
        <w:spacing w:after="0" w:line="12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Federal-Mogul, ARI, Tropicana and Viskase each sponsor several defined benefit pension plans (the ''Pension Benefits'') (and, in the case of Viskase, its pension plans include defined contribution plans). Additionally, Federal-Mogul and Viskase each sponsor health care and life insurance benefits (''Other Post-Retirement Benefits'') for certain employees and retirees around the world.</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months ended March 31, 2018 and 2017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3"/>
              </w:rPr>
              <w:t>Other Post-Retirement Benefits</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 March 31,</w:t>
            </w:r>
          </w:p>
        </w:tc>
        <w:tc>
          <w:tcPr>
            <w:tcW w:w="360" w:type="dxa"/>
            <w:vAlign w:val="bottom"/>
          </w:tcPr>
          <w:p>
            <w:pPr>
              <w:spacing w:after="0"/>
              <w:rPr>
                <w:sz w:val="20"/>
                <w:szCs w:val="20"/>
                <w:color w:val="auto"/>
              </w:rPr>
            </w:pPr>
          </w:p>
        </w:tc>
        <w:tc>
          <w:tcPr>
            <w:tcW w:w="29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12"/>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Settlement gain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LP Unit.</w:t>
      </w:r>
    </w:p>
    <w:p>
      <w:pPr>
        <w:spacing w:after="0" w:line="12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sets forth the allocation of net income (loss) attributable to Icahn Enterprises allocable to limited partners and the computation of basic and diluted income (loss) per LP unit of Icahn Enterprises: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760" w:type="dxa"/>
            <w:vAlign w:val="bottom"/>
            <w:gridSpan w:val="4"/>
          </w:tcPr>
          <w:p>
            <w:pPr>
              <w:jc w:val="right"/>
              <w:ind w:right="50"/>
              <w:spacing w:after="0"/>
              <w:rPr>
                <w:sz w:val="20"/>
                <w:szCs w:val="20"/>
                <w:color w:val="auto"/>
              </w:rPr>
            </w:pPr>
            <w:r>
              <w:rPr>
                <w:rFonts w:ascii="Arial" w:cs="Arial" w:eastAsia="Arial" w:hAnsi="Arial"/>
                <w:sz w:val="14"/>
                <w:szCs w:val="14"/>
                <w:color w:val="auto"/>
              </w:rPr>
              <w:t>(in millions, except per unit data)</w:t>
            </w:r>
          </w:p>
        </w:tc>
        <w:tc>
          <w:tcPr>
            <w:tcW w:w="540" w:type="dxa"/>
            <w:vAlign w:val="bottom"/>
          </w:tcPr>
          <w:p>
            <w:pPr>
              <w:spacing w:after="0"/>
              <w:rPr>
                <w:sz w:val="21"/>
                <w:szCs w:val="2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w:t>
            </w: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Icahn Enterprises allocable to limited partners (98.01% allocation)</w:t>
            </w: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311"/>
        </w:trPr>
        <w:tc>
          <w:tcPr>
            <w:tcW w:w="8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(loss) per LP unit</w:t>
            </w: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income (loss) per LP unit</w:t>
            </w: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One million weighted average units are dilutive for the three months ended March 31, 2018 relating to potentially dilutive units as discussed below, with no income effect. As their effect would have been anti-dilutive, one million weighted average units have been excluded from the calculation of diluted income per LP unit for the three months ended March 31,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Rights Offering</w:t>
      </w:r>
    </w:p>
    <w:p>
      <w:pPr>
        <w:spacing w:after="0" w:line="117"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In January 2017, Icahn Enterprises commenced a rights offering entitling holders of the rights to acquire newly issued depositary units of Icahn Enterprises. In connection with this rights offering, we received proceeds of $600 million during the three months ended March 31,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February 27, 2018, Icahn Enterprises declared a quarterly distribution in the amount of $1.75 per depositary unit in which each depositary unit holder had the option to make an election to receive either cash or additional depositary units. Because the depositary unit holder has the election to receive the distribution either in cash or additional depositary units, we recorded a unit distribution liability of $310 million as the unit distribution had not been made as of March 31, 2018.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 Mr. Icahn and his affiliates elected to receive their proportionate share of the quarterly distribution in depositary units.</w:t>
      </w:r>
    </w:p>
    <w:p>
      <w:pPr>
        <w:spacing w:after="0" w:line="5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On April 16, 2018, Icahn Enterprises distributed an aggregate 4,604,547 depositary units to unit holders electing to receive depositary units, of which an aggregate of 4,543,846 depositary units were distributed to Mr. Icahn and his affiliates. In connection with this distribution, aggregate cash distributions to all depositary unitholders was $24 million in April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During the three months ended March 31, 2018 and 2017, Icahn Enterprises distributed 15,071 and 672 depositary units, respectively, net of payroll withholdings, with respect to certain restricted depositary units and deferred unit awards that vested during the period in connection with the Icahn Enterprises L.P. 2017 Long Term Incentive Plan ("2017 Incentive Plan"). The aggregate impact of the 2017 Incentive Plan is not material with respect to our condensed consolidated financial statements, including the calculation of potentially dilutive units and diluted income per LP unit.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Icahn Enterprises' condensed statements of operations by reporting segment for the three months ended March 31, 2018 and 2017 are presented below. Icahn Enterprises Holdings' condensed statements of operations are substantially the same, with immaterial differences relating to our Holding Company's interest expense.</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66"/>
              <w:spacing w:after="0"/>
              <w:rPr>
                <w:sz w:val="20"/>
                <w:szCs w:val="20"/>
                <w:color w:val="auto"/>
              </w:rPr>
            </w:pPr>
            <w:r>
              <w:rPr>
                <w:rFonts w:ascii="Arial" w:cs="Arial" w:eastAsia="Arial" w:hAnsi="Arial"/>
                <w:sz w:val="11"/>
                <w:szCs w:val="11"/>
                <w:b w:val="1"/>
                <w:bCs w:val="1"/>
                <w:color w:val="auto"/>
                <w:w w:val="91"/>
              </w:rPr>
              <w:t>Three Months Ended March 31, 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Metals</w:t>
            </w:r>
          </w:p>
        </w:tc>
        <w:tc>
          <w:tcPr>
            <w:tcW w:w="6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color w:val="auto"/>
                <w:w w:val="97"/>
              </w:rPr>
              <w:t>(in millions)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2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4,493</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420</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433</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r>
      <w:tr>
        <w:trPr>
          <w:trHeight w:val="242"/>
        </w:trPr>
        <w:tc>
          <w:tcPr>
            <w:tcW w:w="2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2,751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1,598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5,445</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3,856</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255</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656</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197</w:t>
            </w:r>
          </w:p>
        </w:tc>
      </w:tr>
      <w:tr>
        <w:trPr>
          <w:trHeight w:val="242"/>
        </w:trPr>
        <w:tc>
          <w:tcPr>
            <w:tcW w:w="2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2,764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199</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4,966</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479</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(56)</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423</w:t>
            </w:r>
          </w:p>
        </w:tc>
      </w:tr>
      <w:tr>
        <w:trPr>
          <w:trHeight w:val="139"/>
        </w:trPr>
        <w:tc>
          <w:tcPr>
            <w:tcW w:w="2280" w:type="dxa"/>
            <w:vAlign w:val="bottom"/>
          </w:tcPr>
          <w:p>
            <w:pPr>
              <w:ind w:left="2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28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286</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137</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2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220</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250</w:t>
            </w:r>
          </w:p>
        </w:tc>
      </w:tr>
      <w:tr>
        <w:trPr>
          <w:trHeight w:val="22"/>
        </w:trPr>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-625475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-779780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-1139825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-1482725</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-2872105</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66"/>
              <w:spacing w:after="0"/>
              <w:rPr>
                <w:sz w:val="20"/>
                <w:szCs w:val="20"/>
                <w:color w:val="auto"/>
              </w:rPr>
            </w:pPr>
            <w:r>
              <w:rPr>
                <w:rFonts w:ascii="Arial" w:cs="Arial" w:eastAsia="Arial" w:hAnsi="Arial"/>
                <w:sz w:val="11"/>
                <w:szCs w:val="11"/>
                <w:b w:val="1"/>
                <w:bCs w:val="1"/>
                <w:color w:val="auto"/>
                <w:w w:val="91"/>
              </w:rPr>
              <w:t>Three Months Ended March 31, 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Metals</w:t>
            </w:r>
          </w:p>
        </w:tc>
        <w:tc>
          <w:tcPr>
            <w:tcW w:w="6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color w:val="auto"/>
                <w:w w:val="97"/>
              </w:rPr>
              <w:t>(in millions)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2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4,319</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475</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(130)</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w:t>
            </w:r>
          </w:p>
        </w:tc>
      </w:tr>
      <w:tr>
        <w:trPr>
          <w:trHeight w:val="242"/>
        </w:trPr>
        <w:tc>
          <w:tcPr>
            <w:tcW w:w="2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2,592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1,519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216</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4,667</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3,688</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254</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621</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w:t>
            </w:r>
          </w:p>
        </w:tc>
      </w:tr>
      <w:tr>
        <w:trPr>
          <w:trHeight w:val="22"/>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223</w:t>
            </w:r>
          </w:p>
        </w:tc>
      </w:tr>
      <w:tr>
        <w:trPr>
          <w:trHeight w:val="242"/>
        </w:trPr>
        <w:tc>
          <w:tcPr>
            <w:tcW w:w="2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2,569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206</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4,801</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(134)</w:t>
            </w:r>
          </w:p>
        </w:tc>
      </w:tr>
      <w:tr>
        <w:trPr>
          <w:trHeight w:val="248"/>
        </w:trPr>
        <w:tc>
          <w:tcPr>
            <w:tcW w:w="2280" w:type="dxa"/>
            <w:vAlign w:val="bottom"/>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(26)</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w:t>
            </w:r>
          </w:p>
        </w:tc>
      </w:tr>
      <w:tr>
        <w:trPr>
          <w:trHeight w:val="139"/>
        </w:trPr>
        <w:tc>
          <w:tcPr>
            <w:tcW w:w="2280" w:type="dxa"/>
            <w:vAlign w:val="bottom"/>
          </w:tcPr>
          <w:p>
            <w:pPr>
              <w:ind w:left="2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28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(142)</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2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231</w:t>
            </w:r>
          </w:p>
        </w:tc>
      </w:tr>
      <w:tr>
        <w:trPr>
          <w:trHeight w:val="270"/>
        </w:trPr>
        <w:tc>
          <w:tcPr>
            <w:tcW w:w="22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-156845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-611505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-765810</wp:posOffset>
            </wp:positionV>
            <wp:extent cx="1449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-1125855</wp:posOffset>
            </wp:positionV>
            <wp:extent cx="1449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-1468755</wp:posOffset>
            </wp:positionV>
            <wp:extent cx="1449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-2858135</wp:posOffset>
            </wp:positionV>
            <wp:extent cx="1449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180" w:right="180" w:hanging="172"/>
        <w:spacing w:after="0" w:line="273" w:lineRule="auto"/>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$2 million and $5 million for the three months ended March 31, 2018 and 2017,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certain reportable segments below. Refer to Note 2, "Basis of Presentation and Summary of Significant Accounting Policies," for certain revenue recognition policies with respect to the following reporting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Disaggregated revenue for our Automotive segment net sales and other revenues from operations for the three months ended March 31, 2018 and 2017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1"/>
              </w:rPr>
              <w:t>Three Months Ended March 31, 2018</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Automotive</w:t>
            </w: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Federal-Mogul</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Icahn Automotive</w:t>
            </w:r>
          </w:p>
        </w:tc>
        <w:tc>
          <w:tcPr>
            <w:tcW w:w="24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Segment</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parts to original equipment manufacturers and servicers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Aftermarket automotive parts and tires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1,072</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services labor</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net sales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37"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1"/>
              </w:rPr>
              <w:t>Three Months Ended March 31, 2017</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Automotive</w:t>
            </w: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Federal-Mogul</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Icahn Automotive</w:t>
            </w:r>
          </w:p>
        </w:tc>
        <w:tc>
          <w:tcPr>
            <w:tcW w:w="24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Segment</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parts to original equipment manufacturers and servicers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Aftermarket automotive parts and tires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1,091</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services labor</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net sales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Energy segment net sales for the three months ended March 31, 2018 and 2017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 products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Nitrogen fertilizer products</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1,537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Icahn Enterprises' condensed balance sheets by reporting segment as of March 31, 2018 and December 31, 2017 are presented below. Icahn Enterprises Holdings' condensed balance sheets are substantially the same, with immaterial differences relating to our Holding Company's other assets, debt and equity attributable to Icahn Enterprises Holdings.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March 31, 2018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1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90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1,250</w:t>
            </w:r>
          </w:p>
        </w:tc>
        <w:tc>
          <w:tcPr>
            <w:tcW w:w="0" w:type="dxa"/>
            <w:vAlign w:val="bottom"/>
          </w:tcPr>
          <w:p>
            <w:pPr>
              <w:spacing w:after="0"/>
              <w:rPr>
                <w:sz w:val="1"/>
                <w:szCs w:val="1"/>
                <w:color w:val="auto"/>
              </w:rPr>
            </w:pP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w w:val="90"/>
              </w:rPr>
              <w:t>Cash held at consolidated affiliated partnerships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643</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8,364</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1,914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3,497</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3,570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3,168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1,202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437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9,733</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2,391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2,706</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9,395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11,031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30,498</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Accounts payable, accrued expenses and other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268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6,037</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w w:val="92"/>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1,161</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11,208</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1,296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2,252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815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5,996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18,743</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820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(5,379)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4,945</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6,810</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8,099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3,585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2,453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672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(5,379)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11,755</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9,395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11,031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30,498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82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825"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ind w:left="60"/>
              <w:spacing w:after="0"/>
              <w:rPr>
                <w:sz w:val="20"/>
                <w:szCs w:val="20"/>
                <w:color w:val="auto"/>
              </w:rPr>
            </w:pPr>
            <w:r>
              <w:rPr>
                <w:rFonts w:ascii="Arial" w:cs="Arial" w:eastAsia="Arial" w:hAnsi="Arial"/>
                <w:sz w:val="11"/>
                <w:szCs w:val="11"/>
                <w:b w:val="1"/>
                <w:bCs w:val="1"/>
                <w:color w:val="auto"/>
              </w:rPr>
              <w:t>December 31, 2017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1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90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c>
          <w:tcPr>
            <w:tcW w:w="0" w:type="dxa"/>
            <w:vAlign w:val="bottom"/>
          </w:tcPr>
          <w:p>
            <w:pPr>
              <w:spacing w:after="0"/>
              <w:rPr>
                <w:sz w:val="1"/>
                <w:szCs w:val="1"/>
                <w:color w:val="auto"/>
              </w:rPr>
            </w:pP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w w:val="90"/>
              </w:rPr>
              <w:t>Cash held at consolidated affiliated partnerships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10,369</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1,805</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3,503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3,213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438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9,701</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2,410</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1,787</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31,801</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Accounts payable, accrued expenses and other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6,009</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w w:val="92"/>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1,023</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1,057</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1,159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11,185</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3,382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7,315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2,291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808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20,433</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428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824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(4,783)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5,106</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6,262</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7,417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3,394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2,409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(4,783)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11,368</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31,801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December 22, 2017, The Tax Cuts and Jobs Act (the "Tax Legislation") was enacted in the United States, significantly revising certain U.S. corporate income tax provisions; including, among other items, a reduction of the U.S. corporate rate from 35% to 21%; the imposition of a deemed repatriation tax on unremitted foreign earnings to facilitate a shift from a worldwide tax system to a territorial system; and the creation of new limitations on certain deductions. We do not currently anticipate significant revisions to the amounts recorded. However, under the guidance of Staff Accounting Bulletin No. 118 issued on December 22, 2017, we will account for the income tax effects of any additional guidance associated with the Tax Legislation under the measurement period approach.</w:t>
      </w:r>
    </w:p>
    <w:p>
      <w:pPr>
        <w:spacing w:after="0" w:line="8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For the three months ended March 31, 2018, we recorded an income tax expense of $56 million on pre-tax income of $479 million compared to an income tax expense of $26 million on pre-tax loss of $134 million for the three months ended March 31, 2017. Our effective income tax rate was 11.7% and (19.4)% for the three months ended March 31, 2018 and 2017, respectively.</w:t>
      </w:r>
    </w:p>
    <w:p>
      <w:pPr>
        <w:spacing w:after="0" w:line="7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the three months ended March 31, 2018, the effective tax rate was lower than the statutory federal rate of 21%, primarily due to partnership income for which there was no tax expense, as such income is allocated to the partners.</w:t>
      </w:r>
    </w:p>
    <w:p>
      <w:pPr>
        <w:spacing w:after="0" w:line="62"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For the three months ended March 31, 2017,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Post-Retirement</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Hedge Instruments,</w:t>
            </w:r>
          </w:p>
        </w:tc>
        <w:tc>
          <w:tcPr>
            <w:tcW w:w="160" w:type="dxa"/>
            <w:vAlign w:val="bottom"/>
          </w:tcPr>
          <w:p>
            <w:pPr>
              <w:spacing w:after="0"/>
              <w:rPr>
                <w:sz w:val="18"/>
                <w:szCs w:val="18"/>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Adjustments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Benefits, Net of Tax</w:t>
            </w:r>
          </w:p>
        </w:tc>
        <w:tc>
          <w:tcPr>
            <w:tcW w:w="28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Net of Tax</w:t>
            </w:r>
          </w:p>
        </w:tc>
        <w:tc>
          <w:tcPr>
            <w:tcW w:w="160" w:type="dxa"/>
            <w:vAlign w:val="bottom"/>
          </w:tcPr>
          <w:p>
            <w:pPr>
              <w:spacing w:after="0"/>
              <w:rPr>
                <w:sz w:val="20"/>
                <w:szCs w:val="20"/>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Other, Net of Tax</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5"/>
          </w:tcPr>
          <w:p>
            <w:pPr>
              <w:jc w:val="right"/>
              <w:ind w:right="80"/>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rPr>
              <w:t>Other comprehensive (loss) income before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reclassifications, net of tax</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Reclassifications from accumulated other comprehensive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15. Other Income, Net.</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2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93"/>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5"/>
          </w:tcPr>
          <w:p>
            <w:pPr>
              <w:jc w:val="center"/>
              <w:ind w:left="971"/>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Realized and unrealized gain on derivatives, net (Note 6)</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 derivative loss</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Gain (loss) on disposition of assets, net</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Non-service pension and other post-retirement benefits expense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$49 million and $50 million as of March 31, 2018 and December 31, 2017, respectively, primarily within our Automotive, Energy and Metals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EPA, other national environmental agencies and various provincial and state agencies that it may be a potentially responsible party (“PRP”) under such laws for the cost of remediating hazardous substances pursuant to CERCLA and other</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37" w:right="2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national and state or provincial environmental laws. PRP designation often results in the funding of site investigations and subsequent remedial activities.</w:t>
      </w:r>
    </w:p>
    <w:p>
      <w:pPr>
        <w:spacing w:after="0" w:line="14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the professional judgment of consultants.</w:t>
      </w:r>
    </w:p>
    <w:p>
      <w:pPr>
        <w:spacing w:after="0" w:line="64"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Automotive segment's total environmental liabilities, determined on an undiscounted basis, were $15 million and $16 million as of March 31, 2018 and December 31, 2017, respectively. 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March 31, 2018, Federal-Mogul estimates reasonably possible material additional losses, above and beyond its best estimate of required remediation costs as recorded, to approximate $24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Except as otherwise described below, there have been no new developments or material changes to the environmental accruals or expected capital expenditures related to compliance with the environmental matters from those disclosed in our Annual Report on Form 10-K for the year ended December 31, 2017. CVR Energy believes the petroleum and nitrogen fertilizer businesses are in material compliance with existing EHS rules and regulations. There can be no assurance that the EHS matters described or referenced herein or other EHS matters which may develop in the future will not have a material adverse effect on CVR Energy's business, financial condition or results of operations.</w:t>
      </w:r>
    </w:p>
    <w:p>
      <w:pPr>
        <w:spacing w:after="0" w:line="8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March 31, 2018 and December 31, 2017, our Energy segment had environmental accruals of $4 million and $4 million, respectively. CVR Energy's management periodically reviews and, as appropriate, revises its environmental accruals. Based on current information and regulatory requirements, CVR Energy's management believes that the accruals established for environmental expenditures are adequate.</w:t>
      </w:r>
    </w:p>
    <w:p>
      <w:pPr>
        <w:spacing w:after="0" w:line="73" w:lineRule="exact"/>
        <w:rPr>
          <w:sz w:val="20"/>
          <w:szCs w:val="20"/>
          <w:color w:val="auto"/>
        </w:rPr>
      </w:pPr>
    </w:p>
    <w:p>
      <w:pPr>
        <w:jc w:val="both"/>
        <w:ind w:right="40" w:firstLine="405"/>
        <w:spacing w:after="0" w:line="342" w:lineRule="auto"/>
        <w:rPr>
          <w:sz w:val="20"/>
          <w:szCs w:val="20"/>
          <w:color w:val="auto"/>
        </w:rPr>
      </w:pPr>
      <w:r>
        <w:rPr>
          <w:rFonts w:ascii="Arial" w:cs="Arial" w:eastAsia="Arial" w:hAnsi="Arial"/>
          <w:sz w:val="16"/>
          <w:szCs w:val="16"/>
          <w:color w:val="auto"/>
        </w:rPr>
        <w:t>Environmental expenditures are capitalized when such expenditures are expected to result in future economic benefits. Capital expenditures incurred for environmental compliance and efficiency of the operations were $5 million and $5 million for the three months ended March 31, 2018 and 2017,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one of PSC Metals' Knoxville, Tennessee locations was the subject of investigations by the State of Tennessee under the federal Superfund law. These investigations were performed by the State of Tennessee pursuant to a contract with the EPA. PSC Metals has entered into Tennessee's Voluntary Clean-Up Oversight and Assistance Program ("VOAP") and expects to enter into a settlement with the Tennessee Department of Environment and Conservation ("TDEC") in the future. Currently, PSC Metals believes that it has adequately reserved for the cost of any potential future remediation associated with its Knoxville location, but cannot fully assess the impact of all costs or liabilities associated with TDEC's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other sites to be immaterial as of both March 31, 2018 and December 31,</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2017. If it is determined that PSC Metals has liability to remediate those sites and that more expensive remediation approaches are required in the future, PSC Metals could incur additional obligations, which could be material to its operations.</w:t>
      </w:r>
    </w:p>
    <w:p>
      <w:pPr>
        <w:spacing w:after="0" w:line="62"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MDNR’s claims and required limited soil remediation at the 15 residences. PSC Metals has complied with the terms of the settlement agreement and expects its obligations under the settlement agreement to terminate in the near future. PSC Metals believes that it has adequately reserved for the cost of compliance with the settlement agreement. Additionally, PSC Metals believes that liability for off-site contamination was retained by the prior owner of the Festus yard and accordingly, it would have a claim for indemnification against the prior owner.</w:t>
      </w:r>
    </w:p>
    <w:p>
      <w:pPr>
        <w:spacing w:after="0" w:line="6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its management's judgment and prior experience. PSC Metals has estimated the liability to remediate these sites to be $28 million and $28 million at March 31, 2018 and December 31, 2017, respectively. PSC Metals believes, based on past experience, that the vast majority of these environmental liabilities and costs will be assessed and paid over an extended period of time. PSC Metals believes that it will be able to fund such costs in the ordinary course of business. 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CVR Refining is subject to the Renewable Fuel Standard ("RFS") which requires refiners to either blend "renewable fuels" with their transportation fuels or purchase renewable fuel credits, known as renewable identification numbers (“RINs”), in lieu of blending. Due to mandates in the RFS requiring increasing volumes of renewable fuels to replace petroleum products in the U.S. transportation fuel market, there may be a decrease in demand for petroleum products. CVR Refining is not able to blend the substantial majority of its transportation fuels and has to purchase RINs on the open market, as well as waiver credits for cellulosic biofuels from the EPA, in order to comply with the RFS.</w:t>
      </w:r>
    </w:p>
    <w:p>
      <w:pPr>
        <w:spacing w:after="0" w:line="8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net cost of RINs for the three months ended March 31, 2018 and 2017 was a negative $23 million and a negative $6 million, respectively, which is reflected as a reduction to cost of goods sold in the condensed consolidated statements of operations. RINs expense includes the impact of recognizing the petroleum business' uncommitted biofuel blending obligation at fair value based on market prices at each reporting date. As of March 31, 2018 and December 31, 2017, the petroleum business' biofuel blending obligation was $21 million and $28 million, respectively, which is included in accrued expenses and other liabilities in our condensed consolidated balance sheets. As of March 31, 2018, our Energy segment recorded a RINs asset within other assets in the condensed consolidated balance sheet of $60 million, representing excess RINs primarily due to a reduction in its RFS obligation.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On March 3, 2017, certain purported former stockholders of Federal-Mogul Holdings Corporation filed a petition in the Delaware Court of Chancery seeking an appraisal of the value of common stock they claim to have held at the time of the January 23, 2017 merger of IEH FM Holdings, LLC into Federal-Mogul Holdings Corporation. IEH FM Holdings, LLC was a wholly owned subsidiary of Icahn Enterprises. Federal-Mogul Holdings LLC filed an answer to the petition on March 28, 2017. A second petition for appraisal was filed by purported former stockholders of Federal-Mogul Holdings Corporation on May 1, 2017. The two cases were consolidated on May 10, 2017, captioned </w:t>
      </w:r>
      <w:r>
        <w:rPr>
          <w:rFonts w:ascii="Arial" w:cs="Arial" w:eastAsia="Arial" w:hAnsi="Arial"/>
          <w:sz w:val="16"/>
          <w:szCs w:val="16"/>
          <w:i w:val="1"/>
          <w:iCs w:val="1"/>
          <w:color w:val="auto"/>
        </w:rPr>
        <w:t>In re Appraisal of Federal-Mogul Holdings LLC, C.A. No.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7"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2017-0158-AGB</w:t>
      </w:r>
      <w:r>
        <w:rPr>
          <w:rFonts w:ascii="Arial" w:cs="Arial" w:eastAsia="Arial" w:hAnsi="Arial"/>
          <w:sz w:val="18"/>
          <w:szCs w:val="18"/>
          <w:color w:val="auto"/>
        </w:rPr>
        <w:t>. Discovery is ongoing and a trial date has not yet been set. Federal-Mogul believes that it has a meritorious defense and intends to vigorously</w:t>
      </w:r>
      <w:r>
        <w:rPr>
          <w:rFonts w:ascii="Arial" w:cs="Arial" w:eastAsia="Arial" w:hAnsi="Arial"/>
          <w:sz w:val="18"/>
          <w:szCs w:val="18"/>
          <w:i w:val="1"/>
          <w:iCs w:val="1"/>
          <w:color w:val="auto"/>
        </w:rPr>
        <w:t xml:space="preserve"> </w:t>
      </w:r>
      <w:r>
        <w:rPr>
          <w:rFonts w:ascii="Arial" w:cs="Arial" w:eastAsia="Arial" w:hAnsi="Arial"/>
          <w:sz w:val="18"/>
          <w:szCs w:val="18"/>
          <w:color w:val="auto"/>
        </w:rPr>
        <w:t>defend the matter.</w:t>
      </w:r>
    </w:p>
    <w:p>
      <w:pPr>
        <w:spacing w:after="0" w:line="62" w:lineRule="exact"/>
        <w:rPr>
          <w:sz w:val="20"/>
          <w:szCs w:val="20"/>
          <w:color w:val="auto"/>
        </w:rPr>
      </w:pPr>
    </w:p>
    <w:p>
      <w:pPr>
        <w:ind w:right="40" w:firstLine="405"/>
        <w:spacing w:after="0" w:line="267" w:lineRule="auto"/>
        <w:rPr>
          <w:sz w:val="20"/>
          <w:szCs w:val="20"/>
          <w:color w:val="auto"/>
        </w:rPr>
      </w:pPr>
      <w:r>
        <w:rPr>
          <w:rFonts w:ascii="Arial" w:cs="Arial" w:eastAsia="Arial" w:hAnsi="Arial"/>
          <w:sz w:val="17"/>
          <w:szCs w:val="17"/>
          <w:color w:val="auto"/>
        </w:rPr>
        <w:t xml:space="preserve">On September 29, 2016, September 30, 2016, October 12, 2016 and October 19, 2016, respectively, four putative class actions, captioned </w:t>
      </w:r>
      <w:r>
        <w:rPr>
          <w:rFonts w:ascii="Arial" w:cs="Arial" w:eastAsia="Arial" w:hAnsi="Arial"/>
          <w:sz w:val="17"/>
          <w:szCs w:val="17"/>
          <w:i w:val="1"/>
          <w:iCs w:val="1"/>
          <w:color w:val="auto"/>
        </w:rPr>
        <w:t>Skybo v.</w:t>
      </w:r>
      <w:r>
        <w:rPr>
          <w:rFonts w:ascii="Arial" w:cs="Arial" w:eastAsia="Arial" w:hAnsi="Arial"/>
          <w:sz w:val="17"/>
          <w:szCs w:val="17"/>
          <w:color w:val="auto"/>
        </w:rPr>
        <w:t xml:space="preserve"> </w:t>
      </w:r>
      <w:r>
        <w:rPr>
          <w:rFonts w:ascii="Arial" w:cs="Arial" w:eastAsia="Arial" w:hAnsi="Arial"/>
          <w:sz w:val="17"/>
          <w:szCs w:val="17"/>
          <w:i w:val="1"/>
          <w:iCs w:val="1"/>
          <w:color w:val="auto"/>
        </w:rPr>
        <w:t>Ninivaggi et al.</w:t>
      </w:r>
      <w:r>
        <w:rPr>
          <w:rFonts w:ascii="Arial" w:cs="Arial" w:eastAsia="Arial" w:hAnsi="Arial"/>
          <w:sz w:val="17"/>
          <w:szCs w:val="17"/>
          <w:color w:val="auto"/>
        </w:rPr>
        <w:t>, C.A. No. 12790,</w:t>
      </w:r>
      <w:r>
        <w:rPr>
          <w:rFonts w:ascii="Arial" w:cs="Arial" w:eastAsia="Arial" w:hAnsi="Arial"/>
          <w:sz w:val="17"/>
          <w:szCs w:val="17"/>
          <w:i w:val="1"/>
          <w:iCs w:val="1"/>
          <w:color w:val="auto"/>
        </w:rPr>
        <w:t xml:space="preserve"> Lemanchek v. Ninivaggi et al.</w:t>
      </w:r>
      <w:r>
        <w:rPr>
          <w:rFonts w:ascii="Arial" w:cs="Arial" w:eastAsia="Arial" w:hAnsi="Arial"/>
          <w:sz w:val="17"/>
          <w:szCs w:val="17"/>
          <w:color w:val="auto"/>
        </w:rPr>
        <w:t>, C.A. No. 12791,</w:t>
      </w:r>
      <w:r>
        <w:rPr>
          <w:rFonts w:ascii="Arial" w:cs="Arial" w:eastAsia="Arial" w:hAnsi="Arial"/>
          <w:sz w:val="17"/>
          <w:szCs w:val="17"/>
          <w:i w:val="1"/>
          <w:iCs w:val="1"/>
          <w:color w:val="auto"/>
        </w:rPr>
        <w:t xml:space="preserve"> Raul v. Ninivaggi et al.</w:t>
      </w:r>
      <w:r>
        <w:rPr>
          <w:rFonts w:ascii="Arial" w:cs="Arial" w:eastAsia="Arial" w:hAnsi="Arial"/>
          <w:sz w:val="17"/>
          <w:szCs w:val="17"/>
          <w:color w:val="auto"/>
        </w:rPr>
        <w:t>, C.A. No. 12821 and</w:t>
      </w:r>
      <w:r>
        <w:rPr>
          <w:rFonts w:ascii="Arial" w:cs="Arial" w:eastAsia="Arial" w:hAnsi="Arial"/>
          <w:sz w:val="17"/>
          <w:szCs w:val="17"/>
          <w:i w:val="1"/>
          <w:iCs w:val="1"/>
          <w:color w:val="auto"/>
        </w:rPr>
        <w:t xml:space="preserve"> Mercado v. Ninivaggi et 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 No. 12837, were filed in the Court of Chancery of the State of Delaware against the Board of Directors of Federal-Mogul (the "FM Board") and Icahn Enterprises, Icahn Enterprises Holdings, certain of their affiliates and Icahn Enterprises' Board of Directors (the "Icahn Defendants"), and, in the case of </w:t>
      </w:r>
      <w:r>
        <w:rPr>
          <w:rFonts w:ascii="Arial" w:cs="Arial" w:eastAsia="Arial" w:hAnsi="Arial"/>
          <w:sz w:val="17"/>
          <w:szCs w:val="17"/>
          <w:i w:val="1"/>
          <w:iCs w:val="1"/>
          <w:color w:val="auto"/>
        </w:rPr>
        <w:t>Raul</w:t>
      </w:r>
      <w:r>
        <w:rPr>
          <w:rFonts w:ascii="Arial" w:cs="Arial" w:eastAsia="Arial" w:hAnsi="Arial"/>
          <w:sz w:val="17"/>
          <w:szCs w:val="17"/>
          <w:color w:val="auto"/>
        </w:rPr>
        <w:t xml:space="preserve">, Federal-Mogul. The complaints allege that, among other things, the FM Board breached its fiduciary duties by approving the proposed Merger Agreement, that the Icahn Defendants breached their fiduciary duties to the minority stockholders of Federal-Mogul and/or aided and abetted the FM Board’s breaches of its fiduciary duties, as well as alleging certain material misstatements and omissions in the Schedule 14D-9 filed by Federal-Mogul (the "Schedule 14D-9"). The complaints allege that, among other things, the then-Offer Price was inadequate and, together with that the Merger Agreement, was the result of a flawed and unfair sales process and conflicts of interest of the FM Board and the special committee of independent directors of Federal-Mogul (the "Special Committee"), alleging that the Special Committee and Federal-Mogul’s management lacked independence from the Icahn Defendants. In addition, the complaints allege that the Merger Agreement contains certain allegedly preclusive deal protection provisions, including a no-solicitation provision, an information rights provision and a matching rights provision. Among other things, the complaints sought to enjoin the transactions contemplated by the Merger Agreement, as well as award costs and disbursements, including reasonable attorneys’ and experts’ fees. The </w:t>
      </w:r>
      <w:r>
        <w:rPr>
          <w:rFonts w:ascii="Arial" w:cs="Arial" w:eastAsia="Arial" w:hAnsi="Arial"/>
          <w:sz w:val="17"/>
          <w:szCs w:val="17"/>
          <w:i w:val="1"/>
          <w:iCs w:val="1"/>
          <w:color w:val="auto"/>
        </w:rPr>
        <w:t>Raul</w:t>
      </w:r>
      <w:r>
        <w:rPr>
          <w:rFonts w:ascii="Arial" w:cs="Arial" w:eastAsia="Arial" w:hAnsi="Arial"/>
          <w:sz w:val="17"/>
          <w:szCs w:val="17"/>
          <w:color w:val="auto"/>
        </w:rPr>
        <w:t xml:space="preserve"> and </w:t>
      </w:r>
      <w:r>
        <w:rPr>
          <w:rFonts w:ascii="Arial" w:cs="Arial" w:eastAsia="Arial" w:hAnsi="Arial"/>
          <w:sz w:val="17"/>
          <w:szCs w:val="17"/>
          <w:i w:val="1"/>
          <w:iCs w:val="1"/>
          <w:color w:val="auto"/>
        </w:rPr>
        <w:t>Mercado</w:t>
      </w:r>
      <w:r>
        <w:rPr>
          <w:rFonts w:ascii="Arial" w:cs="Arial" w:eastAsia="Arial" w:hAnsi="Arial"/>
          <w:sz w:val="17"/>
          <w:szCs w:val="17"/>
          <w:color w:val="auto"/>
        </w:rPr>
        <w:t xml:space="preserve"> complaints further seek to rescind the transaction or award rescissory damages, or (in the case of </w:t>
      </w:r>
      <w:r>
        <w:rPr>
          <w:rFonts w:ascii="Arial" w:cs="Arial" w:eastAsia="Arial" w:hAnsi="Arial"/>
          <w:sz w:val="17"/>
          <w:szCs w:val="17"/>
          <w:i w:val="1"/>
          <w:iCs w:val="1"/>
          <w:color w:val="auto"/>
        </w:rPr>
        <w:t>Raul</w:t>
      </w:r>
      <w:r>
        <w:rPr>
          <w:rFonts w:ascii="Arial" w:cs="Arial" w:eastAsia="Arial" w:hAnsi="Arial"/>
          <w:sz w:val="17"/>
          <w:szCs w:val="17"/>
          <w:color w:val="auto"/>
        </w:rPr>
        <w:t xml:space="preserve">) award a quasi-appraisal remedy in the event that the transaction was consummated, as well as award money damages. On October 28, 2016, all four actions were consolidated under the caption </w:t>
      </w:r>
      <w:r>
        <w:rPr>
          <w:rFonts w:ascii="Arial" w:cs="Arial" w:eastAsia="Arial" w:hAnsi="Arial"/>
          <w:sz w:val="17"/>
          <w:szCs w:val="17"/>
          <w:i w:val="1"/>
          <w:iCs w:val="1"/>
          <w:color w:val="auto"/>
        </w:rPr>
        <w:t>In re Federal-Mogul Holdings,</w:t>
      </w:r>
      <w:r>
        <w:rPr>
          <w:rFonts w:ascii="Arial" w:cs="Arial" w:eastAsia="Arial" w:hAnsi="Arial"/>
          <w:sz w:val="17"/>
          <w:szCs w:val="17"/>
          <w:color w:val="auto"/>
        </w:rPr>
        <w:t xml:space="preserve"> </w:t>
      </w:r>
      <w:r>
        <w:rPr>
          <w:rFonts w:ascii="Arial" w:cs="Arial" w:eastAsia="Arial" w:hAnsi="Arial"/>
          <w:sz w:val="17"/>
          <w:szCs w:val="17"/>
          <w:i w:val="1"/>
          <w:iCs w:val="1"/>
          <w:color w:val="auto"/>
        </w:rPr>
        <w:t>Inc. Stockholder Litigation</w:t>
      </w:r>
      <w:r>
        <w:rPr>
          <w:rFonts w:ascii="Arial" w:cs="Arial" w:eastAsia="Arial" w:hAnsi="Arial"/>
          <w:sz w:val="17"/>
          <w:szCs w:val="17"/>
          <w:color w:val="auto"/>
        </w:rPr>
        <w:t>, C.A. No. 12790-CB (the "Delaware Action"). On March 6, 2017, plaintiffs filed a consolidated amended complaint that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name Federal-Mogul as a defendant. Among other things, the consolidated amended complaint also adds allegations regarding the commencement and extension of the Offer, the increase in the Offer price, the closing of the transaction, Federal-Mogul's subsequent performance and public statements, Mr. Ninivaggi’s post-merger employment with Icahn Enterprises and the independence of the chairman of the Special Committee. The Icahn Defendants have moved to dismiss the amended complaint and discovery was stayed pending determination of that motion. In lieu of proceeding with the October 12, 2017 hearing on the Icahn Defendants' motion to dismiss, the plaintiffs in the Delaware Action dismissed the Delaware Action, without prejudice as to the named plaintiffs.</w:t>
      </w:r>
    </w:p>
    <w:p>
      <w:pPr>
        <w:spacing w:after="0" w:line="7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On October 5, 2016, a putative class action captioned </w:t>
      </w:r>
      <w:r>
        <w:rPr>
          <w:rFonts w:ascii="Arial" w:cs="Arial" w:eastAsia="Arial" w:hAnsi="Arial"/>
          <w:sz w:val="16"/>
          <w:szCs w:val="16"/>
          <w:i w:val="1"/>
          <w:iCs w:val="1"/>
          <w:color w:val="auto"/>
        </w:rPr>
        <w:t>Sanders v. Federal-Mogul Holdings Corporation et al.</w:t>
      </w:r>
      <w:r>
        <w:rPr>
          <w:rFonts w:ascii="Arial" w:cs="Arial" w:eastAsia="Arial" w:hAnsi="Arial"/>
          <w:sz w:val="16"/>
          <w:szCs w:val="16"/>
          <w:color w:val="auto"/>
        </w:rPr>
        <w:t>, C.A. No. 16-155387 was filed in the Circuit Court for Oakland County of the State of Michigan against Federal-Mogul, the FM Board and the Icahn Defendants (the "Michigan Action"). The complaint alleges, among other things, that the FM Board breached its fiduciary duties and that Federal-Mogul and the Icahn Defendants aided and abetted the FM Board’s breaches of its fiduciary duties, as well as alleging certain material misstatements and omissions in the Schedule 14D-9. The complaint alleges that, among other things, the then-Offer Price was unfair and the result of an unfair sales process that included conflicts of interest. In addition, the complaint alleges that the Merger Agreement contains certain allegedly preclusive deal protection provisions, including a no-solicitation provision, an information rights provision and a matching rights provision. Among other things, the complaint sought to enjoin the transactions contemplated by the Merger Agreement, or, in the event that the transactions were consummated, rescind the transactions or award rescissory damages, as well as award money damages and costs, including reasonable attorneys’ and experts’ fees. On March 6, 2017, the plaintiffs filed an amended complaint which, among other things, dropped Federal-Mogul as a defendant. The amended complaint also: named certain additional Icahn-affiliated individuals and entities as defendants; deleted various allegations relating to process and purported disclosure deficiencies; added allegations regarding the commencement and extension of the Offer, the increase in the Offer price, the closing of the transaction, Federal-Mogul's subsequent performance and public statements, Mr. Ninivaggi’s post-merger employment with Icahn Enterprises, and the independence of certain directors; and eliminated the request for injunctive relief given the consummation of the transaction. On April 4, 2017, the Court entered a stipulated order staying the Michigan Action pending final determination of the Delaware Action. On October 16, 2017, the plaintiffs in the Michigan Action dismissed the Michigan Action, without prejudice as to the named plaintiffs.</w:t>
      </w:r>
    </w:p>
    <w:p>
      <w:pPr>
        <w:spacing w:after="0" w:line="61"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does not currently believe the outcome of this litigation will have a material impact on its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 Directive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September 30, 2016, the Federal Railroad Administration ("FRA") issued Railworthiness Directive ("RWD") No. 2016-01 (the "Original Directive"). The Original Directive addressed, among other things, certain welding practices in one weld area in specified DOT 111 tank railcars manufactured between 2009 and 2015 by ARI and ACF. Our Railcar segment met and corresponded with the FRA following the issuance of the Original Directive to express its concerns with the Original Directive and its impact on our Railcar segment, as well as the industry as a whole. On November 18, 2016 (the "Issuance Date"), the FRA issued RWD No. 2016-01 [Revised] (the "Revised Directive"). The Revised Directive changed and superseded the Original Directive in several ways.</w:t>
      </w:r>
    </w:p>
    <w:p>
      <w:pPr>
        <w:spacing w:after="0" w:line="8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Revised Directive required owners to identify their subject tank railcars and then from that population identify the 15% of subject tank railcars then in hazardous materials service with the highest mileage in each tank car owner’s fleet. Visual inspection of each of the subject tank railcars is required by the car operator prior to putting any railcar into service. Owners must ensure appropriate inspection, testing and repairs, if needed, within twelve months of the Issuance Date for the 15% of their subject tank railcars identified to be in hazardous materials service with the highest mileage. The FRA reserved the right to impose additional test and inspection requirements for the remaining tank railcars subject to the Revised Directive. The FRA also reserved the right to seek civil penalties or to take any other appropriate enforcement action for violation of the Federal Hazardous Materials Regulations that have occurred.</w:t>
      </w:r>
    </w:p>
    <w:p>
      <w:pPr>
        <w:spacing w:after="0" w:line="5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Although the Revised Directive addressed some of our Railcar segment's concerns and clarified certain requirements of the Original Directive, our Railcar segment identified significant issues with the Revised Directive. As a result, in December 2016, our Railcar segment sought judicial review of and relief from the Revised Directive by filing a petition for review against the FRA in the United States Court of Appeals for the District of Columbia Circuit.</w:t>
      </w:r>
    </w:p>
    <w:p>
      <w:pPr>
        <w:spacing w:after="0" w:line="3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On August 17, 2017, our Railcar segment entered into a settlement agreement with the FRA, which covered the subject railcars owned by our Railcar segment. This agreement, among other things, extended the deadline for our Railcar segment to complete the inspection, testing and repairs, if needed, for the 15% identified railcars to December 31, 2017. Adding clarity regarding certain unknown requirements referenced in the Revised Directive, under the settlement agreement, our Railcar segment is required to inspect, test, and if necessary repair the remaining 85% subject tank railcars at the next tank railcar qualification, scheduled routine or regular maintenance, shopping or repair event, but no later than December 31, 2025. However, the settlement agreement permits our Railcar segment to: (i) if the FRA does not impose a similar requirement by July 31, 2018 on other owners’ railcars subject to the Revised Directive, suspend compliance with this requirement until such time as the FRA imposes requirements on all 85% railcars subject to the Revised Directive, and (ii) elect to be governed by any different requirements later imposed by the FRA on other owners’ railcars subject to the Revised Directive. In addition, the settlement agreement also provides that railcars owned by our Railcar segment are no longer required to have a surface inspection performed when the railcars are being inspected pursuant to the Revised Directive. The description above includes a summary of the terms of the settlement agreement. Finally, as part of the settlement agreement, our Railcar segment dismissed its lawsuit against the FRA.</w:t>
      </w:r>
    </w:p>
    <w:p>
      <w:pPr>
        <w:spacing w:after="0" w:line="6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Railcar segment has evaluated its potential exposure related to the Revised Directive and has a loss contingency reserve remaining of $9 million, as of March 31, 2018, to cover its probable and estimable liabilities with respect to our Railcar segment's response to the Revised Directive. The loss contingency reserve takes into account information available as of March 31, 2018 and our Railcar segment's contractual obligations in its capacity as both a manufacturer and owner of railcars subject to the Revised Directive. This amount is included in accrued expenses and other liabilities on the consolidated balance sheets. This amount will continue to be evaluated as our Railcar segment's and its customers' compliance with the Revised Directive and the settlement agreement progress. Actual results could differ from this estimate.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91.0% of Icahn Enterprises' outstanding depositary units as of March 31, 2018.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a result of the more than 80% ownership interest in us by Mr. Icahn’s affiliates and our ownership of more than 80% in certain of our subsidiaries, we and certain of our subsidiaries are subject to the pension liabilities of entities in which Mr. Icahn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37"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March 31, 2018 and December 31, 2017. If the plans were voluntarily terminated, they would be underfunded by approximately $417 million and $424 million as of March 31, 2018 and December 31, 2017,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U.S. Attorney’s office for the Southern District of New York contacted Icahn Enterprises L.P. in September 2017 seeking production of information pertaining to our and Mr. Icahn’s activities relating to the Renewable Fuels Standard and Mr. Icahn’s role as an advisor to the President. We are cooperating with the request and are providing information in response to the subpoena. The U.S. Attorney’s office has not made any claims or allegations against us or Mr. Icahn. We maintain a strong compliance program and, while no assurances can be made, we do not believe this inquiry will have a material impact on our business, financial condition, results of operations or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Supplemental cash flow information consists of the following:</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9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3"/>
              </w:rPr>
              <w:t>Three Months Ended March 31,</w:t>
            </w:r>
          </w:p>
        </w:tc>
        <w:tc>
          <w:tcPr>
            <w:tcW w:w="4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gridSpan w:val="2"/>
          </w:tcPr>
          <w:p>
            <w:pPr>
              <w:jc w:val="center"/>
              <w:ind w:right="5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2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payments for income taxes</w:t>
            </w:r>
          </w:p>
        </w:tc>
        <w:tc>
          <w:tcPr>
            <w:tcW w:w="110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payable to Icahn Enterprises unitholders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of subsidiary common stock included in accrued expenses and other liabilities</w:t>
            </w:r>
          </w:p>
        </w:tc>
        <w:tc>
          <w:tcPr>
            <w:tcW w:w="110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included in accounts payable, accrued expenses and 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891"/>
        </w:trPr>
        <w:tc>
          <w:tcPr>
            <w:tcW w:w="8120" w:type="dxa"/>
            <w:vAlign w:val="bottom"/>
          </w:tcPr>
          <w:p>
            <w:pPr>
              <w:ind w:left="5620"/>
              <w:spacing w:after="0"/>
              <w:rPr>
                <w:sz w:val="20"/>
                <w:szCs w:val="20"/>
                <w:color w:val="auto"/>
              </w:rPr>
            </w:pPr>
            <w:r>
              <w:rPr>
                <w:rFonts w:ascii="Arial" w:cs="Arial" w:eastAsia="Arial" w:hAnsi="Arial"/>
                <w:sz w:val="18"/>
                <w:szCs w:val="18"/>
                <w:color w:val="auto"/>
              </w:rPr>
              <w:t>40</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On May 2, 2018, the Board of Directors of the general partner of Icahn Enterprises declared a quarterly distribution in the amount of $1.75 per depositary unit. The quarterly distribution is payable in either cash or additional depositary units, at the election of each depositary unit holder and will be paid on or about June 20, 2018 to depositary unit holders of record at the close of business on May 14, 2018. Depositary unit holders have until June 8, 2018 to make an election to receive either cash or additional depositary units; if a holder does not make an election, it will automatically be deemed to have elected to receive the distribution in cash. Depositary unit holders who elect to receive additional depositary units will receive units valued at the volume weighted average trading price of the units on NASDAQ during the 5 consecutive trading days ending June 15, 2018.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April 10, 2018, we announced a definitive agreement to sell Federal-Mogul to Tenneco Inc. ("Tenneco") for approximately $5.4 billion, comprised of $800 million in cash and 29.5 million shares of Tenneco common stock, of which 23.8 million shares will be non-voting shares that will convert to voting shares if and when sold. There will be restrictions on how many shares of Tenneco common stock can be sold by us within the first 150 days after the closing of the sale. In addition, under this agreement, Tenneco can reduce the amount of non-voting shares of common stock by up to 7.3 million shares and increase the cash consideration proportionately at closing. The voting and non-voting shares of Tenneco common stock will have the same economic value. All of Federal-Mogul's outstanding debt at the time of closing will be assumed by Tenneco. We expect the sale to close in the second half of 2018. This agreement is subject to a $200 million termination clause. Following the close of this transaction, we will own a non-controlling interest in Tenneco which we will value using the fair value option. This transaction met all the criteria to be classified as held for sale on April 10, 2018 upon execution of the definitive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April 16, 2018, we announced a definitive agreement to sell Tropicana's real estate to Gaming and Leisure Properties, Inc. and to merge Tropicana's gaming and hotel operations into Eldorado Resorts, Inc. for aggregate consideration of approximately $1.85 billion. The transaction does not include Tropicana's Aruba assets, which will be disposed of as a condition to closing. The aggregate consideration of approximately $1.85 billion will be increased by the amount of the net proceeds received in connection with the Aruba disposition and will be further adjusted to pay corporate level taxes. We expect the sale to close in the second half of 2018, subject to receipt of required gaming approvals, termination of the waiting period under the Hart-Scott-Rodino Antitrust Improvements Act of 1976, as amended, and other customary closing conditions. This transaction met all the criteria to be classified as held for sale on April 15, 2018 upon execution of the definitive agreement.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3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March 31, 2018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Railcar, Gaming,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In April 2018, we announced definitive agreements to sell Federal-Mogul and Tropicana. Refer to Note 18, "Subsequent Events,"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Results of operations for our operating businesses primarily consist of net sales of various products, services revenue, franchisor operations, casino related operations and leasing of certain assets.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 addition to the summarized financial results below, refer to Note 12, "Segment Reporting," to the condensed consolidated financial statements for a reconciliation of each of our reporting segment's results of operations to our consolidated results.</w:t>
      </w:r>
    </w:p>
    <w:p>
      <w:pPr>
        <w:spacing w:after="0" w:line="57"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The comparability of our summarized consolidated financial results presented below is affected by, among other factors, (i) the performance of the Investment Funds, (ii) various acquisitions, primarily within our Automotive segment during 2017 and (iii) dispositions of assets, primarily with respect to our railcar lease fleet in 2017. Refer to our respective segment discussions and "Other Consolidated Results of Operations," below for further discussion.</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Net Income (Loss) Attributable to</w:t>
            </w:r>
          </w:p>
        </w:tc>
      </w:tr>
      <w:tr>
        <w:trPr>
          <w:trHeight w:val="234"/>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6"/>
              </w:rPr>
              <w:t>Revenues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Net Income (Loss)</w:t>
            </w:r>
          </w:p>
        </w:tc>
        <w:tc>
          <w:tcPr>
            <w:tcW w:w="120" w:type="dxa"/>
            <w:vAlign w:val="bottom"/>
          </w:tcPr>
          <w:p>
            <w:pPr>
              <w:spacing w:after="0"/>
              <w:rPr>
                <w:sz w:val="20"/>
                <w:szCs w:val="20"/>
                <w:color w:val="auto"/>
              </w:rPr>
            </w:pPr>
          </w:p>
        </w:tc>
        <w:tc>
          <w:tcPr>
            <w:tcW w:w="27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Icahn Enterprises</w:t>
            </w:r>
          </w:p>
        </w:tc>
      </w:tr>
      <w:tr>
        <w:trPr>
          <w:trHeight w:val="27"/>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160" w:type="dxa"/>
            <w:vAlign w:val="bottom"/>
          </w:tcPr>
          <w:p>
            <w:pPr>
              <w:spacing w:after="0"/>
              <w:rPr>
                <w:sz w:val="20"/>
                <w:szCs w:val="20"/>
                <w:color w:val="auto"/>
              </w:rPr>
            </w:pPr>
          </w:p>
        </w:tc>
        <w:tc>
          <w:tcPr>
            <w:tcW w:w="28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3"/>
              </w:rPr>
              <w:t>Three Months Ended March 31,</w:t>
            </w:r>
          </w:p>
        </w:tc>
        <w:tc>
          <w:tcPr>
            <w:tcW w:w="120" w:type="dxa"/>
            <w:vAlign w:val="bottom"/>
          </w:tcPr>
          <w:p>
            <w:pPr>
              <w:spacing w:after="0"/>
              <w:rPr>
                <w:sz w:val="20"/>
                <w:szCs w:val="20"/>
                <w:color w:val="auto"/>
              </w:rPr>
            </w:pPr>
          </w:p>
        </w:tc>
        <w:tc>
          <w:tcPr>
            <w:tcW w:w="27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3"/>
          </w:tcPr>
          <w:p>
            <w:pPr>
              <w:jc w:val="center"/>
              <w:ind w:left="711"/>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Railcar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7"/>
        </w:trPr>
        <w:tc>
          <w:tcPr>
            <w:tcW w:w="26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("Investment Funds"). As of March 31, 2018 and December 31, 2017, we had investments with a fair market value of approximately $3.2 billion and $3.0 billion, respectively, in the Investment Funds. As of March 31, 2018 and December 31, 2017, the total fair market value of investments in the Investment Funds made by Mr. Icahn and his affiliates (excluding us) was approximately $4.9 billion and $4.4 billion, respectively.</w:t>
      </w:r>
    </w:p>
    <w:p>
      <w:pPr>
        <w:spacing w:after="0" w:line="7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Investment segment's results of operations are reflected in net income (loss) on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2018.</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5" w:name="page46"/>
    <w:bookmarkEnd w:id="45"/>
    <w:p>
      <w:pPr>
        <w:jc w:val="both"/>
        <w:ind w:right="40" w:firstLine="378"/>
        <w:spacing w:after="0" w:line="264" w:lineRule="auto"/>
        <w:rPr>
          <w:sz w:val="20"/>
          <w:szCs w:val="20"/>
          <w:color w:val="auto"/>
        </w:rPr>
      </w:pPr>
      <w:r>
        <w:rPr>
          <w:rFonts w:ascii="Arial" w:cs="Arial" w:eastAsia="Arial" w:hAnsi="Arial"/>
          <w:sz w:val="18"/>
          <w:szCs w:val="18"/>
          <w:color w:val="auto"/>
        </w:rPr>
        <w:t>For the three months ended March 31, 2018 and 2017, our Investment Funds' returns were 5.3% and (2.7)%, respectively. Our Investment Funds' returns represent a weighted-average composite of the average returns, net of expenses. The following table sets forth the performance attribution for the Investment Funds' returns.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4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7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796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9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79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net income (loss) for our Investment segment for the three months ended March 31, 2018 and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1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8120" w:type="dxa"/>
            <w:vAlign w:val="bottom"/>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For the three months ended March 31, 2018, the Investment Funds' positive performance was driven by net gains in their long and short positions. The positive performance of our Investment segment's long positions was driven by gains from a consumer, non-cyclical sector investment of $544 million offset in part by the aggregate performance of investments with net losses in the consumer, cyclical, basic materials and industrial sectors. Gains in short positions were attributable to the positive performance of broad market hedges of $136 million and the positive performance of various other short positions in the consumer, cyclical sector.</w:t>
      </w:r>
    </w:p>
    <w:p>
      <w:pPr>
        <w:spacing w:after="0" w:line="80" w:lineRule="exact"/>
        <w:rPr>
          <w:sz w:val="20"/>
          <w:szCs w:val="20"/>
          <w:color w:val="auto"/>
        </w:rPr>
      </w:pPr>
    </w:p>
    <w:p>
      <w:pPr>
        <w:ind w:right="140" w:firstLine="378"/>
        <w:spacing w:after="0" w:line="293" w:lineRule="auto"/>
        <w:rPr>
          <w:sz w:val="20"/>
          <w:szCs w:val="20"/>
          <w:color w:val="auto"/>
        </w:rPr>
      </w:pPr>
      <w:r>
        <w:rPr>
          <w:rFonts w:ascii="Arial" w:cs="Arial" w:eastAsia="Arial" w:hAnsi="Arial"/>
          <w:sz w:val="16"/>
          <w:szCs w:val="16"/>
          <w:color w:val="auto"/>
        </w:rPr>
        <w:t>For the three months ended March 31, 2017, the Investment Funds' negative performance was driven by net losses in their short positions, offset in part by net gains in their long positions. Losses in short positions were attributable to the negative performance of broad market hedges of approximately $756 million offset in part by net gains from various consumer, cyclical sector investments. The positive performance of our Investment segment's long positions was driven by gains from two consumer, non-cyclical sector investments, an energy sector investment and a technology sector investment aggregating $589 million, offset in part by two technology sector investments with losses aggregating $276 million. The aggregate net performance of investments with gains across various other sectors accounted for the additional positive performance of our Investment segment's long positions.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160" w:firstLine="378"/>
        <w:spacing w:after="0" w:line="297" w:lineRule="auto"/>
        <w:rPr>
          <w:sz w:val="20"/>
          <w:szCs w:val="20"/>
          <w:color w:val="auto"/>
        </w:rPr>
      </w:pPr>
      <w:r>
        <w:rPr>
          <w:rFonts w:ascii="Arial" w:cs="Arial" w:eastAsia="Arial" w:hAnsi="Arial"/>
          <w:sz w:val="16"/>
          <w:szCs w:val="16"/>
          <w:color w:val="auto"/>
        </w:rPr>
        <w:t>Our Automotive segment's results of operations are generally driven by the manufacturing and distribution of automotive parts and are affected by the relative strength of global vehicle production levels, global vehicle sales levels, automotive part replacement trends, geopolitical risk and foreign currencies, among other factors. Acquisitions in recent years within our Automotive segment, including our acquisitions of the franchise businesses of Precision Tune Auto Care and American Driveline Systems, the franchisor of AAMCO and Cottman Transmission service centers, in 2017, provided operating synergies, added new product lines, strengthened distribution channels and enhanced our Automotive segment's ability to better service its customers.</w:t>
      </w:r>
    </w:p>
    <w:p>
      <w:pPr>
        <w:spacing w:after="0" w:line="50" w:lineRule="exact"/>
        <w:rPr>
          <w:sz w:val="20"/>
          <w:szCs w:val="20"/>
          <w:color w:val="auto"/>
        </w:rPr>
      </w:pPr>
    </w:p>
    <w:p>
      <w:pPr>
        <w:ind w:right="200" w:firstLine="378"/>
        <w:spacing w:after="0" w:line="312" w:lineRule="auto"/>
        <w:rPr>
          <w:sz w:val="20"/>
          <w:szCs w:val="20"/>
          <w:color w:val="auto"/>
        </w:rPr>
      </w:pPr>
      <w:r>
        <w:rPr>
          <w:rFonts w:ascii="Arial" w:cs="Arial" w:eastAsia="Arial" w:hAnsi="Arial"/>
          <w:sz w:val="16"/>
          <w:szCs w:val="16"/>
          <w:color w:val="auto"/>
        </w:rPr>
        <w:t>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3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April 2018, we announced a definitive agreement to sell Federal-Mogul. Refer to Note 18, "Subsequent Events," to the condensed consolidated financial statements for further discussion.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services revenues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2,742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 and services</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2,239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2,091</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Net sales and automotive services labor revenues for our Automotive segment for the three months ended March 31, 2018 increased by $157 million (6%) as compared to the comparable prior year period. Revenue from the sale of automotive parts to original equipment manufacturers and services increased $140 million, revenues from automotive services labor increased $20 million and revenues from franchisor operations increased $16 million (due to acquisitions), offset in part by a decrease of $19 million in aftermarket net sales of automotive parts and tires. The effect of foreign currency exchange had a $139 million favorable effect, primarily impacting revenue from the sale of automotive parts to original equipment manufacturers and services. In addition, net volume increases, primarily from acquisitions, resulted in an additional $52 million increase. These increases were offset in part by other of $34 million, which primarily consists of commercial actions and customer pricing.</w:t>
      </w:r>
    </w:p>
    <w:p>
      <w:pPr>
        <w:spacing w:after="0" w:line="70"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Cost of goods sold and automotive services labor for the three months ended March 31, 2018 increased by $135 million (7%) as compared to the comparable prior year period. The increase was due to an unfavorable effect of foreign currency exchange of $132 million and volume increases of $26 million, offset in part by $10 million of net performance and other. Gross margin on net sales and automotive services labor revenues for the three months ended March 31, 2018 increased by $9 million (2%) as compared to the comparable prior year period. Gross margin as a percentage of net sales and automotive services labor revenues was 18% and 19% for the three months ended March 31, 2018 and 2017, respectively. The increase in gross margin primarily reflects higher margins from acquired businesses which have products with higher sales margins (including franchisor revenues which have low costs of revenues) and the favorable effect of foreign currency exchange. This was offset in part by the unfavorable effects of net performance and other primarily due to pricing. The decrease in the gross margin percentage reflects lower margin percentages due to pricing of automotive parts sold, offset in part by higher margin percentages from franchisor operations and automotive services labor due to pricing increases for such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Energy</w:t>
      </w:r>
    </w:p>
    <w:p>
      <w:pPr>
        <w:spacing w:after="0" w:line="17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Our Energy segment is primarily engaged in the petroleum refining and nitrogen fertilizer manufacturing businesses. The petroleum business accounted for approximately 95%, and 94% of our Energy segment's net sales for the three months ended March 31, 2018 and 2017, respectively.</w:t>
      </w:r>
    </w:p>
    <w:p>
      <w:pPr>
        <w:spacing w:after="0" w:line="38"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The results of operations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depends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 term because of changes in the value of its unhedged on-hand inventory. The effect of changes in crude oil prices on the petroleum business' results of operations is influenced by the rate at which the prices of refined products adjust to reflect these changes.</w:t>
      </w:r>
    </w:p>
    <w:p>
      <w:pPr>
        <w:spacing w:after="0" w:line="58" w:lineRule="exact"/>
        <w:rPr>
          <w:sz w:val="20"/>
          <w:szCs w:val="20"/>
          <w:color w:val="auto"/>
        </w:rPr>
      </w:pPr>
    </w:p>
    <w:p>
      <w:pPr>
        <w:ind w:right="40" w:firstLine="378"/>
        <w:spacing w:after="0" w:line="253" w:lineRule="auto"/>
        <w:rPr>
          <w:sz w:val="20"/>
          <w:szCs w:val="20"/>
          <w:color w:val="auto"/>
        </w:rPr>
      </w:pPr>
      <w:r>
        <w:rPr>
          <w:rFonts w:ascii="Arial" w:cs="Arial" w:eastAsia="Arial" w:hAnsi="Arial"/>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("EPA"), which requires it to either blend “renewable fuels” in with its transportation fuels or purchase renewable fuel credits, known as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1,537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1,430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1,419</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jc w:val="both"/>
        <w:ind w:right="100" w:firstLine="378"/>
        <w:spacing w:after="0" w:line="259" w:lineRule="auto"/>
        <w:rPr>
          <w:sz w:val="20"/>
          <w:szCs w:val="20"/>
          <w:color w:val="auto"/>
        </w:rPr>
      </w:pPr>
      <w:r>
        <w:rPr>
          <w:rFonts w:ascii="Arial" w:cs="Arial" w:eastAsia="Arial" w:hAnsi="Arial"/>
          <w:sz w:val="18"/>
          <w:szCs w:val="18"/>
          <w:color w:val="auto"/>
        </w:rPr>
        <w:t>Net sales for our Energy segment increased by $30 million (2%) for the three months ended March 31, 2018 as compared to the comparable prior year period. The increase was primarily due to our petroleum business as a result of higher sales prices for transportation fuels and by-products offset in part by a decrease in sales volume. This increase was further offset in part by our nitrogen fertilizer business primarily due to lower ammonia sales volumes and lower UAN sales prices, partially offset by higher UAN sales volumes.</w:t>
      </w:r>
    </w:p>
    <w:p>
      <w:pPr>
        <w:spacing w:after="0" w:line="7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Cost of goods sold for our Energy segment increased by $11 million (1%) for the three months ended March 31, 2018 as compared to the comparable prior year period. The increase was primarily due to our petroleum business as a result of higher cost of consumed crude oil and costs of products purchased for resale, offset in part by decreased costs of other feedstocks and RINs.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Gross margin for our Energy segment increased by $19 million for the three months ended March 31, 2018 as compared to the comparable prior year period. Gross margin as a percentage of net sales was 7% and 6% for the three months ended March 31, 2018 and 2017, respectively, with an increase attributable to our petroleum business offset in part by a decrease attributable to our fertilizer business. The increase in the gross margin as a percentage of net sales for our petroleum business was primarily due to higher gross margins per barrel resulting from a higher spread between crude oil and transportation fuels pricing and a favorable change in gasoline basis.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Railcar</w:t>
      </w:r>
    </w:p>
    <w:p>
      <w:pPr>
        <w:spacing w:after="0" w:line="171"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Our Railcar segment's results of operations are generally driven by the manufacturing and leasing of railcars. On June 1, 2017 we sold ARL along with a majority of its railcar lease fleet. We continued to sell the majority of the remaining railcars previously owned by ARL throughout the remainder of 2017 and into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194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Leasing</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Services</w:t>
            </w: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Summarized shipments of railcars to leasing and non-leasing customers for the three months ended March 31, 2018 and 2017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8"/>
        </w:trPr>
        <w:tc>
          <w:tcPr>
            <w:tcW w:w="8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Shipments to leasing customers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Shipments to non-leasing customers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549</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As of March 31, 2018, our Railcar segment had a backlog of 3,144 railcars, including 259 railcars expected to be built for lease customers and 2,885 railcars for non-lease customers. In response to changes in customer demand, our Railcar segment continues to adjust production rates at its railcar manufacturing facilities as needed.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Total manufacturing revenues for the three months ended March 31, 2018 increased by $3 million (5%) as compared to the comparable prior year period. The increase was primarily due to an increase in shipments to non-leasing customers offset in part by a decrease in average selling prices due to a shift in mix of railcars shipped as well as more competitive pricing for both hopper and tank railcars.</w:t>
      </w:r>
    </w:p>
    <w:p>
      <w:pPr>
        <w:spacing w:after="0" w:line="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Gross margin from manufacturing operations for the three months ended March 31, 2018 remained flat as compared to the comparable prior year period. Gross margin from manufacturing operations as a percentage of manufacturing revenues decreased to 9% for the three months ended March 31, 2018 from 10% for the comparable prior year period. The decrease in gross margin as a percentage of revenue was due to higher costs associated with lower production volumes and a more competitive market for both hopper and tank railcars.</w:t>
      </w:r>
    </w:p>
    <w:p>
      <w:pPr>
        <w:spacing w:after="0" w:line="79"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Railcar leasing revenues decreased for the three months ended March 31, 2018 as compared to the comparable prior year period due to a decrease in leased railcars as a result of the sale of ARL in 2017 as well as a decrease in weighted average lease rates. The lease fleet decreased to 13,122 railcars at March 31, 2018 from 46,335 railcars at March 31,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Gaming</w:t>
      </w:r>
    </w:p>
    <w:p>
      <w:pPr>
        <w:spacing w:after="0" w:line="171"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Casino revenues represent the difference between wins and losses from gaming activities. Casino revenues can vary because of table games hold percentage and differences in the odds for different table games. In addition, high end play may lead to greater fluctuations in table games hold percentage and, as a result, greater revenue fluctuation between reporting periods may occur. In April 2018, we announced a definitive agreement to sell Tropicana, which represents substantially all of our remaining gaming operations. Refer to Note 18, "Subsequent Events," to the condensed consolidated financial statements for further discussion.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consolidated gaming revenues increased by $7 million (3%) for the three months ended March 31, 2018 as compared to the comparable prior year period due to an increase in casino revenues. The increase in casino revenues for the three months ended March 31, 2018 as compared to the comparable prior year period was primarily due to increased casino revenues from two casinos in the central United States offset in part by a decrease in casino revenues at Tropicana Atlantic 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Net sales for the three months ended March 31, 2018 increased by $15 million (15%) compared to the comparable prior year period primarily due to higher ferrous, non-ferrous and non-ferrous auto residue shipment volumes and higher average selling prices for most grades of metal. Non-ferrous shipment volumes increased primarily due to the capital investment in aluminum processing capabilities at one of our facilities made in late 2016 while higher pricing reflected higher terminal market prices. Ferrous selling prices increased due to higher market pricing as domestic mill production benefited from the above as well. Improved consumer market pricing was also driven primarily by the increased demand from domestic steel mills.</w:t>
      </w:r>
    </w:p>
    <w:p>
      <w:pPr>
        <w:spacing w:after="0" w:line="64" w:lineRule="exact"/>
        <w:rPr>
          <w:sz w:val="20"/>
          <w:szCs w:val="20"/>
          <w:color w:val="auto"/>
        </w:rPr>
      </w:pPr>
    </w:p>
    <w:p>
      <w:pPr>
        <w:ind w:right="260" w:firstLine="378"/>
        <w:spacing w:after="0" w:line="279" w:lineRule="auto"/>
        <w:rPr>
          <w:sz w:val="20"/>
          <w:szCs w:val="20"/>
          <w:color w:val="auto"/>
        </w:rPr>
      </w:pPr>
      <w:r>
        <w:rPr>
          <w:rFonts w:ascii="Arial" w:cs="Arial" w:eastAsia="Arial" w:hAnsi="Arial"/>
          <w:sz w:val="17"/>
          <w:szCs w:val="17"/>
          <w:color w:val="auto"/>
        </w:rPr>
        <w:t>Cost of goods sold for the three months ended March 31, 2018 increased by $14 million (15%) compared to the comparable prior year period. The increase was primarily due to higher shipment volumes, as discussed above, and to increased material costs due to higher market prices. Gross margin as a percentage of net sales was flat at 7% for the three months ended March 31, 2018 as compared to the comparable prior year period. Our Metals segments continues to focus on disciplined buying and efforts to bring processing costs in line with volume and market pricing.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Mining segment's performance is driven by global iron ore prices and demand for raw materials from Chinese steelmakers. Since acquiring Ferrous Resources Ltd. in 2015, our Mining segment has been concentrating on sales in its domestic market, Brazil.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Net sales for the three months ended March 31, 2018 decreased $13 million as compared to the comparable prior year period primarily due to iron ore price and volume decreases. Cost of goods sold for the three months ended March 31, 2018 was flat as compared to the comparable prior year period.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Net sales for the three months ended March 31, 2018 increased by $7 million (8%) as compared to the corresponding prior year period. The increase was primarily due to higher sales volume, primarily from acquisitions, offset in part by unfavorable price and product mix and foreign currency exchange. Cost of goods sold for the three months ended March 31, 2018 increased by $9 million (13%) as compared to the corresponding prior year period. Gross margin as a percentage of net sales was flat at 24% for the three months ended March 31, 2018 and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Real Estate revenues and expenses include sales of residential units, results from club operations and rental income and expenses, including income from financing leases. Sales of residential units are included in net sales in our condensed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68" w:right="259" w:bottom="1440" w:gutter="0" w:footer="0" w:header="0"/>
        </w:sectPr>
      </w:pPr>
    </w:p>
    <w:bookmarkStart w:id="50" w:name="page51"/>
    <w:bookmarkEnd w:id="50"/>
    <w:p>
      <w:pPr>
        <w:ind w:right="160"/>
        <w:spacing w:after="0" w:line="264" w:lineRule="auto"/>
        <w:rPr>
          <w:sz w:val="20"/>
          <w:szCs w:val="20"/>
          <w:color w:val="auto"/>
        </w:rPr>
      </w:pPr>
      <w:r>
        <w:rPr>
          <w:rFonts w:ascii="Arial" w:cs="Arial" w:eastAsia="Arial" w:hAnsi="Arial"/>
          <w:sz w:val="18"/>
          <w:szCs w:val="18"/>
          <w:color w:val="auto"/>
        </w:rPr>
        <w:t>consolidated financial statements. Results from club and rental operations, including financing lease income, are included in other revenues from operations in our condensed consolidated financial statements. Revenue from our real estate operations for each of the three months ended March 31, 2018 and 2017 were substantially derived from income from club and rental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sales for the three months ended March 31, 2018 decreased by $5 million (11%) compared to the comparable prior year period. The decrease was primarily due to lower sales volume. Cost of goods sold for the three months ended March 31, 2018 decreased by $4 million (10%) compared to the comparable prior year period. The decrease was primarily due to lower sales volume and product mix. Gross margin as a percentage of net sales was 14% and 15% for the three months ended March 31,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ind w:right="440" w:firstLine="405"/>
        <w:spacing w:after="0" w:line="302" w:lineRule="auto"/>
        <w:rPr>
          <w:sz w:val="20"/>
          <w:szCs w:val="20"/>
          <w:color w:val="auto"/>
        </w:rPr>
      </w:pPr>
      <w:r>
        <w:rPr>
          <w:rFonts w:ascii="Arial" w:cs="Arial" w:eastAsia="Arial" w:hAnsi="Arial"/>
          <w:sz w:val="16"/>
          <w:szCs w:val="16"/>
          <w:color w:val="auto"/>
        </w:rPr>
        <w:t>Our consolidated selling, general and administrative for the three months ended March 31, 2018 increased by $35 million (6%) as compared to the comparable prior year period. The increase was primarily attributable to an increase from our Automotive segment of $53 million primarily due to the inclusion of various acquisitions of automotive businesses as well as personnel costs associated with integration and increased customer services. This increase was offset in part by a decrease in our Gaming segment due to the sale of the Trump Taj Mahal Casino Resort in March 2017.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2018 and 2017</w:t>
      </w:r>
    </w:p>
    <w:p>
      <w:pPr>
        <w:spacing w:after="0" w:line="117" w:lineRule="exact"/>
        <w:rPr>
          <w:sz w:val="20"/>
          <w:szCs w:val="20"/>
          <w:color w:val="auto"/>
        </w:rPr>
      </w:pPr>
    </w:p>
    <w:p>
      <w:pPr>
        <w:jc w:val="both"/>
        <w:ind w:right="220" w:firstLine="405"/>
        <w:spacing w:after="0" w:line="279" w:lineRule="auto"/>
        <w:rPr>
          <w:sz w:val="20"/>
          <w:szCs w:val="20"/>
          <w:color w:val="auto"/>
        </w:rPr>
      </w:pPr>
      <w:r>
        <w:rPr>
          <w:rFonts w:ascii="Arial" w:cs="Arial" w:eastAsia="Arial" w:hAnsi="Arial"/>
          <w:sz w:val="17"/>
          <w:szCs w:val="17"/>
          <w:color w:val="auto"/>
        </w:rPr>
        <w:t>Our consolidated interest expense during the three months ended March 31, 2018 decreased by $26 million as compared the corresponding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Automotive segment due to certain debt offerings during 2017.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For the three months ended March 31, 2018 and 2017, the statutory federal tax rate was 21% and of 35%, respectively, which decreased as a result of tax legislation enacted in December 2017. Refer to Note 13, "Income Taxes," to the condensed consolidated financial statements for a discussion of income taxes.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76"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March 31, 2018, our Holding Company had cash and cash equivalents of $199 million and total debt of approximately $5.5 billion.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2018, our Holding Company had investments in the Investment Funds with a total fair market value of approximately $3.2 billion. We may redeem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 investment in the Investment Funds upon notice. See "Segment Liquidity and Capital Resources" below for additional information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segment liquidity.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to Sell Interests in Consolidated Subsidiaries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April 2018, we announced definitive agreements to sell Federal-Mogul and Tropicana which are expected to provide significant additional liquidity to our Holding Company. Each transaction is expected to close in the second half of 2018. Refer to Note 18, "Subsequent Events," to the condensed consolidated financial statements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From/Investments In Subsidiaries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three months ended March 31, 2018, we received $38 million in aggregate dividends and distributions from our Energy segment. Subsequent to March 31, 2018, CVR Energy and CVR Refining declared a quarterly dividend and distribution, respectively, which will result in an additional aggregate $39 million in dividends and distributions payable to us in the second quarter of 2018.</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March 31, 2018, we received $15 million in aggregate dividends and distributions from our Railcar segment. In April</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2018 we received an additional $5 million in dividends from our Railcar segment. In addition, subsequent to March 31, 2018, ARI declared a quarterly dividend, which will result in an additional $5 million in dividends payable to us in the second quarter of 2018.</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2018, we received $13 million in distributions from our Real Estate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2018, we invested $190 million in our Automotive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Additional Interests in Consolidated Subsidiaries</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During January 2018, we increased our ownership in Viskase to 78.6% through a rights offering for additional shares of Viskase common stock for an aggregate additional investment of $44 million.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Holding Company debt consists of various issues of fixed-rate senior unsecured notes issued by Icahn Enterprises and Icahn Enterprises Finance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by Icahn Enterprises Holdings. Interest on each of the senior unsecured notes are payable semi-annually.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2" w:name="page53"/>
    <w:bookmarkEnd w:id="52"/>
    <w:p>
      <w:pPr>
        <w:ind w:right="180" w:firstLine="405"/>
        <w:spacing w:after="0" w:line="272"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March 31, 2018 are subject to optional redemption premiums in the event we redeem any of the notes prior to certain dates as described in the indentures.</w:t>
      </w:r>
    </w:p>
    <w:p>
      <w:pPr>
        <w:spacing w:after="0" w:line="70"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As of March 31, 2018 and 2017, we were in compliance with all covenants, including maintaining certain minimum financial ratios, as defined in the indentures. Additionally, as of March 31, 2018, based on covenants in the indentures governing our senior unsecured notes, we are permitted to incur approximately $163 million of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On May 2, 2018, the Board of Directors of the general partner of Icahn Enterprises declared a quarterly distribution in the amount of $1.75 per depositary unit. The quarterly distribution is payable in either cash or additional depositary units, at the election of each depositary unit holder and will be paid on or about June 20, 2018 to depositary unit holders of record at the close of business on May 14, 2018.</w:t>
      </w:r>
    </w:p>
    <w:p>
      <w:pPr>
        <w:spacing w:after="0" w:line="57"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During the three months ended March 31, 2018, we declared a quarterly distribution of $1.75 per depositary unit. Mr. Icahn and his affiliates elected to receive their proportionate share of these distributions in depositary units. Mr. Icahn and his affiliates owned approximately 91.0% of Icahn Enterprises' outstanding depositary units as of March 31, 2018. In connection with this distribution, aggregate cash distributions to all depositary unitholders was $24 million in April 2018.</w:t>
      </w:r>
    </w:p>
    <w:p>
      <w:pPr>
        <w:spacing w:after="0" w:line="7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During the three months ended March 31, 2018, affiliates of Mr. Icahn (excluding us and our subsidiaries) invested $280 million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73"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March 31, 2018, the Investment Funds' had a net long notional exposure of 18%. The Investment Funds' long exposure was 95% (93% long equity and 2% long credit and other) and its short exposure was 77% (74% short equity, 3% short credit and other). The notional exposure represents the ratio of the notional exposure of the Investment Funds' invested capital to the net asset value of the Investment Funds at March 31, 2018.</w:t>
      </w:r>
    </w:p>
    <w:p>
      <w:pPr>
        <w:spacing w:after="0" w:line="63" w:lineRule="exact"/>
        <w:rPr>
          <w:sz w:val="20"/>
          <w:szCs w:val="20"/>
          <w:color w:val="auto"/>
        </w:rPr>
      </w:pPr>
    </w:p>
    <w:p>
      <w:pPr>
        <w:ind w:right="80" w:firstLine="378"/>
        <w:spacing w:after="0" w:line="286" w:lineRule="auto"/>
        <w:rPr>
          <w:sz w:val="20"/>
          <w:szCs w:val="20"/>
          <w:color w:val="auto"/>
        </w:rPr>
      </w:pPr>
      <w:r>
        <w:rPr>
          <w:rFonts w:ascii="Arial" w:cs="Arial" w:eastAsia="Arial" w:hAnsi="Arial"/>
          <w:sz w:val="17"/>
          <w:szCs w:val="17"/>
          <w:color w:val="auto"/>
        </w:rPr>
        <w:t>Of the Investment Funds' 95% long exposure, 93% was comprised of the fair value of its long positions (with certain adjustments) and 2% was comprised of single name equity forward contracts and credit contracts. Of the Investment Funds' 77% short exposure, 4% was comprised of the fair value of our short positions and 73% was comprised of short credit default swap contracts and short broad market index swap derivative contracts.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(93% long exposure) and our short positions that are not notionalized (4%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With respect to the notional value of our other short positions (73%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3" w:name="page54"/>
    <w:bookmarkEnd w:id="53"/>
    <w:p>
      <w:pPr>
        <w:ind w:right="440"/>
        <w:spacing w:after="0" w:line="277" w:lineRule="auto"/>
        <w:rPr>
          <w:sz w:val="20"/>
          <w:szCs w:val="20"/>
          <w:color w:val="auto"/>
        </w:rPr>
      </w:pPr>
      <w:r>
        <w:rPr>
          <w:rFonts w:ascii="Arial" w:cs="Arial" w:eastAsia="Arial" w:hAnsi="Arial"/>
          <w:sz w:val="18"/>
          <w:szCs w:val="18"/>
          <w:color w:val="auto"/>
        </w:rPr>
        <w:t>and then post additional collateral equal to 100% of the mark to market on adverse changes in fair value. For our counterparties who do not require cash collateral, funds available from lines of credit would decrease.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Segment Cash and Cash Equivalents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w w:val="98"/>
              </w:rPr>
              <w:t>Segment cash and cash equivalents (excluding our Investment segment) consists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Automotive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Energy</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Railcar</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Gaming</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Metals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Mining</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7"/>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Segment debt consists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Energy</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Railcar</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Gaming</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Mining</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5,702</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Refer to our Annual Report on Form 10-K for the year ended December 31, 2017 for information concerning terms, restrictions and covenants pertaining to our subsidiaries' debt. As of March 31, 2018, our subsidiaries are in compliance with all debt covenants.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March 31, 2018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5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6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Energy</w:t>
            </w:r>
          </w:p>
        </w:tc>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Railcar</w:t>
            </w:r>
          </w:p>
        </w:tc>
        <w:tc>
          <w:tcPr>
            <w:tcW w:w="6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6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vMerge w:val="restart"/>
          </w:tcPr>
          <w:p>
            <w:pPr>
              <w:jc w:val="right"/>
              <w:ind w:right="393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4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76" w:right="259" w:bottom="1440" w:gutter="0" w:footer="0" w:header="0"/>
        </w:sectPr>
      </w:pPr>
    </w:p>
    <w:bookmarkStart w:id="54" w:name="page55"/>
    <w:bookmarkEnd w:id="54"/>
    <w:p>
      <w:pPr>
        <w:ind w:right="2080" w:firstLine="405"/>
        <w:spacing w:after="0" w:line="375" w:lineRule="auto"/>
        <w:rPr>
          <w:sz w:val="20"/>
          <w:szCs w:val="20"/>
          <w:color w:val="auto"/>
        </w:rPr>
      </w:pPr>
      <w:r>
        <w:rPr>
          <w:rFonts w:ascii="Arial" w:cs="Arial" w:eastAsia="Arial" w:hAnsi="Arial"/>
          <w:sz w:val="18"/>
          <w:szCs w:val="18"/>
          <w:color w:val="auto"/>
        </w:rPr>
        <w:t xml:space="preserve">The above outstanding debt and borrowing availability with respect to each of our segments reflects third-party obligations. </w:t>
      </w:r>
      <w:r>
        <w:rPr>
          <w:rFonts w:ascii="Arial" w:cs="Arial" w:eastAsia="Arial" w:hAnsi="Arial"/>
          <w:sz w:val="18"/>
          <w:szCs w:val="18"/>
          <w:i w:val="1"/>
          <w:iCs w:val="1"/>
          <w:color w:val="auto"/>
        </w:rPr>
        <w:t>Subsidiary Dividends and Distributions to Non-Controlling Interests</w:t>
      </w:r>
    </w:p>
    <w:p>
      <w:pPr>
        <w:spacing w:after="0" w:line="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three months ended March 31, 2018, our Energy and Railcar segments had dividends and distributions to non-controlling interests of $28 million and $3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Federal-Mogul's subsidiaries in Brazil, France, Germany, Italy, Canada and the United States are party to accounts receivable factoring and securitization facilities. Refer to Note 2, "Basis of Presentation and Summary of Significant Accounting Policies," to the consolidated financial statements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and distributions from Mr. Icahn and his affiliates (including Icahn Enterprises and Icahn Enterprises Holdings), which are included in net cash flow from financing activities. Our other operating segments' cash flows are driven by the activities and performance of each business as well as transactions with our Holding Company, as discussed below.</w:t>
      </w:r>
    </w:p>
    <w:p>
      <w:pPr>
        <w:spacing w:after="0" w:line="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cash flow information for the three months ended March 31, 2018 and 2017 for Icahn Enterprises' reporting segments and our Holding Company:</w:t>
      </w:r>
    </w:p>
    <w:p>
      <w:pPr>
        <w:sectPr>
          <w:pgSz w:w="11900" w:h="16838" w:orient="portrait"/>
          <w:cols w:equalWidth="0" w:num="1">
            <w:col w:w="11400"/>
          </w:cols>
          <w:pgMar w:left="240" w:top="476" w:right="259" w:bottom="1440" w:gutter="0" w:footer="0" w:header="0"/>
        </w:sectPr>
      </w:pPr>
    </w:p>
    <w:p>
      <w:pPr>
        <w:spacing w:after="0" w:line="130"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2349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6"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2349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6" w:lineRule="exact"/>
        <w:rPr>
          <w:sz w:val="20"/>
          <w:szCs w:val="20"/>
          <w:color w:val="auto"/>
        </w:rPr>
      </w:pPr>
    </w:p>
    <w:p>
      <w:pPr>
        <w:ind w:left="4240"/>
        <w:spacing w:after="0"/>
        <w:tabs>
          <w:tab w:leader="none" w:pos="5540" w:val="left"/>
          <w:tab w:leader="none" w:pos="678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280"/>
        <w:spacing w:after="0"/>
        <w:tabs>
          <w:tab w:leader="none" w:pos="5540" w:val="left"/>
          <w:tab w:leader="none" w:pos="680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33020</wp:posOffset>
            </wp:positionV>
            <wp:extent cx="4690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272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2726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240" w:val="left"/>
          <w:tab w:leader="none" w:pos="244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20"/>
        <w:spacing w:after="0"/>
        <w:tabs>
          <w:tab w:leader="none" w:pos="1240" w:val="left"/>
          <w:tab w:leader="none" w:pos="246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127" w:lineRule="exact"/>
        <w:rPr>
          <w:sz w:val="20"/>
          <w:szCs w:val="20"/>
          <w:color w:val="auto"/>
        </w:rPr>
      </w:pPr>
    </w:p>
    <w:p>
      <w:pPr>
        <w:sectPr>
          <w:pgSz w:w="11900" w:h="16838" w:orient="portrait"/>
          <w:cols w:equalWidth="0" w:num="2">
            <w:col w:w="7500" w:space="540"/>
            <w:col w:w="3360"/>
          </w:cols>
          <w:pgMar w:left="240" w:top="476" w:right="25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3"/>
          </w:tcPr>
          <w:p>
            <w:pPr>
              <w:jc w:val="right"/>
              <w:ind w:right="159"/>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Holding Company</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r>
      <w:tr>
        <w:trPr>
          <w:trHeight w:val="237"/>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Other Operating Segments: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Automotive</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Energy</w:t>
            </w: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Railcar</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Gaming</w:t>
            </w: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Metals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Mining</w:t>
            </w:r>
          </w:p>
        </w:tc>
        <w:tc>
          <w:tcPr>
            <w:tcW w:w="4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Food Packaging</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Real Estate</w:t>
            </w: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Home Fashion</w:t>
            </w: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tcPr>
          <w:p>
            <w:pPr>
              <w:spacing w:after="0"/>
              <w:rPr>
                <w:sz w:val="18"/>
                <w:szCs w:val="18"/>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Other operating segments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before eliminations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w:t>
            </w:r>
          </w:p>
        </w:tc>
      </w:tr>
      <w:tr>
        <w:trPr>
          <w:trHeight w:val="217"/>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Consolidated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1,243</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Eliminations in the table above relate to our Holding Company's transactions with our Investment and other operating segments. Our Holding Company's net investments in the Investments Funds were zero and $200 million for the three months ended March 31, 2018 and 2017, respectively, which are included in cash flows from investing activities for our Holding Company and cash flows from financing activities for our Investment segment. Our Holding Company's net (investments in) distributions from our other operating segments were $(175) million and $79 million for the three months ended March 31, 2018 and 2017, respectively, which are included in cash flows from investing activities for our Holding Company and cash flows from financing activities for our other operating segments.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76" w:right="2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Holding Company's cash flows from operating activities for each of the three months ended March 31, 2018 and 2017 were primarily attributable to our semi-annual interest payments on our senior unsecured notes.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Holding Company's cash flows from investing activities for the three months ended March 31, 2018 were due to an investment in our Automotive segment of $190 million and contributions to our Food Packaging segment in connection with Viskase's rights offering of $44 million, offset in part by dividends and distributions received from our Energy, Railcar and Real Estate segments aggregating $66 million. For the three months ended March 31, 2017, our Holding Company had net investments in the Investment Funds of $200 million and payments to acquire additional outstanding common stock of Federal-Mogul for $252 million, offset in part by dividends and distributions received from our Energy, Railcar and Real Estate segments aggregating $69 million.</w:t>
      </w:r>
    </w:p>
    <w:p>
      <w:pPr>
        <w:spacing w:after="0" w:line="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Holding Company's cash flows from financing activities for the three months ended March 31, 2017 were due to aggregate proceeds from our rights offing of $612 million (which includes a contribution of $12 million from our general partner in order to maintain its aggregate 1.99% general partner interest in us) and net proceeds from our senior unsecured debt refinancings of $20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Investment segment's cash flows from financing activities for the comparable periods were due to net contributions from our Holding Company and Mr. Icahn and his affiliates. For the three months ended March 31, 2018, Mr. Icahn and his affiliates (excluding us) invested $280 million in the Investment Funds. For the three months ended March 31, 2017, our Holding Company invested $200 million in the Investment Funds and Mr. Icahn and his affiliates (excluding us) invested an additional $600 million in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Segments</w:t>
      </w:r>
    </w:p>
    <w:p>
      <w:pPr>
        <w:spacing w:after="0" w:line="117" w:lineRule="exact"/>
        <w:rPr>
          <w:sz w:val="20"/>
          <w:szCs w:val="20"/>
          <w:color w:val="auto"/>
        </w:rPr>
      </w:pPr>
    </w:p>
    <w:p>
      <w:pPr>
        <w:ind w:right="260" w:firstLine="405"/>
        <w:spacing w:after="0" w:line="293" w:lineRule="auto"/>
        <w:rPr>
          <w:sz w:val="20"/>
          <w:szCs w:val="20"/>
          <w:color w:val="auto"/>
        </w:rPr>
      </w:pPr>
      <w:r>
        <w:rPr>
          <w:rFonts w:ascii="Arial" w:cs="Arial" w:eastAsia="Arial" w:hAnsi="Arial"/>
          <w:sz w:val="16"/>
          <w:szCs w:val="16"/>
          <w:color w:val="auto"/>
        </w:rPr>
        <w:t>Our other operating segments' cash flows from operating activities were primarily attributable to net income before non-cash charges of $364 million and $384 million for the three months ended March 31, 2018 and 2017, respectively. Net income before non-cash charges represents net cash flows from operating activities before changes in operating assets and liabilities. The change in net cash provided by operating activities from our other operating segments in 2018 compared to 2017 was primarily attributable to changes in operating assets and liabilities, particularly from our Automotive and Energy segments. Changes in operating assets and liabilities in 2018 compared to 2017 were primarily due to increases and inventory and receivables for our Automotive segment and an increase in inventory and a decrease in RFS blending obligations for our Energy segment.</w:t>
      </w:r>
    </w:p>
    <w:p>
      <w:pPr>
        <w:spacing w:after="0" w:line="5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other operating segments cash flows from investing activities for the three months ended March 31, 2018 and 2017 were primarily due to capital expenditures. For the three months ended March 31, 2018, our Automotive segment's capital expenditures were $137 million, primarily related to investing in new facilities, upgrading existing products, continuing new product launches and other infrastructure and equipment costs. Our Railcar segment's capital expenditures were $19 million, primarily for railcars for lease and our Energy and Gaming segments had capital expenditures of $20 million and $23 million, respectively. For the three months ended March 31, 2017, our Automotive, Railcar, Energy and Gaming segments had capital expenditures of $111 million, $59 million, $24 million and $22 million, respectively</w:t>
      </w:r>
    </w:p>
    <w:p>
      <w:pPr>
        <w:spacing w:after="0" w:line="8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Our other operating segments cash flows from financing activities for the three months ended March 31, 2018 and 2017 were primarily due to contributions from us, dividends and distributions to us and non-controlling interests, and net debt transactions. For the three months ended March 31, 2018 and 2017, our other operating segments had net cash contributions from (distributions to) our Holding Company of $175 million and $(79) million, respectively, as described above. Distributions to non-controlling interests were $31 million and $10 million for the three months ended March 31, 2018 and 2017, respectively, primarily from our Energy, Railcar and Real Estate segments. In addition, for the three months ended March 31, 2018 and 2017, our other operating segments had net cash (repayments) proceeds from debt transactions of $(26) million and $30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There have been no significant changes to our capital expenditures during the three months ended March 31, 2018 as compared to the estimated capital expenditures for 2018 as reported in our Annual Report on Form 10-K for the year ended December 31, 2017. Capital expenditures with respect to certain environmental matters are discussed in Note 16, "Commitments and Contingencies," to the condensed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right="480" w:firstLine="378"/>
        <w:spacing w:after="0" w:line="277" w:lineRule="auto"/>
        <w:rPr>
          <w:sz w:val="20"/>
          <w:szCs w:val="20"/>
          <w:color w:val="auto"/>
        </w:rPr>
      </w:pPr>
      <w:r>
        <w:rPr>
          <w:rFonts w:ascii="Arial" w:cs="Arial" w:eastAsia="Arial" w:hAnsi="Arial"/>
          <w:sz w:val="18"/>
          <w:szCs w:val="18"/>
          <w:color w:val="auto"/>
        </w:rPr>
        <w:t>Other than certain debt transactions as described above, there have been no material changes to our contractual commitments and contingencies as compared to those reported in our Annual Report on Form 10-K for the year ended December 31, 2017</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2017.</w:t>
      </w:r>
    </w:p>
    <w:p>
      <w:pPr>
        <w:spacing w:after="0" w:line="79"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 xml:space="preserve">Effective January 1, 2018, we adopted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Although this new standard is not expected to have a material impact on our ongoing results of operations, we determined that it was appropriate to identify our updated accounting policy as a critical accounting policy.</w:t>
      </w:r>
    </w:p>
    <w:p>
      <w:pPr>
        <w:spacing w:after="0" w:line="73" w:lineRule="exact"/>
        <w:rPr>
          <w:sz w:val="20"/>
          <w:szCs w:val="20"/>
          <w:color w:val="auto"/>
        </w:rPr>
      </w:pPr>
    </w:p>
    <w:p>
      <w:pPr>
        <w:ind w:right="100" w:firstLine="378"/>
        <w:spacing w:after="0" w:line="342" w:lineRule="auto"/>
        <w:rPr>
          <w:sz w:val="20"/>
          <w:szCs w:val="20"/>
          <w:color w:val="auto"/>
        </w:rPr>
      </w:pPr>
      <w:r>
        <w:rPr>
          <w:rFonts w:ascii="Arial" w:cs="Arial" w:eastAsia="Arial" w:hAnsi="Arial"/>
          <w:sz w:val="16"/>
          <w:szCs w:val="16"/>
          <w:color w:val="auto"/>
        </w:rPr>
        <w:t>Except for the adoption of FASB ASC Topic 606 discussed above, there have been no material changes to our critical accounting policies and estimates during the three months ended March 31, 2018 as compared to those reported in our Annual Report on Form 10-K for the year ended December 31, 2017.</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discussed below, information about our quantitative and qualitative disclosures about market risk did not differ materially from those disclosed in our Annual Report on Form 10-K for the year ended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2018, we estimate that in the event of a 10% adverse change in the fair value of these investments, the fair values of securities owned, securities sold, not yet purchased and derivatives would decrease by approximately $752 million, $30 million and $703 million, respectively. However, as of March 31, 2018, we estimate that the impact to our share of the net gain (loss) from investment activities reported in our condensed consolidated statement of operations would be less than the change in fair value since we have an investment of approximately 40% in the Investment Funds, and the non-controlling interests in income would correspondingly offset approximately 60% of the change in fair value.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76"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predominant exposure to foreign currency exchange rate risk is related to our Automotive segment and the sensitivities to movements in the foreign currency exchange rate between the Euro and U.S. Dollar.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Federal-Mogul issued notes in the amount €1,065 million during the year ended December 31, 2017. As of March 31, 2018, €731 million of these notes were designated as a net investment hedge in certain foreign subsidiaries and affiliates of Federal-Mogul. As such, an adverse change in foreign currency exchange rates will have no effect on earnings. For the portion of the debt not designated as a net investment hedge, Federal-Mogul has other natural hedges in place that will offset any adverse change in foreign currency exchange rates. A 10% adverse change in foreign currency exchange rates between the Euro and U.S. Dollar as of March 31, 2018 would increase the amount of cash required to settle the Euro Notes by approximately $131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of March 31, 2018,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Except for the risk factor disclosed below, there were no material changes to our risk factors during the three months ended March 31, 2018 as compared to those reported in our Annual Report on Form 10-K for the year ended December 31, 2017.</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the risk of becoming an investment company.</w:t>
      </w:r>
    </w:p>
    <w:p>
      <w:pPr>
        <w:spacing w:after="0" w:line="11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In addition,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w:t>
      </w:r>
    </w:p>
    <w:p>
      <w:pPr>
        <w:spacing w:after="0" w:line="8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April 2018, we announced definitive agreements to sell Federal-Mogul and Tropicana. Following the closing of our contemplated sale of Federal-Mogul, it is likely that we would be considered an investment company but for an exemption under the Investment Company Act that would provide us up to one year to take steps to avoid becoming classified as an investment company. We expect to take steps to avoid becoming classified as an investment company during this exemption period, but no assurance can be made that we will successfully be able to take the steps necessary to avoid becoming classified as an investment company.</w:t>
      </w:r>
    </w:p>
    <w:p>
      <w:pPr>
        <w:spacing w:after="0" w:line="8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If we are unsuccessful, then we will be required to register as a registered investment company and will be are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under the caption, “Risk Factors - Risks Relating to Our Structure - We may become taxable as a corporation if we are no longer treated as a partnership for federal income tax purposes” in our Annual Report on Form 10-K for the year ended December 31, 2017.</w:t>
      </w:r>
    </w:p>
    <w:p>
      <w:pPr>
        <w:spacing w:after="0" w:line="5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5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80" w:type="dxa"/>
            <w:vAlign w:val="bottom"/>
            <w:gridSpan w:val="11"/>
          </w:tcPr>
          <w:p>
            <w:pPr>
              <w:ind w:left="20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6"/>
        </w:trPr>
        <w:tc>
          <w:tcPr>
            <w:tcW w:w="580" w:type="dxa"/>
            <w:vAlign w:val="bottom"/>
            <w:gridSpan w:val="2"/>
          </w:tcPr>
          <w:p>
            <w:pPr>
              <w:spacing w:after="0"/>
              <w:rPr>
                <w:sz w:val="17"/>
                <w:szCs w:val="17"/>
                <w:color w:val="auto"/>
              </w:rPr>
            </w:pPr>
          </w:p>
        </w:tc>
        <w:tc>
          <w:tcPr>
            <w:tcW w:w="280" w:type="dxa"/>
            <w:vAlign w:val="bottom"/>
            <w:gridSpan w:val="2"/>
          </w:tcPr>
          <w:p>
            <w:pPr>
              <w:jc w:val="center"/>
              <w:ind w:right="60"/>
              <w:spacing w:after="0" w:line="196" w:lineRule="exact"/>
              <w:rPr>
                <w:rFonts w:ascii="Arial" w:cs="Arial" w:eastAsia="Arial" w:hAnsi="Arial"/>
                <w:sz w:val="18"/>
                <w:szCs w:val="18"/>
                <w:color w:val="0000FF"/>
                <w:w w:val="87"/>
              </w:rPr>
            </w:pPr>
            <w:hyperlink r:id="rId30">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6"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Membership Interest Purchase Agreement, dated April 10, 2018, by and among Tenneco Inc., Federal-Mogul LLC, American</w:t>
              </w:r>
            </w:hyperlink>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Entertainment Properties Corp., and Icahn Enterprises L.P. (incorporated by reference to Exhibit 2.1 to Icahn Enterprises' and Icahn</w:t>
              </w:r>
            </w:hyperlink>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Enterprises Holdings' joint Form 8-K (SEC File Nos. 1-9516 and 333-118021-01, respectively) file April 10, 2018).</w:t>
              </w:r>
            </w:hyperlink>
          </w:p>
        </w:tc>
        <w:tc>
          <w:tcPr>
            <w:tcW w:w="440" w:type="dxa"/>
            <w:vAlign w:val="bottom"/>
            <w:gridSpan w:val="4"/>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1"/>
                <w:szCs w:val="21"/>
                <w:color w:val="auto"/>
              </w:rPr>
            </w:pPr>
          </w:p>
        </w:tc>
        <w:tc>
          <w:tcPr>
            <w:tcW w:w="280" w:type="dxa"/>
            <w:vAlign w:val="bottom"/>
            <w:gridSpan w:val="2"/>
          </w:tcPr>
          <w:p>
            <w:pPr>
              <w:jc w:val="center"/>
              <w:ind w:right="60"/>
              <w:spacing w:after="0"/>
              <w:rPr>
                <w:rFonts w:ascii="Arial" w:cs="Arial" w:eastAsia="Arial" w:hAnsi="Arial"/>
                <w:sz w:val="18"/>
                <w:szCs w:val="18"/>
                <w:color w:val="0000FF"/>
                <w:w w:val="87"/>
              </w:rPr>
            </w:pPr>
            <w:hyperlink r:id="rId31">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Agreement and Plan of Merger, dated April 15, 2018, by and among Eldorado Resorts, Inc., Delta Merger Sub, Inc., GLP Capital, L.P.</w:t>
              </w:r>
            </w:hyperlink>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and Tropicana Entertainment Inc. (incorporated by reference to Exhibit 2.1 to Icahn Enterprises' and Icahn Enterprises Holdings' joint</w:t>
              </w:r>
            </w:hyperlink>
          </w:p>
        </w:tc>
        <w:tc>
          <w:tcPr>
            <w:tcW w:w="4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Form 8-K (SEC File Nos. 1-9516 and 333-118021-01, respectively) file April 16, 2018).</w:t>
              </w:r>
            </w:hyperlink>
          </w:p>
        </w:tc>
        <w:tc>
          <w:tcPr>
            <w:tcW w:w="3520" w:type="dxa"/>
            <w:vAlign w:val="bottom"/>
            <w:gridSpan w:val="9"/>
          </w:tcPr>
          <w:p>
            <w:pPr>
              <w:spacing w:after="0"/>
              <w:rPr>
                <w:sz w:val="17"/>
                <w:szCs w:val="17"/>
                <w:color w:val="auto"/>
              </w:rPr>
            </w:pPr>
          </w:p>
        </w:tc>
      </w:tr>
      <w:tr>
        <w:trPr>
          <w:trHeight w:val="250"/>
        </w:trPr>
        <w:tc>
          <w:tcPr>
            <w:tcW w:w="1380" w:type="dxa"/>
            <w:vAlign w:val="bottom"/>
            <w:gridSpan w:val="5"/>
          </w:tcPr>
          <w:p>
            <w:pPr>
              <w:jc w:val="cente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7"/>
              </w:rPr>
            </w:pPr>
            <w:hyperlink w:anchor="page62">
              <w:r>
                <w:rPr>
                  <w:rFonts w:ascii="Arial" w:cs="Arial" w:eastAsia="Arial" w:hAnsi="Arial"/>
                  <w:sz w:val="18"/>
                  <w:szCs w:val="18"/>
                  <w:color w:val="0000FF"/>
                  <w:w w:val="97"/>
                </w:rPr>
                <w:t>Certification of Chief Executive Officer pursuant to Section 302(a) of the Sarbanes-Oxley Act of 2002 and Rule 13a-14(a) of the</w:t>
              </w:r>
            </w:hyperlink>
          </w:p>
        </w:tc>
      </w:tr>
      <w:tr>
        <w:trPr>
          <w:trHeight w:val="196"/>
        </w:trPr>
        <w:tc>
          <w:tcPr>
            <w:tcW w:w="5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Securities Exchange Act of 1934.</w:t>
              </w:r>
            </w:hyperlink>
          </w:p>
        </w:tc>
        <w:tc>
          <w:tcPr>
            <w:tcW w:w="6860" w:type="dxa"/>
            <w:vAlign w:val="bottom"/>
            <w:tcBorders>
              <w:top w:val="single" w:sz="8" w:color="0000FF"/>
            </w:tcBorders>
            <w:gridSpan w:val="6"/>
          </w:tcPr>
          <w:p>
            <w:pPr>
              <w:spacing w:after="0"/>
              <w:rPr>
                <w:sz w:val="17"/>
                <w:szCs w:val="17"/>
                <w:color w:val="auto"/>
              </w:rPr>
            </w:pPr>
          </w:p>
        </w:tc>
        <w:tc>
          <w:tcPr>
            <w:tcW w:w="620" w:type="dxa"/>
            <w:vAlign w:val="bottom"/>
            <w:gridSpan w:val="5"/>
          </w:tcPr>
          <w:p>
            <w:pPr>
              <w:spacing w:after="0"/>
              <w:rPr>
                <w:sz w:val="17"/>
                <w:szCs w:val="17"/>
                <w:color w:val="auto"/>
              </w:rPr>
            </w:pPr>
          </w:p>
        </w:tc>
      </w:tr>
      <w:tr>
        <w:trPr>
          <w:trHeight w:val="250"/>
        </w:trPr>
        <w:tc>
          <w:tcPr>
            <w:tcW w:w="1380" w:type="dxa"/>
            <w:vAlign w:val="bottom"/>
            <w:gridSpan w:val="5"/>
          </w:tcPr>
          <w:p>
            <w:pPr>
              <w:jc w:val="cente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8"/>
              </w:rPr>
            </w:pPr>
            <w:hyperlink w:anchor="page63">
              <w:r>
                <w:rPr>
                  <w:rFonts w:ascii="Arial" w:cs="Arial" w:eastAsia="Arial" w:hAnsi="Arial"/>
                  <w:sz w:val="18"/>
                  <w:szCs w:val="18"/>
                  <w:color w:val="0000FF"/>
                  <w:w w:val="98"/>
                </w:rPr>
                <w:t>Certification of Chief Financial Officer pursuant to Section 302(a) of the Sarbanes-Oxley Act of 2002 and Rule 13a-14(a) of the</w:t>
              </w:r>
            </w:hyperlink>
          </w:p>
        </w:tc>
      </w:tr>
      <w:tr>
        <w:trPr>
          <w:trHeight w:val="196"/>
        </w:trPr>
        <w:tc>
          <w:tcPr>
            <w:tcW w:w="5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63">
              <w:r>
                <w:rPr>
                  <w:rFonts w:ascii="Arial" w:cs="Arial" w:eastAsia="Arial" w:hAnsi="Arial"/>
                  <w:sz w:val="18"/>
                  <w:szCs w:val="18"/>
                  <w:color w:val="0000FF"/>
                  <w:w w:val="90"/>
                </w:rPr>
                <w:t>Securities Exchange Act of 1934.</w:t>
              </w:r>
            </w:hyperlink>
          </w:p>
        </w:tc>
        <w:tc>
          <w:tcPr>
            <w:tcW w:w="6800" w:type="dxa"/>
            <w:vAlign w:val="bottom"/>
            <w:tcBorders>
              <w:top w:val="single" w:sz="8" w:color="0000FF"/>
            </w:tcBorders>
            <w:gridSpan w:val="5"/>
          </w:tcPr>
          <w:p>
            <w:pPr>
              <w:spacing w:after="0"/>
              <w:rPr>
                <w:sz w:val="17"/>
                <w:szCs w:val="17"/>
                <w:color w:val="auto"/>
              </w:rPr>
            </w:pPr>
          </w:p>
        </w:tc>
        <w:tc>
          <w:tcPr>
            <w:tcW w:w="680" w:type="dxa"/>
            <w:vAlign w:val="bottom"/>
            <w:gridSpan w:val="6"/>
          </w:tcPr>
          <w:p>
            <w:pPr>
              <w:spacing w:after="0"/>
              <w:rPr>
                <w:sz w:val="17"/>
                <w:szCs w:val="17"/>
                <w:color w:val="auto"/>
              </w:rPr>
            </w:pPr>
          </w:p>
        </w:tc>
      </w:tr>
      <w:tr>
        <w:trPr>
          <w:trHeight w:val="250"/>
        </w:trPr>
        <w:tc>
          <w:tcPr>
            <w:tcW w:w="1380" w:type="dxa"/>
            <w:vAlign w:val="bottom"/>
            <w:gridSpan w:val="5"/>
          </w:tcPr>
          <w:p>
            <w:pPr>
              <w:jc w:val="cente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6"/>
              </w:rPr>
            </w:pPr>
            <w:hyperlink w:anchor="page64">
              <w:r>
                <w:rPr>
                  <w:rFonts w:ascii="Arial" w:cs="Arial" w:eastAsia="Arial" w:hAnsi="Arial"/>
                  <w:sz w:val="18"/>
                  <w:szCs w:val="18"/>
                  <w:color w:val="0000FF"/>
                  <w:w w:val="96"/>
                </w:rPr>
                <w:t>Certification of Chief Executive Officer and Chief Financial Officer pursuant to Section 906 of the Sarbanes-Oxley Act of 2002 (18</w:t>
              </w:r>
            </w:hyperlink>
          </w:p>
        </w:tc>
      </w:tr>
      <w:tr>
        <w:trPr>
          <w:trHeight w:val="196"/>
        </w:trPr>
        <w:tc>
          <w:tcPr>
            <w:tcW w:w="5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U.S.C. 1350) and Rule 13a-14(b) of the Securities Exchange Act of 1934.</w:t>
              </w:r>
            </w:hyperlink>
          </w:p>
        </w:tc>
        <w:tc>
          <w:tcPr>
            <w:tcW w:w="4180" w:type="dxa"/>
            <w:vAlign w:val="bottom"/>
            <w:tcBorders>
              <w:top w:val="single" w:sz="8" w:color="0000FF"/>
            </w:tcBorders>
            <w:gridSpan w:val="7"/>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291"/>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50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50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64" w:right="2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March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March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March 31, 2018, the undersigned certify that, to the best of his knowledge, based upon a review of the Icahn Enterprises L.P. and Icahn Enterprises Holdings L.P. joint quarterly report on Form 10-Q for the period ended March 31, 2018:</w:t>
      </w:r>
    </w:p>
    <w:p>
      <w:pPr>
        <w:spacing w:after="0" w:line="181"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lowerRoman"/>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8"/>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0" Type="http://schemas.openxmlformats.org/officeDocument/2006/relationships/hyperlink" Target="http://www.sec.gov/Archives/edgar/data/813762/000119312518112277/d554615dex21.htm" TargetMode="External"/><Relationship Id="rId31" Type="http://schemas.openxmlformats.org/officeDocument/2006/relationships/hyperlink" Target="http://www.sec.gov/Archives/edgar/data/813762/000110465918024062/a18-11003_1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2019-12-28T22:35:30Z</dcterms:created>
  <dcterms:modified xsi:type="dcterms:W3CDTF">2019-12-28T22:35:30Z</dcterms:modified>
</cp:coreProperties>
</file>