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b-20250630x10q.htm"/>
        <w:bookmarkStart w:id="1" w:name="kstmb2025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60"/>
        <w:ind w:left="0" w:right="0" w:hanging="0"/>
        <w:jc w:val="center"/>
        <w:rPr>
          <w:rFonts w:ascii="Times New Roman;Times;serif" w:hAnsi="Times New Roman;Times;serif"/>
          <w:b/>
          <w:sz w:val="16"/>
        </w:rPr>
      </w:pPr>
      <w:bookmarkStart w:id="2" w:name="_fc28352e_8942_438e_947c_a87085e2e1fb"/>
      <w:bookmarkEnd w:id="2"/>
      <w:r>
        <w:rPr>
          <w:rFonts w:ascii="Times New Roman;Times;serif" w:hAnsi="Times New Roman;Times;serif"/>
          <w:b/>
          <w:sz w:val="16"/>
        </w:rPr>
        <w:t>UNITED STATES SECURITIES AND EXCHANGE COMMISSION</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FORM 10-Q</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(Mark one)</w:t>
      </w:r>
    </w:p>
    <w:p>
      <w:pPr>
        <w:pStyle w:val="TextBody"/>
        <w:bidi w:val="0"/>
        <w:spacing w:before="0" w:after="120"/>
        <w:ind w:left="0" w:right="0" w:hanging="0"/>
        <w:jc w:val="left"/>
        <w:rPr/>
      </w:pPr>
      <w:r>
        <w:rPr/>
        <w:t xml:space="preserve">☒ </w:t>
      </w:r>
      <w:r>
        <w:rPr>
          <w:rFonts w:ascii="Times New Roman;Times;serif" w:hAnsi="Times New Roman;Times;serif"/>
          <w:b/>
          <w:sz w:val="16"/>
        </w:rPr>
        <w:t>QUARTERLY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2025</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pBdr/>
        <w:bidi w:val="0"/>
        <w:spacing w:before="0" w:after="120"/>
        <w:ind w:left="0" w:right="0" w:hanging="360"/>
        <w:jc w:val="left"/>
        <w:rPr/>
      </w:pPr>
      <w:r>
        <w:rPr/>
        <w:t xml:space="preserve">☐ </w:t>
      </w:r>
      <w:r>
        <w:rPr>
          <w:rFonts w:ascii="Times New Roman;Times;serif" w:hAnsi="Times New Roman;Times;serif"/>
          <w:b/>
          <w:sz w:val="16"/>
        </w:rPr>
        <w:t>TRANSITION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Normal"/>
        <w:bidi w:val="0"/>
        <w:spacing w:before="0" w:after="0"/>
        <w:jc w:val="left"/>
        <w:rPr>
          <w:sz w:val="4"/>
          <w:szCs w:val="4"/>
        </w:rPr>
      </w:pPr>
      <w:r>
        <w:rPr>
          <w:sz w:val="4"/>
          <w:szCs w:val="4"/>
        </w:rPr>
      </w:r>
      <w:bookmarkStart w:id="3" w:name="Tc_R0JN-xEHhk--uxE7XcW5Cg_1_3"/>
      <w:bookmarkStart w:id="4" w:name="Tc_SiI-9XdlDkqm7LUJUNJT2Q_1_2"/>
      <w:bookmarkStart w:id="5" w:name="Tc_Q4yccdGIkEKDcuLbSWzy6w_1_1"/>
      <w:bookmarkStart w:id="6" w:name="Tc_HN_idKcbQE6d2BHjSAEOqA_1_0"/>
      <w:bookmarkStart w:id="7" w:name="_922c7f1d_6706_4aae_983f_8e184db9bf6f"/>
      <w:bookmarkStart w:id="8" w:name="Tc_R0JN-xEHhk--uxE7XcW5Cg_1_3"/>
      <w:bookmarkStart w:id="9" w:name="Tc_SiI-9XdlDkqm7LUJUNJT2Q_1_2"/>
      <w:bookmarkStart w:id="10" w:name="Tc_Q4yccdGIkEKDcuLbSWzy6w_1_1"/>
      <w:bookmarkStart w:id="11" w:name="Tc_HN_idKcbQE6d2BHjSAEOqA_1_0"/>
      <w:bookmarkStart w:id="12" w:name="_922c7f1d_6706_4aae_983f_8e184db9bf6f"/>
      <w:bookmarkEnd w:id="8"/>
      <w:bookmarkEnd w:id="9"/>
      <w:bookmarkEnd w:id="10"/>
      <w:bookmarkEnd w:id="11"/>
      <w:bookmarkEnd w:id="12"/>
    </w:p>
    <w:tbl>
      <w:tblPr>
        <w:tblW w:w="496" w:type="dxa"/>
        <w:jc w:val="left"/>
        <w:tblInd w:w="0" w:type="dxa"/>
        <w:tblLayout w:type="fixed"/>
        <w:tblCellMar>
          <w:top w:w="0" w:type="dxa"/>
          <w:left w:w="0" w:type="dxa"/>
          <w:bottom w:w="0" w:type="dxa"/>
          <w:right w:w="0" w:type="dxa"/>
        </w:tblCellMar>
      </w:tblPr>
      <w:tblGrid>
        <w:gridCol w:w="124"/>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center"/>
              <w:rPr/>
            </w:pPr>
            <w:r>
              <w:rPr/>
              <w:t>​</w:t>
            </w:r>
          </w:p>
          <w:p>
            <w:pPr>
              <w:pStyle w:val="TableContents"/>
              <w:bidi w:val="0"/>
              <w:spacing w:before="0" w:after="30"/>
              <w:ind w:left="0" w:right="0" w:hanging="0"/>
              <w:jc w:val="center"/>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2103120"/>
                      <wp:effectExtent l="0" t="0" r="0" b="0"/>
                      <wp:wrapNone/>
                      <wp:docPr id="1" name="Frame1"/>
                      <a:graphic xmlns:a="http://schemas.openxmlformats.org/drawingml/2006/main">
                        <a:graphicData uri="http://schemas.microsoft.com/office/word/2010/wordprocessingShape">
                          <wps:wsp>
                            <wps:cNvSpPr txBox="1"/>
                            <wps:spPr>
                              <a:xfrm>
                                <a:off x="0" y="0"/>
                                <a:ext cx="78740" cy="21031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(Commission File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5.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(Commission File Number)</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6248400"/>
                      <wp:effectExtent l="0" t="0" r="0" b="0"/>
                      <wp:wrapNone/>
                      <wp:docPr id="2" name="Frame2"/>
                      <a:graphic xmlns:a="http://schemas.openxmlformats.org/drawingml/2006/main">
                        <a:graphicData uri="http://schemas.microsoft.com/office/word/2010/wordprocessingShape">
                          <wps:wsp>
                            <wps:cNvSpPr txBox="1"/>
                            <wps:spPr>
                              <a:xfrm>
                                <a:off x="0" y="0"/>
                                <a:ext cx="69215" cy="624840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ableContents"/>
                                    <w:bidi w:val="0"/>
                                    <w:spacing w:before="0" w:after="30"/>
                                    <w:ind w:left="0" w:right="0" w:hanging="0"/>
                                    <w:jc w:val="center"/>
                                    <w:rPr>
                                      <w:rFonts w:ascii="Times New Roman;Times;serif" w:hAnsi="Times New Roman;Times;serif"/>
                                      <w:sz w:val="16"/>
                                    </w:rPr>
                                  </w:pPr>
                                  <w:r>
                                    <w:rPr>
                                      <w:rFonts w:ascii="Times New Roman;Times;serif" w:hAnsi="Times New Roman;Times;serif"/>
                                      <w:sz w:val="16"/>
                                    </w:rPr>
                                    <w:t>(Telephone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ableContents"/>
                              <w:bidi w:val="0"/>
                              <w:spacing w:before="0" w:after="30"/>
                              <w:ind w:left="0" w:right="0" w:hanging="0"/>
                              <w:jc w:val="center"/>
                              <w:rPr>
                                <w:rFonts w:ascii="Times New Roman;Times;serif" w:hAnsi="Times New Roman;Times;serif"/>
                                <w:sz w:val="16"/>
                              </w:rPr>
                            </w:pPr>
                            <w:r>
                              <w:rPr>
                                <w:rFonts w:ascii="Times New Roman;Times;serif" w:hAnsi="Times New Roman;Times;serif"/>
                                <w:sz w:val="16"/>
                              </w:rPr>
                              <w:t>(Telephone Number)</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5958840"/>
                      <wp:effectExtent l="0" t="0" r="0" b="0"/>
                      <wp:wrapNone/>
                      <wp:docPr id="3" name="Frame3"/>
                      <a:graphic xmlns:a="http://schemas.openxmlformats.org/drawingml/2006/main">
                        <a:graphicData uri="http://schemas.microsoft.com/office/word/2010/wordprocessingShape">
                          <wps:wsp>
                            <wps:cNvSpPr txBox="1"/>
                            <wps:spPr>
                              <a:xfrm>
                                <a:off x="0" y="0"/>
                                <a:ext cx="69215" cy="59588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6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7790" cy="2219960"/>
                      <wp:effectExtent l="0" t="0" r="0" b="0"/>
                      <wp:wrapNone/>
                      <wp:docPr id="4" name="Frame4"/>
                      <a:graphic xmlns:a="http://schemas.openxmlformats.org/drawingml/2006/main">
                        <a:graphicData uri="http://schemas.microsoft.com/office/word/2010/wordprocessingShape">
                          <wps:wsp>
                            <wps:cNvSpPr txBox="1"/>
                            <wps:spPr>
                              <a:xfrm>
                                <a:off x="0" y="0"/>
                                <a:ext cx="97790" cy="22199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7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8740" cy="701040"/>
                      <wp:effectExtent l="0" t="0" r="0" b="0"/>
                      <wp:wrapNone/>
                      <wp:docPr id="5" name="Frame5"/>
                      <a:graphic xmlns:a="http://schemas.openxmlformats.org/drawingml/2006/main">
                        <a:graphicData uri="http://schemas.microsoft.com/office/word/2010/wordprocessingShape">
                          <wps:wsp>
                            <wps:cNvSpPr txBox="1"/>
                            <wps:spPr>
                              <a:xfrm>
                                <a:off x="0" y="0"/>
                                <a:ext cx="78740" cy="7010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1-9516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1-9516</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2453640"/>
                      <wp:effectExtent l="0" t="0" r="0" b="0"/>
                      <wp:wrapNone/>
                      <wp:docPr id="6" name="Frame6"/>
                      <a:graphic xmlns:a="http://schemas.openxmlformats.org/drawingml/2006/main">
                        <a:graphicData uri="http://schemas.microsoft.com/office/word/2010/wordprocessingShape">
                          <wps:wsp>
                            <wps:cNvSpPr txBox="1"/>
                            <wps:spPr>
                              <a:xfrm>
                                <a:off x="0" y="0"/>
                                <a:ext cx="69215" cy="24536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ICAHN ENTERPRISES L.P.</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93.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ICAHN ENTERPRISES L.P.</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934720"/>
                      <wp:effectExtent l="0" t="0" r="0" b="0"/>
                      <wp:wrapNone/>
                      <wp:docPr id="7" name="Frame7"/>
                      <a:graphic xmlns:a="http://schemas.openxmlformats.org/drawingml/2006/main">
                        <a:graphicData uri="http://schemas.microsoft.com/office/word/2010/wordprocessingShape">
                          <wps:wsp>
                            <wps:cNvSpPr txBox="1"/>
                            <wps:spPr>
                              <a:xfrm>
                                <a:off x="0" y="0"/>
                                <a:ext cx="69215" cy="9347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73.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Delaware</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7790" cy="1051560"/>
                      <wp:effectExtent l="0" t="0" r="0" b="0"/>
                      <wp:wrapNone/>
                      <wp:docPr id="8" name="Frame8"/>
                      <a:graphic xmlns:a="http://schemas.openxmlformats.org/drawingml/2006/main">
                        <a:graphicData uri="http://schemas.microsoft.com/office/word/2010/wordprocessingShape">
                          <wps:wsp>
                            <wps:cNvSpPr txBox="1"/>
                            <wps:spPr>
                              <a:xfrm>
                                <a:off x="0" y="0"/>
                                <a:ext cx="97790" cy="10515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13-3398766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13-3398766</w:t>
                            </w:r>
                          </w:p>
                        </w:txbxContent>
                      </v:textbox>
                      <w10:wrap type="none"/>
                    </v:rect>
                  </w:pict>
                </mc:Fallback>
              </mc:AlternateContent>
            </w:r>
          </w:p>
        </w:tc>
      </w:tr>
    </w:tbl>
    <w:p>
      <w:pPr>
        <w:pStyle w:val="TextBody"/>
        <w:bidi w:val="0"/>
        <w:spacing w:before="120" w:after="0"/>
        <w:ind w:left="0" w:right="0" w:hanging="0"/>
        <w:jc w:val="center"/>
        <w:rPr>
          <w:rFonts w:ascii="Times New Roman;Times;serif" w:hAnsi="Times New Roman;Times;serif"/>
          <w:b/>
          <w:sz w:val="16"/>
        </w:rPr>
      </w:pPr>
      <w:r>
        <w:rPr>
          <w:rFonts w:ascii="Times New Roman;Times;serif" w:hAnsi="Times New Roman;Times;serif"/>
          <w:b/>
          <w:sz w:val="16"/>
        </w:rPr>
        <w:t>16690 Collins Avenue, PH-1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Sunny Isles Beach,</w:t>
      </w:r>
      <w:r>
        <w:rPr>
          <w:rFonts w:ascii="Times New Roman;Times;serif" w:hAnsi="Times New Roman;Times;serif"/>
          <w:sz w:val="20"/>
        </w:rPr>
        <w:t xml:space="preserve"> </w:t>
      </w:r>
      <w:r>
        <w:rPr>
          <w:rFonts w:ascii="Times New Roman;Times;serif" w:hAnsi="Times New Roman;Times;serif"/>
          <w:b/>
          <w:sz w:val="16"/>
        </w:rPr>
        <w:t>FL</w:t>
      </w:r>
      <w:r>
        <w:rPr>
          <w:rFonts w:ascii="Times New Roman;Times;serif" w:hAnsi="Times New Roman;Times;serif"/>
          <w:sz w:val="20"/>
        </w:rPr>
        <w:t xml:space="preserve"> </w:t>
      </w:r>
      <w:r>
        <w:rPr>
          <w:rFonts w:ascii="Times New Roman;Times;serif" w:hAnsi="Times New Roman;Times;serif"/>
          <w:b/>
          <w:sz w:val="16"/>
        </w:rPr>
        <w:t>33160</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(305) 422-4100</w:t>
      </w:r>
    </w:p>
    <w:tbl>
      <w:tblPr>
        <w:tblW w:w="496" w:type="dxa"/>
        <w:jc w:val="left"/>
        <w:tblInd w:w="0" w:type="dxa"/>
        <w:tblLayout w:type="fixed"/>
        <w:tblCellMar>
          <w:top w:w="0" w:type="dxa"/>
          <w:left w:w="0" w:type="dxa"/>
          <w:bottom w:w="0" w:type="dxa"/>
          <w:right w:w="0" w:type="dxa"/>
        </w:tblCellMar>
      </w:tblPr>
      <w:tblGrid>
        <w:gridCol w:w="124"/>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8740" cy="175260"/>
                      <wp:effectExtent l="0" t="0" r="0" b="0"/>
                      <wp:wrapNone/>
                      <wp:docPr id="9" name="Frame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10" name="Frame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175260"/>
                      <wp:effectExtent l="0" t="0" r="0" b="0"/>
                      <wp:wrapNone/>
                      <wp:docPr id="11"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7790" cy="175260"/>
                      <wp:effectExtent l="0" t="0" r="0" b="0"/>
                      <wp:wrapNone/>
                      <wp:docPr id="12" name="Frame1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3" w:name="Tc_sp5Wczo5PUKalsUbnxBCoA_3_4"/>
      <w:bookmarkStart w:id="14" w:name="Tc_l5u4d6_Ifkq8-2jhowHdQg_2_4"/>
      <w:bookmarkStart w:id="15" w:name="Tc_T1QFFzAW3EmCXv4VbOSVMg_2_2"/>
      <w:bookmarkStart w:id="16" w:name="Tc_2IWITrVtGkalHoKkazNh0Q_2_0"/>
      <w:bookmarkStart w:id="17" w:name="_eedfc14a_7c61_4850_90a5_17ccc4306e98"/>
      <w:bookmarkStart w:id="18" w:name="Tc_sp5Wczo5PUKalsUbnxBCoA_3_4"/>
      <w:bookmarkStart w:id="19" w:name="Tc_l5u4d6_Ifkq8-2jhowHdQg_2_4"/>
      <w:bookmarkStart w:id="20" w:name="Tc_T1QFFzAW3EmCXv4VbOSVMg_2_2"/>
      <w:bookmarkStart w:id="21" w:name="Tc_2IWITrVtGkalHoKkazNh0Q_2_0"/>
      <w:bookmarkStart w:id="22" w:name="_eedfc14a_7c61_4850_90a5_17ccc4306e98"/>
      <w:bookmarkEnd w:id="18"/>
      <w:bookmarkEnd w:id="19"/>
      <w:bookmarkEnd w:id="20"/>
      <w:bookmarkEnd w:id="21"/>
      <w:bookmarkEnd w:id="22"/>
    </w:p>
    <w:tbl>
      <w:tblPr>
        <w:tblW w:w="7044" w:type="dxa"/>
        <w:jc w:val="left"/>
        <w:tblInd w:w="0" w:type="dxa"/>
        <w:tblLayout w:type="fixed"/>
        <w:tblCellMar>
          <w:top w:w="0" w:type="dxa"/>
          <w:left w:w="0" w:type="dxa"/>
          <w:bottom w:w="0" w:type="dxa"/>
          <w:right w:w="0" w:type="dxa"/>
        </w:tblCellMar>
      </w:tblPr>
      <w:tblGrid>
        <w:gridCol w:w="1471"/>
        <w:gridCol w:w="326"/>
        <w:gridCol w:w="1456"/>
        <w:gridCol w:w="326"/>
        <w:gridCol w:w="1434"/>
        <w:gridCol w:w="203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34085" cy="175260"/>
                      <wp:effectExtent l="0" t="0" r="0" b="0"/>
                      <wp:wrapNone/>
                      <wp:docPr id="13" name="Frame13"/>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4" w:type="dxa"/>
            <w:tcBorders/>
            <w:vAlign w:val="center"/>
          </w:tcPr>
          <w:p>
            <w:pPr>
              <w:pStyle w:val="TableContents"/>
              <w:bidi w:val="0"/>
              <w:spacing w:before="0" w:after="0"/>
              <w:ind w:left="0" w:right="0" w:hanging="0"/>
              <w:jc w:val="left"/>
              <w:rPr/>
            </w:pPr>
            <w:r>
              <w:rPr/>
              <w:t>​</w:t>
            </w:r>
          </w:p>
        </w:tc>
        <w:tc>
          <w:tcPr>
            <w:tcW w:w="2031" w:type="dxa"/>
            <w:tcBorders/>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34" w:type="dxa"/>
            <w:tcBorders/>
            <w:vAlign w:val="center"/>
          </w:tcPr>
          <w:p>
            <w:pPr>
              <w:pStyle w:val="TableContents"/>
              <w:bidi w:val="0"/>
              <w:spacing w:before="0" w:after="0"/>
              <w:ind w:left="0" w:right="0" w:hanging="0"/>
              <w:jc w:val="left"/>
              <w:rPr/>
            </w:pPr>
            <w:r>
              <w:rPr/>
              <w:t>​</w:t>
            </w:r>
          </w:p>
        </w:tc>
        <w:tc>
          <w:tcPr>
            <w:tcW w:w="2031" w:type="dxa"/>
            <w:tcBorders/>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vAlign w:val="center"/>
          </w:tcPr>
          <w:p>
            <w:pPr>
              <w:pStyle w:val="TableContents"/>
              <w:bidi w:val="0"/>
              <w:spacing w:before="0" w:after="40"/>
              <w:ind w:left="0" w:right="0" w:hanging="0"/>
              <w:jc w:val="center"/>
              <w:rPr/>
            </w:pPr>
            <w:r>
              <w:rPr/>
              <w:t>    </w:t>
            </w:r>
          </w:p>
        </w:tc>
        <w:tc>
          <w:tcPr>
            <w:tcW w:w="3465" w:type="dxa"/>
            <w:gridSpan w:val="2"/>
            <w:tcBorders/>
            <w:vAlign w:val="center"/>
          </w:tcPr>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471"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34085" cy="467360"/>
                      <wp:effectExtent l="0" t="0" r="0" b="0"/>
                      <wp:wrapNone/>
                      <wp:docPr id="16" name="Frame16"/>
                      <a:graphic xmlns:a="http://schemas.openxmlformats.org/drawingml/2006/main">
                        <a:graphicData uri="http://schemas.microsoft.com/office/word/2010/wordprocessingShape">
                          <wps:wsp>
                            <wps:cNvSpPr txBox="1"/>
                            <wps:spPr>
                              <a:xfrm>
                                <a:off x="0" y="0"/>
                                <a:ext cx="934085" cy="4673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 xml:space="preserve">Depositary Units of Icahn Enterprises L.P. </w:t>
                                    <w:br/>
                                    <w:t>Representing Limited Partner Interests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 xml:space="preserve">Depositary Units of Icahn Enterprises L.P. </w:t>
                              <w:br/>
                              <w:t>Representing Limited Partner Interests</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45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IEP</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4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 </w:t>
                            </w:r>
                          </w:p>
                        </w:txbxContent>
                      </v:textbox>
                      <w10:wrap type="none"/>
                    </v:rect>
                  </w:pict>
                </mc:Fallback>
              </mc:AlternateContent>
            </w:r>
          </w:p>
        </w:tc>
        <w:tc>
          <w:tcPr>
            <w:tcW w:w="3465" w:type="dxa"/>
            <w:gridSpan w:val="2"/>
            <w:tcBorders>
              <w:top w:val="single" w:sz="8" w:space="0" w:color="000000"/>
            </w:tcBorders>
            <w:tcMar>
              <w:top w:w="28" w:type="dxa"/>
            </w:tcMar>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16"/>
              </w:rPr>
              <w:t>Nasdaq</w:t>
            </w:r>
            <w:r>
              <w:rPr>
                <w:rFonts w:ascii="Times New Roman;Times;serif" w:hAnsi="Times New Roman;Times;serif"/>
                <w:sz w:val="20"/>
              </w:rPr>
              <w:t xml:space="preserve"> </w:t>
            </w:r>
            <w:r>
              <w:rPr>
                <w:rFonts w:ascii="Times New Roman;Times;serif" w:hAnsi="Times New Roman;Times;serif"/>
                <w:sz w:val="16"/>
              </w:rPr>
              <w:t>Global Select Market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48"/>
        <w:gridCol w:w="5657"/>
      </w:tblGrid>
      <w:tr>
        <w:trPr/>
        <w:tc>
          <w:tcPr>
            <w:tcW w:w="4548" w:type="dxa"/>
            <w:tcBorders/>
            <w:vAlign w:val="center"/>
          </w:tcPr>
          <w:p>
            <w:pPr>
              <w:pStyle w:val="TableContents"/>
              <w:bidi w:val="0"/>
              <w:spacing w:before="0" w:after="0"/>
              <w:ind w:left="0" w:right="0" w:hanging="0"/>
              <w:jc w:val="left"/>
              <w:rPr/>
            </w:pPr>
            <w:r>
              <w:rPr/>
              <w:t>​</w:t>
            </w:r>
          </w:p>
        </w:tc>
        <w:tc>
          <w:tcPr>
            <w:tcW w:w="5657" w:type="dxa"/>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tc>
      </w:tr>
      <w:tr>
        <w:trPr/>
        <w:tc>
          <w:tcPr>
            <w:tcW w:w="4548" w:type="dxa"/>
            <w:tcBorders/>
            <w:vAlign w:val="center"/>
          </w:tcPr>
          <w:p>
            <w:pPr>
              <w:pStyle w:val="TableContents"/>
              <w:bidi w:val="0"/>
              <w:spacing w:before="0" w:after="240"/>
              <w:ind w:left="0" w:right="0" w:hanging="0"/>
              <w:jc w:val="left"/>
              <w:rPr/>
            </w:pPr>
            <w:r>
              <w:rPr/>
              <w:t>​</w:t>
            </w:r>
          </w:p>
        </w:tc>
        <w:tc>
          <w:tcPr>
            <w:tcW w:w="5657" w:type="dxa"/>
            <w:tcBorders/>
            <w:vAlign w:val="center"/>
          </w:tcPr>
          <w:p>
            <w:pPr>
              <w:pStyle w:val="TableContents"/>
              <w:bidi w:val="0"/>
              <w:spacing w:before="0" w:after="240"/>
              <w:ind w:left="0" w:right="0" w:hanging="0"/>
              <w:jc w:val="left"/>
              <w:rPr/>
            </w:pPr>
            <w:r>
              <w:rPr/>
              <w:t>​</w:t>
            </w:r>
          </w:p>
        </w:tc>
      </w:tr>
      <w:tr>
        <w:trPr/>
        <w:tc>
          <w:tcPr>
            <w:tcW w:w="4548" w:type="dxa"/>
            <w:tcBorders/>
            <w:vAlign w:val="center"/>
          </w:tcPr>
          <w:p>
            <w:pPr>
              <w:pStyle w:val="TableContents"/>
              <w:bidi w:val="0"/>
              <w:spacing w:before="0" w:after="240"/>
              <w:ind w:left="0" w:right="0" w:hanging="0"/>
              <w:jc w:val="left"/>
              <w:rPr/>
            </w:pPr>
            <w:r>
              <w:rPr/>
              <w:t>​</w:t>
            </w:r>
          </w:p>
        </w:tc>
        <w:tc>
          <w:tcPr>
            <w:tcW w:w="56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40"/>
              <w:ind w:left="0" w:right="0" w:hanging="0"/>
              <w:jc w:val="center"/>
              <w:rPr/>
            </w:pPr>
            <w:r>
              <w:rPr/>
              <w:t>​</w:t>
            </w:r>
          </w:p>
        </w:tc>
        <w:tc>
          <w:tcPr>
            <w:tcW w:w="154" w:type="dxa"/>
            <w:tcBorders/>
            <w:vAlign w:val="center"/>
          </w:tcPr>
          <w:p>
            <w:pPr>
              <w:pStyle w:val="TableContents"/>
              <w:bidi w:val="0"/>
              <w:spacing w:before="0" w:after="240"/>
              <w:ind w:left="0" w:right="0" w:hanging="0"/>
              <w:jc w:val="center"/>
              <w:rPr/>
            </w:pPr>
            <w:r>
              <w:rPr/>
              <w:t>​</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Normal"/>
        <w:bidi w:val="0"/>
        <w:spacing w:before="0" w:after="0"/>
        <w:jc w:val="left"/>
        <w:rPr>
          <w:sz w:val="4"/>
          <w:szCs w:val="4"/>
        </w:rPr>
      </w:pPr>
      <w:r>
        <w:rPr>
          <w:sz w:val="4"/>
          <w:szCs w:val="4"/>
        </w:rPr>
      </w:r>
      <w:bookmarkStart w:id="23" w:name="Tc_U5C7PmA0DEOG06rwX7Njsg_2_3"/>
      <w:bookmarkStart w:id="24" w:name="Tc_j-tq1jnz3Ui1xxnDaxmOzA_2_1"/>
      <w:bookmarkStart w:id="25" w:name="Tc_yfOinZ7Yp0m41qZ4sutUdg_2_0"/>
      <w:bookmarkStart w:id="26" w:name="Tc__GHHdmOt50K3cFJMYnAnpg_1_6"/>
      <w:bookmarkStart w:id="27" w:name="Tc_vWc6Y4wpgEKSNjD-i9Dvxg_1_4"/>
      <w:bookmarkStart w:id="28" w:name="Tc_cr8-eQtTRUWWWhd_-IOBqw_1_3"/>
      <w:bookmarkStart w:id="29" w:name="Tc_N6dJXAVzp0WjCvzJV2DcAA_1_1"/>
      <w:bookmarkStart w:id="30" w:name="_97d883bf_e378_41a2_a9f4_b544bd24efa6"/>
      <w:bookmarkStart w:id="31" w:name="Tc_U5C7PmA0DEOG06rwX7Njsg_2_3"/>
      <w:bookmarkStart w:id="32" w:name="Tc_j-tq1jnz3Ui1xxnDaxmOzA_2_1"/>
      <w:bookmarkStart w:id="33" w:name="Tc_yfOinZ7Yp0m41qZ4sutUdg_2_0"/>
      <w:bookmarkStart w:id="34" w:name="Tc__GHHdmOt50K3cFJMYnAnpg_1_6"/>
      <w:bookmarkStart w:id="35" w:name="Tc_vWc6Y4wpgEKSNjD-i9Dvxg_1_4"/>
      <w:bookmarkStart w:id="36" w:name="Tc_cr8-eQtTRUWWWhd_-IOBqw_1_3"/>
      <w:bookmarkStart w:id="37" w:name="Tc_N6dJXAVzp0WjCvzJV2DcAA_1_1"/>
      <w:bookmarkStart w:id="38" w:name="_97d883bf_e378_41a2_a9f4_b544bd24efa6"/>
      <w:bookmarkEnd w:id="31"/>
      <w:bookmarkEnd w:id="32"/>
      <w:bookmarkEnd w:id="33"/>
      <w:bookmarkEnd w:id="34"/>
      <w:bookmarkEnd w:id="35"/>
      <w:bookmarkEnd w:id="36"/>
      <w:bookmarkEnd w:id="37"/>
      <w:bookmarkEnd w:id="38"/>
    </w:p>
    <w:tbl>
      <w:tblPr>
        <w:tblW w:w="8039" w:type="dxa"/>
        <w:jc w:val="left"/>
        <w:tblInd w:w="0" w:type="dxa"/>
        <w:tblLayout w:type="fixed"/>
        <w:tblCellMar>
          <w:top w:w="0" w:type="dxa"/>
          <w:left w:w="0" w:type="dxa"/>
          <w:bottom w:w="0" w:type="dxa"/>
          <w:right w:w="0" w:type="dxa"/>
        </w:tblCellMar>
      </w:tblPr>
      <w:tblGrid>
        <w:gridCol w:w="2011"/>
        <w:gridCol w:w="316"/>
        <w:gridCol w:w="109"/>
        <w:gridCol w:w="2431"/>
        <w:gridCol w:w="316"/>
        <w:gridCol w:w="109"/>
        <w:gridCol w:w="2386"/>
        <w:gridCol w:w="361"/>
      </w:tblGrid>
      <w:tr>
        <w:trPr/>
        <w:tc>
          <w:tcPr>
            <w:tcW w:w="201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3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4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w:t>
            </w:r>
          </w:p>
        </w:tc>
        <w:tc>
          <w:tcPr>
            <w:tcW w:w="316"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120"/>
              <w:ind w:left="0" w:right="0" w:hanging="0"/>
              <w:jc w:val="left"/>
              <w:rPr/>
            </w:pPr>
            <w:r>
              <w:rPr/>
              <w:t>☐</w:t>
            </w:r>
          </w:p>
        </w:tc>
      </w:tr>
      <w:tr>
        <w:trPr/>
        <w:tc>
          <w:tcPr>
            <w:tcW w:w="201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43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Smaller Reporting Company</w:t>
            </w:r>
          </w:p>
        </w:tc>
        <w:tc>
          <w:tcPr>
            <w:tcW w:w="316"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38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Indicate by check mark whether the registrant is a shell company (as defined in Rule 12b-2 of the Exchange Act). Yes ☐ No ⌧ </w:t>
      </w:r>
    </w:p>
    <w:p>
      <w:pPr>
        <w:pStyle w:val="TextBody"/>
        <w:bidi w:val="0"/>
        <w:spacing w:before="0" w:after="240"/>
        <w:ind w:left="0" w:right="0" w:hanging="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As of August 4, 2025, there were 573,419,882 of Icahn Enterprises’ depositary units outstanding.</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39" w:name="_29bbae6e_0906_495a_b59c_538c0a908ae0"/>
      <w:bookmarkEnd w:id="39"/>
      <w:r>
        <w:rPr>
          <w:rFonts w:ascii="Times New Roman;Times;serif" w:hAnsi="Times New Roman;Times;serif"/>
          <w:b/>
          <w:sz w:val="20"/>
        </w:rPr>
        <w:t>ICAHN ENTERPRISES L.P.</w:t>
      </w:r>
    </w:p>
    <w:p>
      <w:pPr>
        <w:pStyle w:val="TextBody"/>
        <w:bidi w:val="0"/>
        <w:spacing w:before="0" w:after="240"/>
        <w:ind w:left="0" w:right="0" w:hanging="0"/>
        <w:jc w:val="center"/>
        <w:rPr>
          <w:rFonts w:ascii="Times New Roman;Times;serif" w:hAnsi="Times New Roman;Times;serif"/>
          <w:b/>
          <w:sz w:val="20"/>
        </w:rPr>
      </w:pPr>
      <w:bookmarkStart w:id="40" w:name="TOC"/>
      <w:bookmarkEnd w:id="40"/>
      <w:r>
        <w:rPr>
          <w:rFonts w:ascii="Times New Roman;Times;serif" w:hAnsi="Times New Roman;Times;serif"/>
          <w:b/>
          <w:sz w:val="20"/>
        </w:rPr>
        <w:t>TABLE OF CONTENTS</w:t>
      </w:r>
    </w:p>
    <w:tbl>
      <w:tblPr>
        <w:tblW w:w="8988" w:type="dxa"/>
        <w:jc w:val="left"/>
        <w:tblInd w:w="0" w:type="dxa"/>
        <w:tblLayout w:type="fixed"/>
        <w:tblCellMar>
          <w:top w:w="0" w:type="dxa"/>
          <w:left w:w="0" w:type="dxa"/>
          <w:bottom w:w="0" w:type="dxa"/>
          <w:right w:w="0" w:type="dxa"/>
        </w:tblCellMar>
      </w:tblPr>
      <w:tblGrid>
        <w:gridCol w:w="811"/>
        <w:gridCol w:w="7366"/>
        <w:gridCol w:w="811"/>
      </w:tblGrid>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Page No</w:t>
            </w:r>
            <w:r>
              <w:rPr>
                <w:rFonts w:ascii="Times New Roman;Times;serif" w:hAnsi="Times New Roman;Times;serif"/>
                <w:sz w:val="16"/>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ForwardLookingStatements">
              <w:r>
                <w:rPr>
                  <w:rStyle w:val="InternetLink"/>
                  <w:rFonts w:ascii="Times New Roman;Times;serif" w:hAnsi="Times New Roman;Times;serif"/>
                  <w:b w:val="false"/>
                  <w:i w:val="false"/>
                  <w:caps w:val="false"/>
                  <w:smallCaps w:val="false"/>
                  <w:sz w:val="20"/>
                </w:rPr>
                <w:t>Forward-Looking Statements</w:t>
              </w:r>
            </w:hyperlink>
          </w:p>
        </w:tc>
        <w:tc>
          <w:tcPr>
            <w:tcW w:w="81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 FINANCIAL INFORMATION</w:t>
            </w:r>
          </w:p>
        </w:tc>
        <w:tc>
          <w:tcPr>
            <w:tcW w:w="81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_797771">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_797771">
              <w:r>
                <w:rPr>
                  <w:rStyle w:val="InternetLink"/>
                  <w:rFonts w:ascii="Times New Roman;Times;serif" w:hAnsi="Times New Roman;Times;serif"/>
                  <w:b w:val="false"/>
                  <w:i w:val="false"/>
                  <w:caps w:val="false"/>
                  <w:smallCaps w:val="false"/>
                  <w:sz w:val="20"/>
                </w:rPr>
                <w:t>Financial Statements (Unaudited)</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bidi w:val="0"/>
              <w:spacing w:before="0" w:after="0"/>
              <w:ind w:left="0" w:right="0" w:hanging="0"/>
              <w:jc w:val="left"/>
              <w:rPr/>
            </w:pPr>
            <w:hyperlink w:anchor="Item4ControlsandProcedures_867240">
              <w:r>
                <w:rPr>
                  <w:rStyle w:val="InternetLink"/>
                  <w:rFonts w:ascii="Times New Roman;Times;serif" w:hAnsi="Times New Roman;Times;serif"/>
                  <w:b w:val="false"/>
                  <w:i w:val="false"/>
                  <w:caps w:val="false"/>
                  <w:smallCaps w:val="false"/>
                  <w:sz w:val="20"/>
                </w:rPr>
                <w:t>Item 4</w:t>
              </w:r>
            </w:hyperlink>
            <w:r>
              <w:rPr>
                <w:rFonts w:ascii="Times New Roman;Times;serif" w:hAnsi="Times New Roman;Times;serif"/>
                <w:sz w:val="20"/>
              </w:rPr>
              <w:t>.</w:t>
            </w:r>
          </w:p>
        </w:tc>
        <w:tc>
          <w:tcPr>
            <w:tcW w:w="7366" w:type="dxa"/>
            <w:tcBorders/>
            <w:vAlign w:val="center"/>
          </w:tcPr>
          <w:p>
            <w:pPr>
              <w:pStyle w:val="TableContents"/>
              <w:bidi w:val="0"/>
              <w:spacing w:before="0" w:after="0"/>
              <w:ind w:left="0" w:right="0" w:hanging="0"/>
              <w:jc w:val="left"/>
              <w:rPr/>
            </w:pPr>
            <w:hyperlink w:anchor="Item4ControlsandProcedures_867240">
              <w:r>
                <w:rPr>
                  <w:rStyle w:val="InternetLink"/>
                  <w:rFonts w:ascii="Times New Roman;Times;serif" w:hAnsi="Times New Roman;Times;serif"/>
                  <w:b w:val="false"/>
                  <w:i w:val="false"/>
                  <w:caps w:val="false"/>
                  <w:smallCaps w:val="false"/>
                  <w:sz w:val="20"/>
                </w:rPr>
                <w:t>Controls and Procedures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 OTHER INFORMATION</w:t>
            </w:r>
          </w:p>
        </w:tc>
        <w:tc>
          <w:tcPr>
            <w:tcW w:w="81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984640">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984640">
              <w:r>
                <w:rPr>
                  <w:rStyle w:val="InternetLink"/>
                  <w:rFonts w:ascii="Times New Roman;Times;serif" w:hAnsi="Times New Roman;Times;serif"/>
                  <w:b w:val="false"/>
                  <w:i w:val="false"/>
                  <w:caps w:val="false"/>
                  <w:smallCaps w:val="false"/>
                  <w:sz w:val="20"/>
                </w:rPr>
                <w:t>Legal Proceedings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r>
      <w:tr>
        <w:trPr/>
        <w:tc>
          <w:tcPr>
            <w:tcW w:w="811" w:type="dxa"/>
            <w:tcBorders/>
            <w:vAlign w:val="center"/>
          </w:tcPr>
          <w:p>
            <w:pPr>
              <w:pStyle w:val="TableContents"/>
              <w:bidi w:val="0"/>
              <w:spacing w:before="0" w:after="0"/>
              <w:ind w:left="0" w:right="0" w:hanging="0"/>
              <w:jc w:val="left"/>
              <w:rPr/>
            </w:pPr>
            <w:hyperlink w:anchor="Item1ARiskFactors_993647">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993647">
              <w:r>
                <w:rPr>
                  <w:rStyle w:val="InternetLink"/>
                  <w:rFonts w:ascii="Times New Roman;Times;serif" w:hAnsi="Times New Roman;Times;serif"/>
                  <w:b w:val="false"/>
                  <w:i w:val="false"/>
                  <w:caps w:val="false"/>
                  <w:smallCaps w:val="false"/>
                  <w:sz w:val="20"/>
                </w:rPr>
                <w:t>Risk Factors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r>
      <w:tr>
        <w:trPr/>
        <w:tc>
          <w:tcPr>
            <w:tcW w:w="811" w:type="dxa"/>
            <w:tcBorders/>
            <w:vAlign w:val="center"/>
          </w:tcPr>
          <w:p>
            <w:pPr>
              <w:pStyle w:val="TableContents"/>
              <w:bidi w:val="0"/>
              <w:spacing w:before="0" w:after="0"/>
              <w:ind w:left="0" w:right="0" w:hanging="0"/>
              <w:jc w:val="left"/>
              <w:rPr/>
            </w:pPr>
            <w:hyperlink w:anchor="Item2UnregisteredSales_554313">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_554313">
              <w:r>
                <w:rPr>
                  <w:rStyle w:val="InternetLink"/>
                  <w:rFonts w:ascii="Times New Roman;Times;serif" w:hAnsi="Times New Roman;Times;serif"/>
                  <w:b w:val="false"/>
                  <w:i w:val="false"/>
                  <w:caps w:val="false"/>
                  <w:smallCaps w:val="false"/>
                  <w:sz w:val="20"/>
                </w:rPr>
                <w:t>Unregistered Sales of Equity Securities and Use or Proceeds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811"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811" w:type="dxa"/>
            <w:tcBorders/>
            <w:vAlign w:val="center"/>
          </w:tcPr>
          <w:p>
            <w:pPr>
              <w:pStyle w:val="TableContents"/>
              <w:bidi w:val="0"/>
              <w:spacing w:before="0" w:after="0"/>
              <w:ind w:left="0" w:right="0" w:hanging="0"/>
              <w:jc w:val="left"/>
              <w:rPr/>
            </w:pPr>
            <w:hyperlink w:anchor="Item6Exhibits_832790">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832790">
              <w:r>
                <w:rPr>
                  <w:rStyle w:val="InternetLink"/>
                  <w:rFonts w:ascii="Times New Roman;Times;serif" w:hAnsi="Times New Roman;Times;serif"/>
                  <w:b w:val="false"/>
                  <w:i w:val="false"/>
                  <w:caps w:val="false"/>
                  <w:smallCaps w:val="false"/>
                  <w:sz w:val="20"/>
                </w:rPr>
                <w:t>Exhibits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ForwardLookingStatements"/>
      <w:bookmarkStart w:id="42" w:name="_f113a252_e6c3_4739_a6d2_def491907f2b"/>
      <w:bookmarkEnd w:id="41"/>
      <w:bookmarkEnd w:id="42"/>
      <w:r>
        <w:rPr>
          <w:rFonts w:ascii="Times New Roman;Times;serif" w:hAnsi="Times New Roman;Times;serif"/>
          <w:b/>
          <w:sz w:val="20"/>
        </w:rPr>
        <w:t>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Report contains certain statements that are, or may be deemed to be, “forward-looking statements” within the meaning of Section 27A of the Securities Act of 1933, as amended, and Section 21E of the Securities Exchange Act of 1934, as amended (the “Exchange Act”), or by the Private Securities Litigation Reform Act.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market conditions,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the impacts from the Russia/Ukraine conflict and ongoing conflict in the Middle East, including economic volatility and the impacts of export controls and other economic sanctions; risks related to our investment activities, including the nature of the investments made by the private funds in which we invest, including the impact of the use of leverage through options, short sales, swaps, forwards and other derivative instruments; risk related to our ability to comply with the covenants in our senior notes and the risk of foreclosure on the assets securing our notes; declines in the fair value of our investments, losses in the private funds and loss of key employees; risks related to our ability to continue to conduct our activities in a manner so as to not be deemed an investment company under the Investment Company Act of 1940, as amended, or be taxed as a corporation; risks relating to short sellers and associated litigation and regulatory inquires; risks related to our general partner and controlling unitholder; pledges of our units by our controlling unitholder; risks related to our energy business, including the volatility and availability of crude oil, other feed stocks and refined products, declines in global demand for crude oil, refined products and liquid transportation fuels, unfavorable refining margin (crack spread), interrupted access to pipelines, significant fluctuations in nitrogen fertilizer demand in the agricultural industry and seasonality of results; v</w:t>
      </w:r>
      <w:r>
        <w:rPr>
          <w:rFonts w:ascii="Times New Roman;Times;serif" w:hAnsi="Times New Roman;Times;serif"/>
          <w:sz w:val="20"/>
          <w:shd w:fill="FFFFFF" w:val="clear"/>
        </w:rPr>
        <w:t>olatile commodity pricing and higher industry utilization and oversupply</w:t>
      </w:r>
      <w:r>
        <w:rPr>
          <w:rFonts w:ascii="Times New Roman;Times;serif" w:hAnsi="Times New Roman;Times;serif"/>
          <w:sz w:val="20"/>
        </w:rPr>
        <w:t xml:space="preserve"> risks relating to potential strategic transactions involving our Energy segment, and the impact of tariffs; risks related to our automotive activities and exposure to adverse conditions in the automotive industry, including as a result of the Chapter 11 filing of our automotive parts subsidiary; risks related to our 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interest rate increases; labor shortages and workforce availability; risks related to our real estate activities, including the extent of any tenant bankruptcies and insolvencies; and risks related to our home fashion operations, including changes in the availability and price of raw materials, manufacturing disruptions, and changes in transportation costs and delivery times; and political and regulatory uncertainty, including changing economic policy and the imposition of tariffs. These risks and uncertainties also include the risks and uncertainties described in our Annual Report on Form 10-K for the year ended December 31, 2024. Additionally, there may be other factors not presently known to us or which we currently consider to be immaterial that may cause our actual results to differ materially from the forward-looking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_82b47b12_e019_404c_b1a3_e8d0350a86bd"/>
      <w:bookmarkEnd w:id="43"/>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44" w:name="Item1FinancialStatements_797771"/>
      <w:bookmarkEnd w:id="44"/>
      <w:r>
        <w:rPr>
          <w:rFonts w:ascii="Times New Roman;Times;serif" w:hAnsi="Times New Roman;Times;serif"/>
          <w:b/>
          <w:sz w:val="20"/>
        </w:rPr>
        <w:t>Item 1.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 (UNAUDITED)</w:t>
      </w:r>
    </w:p>
    <w:p>
      <w:pPr>
        <w:pStyle w:val="Normal"/>
        <w:bidi w:val="0"/>
        <w:spacing w:before="0" w:after="0"/>
        <w:jc w:val="left"/>
        <w:rPr>
          <w:sz w:val="4"/>
          <w:szCs w:val="4"/>
        </w:rPr>
      </w:pPr>
      <w:r>
        <w:rPr>
          <w:sz w:val="4"/>
          <w:szCs w:val="4"/>
        </w:rPr>
      </w:r>
      <w:bookmarkStart w:id="45" w:name="Tc_Q5g4mzRBUEqjy2iWdCWdcg_37_5"/>
      <w:bookmarkStart w:id="46" w:name="Tc_4ryOLA0euEqXh9Pv36Sprg_37_2"/>
      <w:bookmarkStart w:id="47" w:name="Tc_2nIAx_6YlEiPTs_OZQC7kg_37_0"/>
      <w:bookmarkStart w:id="48" w:name="Tc_56BHwrFHfE2PKcxy7L8Egw_36_0"/>
      <w:bookmarkStart w:id="49" w:name="Tc_yWEtFF29XEWlcSzxxTO75A_35_0"/>
      <w:bookmarkStart w:id="50" w:name="Tc_Jm-gzFeFM0i-vj180z1BbA_34_0"/>
      <w:bookmarkStart w:id="51" w:name="Tc_N2-TgkmxYUWsLPHwkOGRxQ_33_0"/>
      <w:bookmarkStart w:id="52" w:name="Tc_q2UUio1Qdk6-kujSwoWsYg_32_0"/>
      <w:bookmarkStart w:id="53" w:name="Tc_Fszyz4f2MkK5cKulS3ypNA_31_0"/>
      <w:bookmarkStart w:id="54" w:name="Tc_sxNjgL9MeEaHePoGE66wvA_29_0"/>
      <w:bookmarkStart w:id="55" w:name="Tc_iXpxo58XAkyMH2lfj-EISg_27_0"/>
      <w:bookmarkStart w:id="56" w:name="Tc_ugoNQnC8dESeAMRXcPHimQ_26_0"/>
      <w:bookmarkStart w:id="57" w:name="Tc_FoADHg60mkWyZ_qNDuGqcQ_25_0"/>
      <w:bookmarkStart w:id="58" w:name="Tc_WJp_pFmztkihsernwhA0TA_24_0"/>
      <w:bookmarkStart w:id="59" w:name="Tc_p2EWuBfpw0ijEWziKG7IRg_23_0"/>
      <w:bookmarkStart w:id="60" w:name="Tc_Z4e8k1kmCESPXG6eJw7cJg_22_0"/>
      <w:bookmarkStart w:id="61" w:name="Tc_6XJMXQKRdEGg3sOdD8U2QQ_21_0"/>
      <w:bookmarkStart w:id="62" w:name="Tc_en8wP_7N-ES3qqgp3czZvw_20_5"/>
      <w:bookmarkStart w:id="63" w:name="Tc_OsNQP4QuOk6eCrGIpeSeeQ_20_2"/>
      <w:bookmarkStart w:id="64" w:name="Tc_N1bha7A4YUCSehqlIE3esA_20_0"/>
      <w:bookmarkStart w:id="65" w:name="Tc_wPwr12T7YUq32XygJLL5NQ_19_0"/>
      <w:bookmarkStart w:id="66" w:name="Tc_-kbTr5PsEUGMDhsSrZxyQg_18_5"/>
      <w:bookmarkStart w:id="67" w:name="Tc_3FI8sWwywEGqZtKCjlsiUQ_18_2"/>
      <w:bookmarkStart w:id="68" w:name="Tc_db1AtRjRM0-l9Jm4AK3DUw_18_0"/>
      <w:bookmarkStart w:id="69" w:name="Tc_7WshWbZJkUSEjXJYqSR44g_17_0"/>
      <w:bookmarkStart w:id="70" w:name="Tc__wnhx-Db4E27ZF74_sMhGQ_16_0"/>
      <w:bookmarkStart w:id="71" w:name="Tc__fKBBQYAbUGdsUQ-nmaDrA_15_0"/>
      <w:bookmarkStart w:id="72" w:name="Tc_gmREeDoPWUK75Ph1ivmHkg_14_0"/>
      <w:bookmarkStart w:id="73" w:name="Tc__QRbRKcTpEu72_V7WhH5jQ_13_0"/>
      <w:bookmarkStart w:id="74" w:name="Tc_f-oxX6Qd7kahv0Dmc-GqCQ_12_0"/>
      <w:bookmarkStart w:id="75" w:name="Tc_g0sHIkwQ1UCWvoKcRnsZMQ_11_0"/>
      <w:bookmarkStart w:id="76" w:name="Tc_e6p_dWyN1ESKnXWvz1H7qA_10_0"/>
      <w:bookmarkStart w:id="77" w:name="Tc_fAlvQTCsvkCZJXzEhy7Ruw_9_0"/>
      <w:bookmarkStart w:id="78" w:name="Tc_X3ORFu3C2Ua7vkmZs9YhgA_8_0"/>
      <w:bookmarkStart w:id="79" w:name="Tc_GBbWa7roXk2Y-9S0zbWDgA_7_0"/>
      <w:bookmarkStart w:id="80" w:name="Tc_Gq6ipS8Nv02y9uh4Cckm1g_6_0"/>
      <w:bookmarkStart w:id="81" w:name="Tc_iAXe17DW8kKkjWDFz29VWA_5_5"/>
      <w:bookmarkStart w:id="82" w:name="Tc_LBigBQt3UEmP7V2FELp1iQ_5_2"/>
      <w:bookmarkStart w:id="83" w:name="Tc_5Ba15oOlfkCw7nsniHFe0w_5_0"/>
      <w:bookmarkStart w:id="84" w:name="Tc_WkDC2-1vd0OU0SrBDBxSaw_4_0"/>
      <w:bookmarkStart w:id="85" w:name="Tc_xh31NNBDsUCBTpOvekLrXA_3_2"/>
      <w:bookmarkStart w:id="86" w:name="Tc_4cB3oQJxBEyBm3JwRAEpdA_2_5"/>
      <w:bookmarkStart w:id="87" w:name="Tc_LlJSf3cop0aX4_IHtUDeew_2_2"/>
      <w:bookmarkStart w:id="88" w:name="Tc_74MRGLk4aEmKc0youfq-jw_1_5"/>
      <w:bookmarkStart w:id="89" w:name="Tc_u1iRmjEcJEq3kACmTZ06kA_1_2"/>
      <w:bookmarkStart w:id="90" w:name="_5304f00a_f237_4e51_8202_dbd8aad3f3d1"/>
      <w:bookmarkStart w:id="91" w:name="Tc_Q5g4mzRBUEqjy2iWdCWdcg_37_5"/>
      <w:bookmarkStart w:id="92" w:name="Tc_4ryOLA0euEqXh9Pv36Sprg_37_2"/>
      <w:bookmarkStart w:id="93" w:name="Tc_2nIAx_6YlEiPTs_OZQC7kg_37_0"/>
      <w:bookmarkStart w:id="94" w:name="Tc_56BHwrFHfE2PKcxy7L8Egw_36_0"/>
      <w:bookmarkStart w:id="95" w:name="Tc_yWEtFF29XEWlcSzxxTO75A_35_0"/>
      <w:bookmarkStart w:id="96" w:name="Tc_Jm-gzFeFM0i-vj180z1BbA_34_0"/>
      <w:bookmarkStart w:id="97" w:name="Tc_N2-TgkmxYUWsLPHwkOGRxQ_33_0"/>
      <w:bookmarkStart w:id="98" w:name="Tc_q2UUio1Qdk6-kujSwoWsYg_32_0"/>
      <w:bookmarkStart w:id="99" w:name="Tc_Fszyz4f2MkK5cKulS3ypNA_31_0"/>
      <w:bookmarkStart w:id="100" w:name="Tc_sxNjgL9MeEaHePoGE66wvA_29_0"/>
      <w:bookmarkStart w:id="101" w:name="Tc_iXpxo58XAkyMH2lfj-EISg_27_0"/>
      <w:bookmarkStart w:id="102" w:name="Tc_ugoNQnC8dESeAMRXcPHimQ_26_0"/>
      <w:bookmarkStart w:id="103" w:name="Tc_FoADHg60mkWyZ_qNDuGqcQ_25_0"/>
      <w:bookmarkStart w:id="104" w:name="Tc_WJp_pFmztkihsernwhA0TA_24_0"/>
      <w:bookmarkStart w:id="105" w:name="Tc_p2EWuBfpw0ijEWziKG7IRg_23_0"/>
      <w:bookmarkStart w:id="106" w:name="Tc_Z4e8k1kmCESPXG6eJw7cJg_22_0"/>
      <w:bookmarkStart w:id="107" w:name="Tc_6XJMXQKRdEGg3sOdD8U2QQ_21_0"/>
      <w:bookmarkStart w:id="108" w:name="Tc_en8wP_7N-ES3qqgp3czZvw_20_5"/>
      <w:bookmarkStart w:id="109" w:name="Tc_OsNQP4QuOk6eCrGIpeSeeQ_20_2"/>
      <w:bookmarkStart w:id="110" w:name="Tc_N1bha7A4YUCSehqlIE3esA_20_0"/>
      <w:bookmarkStart w:id="111" w:name="Tc_wPwr12T7YUq32XygJLL5NQ_19_0"/>
      <w:bookmarkStart w:id="112" w:name="Tc_-kbTr5PsEUGMDhsSrZxyQg_18_5"/>
      <w:bookmarkStart w:id="113" w:name="Tc_3FI8sWwywEGqZtKCjlsiUQ_18_2"/>
      <w:bookmarkStart w:id="114" w:name="Tc_db1AtRjRM0-l9Jm4AK3DUw_18_0"/>
      <w:bookmarkStart w:id="115" w:name="Tc_7WshWbZJkUSEjXJYqSR44g_17_0"/>
      <w:bookmarkStart w:id="116" w:name="Tc__wnhx-Db4E27ZF74_sMhGQ_16_0"/>
      <w:bookmarkStart w:id="117" w:name="Tc__fKBBQYAbUGdsUQ-nmaDrA_15_0"/>
      <w:bookmarkStart w:id="118" w:name="Tc_gmREeDoPWUK75Ph1ivmHkg_14_0"/>
      <w:bookmarkStart w:id="119" w:name="Tc__QRbRKcTpEu72_V7WhH5jQ_13_0"/>
      <w:bookmarkStart w:id="120" w:name="Tc_f-oxX6Qd7kahv0Dmc-GqCQ_12_0"/>
      <w:bookmarkStart w:id="121" w:name="Tc_g0sHIkwQ1UCWvoKcRnsZMQ_11_0"/>
      <w:bookmarkStart w:id="122" w:name="Tc_e6p_dWyN1ESKnXWvz1H7qA_10_0"/>
      <w:bookmarkStart w:id="123" w:name="Tc_fAlvQTCsvkCZJXzEhy7Ruw_9_0"/>
      <w:bookmarkStart w:id="124" w:name="Tc_X3ORFu3C2Ua7vkmZs9YhgA_8_0"/>
      <w:bookmarkStart w:id="125" w:name="Tc_GBbWa7roXk2Y-9S0zbWDgA_7_0"/>
      <w:bookmarkStart w:id="126" w:name="Tc_Gq6ipS8Nv02y9uh4Cckm1g_6_0"/>
      <w:bookmarkStart w:id="127" w:name="Tc_iAXe17DW8kKkjWDFz29VWA_5_5"/>
      <w:bookmarkStart w:id="128" w:name="Tc_LBigBQt3UEmP7V2FELp1iQ_5_2"/>
      <w:bookmarkStart w:id="129" w:name="Tc_5Ba15oOlfkCw7nsniHFe0w_5_0"/>
      <w:bookmarkStart w:id="130" w:name="Tc_WkDC2-1vd0OU0SrBDBxSaw_4_0"/>
      <w:bookmarkStart w:id="131" w:name="Tc_xh31NNBDsUCBTpOvekLrXA_3_2"/>
      <w:bookmarkStart w:id="132" w:name="Tc_4cB3oQJxBEyBm3JwRAEpdA_2_5"/>
      <w:bookmarkStart w:id="133" w:name="Tc_LlJSf3cop0aX4_IHtUDeew_2_2"/>
      <w:bookmarkStart w:id="134" w:name="Tc_74MRGLk4aEmKc0youfq-jw_1_5"/>
      <w:bookmarkStart w:id="135" w:name="Tc_u1iRmjEcJEq3kACmTZ06kA_1_2"/>
      <w:bookmarkStart w:id="136" w:name="_5304f00a_f237_4e51_8202_dbd8aad3f3d1"/>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tbl>
      <w:tblPr>
        <w:tblW w:w="10205" w:type="dxa"/>
        <w:jc w:val="left"/>
        <w:tblInd w:w="0" w:type="dxa"/>
        <w:tblLayout w:type="fixed"/>
        <w:tblCellMar>
          <w:top w:w="0" w:type="dxa"/>
          <w:left w:w="0" w:type="dxa"/>
          <w:bottom w:w="0" w:type="dxa"/>
          <w:right w:w="0" w:type="dxa"/>
        </w:tblCellMar>
      </w:tblPr>
      <w:tblGrid>
        <w:gridCol w:w="7361"/>
        <w:gridCol w:w="326"/>
        <w:gridCol w:w="211"/>
        <w:gridCol w:w="676"/>
        <w:gridCol w:w="326"/>
        <w:gridCol w:w="277"/>
        <w:gridCol w:w="1028"/>
      </w:tblGrid>
      <w:tr>
        <w:trPr/>
        <w:tc>
          <w:tcPr>
            <w:tcW w:w="7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674235" cy="175260"/>
                      <wp:effectExtent l="0" t="0" r="0" b="0"/>
                      <wp:wrapNone/>
                      <wp:docPr id="19" name="Frame19"/>
                      <a:graphic xmlns:a="http://schemas.openxmlformats.org/drawingml/2006/main">
                        <a:graphicData uri="http://schemas.microsoft.com/office/word/2010/wordprocessingShape">
                          <wps:wsp>
                            <wps:cNvSpPr txBox="1"/>
                            <wps:spPr>
                              <a:xfrm>
                                <a:off x="0" y="0"/>
                                <a:ext cx="4674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29260" cy="175260"/>
                      <wp:effectExtent l="0" t="0" r="0" b="0"/>
                      <wp:wrapNone/>
                      <wp:docPr id="22" name="Frame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75895" cy="175260"/>
                      <wp:effectExtent l="0" t="0" r="0" b="0"/>
                      <wp:wrapNone/>
                      <wp:docPr id="24" name="Frame24"/>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52780" cy="175260"/>
                      <wp:effectExtent l="0" t="0" r="0" b="0"/>
                      <wp:wrapNone/>
                      <wp:docPr id="25" name="Frame25"/>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1"/>
              <w:ind w:left="0" w:right="0" w:hanging="0"/>
              <w:jc w:val="left"/>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7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3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18"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 except unit amounts)</w:t>
            </w:r>
          </w:p>
        </w:tc>
      </w:tr>
      <w:tr>
        <w:trPr/>
        <w:tc>
          <w:tcPr>
            <w:tcW w:w="736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center"/>
              <w:rPr/>
            </w:pPr>
            <w:r>
              <w:rPr/>
              <w:t>​</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1,804</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2,603</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held at consolidated affiliated partnerships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2,672</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2,636</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1,972</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2,310</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from brokers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1,261</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1,624</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3,786</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3,843</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assets,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1,136</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14,839</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16,279</w:t>
            </w:r>
          </w:p>
        </w:tc>
      </w:tr>
      <w:tr>
        <w:trPr/>
        <w:tc>
          <w:tcPr>
            <w:tcW w:w="736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  </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1,698</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1,547</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liabilities,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1,062</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756</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sold, not yet purchased, at fair value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1,373</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to brokers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6,713</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6,809</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11,416</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11,658</w:t>
            </w:r>
          </w:p>
        </w:tc>
      </w:tr>
      <w:tr>
        <w:trPr/>
        <w:tc>
          <w:tcPr>
            <w:tcW w:w="73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left"/>
              <w:rPr/>
            </w:pPr>
            <w:r>
              <w:rPr/>
              <w:t>​</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16)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  </w:t>
            </w:r>
          </w:p>
        </w:tc>
      </w:tr>
      <w:tr>
        <w:trPr/>
        <w:tc>
          <w:tcPr>
            <w:tcW w:w="73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left"/>
              <w:rPr/>
            </w:pPr>
            <w:r>
              <w:rPr/>
              <w:t>​</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Equity: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  </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Limited partners: Depositary units: 573,249,407 units issued and outstanding at June 30, 2025 and 522,736,315 units issued and outstanding at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2,533</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3,241</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attributable to Icahn Enterprises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1,743</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2,466</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attributable to non-controlling interests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1,680</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2,155</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3,423</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4,621</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14,839</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16,279</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137" w:name="_badd5ab3_c973_48d8_8923_7cdd09a1dd6f"/>
      <w:bookmarkEnd w:id="137"/>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(UNAUDITED)</w:t>
      </w:r>
    </w:p>
    <w:p>
      <w:pPr>
        <w:pStyle w:val="Normal"/>
        <w:bidi w:val="0"/>
        <w:spacing w:before="0" w:after="0"/>
        <w:jc w:val="left"/>
        <w:rPr>
          <w:sz w:val="4"/>
          <w:szCs w:val="4"/>
        </w:rPr>
      </w:pPr>
      <w:r>
        <w:rPr>
          <w:sz w:val="4"/>
          <w:szCs w:val="4"/>
        </w:rPr>
      </w:r>
      <w:bookmarkStart w:id="138" w:name="Tc__qPpYo5C5E66C8c3kZNEhg_34_10"/>
      <w:bookmarkStart w:id="139" w:name="Tc_6XS9xvYHy0qYEpRpHdMqLQ_34_7"/>
      <w:bookmarkStart w:id="140" w:name="Tc_34HAFwq9G0eEw65fajS28Q_34_4"/>
      <w:bookmarkStart w:id="141" w:name="Tc_2gZDm3FPEUeTNr4_6h7lZA_34_1"/>
      <w:bookmarkStart w:id="142" w:name="Tc_B7OVzzbB9kiCaX7osigj8g_34_0"/>
      <w:bookmarkStart w:id="143" w:name="Tc_BGOKKCQzY0WSfvI10Q2iwQ_33_0"/>
      <w:bookmarkStart w:id="144" w:name="Tc_Y5M341EIuki3-bKSsSrAgQ_32_10"/>
      <w:bookmarkStart w:id="145" w:name="Tc_aOtmZ4VpnUS4Bh8XK9J4cA_32_7"/>
      <w:bookmarkStart w:id="146" w:name="Tc_im0oe1FOb0uPKxUa1f2QsQ_32_4"/>
      <w:bookmarkStart w:id="147" w:name="Tc_BbZ2f7vxpU639yqscyOSfA_32_1"/>
      <w:bookmarkStart w:id="148" w:name="Tc_zOgAZSEONEGZWc0zMQvu2A_32_0"/>
      <w:bookmarkStart w:id="149" w:name="Tc_1AuIx8QfUUmGe8hFHJUOdA_30_10"/>
      <w:bookmarkStart w:id="150" w:name="Tc_jFz60Y4aMk6dTm9hCrshTA_30_7"/>
      <w:bookmarkStart w:id="151" w:name="Tc_G1_mFMTVNk2cEppfEIKh4w_30_4"/>
      <w:bookmarkStart w:id="152" w:name="Tc_8Uw0SKVCnEWYrECr7QTqvA_30_1"/>
      <w:bookmarkStart w:id="153" w:name="Tc_FFfsQez5ukudt6MPyLDXxg_29_0"/>
      <w:bookmarkStart w:id="154" w:name="Tc_fgILiA8g0Um6Yt_SatDW0w_28_10"/>
      <w:bookmarkStart w:id="155" w:name="Tc_qwCfNMAbSUSZ68QGYlm4bA_28_7"/>
      <w:bookmarkStart w:id="156" w:name="Tc_43Jq7Cbsr0aa8IJJMGzU2w_28_4"/>
      <w:bookmarkStart w:id="157" w:name="Tc_0B1ndxGVz0asr29dTPH5Bw_28_1"/>
      <w:bookmarkStart w:id="158" w:name="Tc_TEPRsPbcO02L_CHvf2HrHQ_28_0"/>
      <w:bookmarkStart w:id="159" w:name="Tc_CMQWXZGP20K7VkEvWfk3aQ_27_0"/>
      <w:bookmarkStart w:id="160" w:name="Tc_LSfOTpZWrkek8a6w-kasqg_25_10"/>
      <w:bookmarkStart w:id="161" w:name="Tc_OLdMXiok1UOOKIpvteuWYQ_25_7"/>
      <w:bookmarkStart w:id="162" w:name="Tc_MO-hUWtpuEuIulYTiZzfwg_25_4"/>
      <w:bookmarkStart w:id="163" w:name="Tc_YTanZyWa4E2MyGUM2rdZYA_25_1"/>
      <w:bookmarkStart w:id="164" w:name="Tc_P6Ls_wued061hfEbpEkh7Q_25_0"/>
      <w:bookmarkStart w:id="165" w:name="Tc_6tNTu6jStUOROVDjvuUW2g_24_0"/>
      <w:bookmarkStart w:id="166" w:name="Tc_mI91XQr9EkWr0noEQY5Fyw_23_0"/>
      <w:bookmarkStart w:id="167" w:name="Tc_O1EqlQRfrEKf-P770Qe63g_22_0"/>
      <w:bookmarkStart w:id="168" w:name="Tc_zjqGo3PbQUiz955XU20UMg_21_0"/>
      <w:bookmarkStart w:id="169" w:name="Tc_mhFPXF7j60SE7CcT4DkBOQ_19_0"/>
      <w:bookmarkStart w:id="170" w:name="Tc_tG9mq42XsUiYkorJqRnWXg_18_0"/>
      <w:bookmarkStart w:id="171" w:name="Tc_7yHZD15S8EOSGia304Wg2g_17_11"/>
      <w:bookmarkStart w:id="172" w:name="Tc_Iah7cg13skGx6WXfO1pcJg_17_5"/>
      <w:bookmarkStart w:id="173" w:name="Tc_hssVO3V5O0qvydS9TEfBsw_17_0"/>
      <w:bookmarkStart w:id="174" w:name="Tc_lT5ZQ6hYXkWal7rgvB27lQ_16_0"/>
      <w:bookmarkStart w:id="175" w:name="Tc_55RMBPaDm0qs0XPH0PCc6g_15_0"/>
      <w:bookmarkStart w:id="176" w:name="Tc_gmub44anSkCI-_OeyHH4kA_14_0"/>
      <w:bookmarkStart w:id="177" w:name="Tc_v1bfasOxKUOJZkVXfYwzpw_13_0"/>
      <w:bookmarkStart w:id="178" w:name="Tc_JPwC2s3i1UqxPsH2QygMRA_12_0"/>
      <w:bookmarkStart w:id="179" w:name="Tc_biBsYM9AFUazFqiA_nLgIA_10_0"/>
      <w:bookmarkStart w:id="180" w:name="Tc_QPd7BCxtgUyF7XDR-ILCtg_9_0"/>
      <w:bookmarkStart w:id="181" w:name="Tc_2tE3SvQBSUS8YV_6ihBWCA_8_0"/>
      <w:bookmarkStart w:id="182" w:name="Tc_fc2JTxP0FU-t7ZIFV9CRaQ_7_0"/>
      <w:bookmarkStart w:id="183" w:name="Tc_Pt59QPcSJkm6T5sExtLyuQ_6_0"/>
      <w:bookmarkStart w:id="184" w:name="Tc_fecbTehofEOMWYo8J6_MhQ_5_10"/>
      <w:bookmarkStart w:id="185" w:name="Tc_TkbCiLACRUqdEC5ZZTjTKg_5_7"/>
      <w:bookmarkStart w:id="186" w:name="Tc_cXIAg8k9-UGkTEt4_IOj9Q_5_4"/>
      <w:bookmarkStart w:id="187" w:name="Tc_7av-EwcRMEemPRleulqNKw_5_1"/>
      <w:bookmarkStart w:id="188" w:name="Tc_ia7Gdb4hv0G68aMmEMgrbQ_5_0"/>
      <w:bookmarkStart w:id="189" w:name="Tc_nifuNI_SjU-F2FbmPQ8Q8g_4_0"/>
      <w:bookmarkStart w:id="190" w:name="Tc_OrGjHFlUvEOAJ8uJqUsFbA_3_1"/>
      <w:bookmarkStart w:id="191" w:name="Tc_XFCMgLP1eUSImE-lfsyQQg_2_10"/>
      <w:bookmarkStart w:id="192" w:name="Tc__EGxPVKY2UCt_Wvakc958w_2_7"/>
      <w:bookmarkStart w:id="193" w:name="Tc_zDNnAumsDEaTeCdrBGBBUQ_2_4"/>
      <w:bookmarkStart w:id="194" w:name="Tc_W1QIXzpcTUiRNPdDs2QqaQ_2_1"/>
      <w:bookmarkStart w:id="195" w:name="Tc_yXdIgaKsoE6polsea0TFQw_1_7"/>
      <w:bookmarkStart w:id="196" w:name="Tc_U3SwME4OsEW5KalsEpQ7vw_1_1"/>
      <w:bookmarkStart w:id="197" w:name="_8cb9a04f_bb4a_4c58_baa0_5ebbcdfe7792"/>
      <w:bookmarkStart w:id="198" w:name="_0a94f6b2_fdb8_40c1_84c9_30649cc2b4f6"/>
      <w:bookmarkStart w:id="199" w:name="Tc__qPpYo5C5E66C8c3kZNEhg_34_10"/>
      <w:bookmarkStart w:id="200" w:name="Tc_6XS9xvYHy0qYEpRpHdMqLQ_34_7"/>
      <w:bookmarkStart w:id="201" w:name="Tc_34HAFwq9G0eEw65fajS28Q_34_4"/>
      <w:bookmarkStart w:id="202" w:name="Tc_2gZDm3FPEUeTNr4_6h7lZA_34_1"/>
      <w:bookmarkStart w:id="203" w:name="Tc_B7OVzzbB9kiCaX7osigj8g_34_0"/>
      <w:bookmarkStart w:id="204" w:name="Tc_BGOKKCQzY0WSfvI10Q2iwQ_33_0"/>
      <w:bookmarkStart w:id="205" w:name="Tc_Y5M341EIuki3-bKSsSrAgQ_32_10"/>
      <w:bookmarkStart w:id="206" w:name="Tc_aOtmZ4VpnUS4Bh8XK9J4cA_32_7"/>
      <w:bookmarkStart w:id="207" w:name="Tc_im0oe1FOb0uPKxUa1f2QsQ_32_4"/>
      <w:bookmarkStart w:id="208" w:name="Tc_BbZ2f7vxpU639yqscyOSfA_32_1"/>
      <w:bookmarkStart w:id="209" w:name="Tc_zOgAZSEONEGZWc0zMQvu2A_32_0"/>
      <w:bookmarkStart w:id="210" w:name="Tc_1AuIx8QfUUmGe8hFHJUOdA_30_10"/>
      <w:bookmarkStart w:id="211" w:name="Tc_jFz60Y4aMk6dTm9hCrshTA_30_7"/>
      <w:bookmarkStart w:id="212" w:name="Tc_G1_mFMTVNk2cEppfEIKh4w_30_4"/>
      <w:bookmarkStart w:id="213" w:name="Tc_8Uw0SKVCnEWYrECr7QTqvA_30_1"/>
      <w:bookmarkStart w:id="214" w:name="Tc_FFfsQez5ukudt6MPyLDXxg_29_0"/>
      <w:bookmarkStart w:id="215" w:name="Tc_fgILiA8g0Um6Yt_SatDW0w_28_10"/>
      <w:bookmarkStart w:id="216" w:name="Tc_qwCfNMAbSUSZ68QGYlm4bA_28_7"/>
      <w:bookmarkStart w:id="217" w:name="Tc_43Jq7Cbsr0aa8IJJMGzU2w_28_4"/>
      <w:bookmarkStart w:id="218" w:name="Tc_0B1ndxGVz0asr29dTPH5Bw_28_1"/>
      <w:bookmarkStart w:id="219" w:name="Tc_TEPRsPbcO02L_CHvf2HrHQ_28_0"/>
      <w:bookmarkStart w:id="220" w:name="Tc_CMQWXZGP20K7VkEvWfk3aQ_27_0"/>
      <w:bookmarkStart w:id="221" w:name="Tc_LSfOTpZWrkek8a6w-kasqg_25_10"/>
      <w:bookmarkStart w:id="222" w:name="Tc_OLdMXiok1UOOKIpvteuWYQ_25_7"/>
      <w:bookmarkStart w:id="223" w:name="Tc_MO-hUWtpuEuIulYTiZzfwg_25_4"/>
      <w:bookmarkStart w:id="224" w:name="Tc_YTanZyWa4E2MyGUM2rdZYA_25_1"/>
      <w:bookmarkStart w:id="225" w:name="Tc_P6Ls_wued061hfEbpEkh7Q_25_0"/>
      <w:bookmarkStart w:id="226" w:name="Tc_6tNTu6jStUOROVDjvuUW2g_24_0"/>
      <w:bookmarkStart w:id="227" w:name="Tc_mI91XQr9EkWr0noEQY5Fyw_23_0"/>
      <w:bookmarkStart w:id="228" w:name="Tc_O1EqlQRfrEKf-P770Qe63g_22_0"/>
      <w:bookmarkStart w:id="229" w:name="Tc_zjqGo3PbQUiz955XU20UMg_21_0"/>
      <w:bookmarkStart w:id="230" w:name="Tc_mhFPXF7j60SE7CcT4DkBOQ_19_0"/>
      <w:bookmarkStart w:id="231" w:name="Tc_tG9mq42XsUiYkorJqRnWXg_18_0"/>
      <w:bookmarkStart w:id="232" w:name="Tc_7yHZD15S8EOSGia304Wg2g_17_11"/>
      <w:bookmarkStart w:id="233" w:name="Tc_Iah7cg13skGx6WXfO1pcJg_17_5"/>
      <w:bookmarkStart w:id="234" w:name="Tc_hssVO3V5O0qvydS9TEfBsw_17_0"/>
      <w:bookmarkStart w:id="235" w:name="Tc_lT5ZQ6hYXkWal7rgvB27lQ_16_0"/>
      <w:bookmarkStart w:id="236" w:name="Tc_55RMBPaDm0qs0XPH0PCc6g_15_0"/>
      <w:bookmarkStart w:id="237" w:name="Tc_gmub44anSkCI-_OeyHH4kA_14_0"/>
      <w:bookmarkStart w:id="238" w:name="Tc_v1bfasOxKUOJZkVXfYwzpw_13_0"/>
      <w:bookmarkStart w:id="239" w:name="Tc_JPwC2s3i1UqxPsH2QygMRA_12_0"/>
      <w:bookmarkStart w:id="240" w:name="Tc_biBsYM9AFUazFqiA_nLgIA_10_0"/>
      <w:bookmarkStart w:id="241" w:name="Tc_QPd7BCxtgUyF7XDR-ILCtg_9_0"/>
      <w:bookmarkStart w:id="242" w:name="Tc_2tE3SvQBSUS8YV_6ihBWCA_8_0"/>
      <w:bookmarkStart w:id="243" w:name="Tc_fc2JTxP0FU-t7ZIFV9CRaQ_7_0"/>
      <w:bookmarkStart w:id="244" w:name="Tc_Pt59QPcSJkm6T5sExtLyuQ_6_0"/>
      <w:bookmarkStart w:id="245" w:name="Tc_fecbTehofEOMWYo8J6_MhQ_5_10"/>
      <w:bookmarkStart w:id="246" w:name="Tc_TkbCiLACRUqdEC5ZZTjTKg_5_7"/>
      <w:bookmarkStart w:id="247" w:name="Tc_cXIAg8k9-UGkTEt4_IOj9Q_5_4"/>
      <w:bookmarkStart w:id="248" w:name="Tc_7av-EwcRMEemPRleulqNKw_5_1"/>
      <w:bookmarkStart w:id="249" w:name="Tc_ia7Gdb4hv0G68aMmEMgrbQ_5_0"/>
      <w:bookmarkStart w:id="250" w:name="Tc_nifuNI_SjU-F2FbmPQ8Q8g_4_0"/>
      <w:bookmarkStart w:id="251" w:name="Tc_OrGjHFlUvEOAJ8uJqUsFbA_3_1"/>
      <w:bookmarkStart w:id="252" w:name="Tc_XFCMgLP1eUSImE-lfsyQQg_2_10"/>
      <w:bookmarkStart w:id="253" w:name="Tc__EGxPVKY2UCt_Wvakc958w_2_7"/>
      <w:bookmarkStart w:id="254" w:name="Tc_zDNnAumsDEaTeCdrBGBBUQ_2_4"/>
      <w:bookmarkStart w:id="255" w:name="Tc_W1QIXzpcTUiRNPdDs2QqaQ_2_1"/>
      <w:bookmarkStart w:id="256" w:name="Tc_yXdIgaKsoE6polsea0TFQw_1_7"/>
      <w:bookmarkStart w:id="257" w:name="Tc_U3SwME4OsEW5KalsEpQ7vw_1_1"/>
      <w:bookmarkStart w:id="258" w:name="_8cb9a04f_bb4a_4c58_baa0_5ebbcdfe7792"/>
      <w:bookmarkStart w:id="259" w:name="_0a94f6b2_fdb8_40c1_84c9_30649cc2b4f6"/>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tbl>
      <w:tblPr>
        <w:tblW w:w="10205" w:type="dxa"/>
        <w:jc w:val="left"/>
        <w:tblInd w:w="0" w:type="dxa"/>
        <w:tblLayout w:type="fixed"/>
        <w:tblCellMar>
          <w:top w:w="0" w:type="dxa"/>
          <w:left w:w="0" w:type="dxa"/>
          <w:bottom w:w="0" w:type="dxa"/>
          <w:right w:w="0" w:type="dxa"/>
        </w:tblCellMar>
      </w:tblPr>
      <w:tblGrid>
        <w:gridCol w:w="4750"/>
        <w:gridCol w:w="292"/>
        <w:gridCol w:w="812"/>
        <w:gridCol w:w="451"/>
        <w:gridCol w:w="292"/>
        <w:gridCol w:w="812"/>
        <w:gridCol w:w="326"/>
        <w:gridCol w:w="264"/>
        <w:gridCol w:w="736"/>
        <w:gridCol w:w="409"/>
        <w:gridCol w:w="264"/>
        <w:gridCol w:w="797"/>
      </w:tblGrid>
      <w:tr>
        <w:trPr/>
        <w:tc>
          <w:tcPr>
            <w:tcW w:w="4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016250" cy="175260"/>
                      <wp:effectExtent l="0" t="0" r="0" b="0"/>
                      <wp:wrapNone/>
                      <wp:docPr id="26" name="Frame26"/>
                      <a:graphic xmlns:a="http://schemas.openxmlformats.org/drawingml/2006/main">
                        <a:graphicData uri="http://schemas.microsoft.com/office/word/2010/wordprocessingShape">
                          <wps:wsp>
                            <wps:cNvSpPr txBox="1"/>
                            <wps:spPr>
                              <a:xfrm>
                                <a:off x="0" y="0"/>
                                <a:ext cx="301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85420" cy="175260"/>
                      <wp:effectExtent l="0" t="0" r="0" b="0"/>
                      <wp:wrapNone/>
                      <wp:docPr id="27" name="Frame27"/>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15620" cy="175260"/>
                      <wp:effectExtent l="0" t="0" r="0" b="0"/>
                      <wp:wrapNone/>
                      <wp:docPr id="28" name="Frame28"/>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86385" cy="175260"/>
                      <wp:effectExtent l="0" t="0" r="0" b="0"/>
                      <wp:wrapNone/>
                      <wp:docPr id="29" name="Frame2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85420" cy="175260"/>
                      <wp:effectExtent l="0" t="0" r="0" b="0"/>
                      <wp:wrapNone/>
                      <wp:docPr id="30" name="Frame30"/>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15620" cy="175260"/>
                      <wp:effectExtent l="0" t="0" r="0" b="0"/>
                      <wp:wrapNone/>
                      <wp:docPr id="31" name="Frame31"/>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67640" cy="175260"/>
                      <wp:effectExtent l="0" t="0" r="0" b="0"/>
                      <wp:wrapNone/>
                      <wp:docPr id="33" name="Frame33"/>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67360" cy="175260"/>
                      <wp:effectExtent l="0" t="0" r="0" b="0"/>
                      <wp:wrapNone/>
                      <wp:docPr id="34" name="Frame3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59715" cy="175260"/>
                      <wp:effectExtent l="0" t="0" r="0" b="0"/>
                      <wp:wrapNone/>
                      <wp:docPr id="35" name="Frame35"/>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67640" cy="175260"/>
                      <wp:effectExtent l="0" t="0" r="0" b="0"/>
                      <wp:wrapNone/>
                      <wp:docPr id="36" name="Frame36"/>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06095" cy="175260"/>
                      <wp:effectExtent l="0" t="0" r="0" b="0"/>
                      <wp:wrapNone/>
                      <wp:docPr id="37" name="Frame37"/>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50" w:type="dxa"/>
            <w:tcBorders/>
            <w:vAlign w:val="center"/>
          </w:tcPr>
          <w:p>
            <w:pPr>
              <w:pStyle w:val="TableContents"/>
              <w:bidi w:val="0"/>
              <w:spacing w:before="0" w:after="0"/>
              <w:ind w:left="0" w:right="0" w:hanging="0"/>
              <w:jc w:val="left"/>
              <w:rPr/>
            </w:pPr>
            <w:r>
              <w:rPr/>
              <w:t>​</w:t>
            </w:r>
          </w:p>
        </w:tc>
        <w:tc>
          <w:tcPr>
            <w:tcW w:w="26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26" w:type="dxa"/>
            <w:tcBorders/>
            <w:vAlign w:val="center"/>
          </w:tcPr>
          <w:p>
            <w:pPr>
              <w:pStyle w:val="TableContents"/>
              <w:bidi w:val="0"/>
              <w:spacing w:before="0" w:after="0"/>
              <w:ind w:left="0" w:right="0" w:hanging="0"/>
              <w:jc w:val="center"/>
              <w:rPr/>
            </w:pPr>
            <w:r>
              <w:rPr/>
              <w:t>​</w:t>
            </w:r>
          </w:p>
        </w:tc>
        <w:tc>
          <w:tcPr>
            <w:tcW w:w="24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4750" w:type="dxa"/>
            <w:tcBorders/>
            <w:vAlign w:val="center"/>
          </w:tcPr>
          <w:p>
            <w:pPr>
              <w:pStyle w:val="TableContents"/>
              <w:bidi w:val="0"/>
              <w:spacing w:before="0" w:after="0"/>
              <w:ind w:left="0" w:right="0" w:hanging="0"/>
              <w:jc w:val="left"/>
              <w:rPr/>
            </w:pPr>
            <w:r>
              <w:rPr/>
              <w:t>​</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51" w:type="dxa"/>
            <w:tcBorders/>
            <w:vAlign w:val="center"/>
          </w:tcPr>
          <w:p>
            <w:pPr>
              <w:pStyle w:val="TableContents"/>
              <w:bidi w:val="0"/>
              <w:spacing w:before="0" w:after="0"/>
              <w:ind w:left="0" w:right="0" w:hanging="0"/>
              <w:jc w:val="left"/>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09" w:type="dxa"/>
            <w:tcBorders/>
            <w:vAlign w:val="center"/>
          </w:tcPr>
          <w:p>
            <w:pPr>
              <w:pStyle w:val="TableContents"/>
              <w:bidi w:val="0"/>
              <w:spacing w:before="0" w:after="0"/>
              <w:ind w:left="0" w:right="0" w:hanging="0"/>
              <w:jc w:val="left"/>
              <w:rPr/>
            </w:pPr>
            <w:r>
              <w:rPr/>
              <w:t>    </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750" w:type="dxa"/>
            <w:tcBorders/>
            <w:vAlign w:val="center"/>
          </w:tcPr>
          <w:p>
            <w:pPr>
              <w:pStyle w:val="TableContents"/>
              <w:bidi w:val="0"/>
              <w:spacing w:before="0" w:after="0"/>
              <w:ind w:left="0" w:right="0" w:hanging="0"/>
              <w:jc w:val="center"/>
              <w:rPr/>
            </w:pPr>
            <w:r>
              <w:rPr/>
              <w:t>​</w:t>
            </w:r>
          </w:p>
        </w:tc>
        <w:tc>
          <w:tcPr>
            <w:tcW w:w="545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 except per unit amounts)</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292" w:type="dxa"/>
            <w:tcBorders/>
            <w:shd w:fill="CCEEFF" w:val="clear"/>
            <w:vAlign w:val="center"/>
          </w:tcPr>
          <w:p>
            <w:pPr>
              <w:pStyle w:val="TableContents"/>
              <w:bidi w:val="0"/>
              <w:spacing w:before="0" w:after="0"/>
              <w:ind w:left="0" w:right="0" w:hanging="0"/>
              <w:jc w:val="center"/>
              <w:rPr/>
            </w:pPr>
            <w:r>
              <w:rPr/>
              <w:t>​</w:t>
            </w:r>
          </w:p>
        </w:tc>
        <w:tc>
          <w:tcPr>
            <w:tcW w:w="812" w:type="dxa"/>
            <w:tcBorders/>
            <w:shd w:fill="CCEEFF" w:val="clear"/>
            <w:vAlign w:val="center"/>
          </w:tcPr>
          <w:p>
            <w:pPr>
              <w:pStyle w:val="TableContents"/>
              <w:bidi w:val="0"/>
              <w:spacing w:before="0" w:after="0"/>
              <w:ind w:left="0" w:right="0" w:hanging="0"/>
              <w:jc w:val="center"/>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292" w:type="dxa"/>
            <w:tcBorders/>
            <w:shd w:fill="CCEEFF" w:val="clear"/>
            <w:vAlign w:val="center"/>
          </w:tcPr>
          <w:p>
            <w:pPr>
              <w:pStyle w:val="TableContents"/>
              <w:bidi w:val="0"/>
              <w:spacing w:before="0" w:after="0"/>
              <w:ind w:left="0" w:right="0" w:hanging="0"/>
              <w:jc w:val="center"/>
              <w:rPr/>
            </w:pPr>
            <w:r>
              <w:rPr/>
              <w:t>​</w:t>
            </w:r>
          </w:p>
        </w:tc>
        <w:tc>
          <w:tcPr>
            <w:tcW w:w="81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64"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409" w:type="dxa"/>
            <w:tcBorders/>
            <w:shd w:fill="CCEEFF" w:val="clear"/>
            <w:vAlign w:val="center"/>
          </w:tcPr>
          <w:p>
            <w:pPr>
              <w:pStyle w:val="TableContents"/>
              <w:bidi w:val="0"/>
              <w:spacing w:before="0" w:after="0"/>
              <w:ind w:left="0" w:right="0" w:hanging="0"/>
              <w:jc w:val="center"/>
              <w:rPr/>
            </w:pPr>
            <w:r>
              <w:rPr/>
              <w:t>​</w:t>
            </w:r>
          </w:p>
        </w:tc>
        <w:tc>
          <w:tcPr>
            <w:tcW w:w="264" w:type="dxa"/>
            <w:tcBorders/>
            <w:shd w:fill="CCEEFF" w:val="clear"/>
            <w:vAlign w:val="center"/>
          </w:tcPr>
          <w:p>
            <w:pPr>
              <w:pStyle w:val="TableContents"/>
              <w:bidi w:val="0"/>
              <w:spacing w:before="0" w:after="0"/>
              <w:ind w:left="0" w:right="0" w:hanging="0"/>
              <w:jc w:val="center"/>
              <w:rPr/>
            </w:pPr>
            <w:r>
              <w:rPr/>
              <w:t>​</w:t>
            </w:r>
          </w:p>
        </w:tc>
        <w:tc>
          <w:tcPr>
            <w:tcW w:w="797" w:type="dxa"/>
            <w:tcBorders/>
            <w:shd w:fill="CCEEFF" w:val="clear"/>
            <w:vAlign w:val="center"/>
          </w:tcPr>
          <w:p>
            <w:pPr>
              <w:pStyle w:val="TableContents"/>
              <w:bidi w:val="0"/>
              <w:spacing w:before="0" w:after="0"/>
              <w:ind w:left="0" w:right="0" w:hanging="0"/>
              <w:jc w:val="center"/>
              <w:rPr/>
            </w:pPr>
            <w:r>
              <w:rPr/>
              <w:t>​</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w:t>
            </w:r>
          </w:p>
        </w:tc>
        <w:tc>
          <w:tcPr>
            <w:tcW w:w="4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2,371</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4,145</w:t>
            </w:r>
          </w:p>
        </w:tc>
        <w:tc>
          <w:tcPr>
            <w:tcW w:w="4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4,624</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 from operations</w:t>
            </w:r>
          </w:p>
        </w:tc>
        <w:tc>
          <w:tcPr>
            <w:tcW w:w="292"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investment activities</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4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4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292"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 net</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4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4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750"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w:t>
            </w:r>
          </w:p>
        </w:tc>
        <w:tc>
          <w:tcPr>
            <w:tcW w:w="451"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2,201</w:t>
            </w:r>
          </w:p>
        </w:tc>
        <w:tc>
          <w:tcPr>
            <w:tcW w:w="326"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4,236</w:t>
            </w:r>
          </w:p>
        </w:tc>
        <w:tc>
          <w:tcPr>
            <w:tcW w:w="409"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4,671</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w:t>
            </w:r>
          </w:p>
        </w:tc>
        <w:tc>
          <w:tcPr>
            <w:tcW w:w="292"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w:t>
            </w:r>
          </w:p>
        </w:tc>
        <w:tc>
          <w:tcPr>
            <w:tcW w:w="4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2,208</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4,134</w:t>
            </w:r>
          </w:p>
        </w:tc>
        <w:tc>
          <w:tcPr>
            <w:tcW w:w="4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4,199</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from operations</w:t>
            </w:r>
          </w:p>
        </w:tc>
        <w:tc>
          <w:tcPr>
            <w:tcW w:w="292"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4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4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expense</w:t>
            </w:r>
          </w:p>
        </w:tc>
        <w:tc>
          <w:tcPr>
            <w:tcW w:w="292"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292"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net</w:t>
            </w:r>
          </w:p>
        </w:tc>
        <w:tc>
          <w:tcPr>
            <w:tcW w:w="292"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451"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409"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r>
      <w:tr>
        <w:trPr/>
        <w:tc>
          <w:tcPr>
            <w:tcW w:w="4750"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2,615</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2,683</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5,136</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5,172</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 expense</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4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4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4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4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loss attributable to non-controlling interests</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Icahn Enterprises</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451"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26" w:type="dxa"/>
            <w:tcBorders/>
            <w:vAlign w:val="center"/>
          </w:tcPr>
          <w:p>
            <w:pPr>
              <w:pStyle w:val="TableContents"/>
              <w:bidi w:val="0"/>
              <w:spacing w:before="0" w:after="0"/>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c>
          <w:tcPr>
            <w:tcW w:w="409" w:type="dxa"/>
            <w:tcBorders/>
            <w:vAlign w:val="center"/>
          </w:tcPr>
          <w:p>
            <w:pPr>
              <w:pStyle w:val="TableContents"/>
              <w:bidi w:val="0"/>
              <w:spacing w:before="0" w:after="0"/>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r>
      <w:tr>
        <w:trPr/>
        <w:tc>
          <w:tcPr>
            <w:tcW w:w="4750"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Icahn Enterprises allocated to:</w:t>
            </w:r>
          </w:p>
        </w:tc>
        <w:tc>
          <w:tcPr>
            <w:tcW w:w="292"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4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4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partners</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51"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09"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750"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r>
      <w:tr>
        <w:trPr/>
        <w:tc>
          <w:tcPr>
            <w:tcW w:w="4750"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4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4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loss per LP unit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LP units outstanding</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451"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26" w:type="dxa"/>
            <w:tcBorders/>
            <w:vAlign w:val="center"/>
          </w:tcPr>
          <w:p>
            <w:pPr>
              <w:pStyle w:val="TableContents"/>
              <w:bidi w:val="0"/>
              <w:spacing w:before="0" w:after="0"/>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409" w:type="dxa"/>
            <w:tcBorders/>
            <w:vAlign w:val="center"/>
          </w:tcPr>
          <w:p>
            <w:pPr>
              <w:pStyle w:val="TableContents"/>
              <w:bidi w:val="0"/>
              <w:spacing w:before="0" w:after="0"/>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declared per LP unit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2.00</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60" w:name="_69cf411c_1145_45f7_a62c_c80b556b80d4"/>
      <w:bookmarkEnd w:id="260"/>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LOSS (UNAUDITED)</w:t>
      </w:r>
    </w:p>
    <w:p>
      <w:pPr>
        <w:pStyle w:val="Normal"/>
        <w:bidi w:val="0"/>
        <w:spacing w:before="0" w:after="0"/>
        <w:jc w:val="left"/>
        <w:rPr>
          <w:sz w:val="4"/>
          <w:szCs w:val="4"/>
        </w:rPr>
      </w:pPr>
      <w:r>
        <w:rPr>
          <w:sz w:val="4"/>
          <w:szCs w:val="4"/>
        </w:rPr>
      </w:r>
      <w:bookmarkStart w:id="261" w:name="Tc_u33j0q9TnE-cJMtgyKiL5g_16_11"/>
      <w:bookmarkStart w:id="262" w:name="Tc_TWGGz1Eg7U2yQceqr-wLbg_16_8"/>
      <w:bookmarkStart w:id="263" w:name="Tc_-8Bivlq1aEW82E9Czvyytg_16_5"/>
      <w:bookmarkStart w:id="264" w:name="Tc_45UxBok6GUmLoWGpVIkdGw_16_2"/>
      <w:bookmarkStart w:id="265" w:name="Tc_R-3NlHy1gESSQJM02IeiBA_15_0"/>
      <w:bookmarkStart w:id="266" w:name="Tc_r_JyDULJ-keLwod1gNCJsg_14_11"/>
      <w:bookmarkStart w:id="267" w:name="Tc_52PKkKKukEqhn6wKvAlGHQ_14_8"/>
      <w:bookmarkStart w:id="268" w:name="Tc_Mqjj13p7DUiiF7wUJElG0g_14_5"/>
      <w:bookmarkStart w:id="269" w:name="Tc_2Cq0qEX-rE2EqnZ-kFi3gA_14_2"/>
      <w:bookmarkStart w:id="270" w:name="Tc_2OIr7BqkrkiDu7jASthvWw_14_0"/>
      <w:bookmarkStart w:id="271" w:name="Tc_KGxafbxWt0aoIqSOX11Gnw_13_0"/>
      <w:bookmarkStart w:id="272" w:name="Tc_Nnie8WFMG0K-70IFWICc3g_11_11"/>
      <w:bookmarkStart w:id="273" w:name="Tc_0Q3qqp-gIEmnyYk3jWtaug_11_8"/>
      <w:bookmarkStart w:id="274" w:name="Tc_L5AEMH_eGE6NsaPmbkZcmA_11_5"/>
      <w:bookmarkStart w:id="275" w:name="Tc_hmC2rGJUeEicdAki5JdJDg_11_2"/>
      <w:bookmarkStart w:id="276" w:name="Tc_Yki5GyCbbEq0kZ2hosoBWw_11_0"/>
      <w:bookmarkStart w:id="277" w:name="Tc_bO5R3HdBjkK2CX1mkyaL6w_10_0"/>
      <w:bookmarkStart w:id="278" w:name="Tc_IiveOQIPTUyEnM29sMwPFA_9_0"/>
      <w:bookmarkStart w:id="279" w:name="Tc_jRBVrGkW4E-hjCmDRakQ_w_8_0"/>
      <w:bookmarkStart w:id="280" w:name="Tc_Q2WIBecL1kel2xkN6QsDvw_7_0"/>
      <w:bookmarkStart w:id="281" w:name="Tc_hfh2TqdIg0CgbpqbiaRIIw_6_12"/>
      <w:bookmarkStart w:id="282" w:name="Tc_vLhRlSr1NkywmXL6usNReA_6_6"/>
      <w:bookmarkStart w:id="283" w:name="Tc_Nr8m12WO-06AowGQD8ZZww_6_0"/>
      <w:bookmarkStart w:id="284" w:name="Tc_27aEh3Cgj0-h18GQNoiUkQ_5_0"/>
      <w:bookmarkStart w:id="285" w:name="Tc_LxeYDEwVkEyaq_UpTZvKGg_4_11"/>
      <w:bookmarkStart w:id="286" w:name="Tc_nQEJRxg4nE68mhbbIpTN4Q_4_8"/>
      <w:bookmarkStart w:id="287" w:name="Tc_ST5fRRTJV02krLlV-KNyqg_4_5"/>
      <w:bookmarkStart w:id="288" w:name="Tc_a7QywZf3zUu_WJVuKbh2kQ_4_2"/>
      <w:bookmarkStart w:id="289" w:name="Tc_6aDjxq4JyUqlDeVrjxoqSA_4_0"/>
      <w:bookmarkStart w:id="290" w:name="Tc_iyAza1rkYEmmnzEGdUctXA_3_2"/>
      <w:bookmarkStart w:id="291" w:name="Tc_ub_NILNzL0yIhYpIHyQxUg_2_11"/>
      <w:bookmarkStart w:id="292" w:name="Tc_ZLzfX7nhokeVBFyGuJ37BA_2_8"/>
      <w:bookmarkStart w:id="293" w:name="Tc_PG0T_bd6H0WMtdO51Abv5Q_2_5"/>
      <w:bookmarkStart w:id="294" w:name="Tc_YrsipluWRk6TNoMaJO5UQg_2_2"/>
      <w:bookmarkStart w:id="295" w:name="Tc_7OJaar-dsEqVKWnXKjZvDA_1_8"/>
      <w:bookmarkStart w:id="296" w:name="Tc_YEihZpKcTEiTZaVbuFSumA_1_2"/>
      <w:bookmarkStart w:id="297" w:name="_290f304c_84d7_4043_96e6_161dd4d1b226"/>
      <w:bookmarkStart w:id="298" w:name="Tc_u33j0q9TnE-cJMtgyKiL5g_16_11"/>
      <w:bookmarkStart w:id="299" w:name="Tc_TWGGz1Eg7U2yQceqr-wLbg_16_8"/>
      <w:bookmarkStart w:id="300" w:name="Tc_-8Bivlq1aEW82E9Czvyytg_16_5"/>
      <w:bookmarkStart w:id="301" w:name="Tc_45UxBok6GUmLoWGpVIkdGw_16_2"/>
      <w:bookmarkStart w:id="302" w:name="Tc_R-3NlHy1gESSQJM02IeiBA_15_0"/>
      <w:bookmarkStart w:id="303" w:name="Tc_r_JyDULJ-keLwod1gNCJsg_14_11"/>
      <w:bookmarkStart w:id="304" w:name="Tc_52PKkKKukEqhn6wKvAlGHQ_14_8"/>
      <w:bookmarkStart w:id="305" w:name="Tc_Mqjj13p7DUiiF7wUJElG0g_14_5"/>
      <w:bookmarkStart w:id="306" w:name="Tc_2Cq0qEX-rE2EqnZ-kFi3gA_14_2"/>
      <w:bookmarkStart w:id="307" w:name="Tc_2OIr7BqkrkiDu7jASthvWw_14_0"/>
      <w:bookmarkStart w:id="308" w:name="Tc_KGxafbxWt0aoIqSOX11Gnw_13_0"/>
      <w:bookmarkStart w:id="309" w:name="Tc_Nnie8WFMG0K-70IFWICc3g_11_11"/>
      <w:bookmarkStart w:id="310" w:name="Tc_0Q3qqp-gIEmnyYk3jWtaug_11_8"/>
      <w:bookmarkStart w:id="311" w:name="Tc_L5AEMH_eGE6NsaPmbkZcmA_11_5"/>
      <w:bookmarkStart w:id="312" w:name="Tc_hmC2rGJUeEicdAki5JdJDg_11_2"/>
      <w:bookmarkStart w:id="313" w:name="Tc_Yki5GyCbbEq0kZ2hosoBWw_11_0"/>
      <w:bookmarkStart w:id="314" w:name="Tc_bO5R3HdBjkK2CX1mkyaL6w_10_0"/>
      <w:bookmarkStart w:id="315" w:name="Tc_IiveOQIPTUyEnM29sMwPFA_9_0"/>
      <w:bookmarkStart w:id="316" w:name="Tc_jRBVrGkW4E-hjCmDRakQ_w_8_0"/>
      <w:bookmarkStart w:id="317" w:name="Tc_Q2WIBecL1kel2xkN6QsDvw_7_0"/>
      <w:bookmarkStart w:id="318" w:name="Tc_hfh2TqdIg0CgbpqbiaRIIw_6_12"/>
      <w:bookmarkStart w:id="319" w:name="Tc_vLhRlSr1NkywmXL6usNReA_6_6"/>
      <w:bookmarkStart w:id="320" w:name="Tc_Nr8m12WO-06AowGQD8ZZww_6_0"/>
      <w:bookmarkStart w:id="321" w:name="Tc_27aEh3Cgj0-h18GQNoiUkQ_5_0"/>
      <w:bookmarkStart w:id="322" w:name="Tc_LxeYDEwVkEyaq_UpTZvKGg_4_11"/>
      <w:bookmarkStart w:id="323" w:name="Tc_nQEJRxg4nE68mhbbIpTN4Q_4_8"/>
      <w:bookmarkStart w:id="324" w:name="Tc_ST5fRRTJV02krLlV-KNyqg_4_5"/>
      <w:bookmarkStart w:id="325" w:name="Tc_a7QywZf3zUu_WJVuKbh2kQ_4_2"/>
      <w:bookmarkStart w:id="326" w:name="Tc_6aDjxq4JyUqlDeVrjxoqSA_4_0"/>
      <w:bookmarkStart w:id="327" w:name="Tc_iyAza1rkYEmmnzEGdUctXA_3_2"/>
      <w:bookmarkStart w:id="328" w:name="Tc_ub_NILNzL0yIhYpIHyQxUg_2_11"/>
      <w:bookmarkStart w:id="329" w:name="Tc_ZLzfX7nhokeVBFyGuJ37BA_2_8"/>
      <w:bookmarkStart w:id="330" w:name="Tc_PG0T_bd6H0WMtdO51Abv5Q_2_5"/>
      <w:bookmarkStart w:id="331" w:name="Tc_YrsipluWRk6TNoMaJO5UQg_2_2"/>
      <w:bookmarkStart w:id="332" w:name="Tc_7OJaar-dsEqVKWnXKjZvDA_1_8"/>
      <w:bookmarkStart w:id="333" w:name="Tc_YEihZpKcTEiTZaVbuFSumA_1_2"/>
      <w:bookmarkStart w:id="334" w:name="_290f304c_84d7_4043_96e6_161dd4d1b226"/>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tbl>
      <w:tblPr>
        <w:tblW w:w="10205" w:type="dxa"/>
        <w:jc w:val="left"/>
        <w:tblInd w:w="0" w:type="dxa"/>
        <w:tblLayout w:type="fixed"/>
        <w:tblCellMar>
          <w:top w:w="0" w:type="dxa"/>
          <w:left w:w="0" w:type="dxa"/>
          <w:bottom w:w="0" w:type="dxa"/>
          <w:right w:w="0" w:type="dxa"/>
        </w:tblCellMar>
      </w:tblPr>
      <w:tblGrid>
        <w:gridCol w:w="4723"/>
        <w:gridCol w:w="326"/>
        <w:gridCol w:w="289"/>
        <w:gridCol w:w="731"/>
        <w:gridCol w:w="447"/>
        <w:gridCol w:w="289"/>
        <w:gridCol w:w="731"/>
        <w:gridCol w:w="326"/>
        <w:gridCol w:w="265"/>
        <w:gridCol w:w="670"/>
        <w:gridCol w:w="410"/>
        <w:gridCol w:w="265"/>
        <w:gridCol w:w="733"/>
      </w:tblGrid>
      <w:tr>
        <w:trPr/>
        <w:tc>
          <w:tcPr>
            <w:tcW w:w="4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999105" cy="175260"/>
                      <wp:effectExtent l="0" t="0" r="0" b="0"/>
                      <wp:wrapNone/>
                      <wp:docPr id="38" name="Frame38"/>
                      <a:graphic xmlns:a="http://schemas.openxmlformats.org/drawingml/2006/main">
                        <a:graphicData uri="http://schemas.microsoft.com/office/word/2010/wordprocessingShape">
                          <wps:wsp>
                            <wps:cNvSpPr txBox="1"/>
                            <wps:spPr>
                              <a:xfrm>
                                <a:off x="0" y="0"/>
                                <a:ext cx="299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83515" cy="175260"/>
                      <wp:effectExtent l="0" t="0" r="0" b="0"/>
                      <wp:wrapNone/>
                      <wp:docPr id="40" name="Frame40"/>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64185" cy="175260"/>
                      <wp:effectExtent l="0" t="0" r="0" b="0"/>
                      <wp:wrapNone/>
                      <wp:docPr id="41" name="Frame41"/>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83845" cy="175260"/>
                      <wp:effectExtent l="0" t="0" r="0" b="0"/>
                      <wp:wrapNone/>
                      <wp:docPr id="42" name="Frame42"/>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83515" cy="175260"/>
                      <wp:effectExtent l="0" t="0" r="0" b="0"/>
                      <wp:wrapNone/>
                      <wp:docPr id="43" name="Frame43"/>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64185" cy="175260"/>
                      <wp:effectExtent l="0" t="0" r="0" b="0"/>
                      <wp:wrapNone/>
                      <wp:docPr id="44" name="Frame44"/>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68275" cy="175260"/>
                      <wp:effectExtent l="0" t="0" r="0" b="0"/>
                      <wp:wrapNone/>
                      <wp:docPr id="46" name="Frame46"/>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25450" cy="175260"/>
                      <wp:effectExtent l="0" t="0" r="0" b="0"/>
                      <wp:wrapNone/>
                      <wp:docPr id="47" name="Frame47"/>
                      <a:graphic xmlns:a="http://schemas.openxmlformats.org/drawingml/2006/main">
                        <a:graphicData uri="http://schemas.microsoft.com/office/word/2010/wordprocessingShape">
                          <wps:wsp>
                            <wps:cNvSpPr txBox="1"/>
                            <wps:spPr>
                              <a:xfrm>
                                <a:off x="0" y="0"/>
                                <a:ext cx="425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60350" cy="175260"/>
                      <wp:effectExtent l="0" t="0" r="0" b="0"/>
                      <wp:wrapNone/>
                      <wp:docPr id="48" name="Frame48"/>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68275" cy="175260"/>
                      <wp:effectExtent l="0" t="0" r="0" b="0"/>
                      <wp:wrapNone/>
                      <wp:docPr id="49" name="Frame49"/>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65455" cy="175260"/>
                      <wp:effectExtent l="0" t="0" r="0" b="0"/>
                      <wp:wrapNone/>
                      <wp:docPr id="50" name="Frame50"/>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8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3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47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47" w:type="dxa"/>
            <w:tcBorders/>
            <w:vAlign w:val="center"/>
          </w:tcPr>
          <w:p>
            <w:pPr>
              <w:pStyle w:val="TableContents"/>
              <w:bidi w:val="0"/>
              <w:spacing w:before="0" w:after="0"/>
              <w:ind w:left="0" w:right="0" w:hanging="0"/>
              <w:jc w:val="left"/>
              <w:rPr/>
            </w:pPr>
            <w:r>
              <w:rPr/>
              <w:t>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10" w:type="dxa"/>
            <w:tcBorders/>
            <w:vAlign w:val="center"/>
          </w:tcPr>
          <w:p>
            <w:pPr>
              <w:pStyle w:val="TableContents"/>
              <w:bidi w:val="0"/>
              <w:spacing w:before="0" w:after="0"/>
              <w:ind w:left="0" w:right="0" w:hanging="0"/>
              <w:jc w:val="left"/>
              <w:rPr/>
            </w:pPr>
            <w:r>
              <w:rPr/>
              <w:t>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7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56"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7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410"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r>
      <w:tr>
        <w:trPr/>
        <w:tc>
          <w:tcPr>
            <w:tcW w:w="4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net of tax:</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right"/>
              <w:rPr/>
            </w:pPr>
            <w:r>
              <w:rPr/>
              <w:t>​</w:t>
            </w:r>
          </w:p>
        </w:tc>
        <w:tc>
          <w:tcPr>
            <w:tcW w:w="410"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pPr>
            <w:r>
              <w:rPr/>
              <w:t>​</w:t>
            </w:r>
          </w:p>
        </w:tc>
      </w:tr>
      <w:tr>
        <w:trPr/>
        <w:tc>
          <w:tcPr>
            <w:tcW w:w="47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Post-retirement benefits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 </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 </w:t>
            </w:r>
          </w:p>
        </w:tc>
        <w:tc>
          <w:tcPr>
            <w:tcW w:w="7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10"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pPr>
            <w:r>
              <w:rPr/>
              <w:t>—</w:t>
            </w:r>
          </w:p>
        </w:tc>
      </w:tr>
      <w:tr>
        <w:trPr/>
        <w:tc>
          <w:tcPr>
            <w:tcW w:w="4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adjustments</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47"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10"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7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10"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447"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w:t>
            </w:r>
          </w:p>
        </w:tc>
        <w:tc>
          <w:tcPr>
            <w:tcW w:w="410"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r>
      <w:tr>
        <w:trPr/>
        <w:tc>
          <w:tcPr>
            <w:tcW w:w="47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Comprehensive 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410"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4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attributable to Icahn Enterprises</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447" w:type="dxa"/>
            <w:tcBorders/>
            <w:vAlign w:val="center"/>
          </w:tcPr>
          <w:p>
            <w:pPr>
              <w:pStyle w:val="TableContents"/>
              <w:bidi w:val="0"/>
              <w:spacing w:before="0" w:after="0"/>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410"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r>
      <w:tr>
        <w:trPr/>
        <w:tc>
          <w:tcPr>
            <w:tcW w:w="47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731"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7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right"/>
              <w:rPr/>
            </w:pPr>
            <w:r>
              <w:rPr/>
              <w:t>​</w:t>
            </w:r>
          </w:p>
        </w:tc>
        <w:tc>
          <w:tcPr>
            <w:tcW w:w="410"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r>
      <w:tr>
        <w:trPr/>
        <w:tc>
          <w:tcPr>
            <w:tcW w:w="4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attributable to Icahn Enterprises allocated to:</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  </w:t>
            </w:r>
          </w:p>
        </w:tc>
        <w:tc>
          <w:tcPr>
            <w:tcW w:w="447"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right"/>
              <w:rPr/>
            </w:pPr>
            <w:r>
              <w:rPr/>
              <w:t>​</w:t>
            </w:r>
          </w:p>
        </w:tc>
        <w:tc>
          <w:tcPr>
            <w:tcW w:w="410"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pPr>
            <w:r>
              <w:rPr/>
              <w:t>​</w:t>
            </w:r>
          </w:p>
        </w:tc>
      </w:tr>
      <w:tr>
        <w:trPr/>
        <w:tc>
          <w:tcPr>
            <w:tcW w:w="47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partners</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410"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r>
      <w:tr>
        <w:trPr/>
        <w:tc>
          <w:tcPr>
            <w:tcW w:w="4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47"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10"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7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410"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5" w:name="_6d5c51c4_0821_4101_b1b0_bc1f1ab29780"/>
      <w:bookmarkEnd w:id="335"/>
      <w:r>
        <w:rPr>
          <w:rFonts w:ascii="Times New Roman;Times;serif" w:hAnsi="Times New Roman;Times;serif"/>
          <w:b/>
          <w:sz w:val="20"/>
        </w:rPr>
        <w:t>ICAHN ENTERPRISES L.P.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EQUITY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36" w:name="Tc_bBIuQnwlLEWPcDpRQJk8eA_23_0"/>
      <w:bookmarkStart w:id="337" w:name="Tc_ZZWF7jb4OUir8YXGUAxOFQ_22_0"/>
      <w:bookmarkStart w:id="338" w:name="Tc_LbjHdHNZR0GI1aGZgI-SCA_21_9"/>
      <w:bookmarkStart w:id="339" w:name="Tc_w0ikUfstek6ZHWxQrqwwtA_21_6"/>
      <w:bookmarkStart w:id="340" w:name="Tc_tqxBcdF1M0GtGagVQWWB4Q_21_3"/>
      <w:bookmarkStart w:id="341" w:name="Tc_qnGyrNbSZUeOGbfYdG5lKA_21_0"/>
      <w:bookmarkStart w:id="342" w:name="Tc_8xfu46e8tUi0EemOWvmcTw_20_3"/>
      <w:bookmarkStart w:id="343" w:name="Tc_GHOnMBxFqkGxDaQg0bX55A_20_0"/>
      <w:bookmarkStart w:id="344" w:name="Tc_B8n3eIKMuUyDzGI-oIbSmQ_19_9"/>
      <w:bookmarkStart w:id="345" w:name="Tc_Qe0pCjkzYU6mZPuJdxRypg_19_6"/>
      <w:bookmarkStart w:id="346" w:name="Tc_wXyQ1ST1oU2oJ4f-3TJMXw_19_3"/>
      <w:bookmarkStart w:id="347" w:name="Tc_YaLtoFDaREKXdeTaqu6m9w_19_0"/>
      <w:bookmarkStart w:id="348" w:name="Tc_HNHLwpZWXUqhzfd299HyIQ_18_12"/>
      <w:bookmarkStart w:id="349" w:name="Tc_En01eHf_6kqeNrrdRdFc0Q_18_3"/>
      <w:bookmarkStart w:id="350" w:name="Tc_swIxxyO-1kWNqdPtSysiWw_18_0"/>
      <w:bookmarkStart w:id="351" w:name="Tc_JXpg88QS_0yYrUqgTsqziQ_17_12"/>
      <w:bookmarkStart w:id="352" w:name="Tc_A0Nt5T7siUyTJcEkJvBXFA_17_0"/>
      <w:bookmarkStart w:id="353" w:name="Tc_ufwwF5-B00SZNj3rXIs_eg_16_12"/>
      <w:bookmarkStart w:id="354" w:name="Tc_7sHUu_4PIEKOlmfF5kVbHg_16_0"/>
      <w:bookmarkStart w:id="355" w:name="Tc_ZUFvzqWdK0aGiLQzmvKfUA_15_3"/>
      <w:bookmarkStart w:id="356" w:name="Tc_-JzasENwD0qjSwcK3ldysA_15_0"/>
      <w:bookmarkStart w:id="357" w:name="Tc_g6AIcZi-r0eJo3Y6WbICNQ_14_0"/>
      <w:bookmarkStart w:id="358" w:name="Tc_xoN-KNwM6U-6OGTnvvYtcQ_13_14"/>
      <w:bookmarkStart w:id="359" w:name="Tc_sNjjrOUM7EOYBsVg0QltmQ_13_11"/>
      <w:bookmarkStart w:id="360" w:name="Tc_qA4dJrsJK0KZLkhYUnaR1g_13_8"/>
      <w:bookmarkStart w:id="361" w:name="Tc_d5bsEUTAekeAoYzXwzW9uA_13_5"/>
      <w:bookmarkStart w:id="362" w:name="Tc_P1XisOCiRUiLzh4I9Mey2w_13_2"/>
      <w:bookmarkStart w:id="363" w:name="Tc_sPLV_r757ESdeiCdpXMq4g_13_0"/>
      <w:bookmarkStart w:id="364" w:name="Tc_onZVIU8lRkmgO2u8nbmQew_12_12"/>
      <w:bookmarkStart w:id="365" w:name="Tc_fMvJ-F19cE69c_XiIpWVdw_12_3"/>
      <w:bookmarkStart w:id="366" w:name="Tc_4XyfBmBQMEa6GZyrGeUfBA_12_0"/>
      <w:bookmarkStart w:id="367" w:name="Tc_xtgQeCpuM0SP6vEo1Y0D-A_11_9"/>
      <w:bookmarkStart w:id="368" w:name="Tc_lIozBa-LbEuzxesCxh8D8w_11_6"/>
      <w:bookmarkStart w:id="369" w:name="Tc_OXgQw8ex0kON9TzXL8spmw_11_3"/>
      <w:bookmarkStart w:id="370" w:name="Tc_QC2BQXaJRUiZ4G0NTVU8BQ_11_0"/>
      <w:bookmarkStart w:id="371" w:name="Tc_DtrW9OclZEmm_QdPmTQQAA_10_3"/>
      <w:bookmarkStart w:id="372" w:name="Tc_sy12-QlrW0qoAgtpr8Ww6w_10_0"/>
      <w:bookmarkStart w:id="373" w:name="Tc_mHVIaotcF0q4PKzEfWQFRg_9_12"/>
      <w:bookmarkStart w:id="374" w:name="Tc_P1E1hZlUxEq37RgwGVgqLg_9_0"/>
      <w:bookmarkStart w:id="375" w:name="Tc_JL-FImOg90q-NXa0F3bnIw_8_12"/>
      <w:bookmarkStart w:id="376" w:name="Tc_v3GjU31IXkeo9l4SjGFu8A_8_3"/>
      <w:bookmarkStart w:id="377" w:name="Tc_X_mnI7oqQEqUbL2I-wHE5g_8_0"/>
      <w:bookmarkStart w:id="378" w:name="Tc_EM-TAzycKESZqka5IGbmGQ_7_0"/>
      <w:bookmarkStart w:id="379" w:name="Tc_sJadl72FaUa5dZR_tBahbA_6_14"/>
      <w:bookmarkStart w:id="380" w:name="Tc_YBn9s6R_80eTvqNLEvLWrw_6_11"/>
      <w:bookmarkStart w:id="381" w:name="Tc_f6en9FgmcE2mx1wVTHQfmw_6_8"/>
      <w:bookmarkStart w:id="382" w:name="Tc_eMmXg1dla0qfhPmbQ5Ol-Q_6_5"/>
      <w:bookmarkStart w:id="383" w:name="Tc_KolqYiwvU0CGyF3rMiyX1g_6_2"/>
      <w:bookmarkStart w:id="384" w:name="Tc_kvYIxouPtEefgZZLdauxmQ_6_0"/>
      <w:bookmarkStart w:id="385" w:name="Tc_sO-wUy765UqoGdC_HV7IzQ_5_2"/>
      <w:bookmarkStart w:id="386" w:name="Tc_RkF_QvIpVUyGj5zBqrygaw_4_14"/>
      <w:bookmarkStart w:id="387" w:name="Tc_ZKDyBLawXkKDjnFQXqV5BQ_4_11"/>
      <w:bookmarkStart w:id="388" w:name="Tc_-uYN3pbL8060nfq4559QaA_4_8"/>
      <w:bookmarkStart w:id="389" w:name="Tc_Os4TLo33NE6UGCXczATZEg_4_5"/>
      <w:bookmarkStart w:id="390" w:name="Tc_1afyY2z4-ESoPGBiEB_Fug_4_2"/>
      <w:bookmarkStart w:id="391" w:name="Tc_d00XCdWHjkiCY4WpyWYacQ_3_11"/>
      <w:bookmarkStart w:id="392" w:name="Tc_mrHBFXSZvE28fl_lDH_9lQ_3_8"/>
      <w:bookmarkStart w:id="393" w:name="Tc_G6DWmHsxxkOIRPgNhmHw5g_3_5"/>
      <w:bookmarkStart w:id="394" w:name="Tc_EJ-HZLoHZkOfkVf1yiELLw_3_2"/>
      <w:bookmarkStart w:id="395" w:name="Tc_jB0AlUcGSUGIdXp9bxePAA_2_11"/>
      <w:bookmarkStart w:id="396" w:name="Tc_7yEWI0isH0C8mCT6tSJKUQ_2_5"/>
      <w:bookmarkStart w:id="397" w:name="Tc_2H2MLP5T2EuI7ZTzYN2l8A_2_2"/>
      <w:bookmarkStart w:id="398" w:name="Tc_2Agy5F8UzEOsSsbjlsITbA_1_2"/>
      <w:bookmarkStart w:id="399" w:name="_0d68d69b_4082_4d89_b3df_1e4dd203158d"/>
      <w:bookmarkStart w:id="400" w:name="Tc_bBIuQnwlLEWPcDpRQJk8eA_23_0"/>
      <w:bookmarkStart w:id="401" w:name="Tc_ZZWF7jb4OUir8YXGUAxOFQ_22_0"/>
      <w:bookmarkStart w:id="402" w:name="Tc_LbjHdHNZR0GI1aGZgI-SCA_21_9"/>
      <w:bookmarkStart w:id="403" w:name="Tc_w0ikUfstek6ZHWxQrqwwtA_21_6"/>
      <w:bookmarkStart w:id="404" w:name="Tc_tqxBcdF1M0GtGagVQWWB4Q_21_3"/>
      <w:bookmarkStart w:id="405" w:name="Tc_qnGyrNbSZUeOGbfYdG5lKA_21_0"/>
      <w:bookmarkStart w:id="406" w:name="Tc_8xfu46e8tUi0EemOWvmcTw_20_3"/>
      <w:bookmarkStart w:id="407" w:name="Tc_GHOnMBxFqkGxDaQg0bX55A_20_0"/>
      <w:bookmarkStart w:id="408" w:name="Tc_B8n3eIKMuUyDzGI-oIbSmQ_19_9"/>
      <w:bookmarkStart w:id="409" w:name="Tc_Qe0pCjkzYU6mZPuJdxRypg_19_6"/>
      <w:bookmarkStart w:id="410" w:name="Tc_wXyQ1ST1oU2oJ4f-3TJMXw_19_3"/>
      <w:bookmarkStart w:id="411" w:name="Tc_YaLtoFDaREKXdeTaqu6m9w_19_0"/>
      <w:bookmarkStart w:id="412" w:name="Tc_HNHLwpZWXUqhzfd299HyIQ_18_12"/>
      <w:bookmarkStart w:id="413" w:name="Tc_En01eHf_6kqeNrrdRdFc0Q_18_3"/>
      <w:bookmarkStart w:id="414" w:name="Tc_swIxxyO-1kWNqdPtSysiWw_18_0"/>
      <w:bookmarkStart w:id="415" w:name="Tc_JXpg88QS_0yYrUqgTsqziQ_17_12"/>
      <w:bookmarkStart w:id="416" w:name="Tc_A0Nt5T7siUyTJcEkJvBXFA_17_0"/>
      <w:bookmarkStart w:id="417" w:name="Tc_ufwwF5-B00SZNj3rXIs_eg_16_12"/>
      <w:bookmarkStart w:id="418" w:name="Tc_7sHUu_4PIEKOlmfF5kVbHg_16_0"/>
      <w:bookmarkStart w:id="419" w:name="Tc_ZUFvzqWdK0aGiLQzmvKfUA_15_3"/>
      <w:bookmarkStart w:id="420" w:name="Tc_-JzasENwD0qjSwcK3ldysA_15_0"/>
      <w:bookmarkStart w:id="421" w:name="Tc_g6AIcZi-r0eJo3Y6WbICNQ_14_0"/>
      <w:bookmarkStart w:id="422" w:name="Tc_xoN-KNwM6U-6OGTnvvYtcQ_13_14"/>
      <w:bookmarkStart w:id="423" w:name="Tc_sNjjrOUM7EOYBsVg0QltmQ_13_11"/>
      <w:bookmarkStart w:id="424" w:name="Tc_qA4dJrsJK0KZLkhYUnaR1g_13_8"/>
      <w:bookmarkStart w:id="425" w:name="Tc_d5bsEUTAekeAoYzXwzW9uA_13_5"/>
      <w:bookmarkStart w:id="426" w:name="Tc_P1XisOCiRUiLzh4I9Mey2w_13_2"/>
      <w:bookmarkStart w:id="427" w:name="Tc_sPLV_r757ESdeiCdpXMq4g_13_0"/>
      <w:bookmarkStart w:id="428" w:name="Tc_onZVIU8lRkmgO2u8nbmQew_12_12"/>
      <w:bookmarkStart w:id="429" w:name="Tc_fMvJ-F19cE69c_XiIpWVdw_12_3"/>
      <w:bookmarkStart w:id="430" w:name="Tc_4XyfBmBQMEa6GZyrGeUfBA_12_0"/>
      <w:bookmarkStart w:id="431" w:name="Tc_xtgQeCpuM0SP6vEo1Y0D-A_11_9"/>
      <w:bookmarkStart w:id="432" w:name="Tc_lIozBa-LbEuzxesCxh8D8w_11_6"/>
      <w:bookmarkStart w:id="433" w:name="Tc_OXgQw8ex0kON9TzXL8spmw_11_3"/>
      <w:bookmarkStart w:id="434" w:name="Tc_QC2BQXaJRUiZ4G0NTVU8BQ_11_0"/>
      <w:bookmarkStart w:id="435" w:name="Tc_DtrW9OclZEmm_QdPmTQQAA_10_3"/>
      <w:bookmarkStart w:id="436" w:name="Tc_sy12-QlrW0qoAgtpr8Ww6w_10_0"/>
      <w:bookmarkStart w:id="437" w:name="Tc_mHVIaotcF0q4PKzEfWQFRg_9_12"/>
      <w:bookmarkStart w:id="438" w:name="Tc_P1E1hZlUxEq37RgwGVgqLg_9_0"/>
      <w:bookmarkStart w:id="439" w:name="Tc_JL-FImOg90q-NXa0F3bnIw_8_12"/>
      <w:bookmarkStart w:id="440" w:name="Tc_v3GjU31IXkeo9l4SjGFu8A_8_3"/>
      <w:bookmarkStart w:id="441" w:name="Tc_X_mnI7oqQEqUbL2I-wHE5g_8_0"/>
      <w:bookmarkStart w:id="442" w:name="Tc_EM-TAzycKESZqka5IGbmGQ_7_0"/>
      <w:bookmarkStart w:id="443" w:name="Tc_sJadl72FaUa5dZR_tBahbA_6_14"/>
      <w:bookmarkStart w:id="444" w:name="Tc_YBn9s6R_80eTvqNLEvLWrw_6_11"/>
      <w:bookmarkStart w:id="445" w:name="Tc_f6en9FgmcE2mx1wVTHQfmw_6_8"/>
      <w:bookmarkStart w:id="446" w:name="Tc_eMmXg1dla0qfhPmbQ5Ol-Q_6_5"/>
      <w:bookmarkStart w:id="447" w:name="Tc_KolqYiwvU0CGyF3rMiyX1g_6_2"/>
      <w:bookmarkStart w:id="448" w:name="Tc_kvYIxouPtEefgZZLdauxmQ_6_0"/>
      <w:bookmarkStart w:id="449" w:name="Tc_sO-wUy765UqoGdC_HV7IzQ_5_2"/>
      <w:bookmarkStart w:id="450" w:name="Tc_RkF_QvIpVUyGj5zBqrygaw_4_14"/>
      <w:bookmarkStart w:id="451" w:name="Tc_ZKDyBLawXkKDjnFQXqV5BQ_4_11"/>
      <w:bookmarkStart w:id="452" w:name="Tc_-uYN3pbL8060nfq4559QaA_4_8"/>
      <w:bookmarkStart w:id="453" w:name="Tc_Os4TLo33NE6UGCXczATZEg_4_5"/>
      <w:bookmarkStart w:id="454" w:name="Tc_1afyY2z4-ESoPGBiEB_Fug_4_2"/>
      <w:bookmarkStart w:id="455" w:name="Tc_d00XCdWHjkiCY4WpyWYacQ_3_11"/>
      <w:bookmarkStart w:id="456" w:name="Tc_mrHBFXSZvE28fl_lDH_9lQ_3_8"/>
      <w:bookmarkStart w:id="457" w:name="Tc_G6DWmHsxxkOIRPgNhmHw5g_3_5"/>
      <w:bookmarkStart w:id="458" w:name="Tc_EJ-HZLoHZkOfkVf1yiELLw_3_2"/>
      <w:bookmarkStart w:id="459" w:name="Tc_jB0AlUcGSUGIdXp9bxePAA_2_11"/>
      <w:bookmarkStart w:id="460" w:name="Tc_7yEWI0isH0C8mCT6tSJKUQ_2_5"/>
      <w:bookmarkStart w:id="461" w:name="Tc_2H2MLP5T2EuI7ZTzYN2l8A_2_2"/>
      <w:bookmarkStart w:id="462" w:name="Tc_2Agy5F8UzEOsSsbjlsITbA_1_2"/>
      <w:bookmarkStart w:id="463" w:name="_0d68d69b_4082_4d89_b3df_1e4dd203158d"/>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tbl>
      <w:tblPr>
        <w:tblW w:w="10205" w:type="dxa"/>
        <w:jc w:val="left"/>
        <w:tblInd w:w="0" w:type="dxa"/>
        <w:tblLayout w:type="fixed"/>
        <w:tblCellMar>
          <w:top w:w="0" w:type="dxa"/>
          <w:left w:w="0" w:type="dxa"/>
          <w:bottom w:w="0" w:type="dxa"/>
          <w:right w:w="0" w:type="dxa"/>
        </w:tblCellMar>
      </w:tblPr>
      <w:tblGrid>
        <w:gridCol w:w="2883"/>
        <w:gridCol w:w="326"/>
        <w:gridCol w:w="274"/>
        <w:gridCol w:w="627"/>
        <w:gridCol w:w="393"/>
        <w:gridCol w:w="254"/>
        <w:gridCol w:w="689"/>
        <w:gridCol w:w="393"/>
        <w:gridCol w:w="370"/>
        <w:gridCol w:w="1015"/>
        <w:gridCol w:w="326"/>
        <w:gridCol w:w="295"/>
        <w:gridCol w:w="801"/>
        <w:gridCol w:w="326"/>
        <w:gridCol w:w="292"/>
        <w:gridCol w:w="941"/>
      </w:tblGrid>
      <w:tr>
        <w:trPr/>
        <w:tc>
          <w:tcPr>
            <w:tcW w:w="2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830705" cy="175260"/>
                      <wp:effectExtent l="0" t="0" r="0" b="0"/>
                      <wp:wrapNone/>
                      <wp:docPr id="51" name="Frame51"/>
                      <a:graphic xmlns:a="http://schemas.openxmlformats.org/drawingml/2006/main">
                        <a:graphicData uri="http://schemas.microsoft.com/office/word/2010/wordprocessingShape">
                          <wps:wsp>
                            <wps:cNvSpPr txBox="1"/>
                            <wps:spPr>
                              <a:xfrm>
                                <a:off x="0" y="0"/>
                                <a:ext cx="183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73990" cy="175260"/>
                      <wp:effectExtent l="0" t="0" r="0" b="0"/>
                      <wp:wrapNone/>
                      <wp:docPr id="53" name="Frame53"/>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98145" cy="175260"/>
                      <wp:effectExtent l="0" t="0" r="0" b="0"/>
                      <wp:wrapNone/>
                      <wp:docPr id="54" name="Frame54"/>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49555" cy="175260"/>
                      <wp:effectExtent l="0" t="0" r="0" b="0"/>
                      <wp:wrapNone/>
                      <wp:docPr id="55" name="Frame55"/>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61290" cy="175260"/>
                      <wp:effectExtent l="0" t="0" r="0" b="0"/>
                      <wp:wrapNone/>
                      <wp:docPr id="56" name="Frame56"/>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37515" cy="175260"/>
                      <wp:effectExtent l="0" t="0" r="0" b="0"/>
                      <wp:wrapNone/>
                      <wp:docPr id="57" name="Frame57"/>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49555" cy="175260"/>
                      <wp:effectExtent l="0" t="0" r="0" b="0"/>
                      <wp:wrapNone/>
                      <wp:docPr id="58" name="Frame58"/>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34950" cy="175260"/>
                      <wp:effectExtent l="0" t="0" r="0" b="0"/>
                      <wp:wrapNone/>
                      <wp:docPr id="59" name="Frame59"/>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4525" cy="175260"/>
                      <wp:effectExtent l="0" t="0" r="0" b="0"/>
                      <wp:wrapNone/>
                      <wp:docPr id="60" name="Frame60"/>
                      <a:graphic xmlns:a="http://schemas.openxmlformats.org/drawingml/2006/main">
                        <a:graphicData uri="http://schemas.microsoft.com/office/word/2010/wordprocessingShape">
                          <wps:wsp>
                            <wps:cNvSpPr txBox="1"/>
                            <wps:spPr>
                              <a:xfrm>
                                <a:off x="0" y="0"/>
                                <a:ext cx="644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87325" cy="175260"/>
                      <wp:effectExtent l="0" t="0" r="0" b="0"/>
                      <wp:wrapNone/>
                      <wp:docPr id="62" name="Frame62"/>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08635" cy="175260"/>
                      <wp:effectExtent l="0" t="0" r="0" b="0"/>
                      <wp:wrapNone/>
                      <wp:docPr id="63" name="Frame63"/>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85420" cy="175260"/>
                      <wp:effectExtent l="0" t="0" r="0" b="0"/>
                      <wp:wrapNone/>
                      <wp:docPr id="65" name="Frame65"/>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97535" cy="175260"/>
                      <wp:effectExtent l="0" t="0" r="0" b="0"/>
                      <wp:wrapNone/>
                      <wp:docPr id="66" name="Frame66"/>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1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 Attributable to Icahn Enterprises</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 </w:t>
            </w:r>
          </w:p>
        </w:tc>
        <w:tc>
          <w:tcPr>
            <w:tcW w:w="941" w:type="dxa"/>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General </w:t>
            </w:r>
          </w:p>
        </w:tc>
        <w:tc>
          <w:tcPr>
            <w:tcW w:w="393" w:type="dxa"/>
            <w:tcBorders/>
            <w:vAlign w:val="center"/>
          </w:tcPr>
          <w:p>
            <w:pPr>
              <w:pStyle w:val="TableContents"/>
              <w:bidi w:val="0"/>
              <w:spacing w:before="0" w:after="0"/>
              <w:ind w:left="0" w:right="0" w:hanging="0"/>
              <w:jc w:val="left"/>
              <w:rPr/>
            </w:pPr>
            <w:r>
              <w:rPr/>
              <w:t>​</w:t>
            </w:r>
          </w:p>
        </w:tc>
        <w:tc>
          <w:tcPr>
            <w:tcW w:w="94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Limited </w:t>
            </w:r>
            <w:r>
              <w:rPr>
                <w:rFonts w:ascii="Times New Roman;Times;serif" w:hAnsi="Times New Roman;Times;serif"/>
                <w:sz w:val="20"/>
              </w:rPr>
              <w:t> </w:t>
            </w:r>
          </w:p>
        </w:tc>
        <w:tc>
          <w:tcPr>
            <w:tcW w:w="393"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w:t>
            </w:r>
          </w:p>
        </w:tc>
        <w:tc>
          <w:tcPr>
            <w:tcW w:w="941" w:type="dxa"/>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Partner’s</w:t>
            </w:r>
          </w:p>
        </w:tc>
        <w:tc>
          <w:tcPr>
            <w:tcW w:w="393" w:type="dxa"/>
            <w:tcBorders/>
            <w:vAlign w:val="center"/>
          </w:tcPr>
          <w:p>
            <w:pPr>
              <w:pStyle w:val="TableContents"/>
              <w:bidi w:val="0"/>
              <w:spacing w:before="0" w:after="0"/>
              <w:ind w:left="0" w:right="0" w:hanging="0"/>
              <w:jc w:val="left"/>
              <w:rPr/>
            </w:pPr>
            <w:r>
              <w:rPr/>
              <w:t>​</w:t>
            </w:r>
          </w:p>
        </w:tc>
        <w:tc>
          <w:tcPr>
            <w:tcW w:w="943"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Partners’ </w:t>
            </w:r>
          </w:p>
        </w:tc>
        <w:tc>
          <w:tcPr>
            <w:tcW w:w="393" w:type="dxa"/>
            <w:tcBorders/>
            <w:vAlign w:val="center"/>
          </w:tcPr>
          <w:p>
            <w:pPr>
              <w:pStyle w:val="TableContents"/>
              <w:bidi w:val="0"/>
              <w:spacing w:before="0" w:after="0"/>
              <w:ind w:left="0" w:right="0" w:hanging="0"/>
              <w:jc w:val="left"/>
              <w:rPr/>
            </w:pPr>
            <w:r>
              <w:rPr/>
              <w:t>​</w:t>
            </w:r>
          </w:p>
        </w:tc>
        <w:tc>
          <w:tcPr>
            <w:tcW w:w="13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Partners’ </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controlling </w:t>
            </w:r>
          </w:p>
        </w:tc>
        <w:tc>
          <w:tcPr>
            <w:tcW w:w="326" w:type="dxa"/>
            <w:tcBorders/>
            <w:vAlign w:val="center"/>
          </w:tcPr>
          <w:p>
            <w:pPr>
              <w:pStyle w:val="TableContents"/>
              <w:bidi w:val="0"/>
              <w:spacing w:before="0" w:after="0"/>
              <w:ind w:left="0" w:right="0" w:hanging="0"/>
              <w:jc w:val="left"/>
              <w:rPr/>
            </w:pPr>
            <w:r>
              <w:rPr/>
              <w:t>​</w:t>
            </w:r>
          </w:p>
        </w:tc>
        <w:tc>
          <w:tcPr>
            <w:tcW w:w="1233" w:type="dxa"/>
            <w:gridSpan w:val="2"/>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20"/>
              </w:rPr>
              <w:t>Deficit</w:t>
            </w:r>
          </w:p>
        </w:tc>
        <w:tc>
          <w:tcPr>
            <w:tcW w:w="393" w:type="dxa"/>
            <w:tcBorders/>
            <w:vAlign w:val="center"/>
          </w:tcPr>
          <w:p>
            <w:pPr>
              <w:pStyle w:val="TableContents"/>
              <w:bidi w:val="0"/>
              <w:spacing w:before="0" w:after="0"/>
              <w:ind w:left="0" w:right="0" w:hanging="0"/>
              <w:jc w:val="left"/>
              <w:rPr/>
            </w:pPr>
            <w:r>
              <w:rPr/>
              <w:t>    </w:t>
            </w:r>
          </w:p>
        </w:tc>
        <w:tc>
          <w:tcPr>
            <w:tcW w:w="9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c>
          <w:tcPr>
            <w:tcW w:w="393" w:type="dxa"/>
            <w:tcBorders/>
            <w:vAlign w:val="center"/>
          </w:tcPr>
          <w:p>
            <w:pPr>
              <w:pStyle w:val="TableContents"/>
              <w:bidi w:val="0"/>
              <w:spacing w:before="0" w:after="0"/>
              <w:ind w:left="0" w:right="0" w:hanging="0"/>
              <w:jc w:val="left"/>
              <w:rPr/>
            </w:pPr>
            <w:r>
              <w:rPr/>
              <w:t>    </w:t>
            </w:r>
          </w:p>
        </w:tc>
        <w:tc>
          <w:tcPr>
            <w:tcW w:w="13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Interests</w:t>
            </w:r>
          </w:p>
        </w:tc>
        <w:tc>
          <w:tcPr>
            <w:tcW w:w="326" w:type="dxa"/>
            <w:tcBorders/>
            <w:vAlign w:val="center"/>
          </w:tcPr>
          <w:p>
            <w:pPr>
              <w:pStyle w:val="TableContents"/>
              <w:bidi w:val="0"/>
              <w:spacing w:before="0" w:after="0"/>
              <w:ind w:left="0" w:right="0" w:hanging="0"/>
              <w:jc w:val="left"/>
              <w:rPr/>
            </w:pPr>
            <w:r>
              <w:rPr/>
              <w:t>    </w:t>
            </w:r>
          </w:p>
        </w:tc>
        <w:tc>
          <w:tcPr>
            <w:tcW w:w="12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Equity</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96" w:type="dxa"/>
            <w:gridSpan w:val="1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millions)</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December 31, 2024</w:t>
            </w:r>
          </w:p>
        </w:tc>
        <w:tc>
          <w:tcPr>
            <w:tcW w:w="326" w:type="dxa"/>
            <w:tcBorders/>
            <w:shd w:fill="CCEEFF" w:val="clear"/>
            <w:vAlign w:val="center"/>
          </w:tcPr>
          <w:p>
            <w:pPr>
              <w:pStyle w:val="TableContents"/>
              <w:bidi w:val="0"/>
              <w:spacing w:before="0" w:after="0"/>
              <w:ind w:left="0" w:right="0" w:hanging="0"/>
              <w:jc w:val="center"/>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w:t>
            </w:r>
          </w:p>
        </w:tc>
        <w:tc>
          <w:tcPr>
            <w:tcW w:w="393"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3,241</w:t>
            </w:r>
          </w:p>
        </w:tc>
        <w:tc>
          <w:tcPr>
            <w:tcW w:w="393"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4,621</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93"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center"/>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 payable</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additional interests in consolidated subsidiaries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March 31, 2025</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(789)</w:t>
            </w:r>
          </w:p>
        </w:tc>
        <w:tc>
          <w:tcPr>
            <w:tcW w:w="393"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2,563</w:t>
            </w:r>
          </w:p>
        </w:tc>
        <w:tc>
          <w:tcPr>
            <w:tcW w:w="393" w:type="dxa"/>
            <w:tcBorders/>
            <w:vAlign w:val="center"/>
          </w:tcPr>
          <w:p>
            <w:pPr>
              <w:pStyle w:val="TableContents"/>
              <w:bidi w:val="0"/>
              <w:spacing w:before="0" w:after="0"/>
              <w:ind w:left="0" w:right="0" w:hanging="0"/>
              <w:jc w:val="left"/>
              <w:rPr/>
            </w:pPr>
            <w:r>
              <w:rPr/>
              <w:t> </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1,774</w:t>
            </w:r>
          </w:p>
        </w:tc>
        <w:tc>
          <w:tcPr>
            <w:tcW w:w="32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1,968</w:t>
            </w:r>
          </w:p>
        </w:tc>
        <w:tc>
          <w:tcPr>
            <w:tcW w:w="326" w:type="dxa"/>
            <w:tcBorders/>
            <w:vAlign w:val="center"/>
          </w:tcPr>
          <w:p>
            <w:pPr>
              <w:pStyle w:val="TableContents"/>
              <w:bidi w:val="0"/>
              <w:spacing w:before="0" w:after="0"/>
              <w:ind w:left="0" w:right="0" w:hanging="0"/>
              <w:jc w:val="left"/>
              <w:rPr/>
            </w:pPr>
            <w:r>
              <w:rPr/>
              <w:t> </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3,742</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 payable reversal</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3"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93"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93"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distributions to non-controlling interests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additional interests in consolidated subsidiaries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June 30, 2025</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(790)</w:t>
            </w:r>
          </w:p>
        </w:tc>
        <w:tc>
          <w:tcPr>
            <w:tcW w:w="393"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2,533</w:t>
            </w:r>
          </w:p>
        </w:tc>
        <w:tc>
          <w:tcPr>
            <w:tcW w:w="393" w:type="dxa"/>
            <w:tcBorders/>
            <w:vAlign w:val="center"/>
          </w:tcPr>
          <w:p>
            <w:pPr>
              <w:pStyle w:val="TableContents"/>
              <w:bidi w:val="0"/>
              <w:spacing w:before="0" w:after="0"/>
              <w:ind w:left="0" w:right="0" w:hanging="0"/>
              <w:jc w:val="left"/>
              <w:rPr/>
            </w:pPr>
            <w:r>
              <w:rPr/>
              <w:t> </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1,743</w:t>
            </w:r>
          </w:p>
        </w:tc>
        <w:tc>
          <w:tcPr>
            <w:tcW w:w="32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1,680</w:t>
            </w:r>
          </w:p>
        </w:tc>
        <w:tc>
          <w:tcPr>
            <w:tcW w:w="326" w:type="dxa"/>
            <w:tcBorders/>
            <w:vAlign w:val="center"/>
          </w:tcPr>
          <w:p>
            <w:pPr>
              <w:pStyle w:val="TableContents"/>
              <w:bidi w:val="0"/>
              <w:spacing w:before="0" w:after="0"/>
              <w:ind w:left="0" w:right="0" w:hanging="0"/>
              <w:jc w:val="left"/>
              <w:rPr/>
            </w:pPr>
            <w:r>
              <w:rPr/>
              <w:t> </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3,423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464" w:name="Tc_-jpsvyVXakGe9RL3-kIaHw_23_0"/>
      <w:bookmarkStart w:id="465" w:name="Tc_gLC1fVd_sEq48vDz2CrUFw_22_12"/>
      <w:bookmarkStart w:id="466" w:name="Tc_uYny9U6-RUqAlJ3NbLnkvA_22_6"/>
      <w:bookmarkStart w:id="467" w:name="Tc_01Ga_DN4BUeT7j-DtoFqrg_22_0"/>
      <w:bookmarkStart w:id="468" w:name="Tc_B3tuzY1cBUq4UV2gC15kdA_21_9"/>
      <w:bookmarkStart w:id="469" w:name="Tc_VdBAJyvotU2bIGZeHpscyw_21_6"/>
      <w:bookmarkStart w:id="470" w:name="Tc_01_DkWkNe061hB0mxnDX3A_21_3"/>
      <w:bookmarkStart w:id="471" w:name="Tc_Opfvv2Xjy0-gWHS0z7YopQ_21_0"/>
      <w:bookmarkStart w:id="472" w:name="Tc_5VknceEBpkCB-7JSV_WqYA_20_9"/>
      <w:bookmarkStart w:id="473" w:name="Tc_5I9aTevy10mrJ8ziAPAyhA_20_6"/>
      <w:bookmarkStart w:id="474" w:name="Tc_UhK4jWNrgUaS9fJU9AUYXw_20_3"/>
      <w:bookmarkStart w:id="475" w:name="Tc_Je0oxTp4zUO2cuTjInJqjg_20_0"/>
      <w:bookmarkStart w:id="476" w:name="Tc_SZ6JVazrnUC6vFQA7K_-Sg_19_12"/>
      <w:bookmarkStart w:id="477" w:name="Tc_YDO2JK3xk0SaYEElXRm9-g_19_0"/>
      <w:bookmarkStart w:id="478" w:name="Tc_ytY70QNraEac6nxwDKFTlA_18_12"/>
      <w:bookmarkStart w:id="479" w:name="Tc_Rt8KMHg7M0OUM37s3e-lvg_18_0"/>
      <w:bookmarkStart w:id="480" w:name="Tc_2mj3ReEYvU2oRghRk9MnZg_17_12"/>
      <w:bookmarkStart w:id="481" w:name="Tc_fWBEd3W4vU-bQUoBhzTNHQ_17_0"/>
      <w:bookmarkStart w:id="482" w:name="Tc_3YDElTPbrUiIx6T3LC4RWw_16_3"/>
      <w:bookmarkStart w:id="483" w:name="Tc_npC2ixaQTkSmCwzT-Og2ew_16_0"/>
      <w:bookmarkStart w:id="484" w:name="Tc_zkjfPtqokUuzshrLaom-bQ_15_0"/>
      <w:bookmarkStart w:id="485" w:name="Tc_A-5EGOf930O19se22dkByA_14_14"/>
      <w:bookmarkStart w:id="486" w:name="Tc_3Cmi8sAFZ0OeoX8BBlngrg_14_11"/>
      <w:bookmarkStart w:id="487" w:name="Tc_RpLa40h3oEKtyio6gpr9QQ_14_8"/>
      <w:bookmarkStart w:id="488" w:name="Tc__uYX-8CMXEqxmkfxiDl--w_14_5"/>
      <w:bookmarkStart w:id="489" w:name="Tc_OZXOobbjhUmdclk4-plvAA_14_2"/>
      <w:bookmarkStart w:id="490" w:name="Tc_lPZSHVj2tES1iQR8nesQBQ_14_0"/>
      <w:bookmarkStart w:id="491" w:name="Tc_ggV-knhf00eywNnO7ZdRSA_13_12"/>
      <w:bookmarkStart w:id="492" w:name="Tc_TCpfuzN_602ShaxrDcBgBQ_13_6"/>
      <w:bookmarkStart w:id="493" w:name="Tc_ft0161JOxU-0JVaUYR7uUQ_13_0"/>
      <w:bookmarkStart w:id="494" w:name="Tc_VHuNHcJCEUOQLpJifQoGmQ_12_9"/>
      <w:bookmarkStart w:id="495" w:name="Tc_8WzwQSG7CESB99OKUMCAow_12_6"/>
      <w:bookmarkStart w:id="496" w:name="Tc_Gd2g8Beo6k-pbxv5lOZVeg_12_3"/>
      <w:bookmarkStart w:id="497" w:name="Tc_q1Hjh36G-UqUVo6yds9nnQ_12_0"/>
      <w:bookmarkStart w:id="498" w:name="Tc_fIfINTyfeE6pvONKgp3Pwg_11_9"/>
      <w:bookmarkStart w:id="499" w:name="Tc_K_PqKujxCUa4xHQ3yDf8yA_11_6"/>
      <w:bookmarkStart w:id="500" w:name="Tc_QhKv8NhzAUGVlFSRggnQ7g_11_3"/>
      <w:bookmarkStart w:id="501" w:name="Tc_lKdddrKjbk6nvY1EarAQ6Q_11_0"/>
      <w:bookmarkStart w:id="502" w:name="Tc_GOfgM_PWnUOmY4RHedQMnQ_10_12"/>
      <w:bookmarkStart w:id="503" w:name="Tc_r51o6p7kNUWr541cP_uSOg_10_0"/>
      <w:bookmarkStart w:id="504" w:name="Tc_2BEMCJgGDEGNyPG8Z0RLWw_9_12"/>
      <w:bookmarkStart w:id="505" w:name="Tc_Mb6OvpCq4Ei-EnVzyWtZOA_9_0"/>
      <w:bookmarkStart w:id="506" w:name="Tc_kHNp5vkbKUiwyhYWBjVi6A_8_12"/>
      <w:bookmarkStart w:id="507" w:name="Tc_Nfl1lE1HD0yi-La8fGj8GQ_8_3"/>
      <w:bookmarkStart w:id="508" w:name="Tc_XeybNjRWCU-0_5slNVStsg_8_0"/>
      <w:bookmarkStart w:id="509" w:name="Tc_btrDOTCckUW98P12Z6ojCA_7_0"/>
      <w:bookmarkStart w:id="510" w:name="Tc_c4T8fXdPmkerZZ3zlGu7mw_6_14"/>
      <w:bookmarkStart w:id="511" w:name="Tc_54jkTOjsNkqojdc_cO34gQ_6_11"/>
      <w:bookmarkStart w:id="512" w:name="Tc_pSHVrT75XEKInHJyl-sDFw_6_8"/>
      <w:bookmarkStart w:id="513" w:name="Tc_c9tPtsDOG0u1-8q-LFtLRw_6_5"/>
      <w:bookmarkStart w:id="514" w:name="Tc_zsxK8-mJrEWVsfFJQCVjEA_6_2"/>
      <w:bookmarkStart w:id="515" w:name="Tc_IUD09eCemE-IQIJ1x4b_Dg_6_0"/>
      <w:bookmarkStart w:id="516" w:name="Tc_Jxc5kltHNUCw_fygfGjhGg_5_2"/>
      <w:bookmarkStart w:id="517" w:name="Tc_PRRTE0J-tECRF7C7Zh9o3A_4_14"/>
      <w:bookmarkStart w:id="518" w:name="Tc_0FmNsgHL2EefsF43j9gC2A_4_11"/>
      <w:bookmarkStart w:id="519" w:name="Tc_rNXD7a7pUkiL2ThmCsY_Og_4_8"/>
      <w:bookmarkStart w:id="520" w:name="Tc_lDK1r8fJUUGq4hS5ayyYvg_4_5"/>
      <w:bookmarkStart w:id="521" w:name="Tc_4M2xCTh0vE-1JqudPFYEnQ_4_2"/>
      <w:bookmarkStart w:id="522" w:name="Tc_qbzVWs71zUeVXRE26vyYzg_3_11"/>
      <w:bookmarkStart w:id="523" w:name="Tc_2Tp5bjkKgUetPudrkAsd7w_3_8"/>
      <w:bookmarkStart w:id="524" w:name="Tc_L5WbIYz0c0iYhGnusAH14Q_3_5"/>
      <w:bookmarkStart w:id="525" w:name="Tc_S5qoV77X9kOunSmkkB-F8g_3_2"/>
      <w:bookmarkStart w:id="526" w:name="Tc_D7S5OcMAIEeZeM9PDLMdqw_2_11"/>
      <w:bookmarkStart w:id="527" w:name="Tc_HNjLP69xSEOjr54Z_G6bWQ_2_5"/>
      <w:bookmarkStart w:id="528" w:name="Tc_OILBMi2ePkCJ0_LYX7D2UA_2_2"/>
      <w:bookmarkStart w:id="529" w:name="Tc_TbqQkG8pik-1QuTzrpQrWQ_1_2"/>
      <w:bookmarkStart w:id="530" w:name="_18907d99_d2bc_44f1_82a6_95f9293ff80f"/>
      <w:bookmarkStart w:id="531" w:name="Tc_-jpsvyVXakGe9RL3-kIaHw_23_0"/>
      <w:bookmarkStart w:id="532" w:name="Tc_gLC1fVd_sEq48vDz2CrUFw_22_12"/>
      <w:bookmarkStart w:id="533" w:name="Tc_uYny9U6-RUqAlJ3NbLnkvA_22_6"/>
      <w:bookmarkStart w:id="534" w:name="Tc_01Ga_DN4BUeT7j-DtoFqrg_22_0"/>
      <w:bookmarkStart w:id="535" w:name="Tc_B3tuzY1cBUq4UV2gC15kdA_21_9"/>
      <w:bookmarkStart w:id="536" w:name="Tc_VdBAJyvotU2bIGZeHpscyw_21_6"/>
      <w:bookmarkStart w:id="537" w:name="Tc_01_DkWkNe061hB0mxnDX3A_21_3"/>
      <w:bookmarkStart w:id="538" w:name="Tc_Opfvv2Xjy0-gWHS0z7YopQ_21_0"/>
      <w:bookmarkStart w:id="539" w:name="Tc_5VknceEBpkCB-7JSV_WqYA_20_9"/>
      <w:bookmarkStart w:id="540" w:name="Tc_5I9aTevy10mrJ8ziAPAyhA_20_6"/>
      <w:bookmarkStart w:id="541" w:name="Tc_UhK4jWNrgUaS9fJU9AUYXw_20_3"/>
      <w:bookmarkStart w:id="542" w:name="Tc_Je0oxTp4zUO2cuTjInJqjg_20_0"/>
      <w:bookmarkStart w:id="543" w:name="Tc_SZ6JVazrnUC6vFQA7K_-Sg_19_12"/>
      <w:bookmarkStart w:id="544" w:name="Tc_YDO2JK3xk0SaYEElXRm9-g_19_0"/>
      <w:bookmarkStart w:id="545" w:name="Tc_ytY70QNraEac6nxwDKFTlA_18_12"/>
      <w:bookmarkStart w:id="546" w:name="Tc_Rt8KMHg7M0OUM37s3e-lvg_18_0"/>
      <w:bookmarkStart w:id="547" w:name="Tc_2mj3ReEYvU2oRghRk9MnZg_17_12"/>
      <w:bookmarkStart w:id="548" w:name="Tc_fWBEd3W4vU-bQUoBhzTNHQ_17_0"/>
      <w:bookmarkStart w:id="549" w:name="Tc_3YDElTPbrUiIx6T3LC4RWw_16_3"/>
      <w:bookmarkStart w:id="550" w:name="Tc_npC2ixaQTkSmCwzT-Og2ew_16_0"/>
      <w:bookmarkStart w:id="551" w:name="Tc_zkjfPtqokUuzshrLaom-bQ_15_0"/>
      <w:bookmarkStart w:id="552" w:name="Tc_A-5EGOf930O19se22dkByA_14_14"/>
      <w:bookmarkStart w:id="553" w:name="Tc_3Cmi8sAFZ0OeoX8BBlngrg_14_11"/>
      <w:bookmarkStart w:id="554" w:name="Tc_RpLa40h3oEKtyio6gpr9QQ_14_8"/>
      <w:bookmarkStart w:id="555" w:name="Tc__uYX-8CMXEqxmkfxiDl--w_14_5"/>
      <w:bookmarkStart w:id="556" w:name="Tc_OZXOobbjhUmdclk4-plvAA_14_2"/>
      <w:bookmarkStart w:id="557" w:name="Tc_lPZSHVj2tES1iQR8nesQBQ_14_0"/>
      <w:bookmarkStart w:id="558" w:name="Tc_ggV-knhf00eywNnO7ZdRSA_13_12"/>
      <w:bookmarkStart w:id="559" w:name="Tc_TCpfuzN_602ShaxrDcBgBQ_13_6"/>
      <w:bookmarkStart w:id="560" w:name="Tc_ft0161JOxU-0JVaUYR7uUQ_13_0"/>
      <w:bookmarkStart w:id="561" w:name="Tc_VHuNHcJCEUOQLpJifQoGmQ_12_9"/>
      <w:bookmarkStart w:id="562" w:name="Tc_8WzwQSG7CESB99OKUMCAow_12_6"/>
      <w:bookmarkStart w:id="563" w:name="Tc_Gd2g8Beo6k-pbxv5lOZVeg_12_3"/>
      <w:bookmarkStart w:id="564" w:name="Tc_q1Hjh36G-UqUVo6yds9nnQ_12_0"/>
      <w:bookmarkStart w:id="565" w:name="Tc_fIfINTyfeE6pvONKgp3Pwg_11_9"/>
      <w:bookmarkStart w:id="566" w:name="Tc_K_PqKujxCUa4xHQ3yDf8yA_11_6"/>
      <w:bookmarkStart w:id="567" w:name="Tc_QhKv8NhzAUGVlFSRggnQ7g_11_3"/>
      <w:bookmarkStart w:id="568" w:name="Tc_lKdddrKjbk6nvY1EarAQ6Q_11_0"/>
      <w:bookmarkStart w:id="569" w:name="Tc_GOfgM_PWnUOmY4RHedQMnQ_10_12"/>
      <w:bookmarkStart w:id="570" w:name="Tc_r51o6p7kNUWr541cP_uSOg_10_0"/>
      <w:bookmarkStart w:id="571" w:name="Tc_2BEMCJgGDEGNyPG8Z0RLWw_9_12"/>
      <w:bookmarkStart w:id="572" w:name="Tc_Mb6OvpCq4Ei-EnVzyWtZOA_9_0"/>
      <w:bookmarkStart w:id="573" w:name="Tc_kHNp5vkbKUiwyhYWBjVi6A_8_12"/>
      <w:bookmarkStart w:id="574" w:name="Tc_Nfl1lE1HD0yi-La8fGj8GQ_8_3"/>
      <w:bookmarkStart w:id="575" w:name="Tc_XeybNjRWCU-0_5slNVStsg_8_0"/>
      <w:bookmarkStart w:id="576" w:name="Tc_btrDOTCckUW98P12Z6ojCA_7_0"/>
      <w:bookmarkStart w:id="577" w:name="Tc_c4T8fXdPmkerZZ3zlGu7mw_6_14"/>
      <w:bookmarkStart w:id="578" w:name="Tc_54jkTOjsNkqojdc_cO34gQ_6_11"/>
      <w:bookmarkStart w:id="579" w:name="Tc_pSHVrT75XEKInHJyl-sDFw_6_8"/>
      <w:bookmarkStart w:id="580" w:name="Tc_c9tPtsDOG0u1-8q-LFtLRw_6_5"/>
      <w:bookmarkStart w:id="581" w:name="Tc_zsxK8-mJrEWVsfFJQCVjEA_6_2"/>
      <w:bookmarkStart w:id="582" w:name="Tc_IUD09eCemE-IQIJ1x4b_Dg_6_0"/>
      <w:bookmarkStart w:id="583" w:name="Tc_Jxc5kltHNUCw_fygfGjhGg_5_2"/>
      <w:bookmarkStart w:id="584" w:name="Tc_PRRTE0J-tECRF7C7Zh9o3A_4_14"/>
      <w:bookmarkStart w:id="585" w:name="Tc_0FmNsgHL2EefsF43j9gC2A_4_11"/>
      <w:bookmarkStart w:id="586" w:name="Tc_rNXD7a7pUkiL2ThmCsY_Og_4_8"/>
      <w:bookmarkStart w:id="587" w:name="Tc_lDK1r8fJUUGq4hS5ayyYvg_4_5"/>
      <w:bookmarkStart w:id="588" w:name="Tc_4M2xCTh0vE-1JqudPFYEnQ_4_2"/>
      <w:bookmarkStart w:id="589" w:name="Tc_qbzVWs71zUeVXRE26vyYzg_3_11"/>
      <w:bookmarkStart w:id="590" w:name="Tc_2Tp5bjkKgUetPudrkAsd7w_3_8"/>
      <w:bookmarkStart w:id="591" w:name="Tc_L5WbIYz0c0iYhGnusAH14Q_3_5"/>
      <w:bookmarkStart w:id="592" w:name="Tc_S5qoV77X9kOunSmkkB-F8g_3_2"/>
      <w:bookmarkStart w:id="593" w:name="Tc_D7S5OcMAIEeZeM9PDLMdqw_2_11"/>
      <w:bookmarkStart w:id="594" w:name="Tc_HNjLP69xSEOjr54Z_G6bWQ_2_5"/>
      <w:bookmarkStart w:id="595" w:name="Tc_OILBMi2ePkCJ0_LYX7D2UA_2_2"/>
      <w:bookmarkStart w:id="596" w:name="Tc_TbqQkG8pik-1QuTzrpQrWQ_1_2"/>
      <w:bookmarkStart w:id="597" w:name="_18907d99_d2bc_44f1_82a6_95f9293ff80f"/>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tbl>
      <w:tblPr>
        <w:tblW w:w="10205" w:type="dxa"/>
        <w:jc w:val="left"/>
        <w:tblInd w:w="0" w:type="dxa"/>
        <w:tblLayout w:type="fixed"/>
        <w:tblCellMar>
          <w:top w:w="0" w:type="dxa"/>
          <w:left w:w="0" w:type="dxa"/>
          <w:bottom w:w="0" w:type="dxa"/>
          <w:right w:w="0" w:type="dxa"/>
        </w:tblCellMar>
      </w:tblPr>
      <w:tblGrid>
        <w:gridCol w:w="2883"/>
        <w:gridCol w:w="326"/>
        <w:gridCol w:w="274"/>
        <w:gridCol w:w="627"/>
        <w:gridCol w:w="393"/>
        <w:gridCol w:w="254"/>
        <w:gridCol w:w="689"/>
        <w:gridCol w:w="393"/>
        <w:gridCol w:w="370"/>
        <w:gridCol w:w="1015"/>
        <w:gridCol w:w="326"/>
        <w:gridCol w:w="295"/>
        <w:gridCol w:w="801"/>
        <w:gridCol w:w="326"/>
        <w:gridCol w:w="292"/>
        <w:gridCol w:w="941"/>
      </w:tblGrid>
      <w:tr>
        <w:trPr/>
        <w:tc>
          <w:tcPr>
            <w:tcW w:w="2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830705" cy="175260"/>
                      <wp:effectExtent l="0" t="0" r="0" b="0"/>
                      <wp:wrapNone/>
                      <wp:docPr id="67" name="Frame67"/>
                      <a:graphic xmlns:a="http://schemas.openxmlformats.org/drawingml/2006/main">
                        <a:graphicData uri="http://schemas.microsoft.com/office/word/2010/wordprocessingShape">
                          <wps:wsp>
                            <wps:cNvSpPr txBox="1"/>
                            <wps:spPr>
                              <a:xfrm>
                                <a:off x="0" y="0"/>
                                <a:ext cx="183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73990" cy="175260"/>
                      <wp:effectExtent l="0" t="0" r="0" b="0"/>
                      <wp:wrapNone/>
                      <wp:docPr id="69" name="Frame69"/>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98145" cy="175260"/>
                      <wp:effectExtent l="0" t="0" r="0" b="0"/>
                      <wp:wrapNone/>
                      <wp:docPr id="70" name="Frame70"/>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49555" cy="175260"/>
                      <wp:effectExtent l="0" t="0" r="0" b="0"/>
                      <wp:wrapNone/>
                      <wp:docPr id="71" name="Frame71"/>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61290" cy="175260"/>
                      <wp:effectExtent l="0" t="0" r="0" b="0"/>
                      <wp:wrapNone/>
                      <wp:docPr id="72" name="Frame72"/>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37515" cy="175260"/>
                      <wp:effectExtent l="0" t="0" r="0" b="0"/>
                      <wp:wrapNone/>
                      <wp:docPr id="73" name="Frame73"/>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49555" cy="175260"/>
                      <wp:effectExtent l="0" t="0" r="0" b="0"/>
                      <wp:wrapNone/>
                      <wp:docPr id="74" name="Frame74"/>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34950" cy="175260"/>
                      <wp:effectExtent l="0" t="0" r="0" b="0"/>
                      <wp:wrapNone/>
                      <wp:docPr id="75" name="Frame75"/>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4525" cy="175260"/>
                      <wp:effectExtent l="0" t="0" r="0" b="0"/>
                      <wp:wrapNone/>
                      <wp:docPr id="76" name="Frame76"/>
                      <a:graphic xmlns:a="http://schemas.openxmlformats.org/drawingml/2006/main">
                        <a:graphicData uri="http://schemas.microsoft.com/office/word/2010/wordprocessingShape">
                          <wps:wsp>
                            <wps:cNvSpPr txBox="1"/>
                            <wps:spPr>
                              <a:xfrm>
                                <a:off x="0" y="0"/>
                                <a:ext cx="644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87325" cy="175260"/>
                      <wp:effectExtent l="0" t="0" r="0" b="0"/>
                      <wp:wrapNone/>
                      <wp:docPr id="78" name="Frame78"/>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08635" cy="175260"/>
                      <wp:effectExtent l="0" t="0" r="0" b="0"/>
                      <wp:wrapNone/>
                      <wp:docPr id="79" name="Frame79"/>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85420" cy="175260"/>
                      <wp:effectExtent l="0" t="0" r="0" b="0"/>
                      <wp:wrapNone/>
                      <wp:docPr id="81" name="Frame81"/>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97535" cy="175260"/>
                      <wp:effectExtent l="0" t="0" r="0" b="0"/>
                      <wp:wrapNone/>
                      <wp:docPr id="82" name="Frame82"/>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1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 Attributable to Icahn Enterprises</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 </w:t>
            </w:r>
          </w:p>
        </w:tc>
        <w:tc>
          <w:tcPr>
            <w:tcW w:w="941" w:type="dxa"/>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General </w:t>
            </w:r>
          </w:p>
        </w:tc>
        <w:tc>
          <w:tcPr>
            <w:tcW w:w="393" w:type="dxa"/>
            <w:tcBorders/>
            <w:vAlign w:val="center"/>
          </w:tcPr>
          <w:p>
            <w:pPr>
              <w:pStyle w:val="TableContents"/>
              <w:bidi w:val="0"/>
              <w:spacing w:before="0" w:after="0"/>
              <w:ind w:left="0" w:right="0" w:hanging="0"/>
              <w:jc w:val="left"/>
              <w:rPr/>
            </w:pPr>
            <w:r>
              <w:rPr/>
              <w:t>​</w:t>
            </w:r>
          </w:p>
        </w:tc>
        <w:tc>
          <w:tcPr>
            <w:tcW w:w="94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Limited </w:t>
            </w:r>
            <w:r>
              <w:rPr>
                <w:rFonts w:ascii="Times New Roman;Times;serif" w:hAnsi="Times New Roman;Times;serif"/>
                <w:sz w:val="20"/>
              </w:rPr>
              <w:t> </w:t>
            </w:r>
          </w:p>
        </w:tc>
        <w:tc>
          <w:tcPr>
            <w:tcW w:w="393"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w:t>
            </w:r>
          </w:p>
        </w:tc>
        <w:tc>
          <w:tcPr>
            <w:tcW w:w="941" w:type="dxa"/>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Partner’s</w:t>
            </w:r>
          </w:p>
        </w:tc>
        <w:tc>
          <w:tcPr>
            <w:tcW w:w="393" w:type="dxa"/>
            <w:tcBorders/>
            <w:vAlign w:val="center"/>
          </w:tcPr>
          <w:p>
            <w:pPr>
              <w:pStyle w:val="TableContents"/>
              <w:bidi w:val="0"/>
              <w:spacing w:before="0" w:after="0"/>
              <w:ind w:left="0" w:right="0" w:hanging="0"/>
              <w:jc w:val="left"/>
              <w:rPr/>
            </w:pPr>
            <w:r>
              <w:rPr/>
              <w:t>​</w:t>
            </w:r>
          </w:p>
        </w:tc>
        <w:tc>
          <w:tcPr>
            <w:tcW w:w="943"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Partners’ </w:t>
            </w:r>
          </w:p>
        </w:tc>
        <w:tc>
          <w:tcPr>
            <w:tcW w:w="393" w:type="dxa"/>
            <w:tcBorders/>
            <w:vAlign w:val="center"/>
          </w:tcPr>
          <w:p>
            <w:pPr>
              <w:pStyle w:val="TableContents"/>
              <w:bidi w:val="0"/>
              <w:spacing w:before="0" w:after="0"/>
              <w:ind w:left="0" w:right="0" w:hanging="0"/>
              <w:jc w:val="left"/>
              <w:rPr/>
            </w:pPr>
            <w:r>
              <w:rPr/>
              <w:t>​</w:t>
            </w:r>
          </w:p>
        </w:tc>
        <w:tc>
          <w:tcPr>
            <w:tcW w:w="13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Partners’ </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controlling </w:t>
            </w:r>
          </w:p>
        </w:tc>
        <w:tc>
          <w:tcPr>
            <w:tcW w:w="326" w:type="dxa"/>
            <w:tcBorders/>
            <w:vAlign w:val="center"/>
          </w:tcPr>
          <w:p>
            <w:pPr>
              <w:pStyle w:val="TableContents"/>
              <w:bidi w:val="0"/>
              <w:spacing w:before="0" w:after="0"/>
              <w:ind w:left="0" w:right="0" w:hanging="0"/>
              <w:jc w:val="left"/>
              <w:rPr/>
            </w:pPr>
            <w:r>
              <w:rPr/>
              <w:t>​</w:t>
            </w:r>
          </w:p>
        </w:tc>
        <w:tc>
          <w:tcPr>
            <w:tcW w:w="1233" w:type="dxa"/>
            <w:gridSpan w:val="2"/>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20"/>
              </w:rPr>
              <w:t>Deficit</w:t>
            </w:r>
          </w:p>
        </w:tc>
        <w:tc>
          <w:tcPr>
            <w:tcW w:w="393" w:type="dxa"/>
            <w:tcBorders/>
            <w:vAlign w:val="center"/>
          </w:tcPr>
          <w:p>
            <w:pPr>
              <w:pStyle w:val="TableContents"/>
              <w:bidi w:val="0"/>
              <w:spacing w:before="0" w:after="0"/>
              <w:ind w:left="0" w:right="0" w:hanging="0"/>
              <w:jc w:val="left"/>
              <w:rPr/>
            </w:pPr>
            <w:r>
              <w:rPr/>
              <w:t>    </w:t>
            </w:r>
          </w:p>
        </w:tc>
        <w:tc>
          <w:tcPr>
            <w:tcW w:w="9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c>
          <w:tcPr>
            <w:tcW w:w="393" w:type="dxa"/>
            <w:tcBorders/>
            <w:vAlign w:val="center"/>
          </w:tcPr>
          <w:p>
            <w:pPr>
              <w:pStyle w:val="TableContents"/>
              <w:bidi w:val="0"/>
              <w:spacing w:before="0" w:after="0"/>
              <w:ind w:left="0" w:right="0" w:hanging="0"/>
              <w:jc w:val="left"/>
              <w:rPr/>
            </w:pPr>
            <w:r>
              <w:rPr/>
              <w:t>    </w:t>
            </w:r>
          </w:p>
        </w:tc>
        <w:tc>
          <w:tcPr>
            <w:tcW w:w="13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Interests</w:t>
            </w:r>
          </w:p>
        </w:tc>
        <w:tc>
          <w:tcPr>
            <w:tcW w:w="326" w:type="dxa"/>
            <w:tcBorders/>
            <w:vAlign w:val="center"/>
          </w:tcPr>
          <w:p>
            <w:pPr>
              <w:pStyle w:val="TableContents"/>
              <w:bidi w:val="0"/>
              <w:spacing w:before="0" w:after="0"/>
              <w:ind w:left="0" w:right="0" w:hanging="0"/>
              <w:jc w:val="left"/>
              <w:rPr/>
            </w:pPr>
            <w:r>
              <w:rPr/>
              <w:t>    </w:t>
            </w:r>
          </w:p>
        </w:tc>
        <w:tc>
          <w:tcPr>
            <w:tcW w:w="12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Equity</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96" w:type="dxa"/>
            <w:gridSpan w:val="1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millions)</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December 31, 2023</w:t>
            </w:r>
          </w:p>
        </w:tc>
        <w:tc>
          <w:tcPr>
            <w:tcW w:w="326" w:type="dxa"/>
            <w:tcBorders/>
            <w:shd w:fill="CCEEFF" w:val="clear"/>
            <w:vAlign w:val="center"/>
          </w:tcPr>
          <w:p>
            <w:pPr>
              <w:pStyle w:val="TableContents"/>
              <w:bidi w:val="0"/>
              <w:spacing w:before="0" w:after="0"/>
              <w:ind w:left="0" w:right="0" w:hanging="0"/>
              <w:jc w:val="center"/>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393"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3,969</w:t>
            </w:r>
          </w:p>
        </w:tc>
        <w:tc>
          <w:tcPr>
            <w:tcW w:w="393"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3,208</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2,865</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6,073</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93"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center"/>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 payable</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distributions to non-controlling interests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3" w:type="dxa"/>
            <w:tcBorders/>
            <w:vAlign w:val="center"/>
          </w:tcPr>
          <w:p>
            <w:pPr>
              <w:pStyle w:val="TableContents"/>
              <w:bidi w:val="0"/>
              <w:spacing w:before="0" w:after="0"/>
              <w:ind w:left="0" w:right="0" w:hanging="0"/>
              <w:jc w:val="left"/>
              <w:rPr/>
            </w:pPr>
            <w:r>
              <w:rPr/>
              <w:t> </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 </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(769)</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3,550</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2,781</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2,844</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5,625</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 payable reversal</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distributions to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June 30, 2024</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(770)</w:t>
            </w:r>
          </w:p>
        </w:tc>
        <w:tc>
          <w:tcPr>
            <w:tcW w:w="393"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3,497</w:t>
            </w:r>
          </w:p>
        </w:tc>
        <w:tc>
          <w:tcPr>
            <w:tcW w:w="393" w:type="dxa"/>
            <w:tcBorders/>
            <w:vAlign w:val="center"/>
          </w:tcPr>
          <w:p>
            <w:pPr>
              <w:pStyle w:val="TableContents"/>
              <w:bidi w:val="0"/>
              <w:spacing w:before="0" w:after="0"/>
              <w:ind w:left="0" w:right="0" w:hanging="0"/>
              <w:jc w:val="left"/>
              <w:rPr/>
            </w:pPr>
            <w:r>
              <w:rPr/>
              <w:t> </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2,727</w:t>
            </w:r>
          </w:p>
        </w:tc>
        <w:tc>
          <w:tcPr>
            <w:tcW w:w="32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2,659</w:t>
            </w:r>
          </w:p>
        </w:tc>
        <w:tc>
          <w:tcPr>
            <w:tcW w:w="326" w:type="dxa"/>
            <w:tcBorders/>
            <w:vAlign w:val="center"/>
          </w:tcPr>
          <w:p>
            <w:pPr>
              <w:pStyle w:val="TableContents"/>
              <w:bidi w:val="0"/>
              <w:spacing w:before="0" w:after="0"/>
              <w:ind w:left="0" w:right="0" w:hanging="0"/>
              <w:jc w:val="left"/>
              <w:rPr/>
            </w:pPr>
            <w:r>
              <w:rPr/>
              <w:t> </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5,386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00"/>
        <w:ind w:left="0" w:right="0" w:hanging="0"/>
        <w:jc w:val="center"/>
        <w:rPr>
          <w:rFonts w:ascii="Times New Roman;Times;serif" w:hAnsi="Times New Roman;Times;serif"/>
          <w:b/>
          <w:sz w:val="20"/>
        </w:rPr>
      </w:pPr>
      <w:bookmarkStart w:id="598" w:name="_3fedd565_edd0_4969_a227_93cf272dd1d5"/>
      <w:bookmarkEnd w:id="598"/>
      <w:r>
        <w:rPr>
          <w:rFonts w:ascii="Times New Roman;Times;serif" w:hAnsi="Times New Roman;Times;serif"/>
          <w:b/>
          <w:sz w:val="20"/>
        </w:rPr>
        <w:t>ICAHN ENTERPRISES L.P.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 (UNAUDITED)</w:t>
      </w:r>
    </w:p>
    <w:p>
      <w:pPr>
        <w:pStyle w:val="Normal"/>
        <w:bidi w:val="0"/>
        <w:spacing w:before="0" w:after="0"/>
        <w:jc w:val="left"/>
        <w:rPr>
          <w:sz w:val="4"/>
          <w:szCs w:val="4"/>
        </w:rPr>
      </w:pPr>
      <w:r>
        <w:rPr>
          <w:sz w:val="4"/>
          <w:szCs w:val="4"/>
        </w:rPr>
      </w:r>
      <w:bookmarkStart w:id="599" w:name="Tc_ngskG1kBfkWtDtrVJ3f7TA_47_5"/>
      <w:bookmarkStart w:id="600" w:name="Tc_0jE_y5klvUabpBH0b1ME4Q_47_2"/>
      <w:bookmarkStart w:id="601" w:name="Tc_Weam6HOk5EihVUhGJ-Chew_47_0"/>
      <w:bookmarkStart w:id="602" w:name="Tc_8cZDBOlCrkSRxPZkloeaPg_46_0"/>
      <w:bookmarkStart w:id="603" w:name="Tc_Kvw2K3rDhkC3Q709mmBK5A_45_0"/>
      <w:bookmarkStart w:id="604" w:name="Tc_Qz7iAjJWDUGmuaayHWyFsw_44_0"/>
      <w:bookmarkStart w:id="605" w:name="Tc_Lc-Ny2ms_0OQuXhSj3Xjjw_43_0"/>
      <w:bookmarkStart w:id="606" w:name="Tc_hZVthMVn7EeOLQMJRXX5Uw_42_0"/>
      <w:bookmarkStart w:id="607" w:name="Tc_ZVf6dYEV4UyW2kYTpSAnoQ_41_0"/>
      <w:bookmarkStart w:id="608" w:name="Tc_OcgctdkeS0qmarlARGgGQg_40_0"/>
      <w:bookmarkStart w:id="609" w:name="Tc_dEsuIit4oEqJ4_XrcclzEw_39_6"/>
      <w:bookmarkStart w:id="610" w:name="Tc_lmi5v-ZtHEKOB3LDVFgIpg_39_0"/>
      <w:bookmarkStart w:id="611" w:name="Tc_ZaKVLxCaRkqsNx1fBuxgcw_38_3"/>
      <w:bookmarkStart w:id="612" w:name="Tc_zW1EndXrgkupGsIgDeyecw_38_0"/>
      <w:bookmarkStart w:id="613" w:name="Tc_zJ1Ps3iSUEaDhlsDvNWnMw_37_3"/>
      <w:bookmarkStart w:id="614" w:name="Tc_taKTVamnlUaVgQGx0cND8g_37_0"/>
      <w:bookmarkStart w:id="615" w:name="Tc_GHAwKXdI5E6FDJITweOEhg_36_0"/>
      <w:bookmarkStart w:id="616" w:name="Tc_5W4wXiF6rU2hOD8vsH6AQg_35_0"/>
      <w:bookmarkStart w:id="617" w:name="Tc_DAQ1nd9hwUK5VxhWKurM1A_34_0"/>
      <w:bookmarkStart w:id="618" w:name="Tc_vJwFlpt8MUiTUs8dqA_HgA_33_0"/>
      <w:bookmarkStart w:id="619" w:name="Tc_lgJTMVPio0iOADuW7GOphA_32_0"/>
      <w:bookmarkStart w:id="620" w:name="Tc_8AnqYyS4W0-FnsqyO54-qw_31_3"/>
      <w:bookmarkStart w:id="621" w:name="Tc_1LHRIsEOIkGDlem9u77cqw_31_0"/>
      <w:bookmarkStart w:id="622" w:name="Tc_ikXe34-5bkGcjct66DWeZw_30_0"/>
      <w:bookmarkStart w:id="623" w:name="Tc_IHSY5WQ-QEOIVZX_1i_C6Q_29_0"/>
      <w:bookmarkStart w:id="624" w:name="Tc_jTPrtmPYHkWYY4kdqyEH_g_28_0"/>
      <w:bookmarkStart w:id="625" w:name="Tc_dN6c7siEpkq62Q8rIfeG2g_27_0"/>
      <w:bookmarkStart w:id="626" w:name="Tc_FE4KuwM9lU-fi_zn5Fr-lA_26_6"/>
      <w:bookmarkStart w:id="627" w:name="Tc_RnBk-VQ54U2_FT1MU1dC1Q_26_0"/>
      <w:bookmarkStart w:id="628" w:name="Tc_FaYWhcEU50ChorzU4RXLkg_25_0"/>
      <w:bookmarkStart w:id="629" w:name="Tc_qXUn_8Mw7E-MZn67OltVVA_24_3"/>
      <w:bookmarkStart w:id="630" w:name="Tc_pN8xOfvSJkyIxctN-H9vVg_24_0"/>
      <w:bookmarkStart w:id="631" w:name="Tc_tHi-j2o9_EWV0nbct1ax7g_23_0"/>
      <w:bookmarkStart w:id="632" w:name="Tc_VhzfsrK-CES1d205uWYqqQ_22_0"/>
      <w:bookmarkStart w:id="633" w:name="Tc_7S7fd6w2-US-T68iVW9Jvg_21_0"/>
      <w:bookmarkStart w:id="634" w:name="Tc_c9RESnwr4UCNyEKcRgjvnA_20_0"/>
      <w:bookmarkStart w:id="635" w:name="Tc_Y4k_fM9VvEKkGtiFGLP0ww_19_0"/>
      <w:bookmarkStart w:id="636" w:name="Tc_IRtOXBwjHUeh-9M1MYOaEg_18_0"/>
      <w:bookmarkStart w:id="637" w:name="Tc_w6gw7LdZ0EqtNQzIH838tA_17_0"/>
      <w:bookmarkStart w:id="638" w:name="Tc_D9e5O35iUUeZgPLyDHU2IQ_16_6"/>
      <w:bookmarkStart w:id="639" w:name="Tc_LsVX9ILXfUSXOg0byq1h9A_16_0"/>
      <w:bookmarkStart w:id="640" w:name="Tc_3cqmxNNVWUiqjqJdAmT63w_15_0"/>
      <w:bookmarkStart w:id="641" w:name="Tc_-cjMAAuyzkit9jCxBNgy2Q_14_0"/>
      <w:bookmarkStart w:id="642" w:name="Tc_6n44VKHWX0qYGO-jXnUb-g_13_0"/>
      <w:bookmarkStart w:id="643" w:name="Tc_kpg4OOO3ZEaNcwEHiiQWug_12_0"/>
      <w:bookmarkStart w:id="644" w:name="Tc_k3AK1_0vrUCPSJJavjaiNw_11_0"/>
      <w:bookmarkStart w:id="645" w:name="Tc_kFa6h603BkG5hOFvJWTf_A_10_0"/>
      <w:bookmarkStart w:id="646" w:name="Tc_FdPhJ_MFaUaRRTgjr5kbuA_9_0"/>
      <w:bookmarkStart w:id="647" w:name="Tc_zkwRdNFiWEueFRlli4GhqA_8_0"/>
      <w:bookmarkStart w:id="648" w:name="Tc_ETN48jiaPkSKN8eVxtzH-Q_7_0"/>
      <w:bookmarkStart w:id="649" w:name="Tc_9duqFO49XE2D5ZiPNvpxFw_6_0"/>
      <w:bookmarkStart w:id="650" w:name="Tc_b2R_rdfxq0WOgHCHy9FN9A_5_5"/>
      <w:bookmarkStart w:id="651" w:name="Tc_HhLUvY7WrkakorgZYJZNcg_5_2"/>
      <w:bookmarkStart w:id="652" w:name="Tc_alQZiv5SIE-TSFCBC0F8hw_5_0"/>
      <w:bookmarkStart w:id="653" w:name="Tc_d2I9CouwwkS4BfELAob6ag_4_0"/>
      <w:bookmarkStart w:id="654" w:name="Tc_gR8p0FA2aUiN1DRY34ARmQ_3_2"/>
      <w:bookmarkStart w:id="655" w:name="Tc_AIm0Dpigmku-4sd4gOHMZA_2_5"/>
      <w:bookmarkStart w:id="656" w:name="Tc_p_rcRzvvpkehUgBzb2yuoA_2_2"/>
      <w:bookmarkStart w:id="657" w:name="Tc_jACVONaAikKRrtXlvplN8g_1_2"/>
      <w:bookmarkStart w:id="658" w:name="_9265a6c3_978c_4ae6_ab20_bb34282ec892"/>
      <w:bookmarkStart w:id="659" w:name="Tc_ngskG1kBfkWtDtrVJ3f7TA_47_5"/>
      <w:bookmarkStart w:id="660" w:name="Tc_0jE_y5klvUabpBH0b1ME4Q_47_2"/>
      <w:bookmarkStart w:id="661" w:name="Tc_Weam6HOk5EihVUhGJ-Chew_47_0"/>
      <w:bookmarkStart w:id="662" w:name="Tc_8cZDBOlCrkSRxPZkloeaPg_46_0"/>
      <w:bookmarkStart w:id="663" w:name="Tc_Kvw2K3rDhkC3Q709mmBK5A_45_0"/>
      <w:bookmarkStart w:id="664" w:name="Tc_Qz7iAjJWDUGmuaayHWyFsw_44_0"/>
      <w:bookmarkStart w:id="665" w:name="Tc_Lc-Ny2ms_0OQuXhSj3Xjjw_43_0"/>
      <w:bookmarkStart w:id="666" w:name="Tc_hZVthMVn7EeOLQMJRXX5Uw_42_0"/>
      <w:bookmarkStart w:id="667" w:name="Tc_ZVf6dYEV4UyW2kYTpSAnoQ_41_0"/>
      <w:bookmarkStart w:id="668" w:name="Tc_OcgctdkeS0qmarlARGgGQg_40_0"/>
      <w:bookmarkStart w:id="669" w:name="Tc_dEsuIit4oEqJ4_XrcclzEw_39_6"/>
      <w:bookmarkStart w:id="670" w:name="Tc_lmi5v-ZtHEKOB3LDVFgIpg_39_0"/>
      <w:bookmarkStart w:id="671" w:name="Tc_ZaKVLxCaRkqsNx1fBuxgcw_38_3"/>
      <w:bookmarkStart w:id="672" w:name="Tc_zW1EndXrgkupGsIgDeyecw_38_0"/>
      <w:bookmarkStart w:id="673" w:name="Tc_zJ1Ps3iSUEaDhlsDvNWnMw_37_3"/>
      <w:bookmarkStart w:id="674" w:name="Tc_taKTVamnlUaVgQGx0cND8g_37_0"/>
      <w:bookmarkStart w:id="675" w:name="Tc_GHAwKXdI5E6FDJITweOEhg_36_0"/>
      <w:bookmarkStart w:id="676" w:name="Tc_5W4wXiF6rU2hOD8vsH6AQg_35_0"/>
      <w:bookmarkStart w:id="677" w:name="Tc_DAQ1nd9hwUK5VxhWKurM1A_34_0"/>
      <w:bookmarkStart w:id="678" w:name="Tc_vJwFlpt8MUiTUs8dqA_HgA_33_0"/>
      <w:bookmarkStart w:id="679" w:name="Tc_lgJTMVPio0iOADuW7GOphA_32_0"/>
      <w:bookmarkStart w:id="680" w:name="Tc_8AnqYyS4W0-FnsqyO54-qw_31_3"/>
      <w:bookmarkStart w:id="681" w:name="Tc_1LHRIsEOIkGDlem9u77cqw_31_0"/>
      <w:bookmarkStart w:id="682" w:name="Tc_ikXe34-5bkGcjct66DWeZw_30_0"/>
      <w:bookmarkStart w:id="683" w:name="Tc_IHSY5WQ-QEOIVZX_1i_C6Q_29_0"/>
      <w:bookmarkStart w:id="684" w:name="Tc_jTPrtmPYHkWYY4kdqyEH_g_28_0"/>
      <w:bookmarkStart w:id="685" w:name="Tc_dN6c7siEpkq62Q8rIfeG2g_27_0"/>
      <w:bookmarkStart w:id="686" w:name="Tc_FE4KuwM9lU-fi_zn5Fr-lA_26_6"/>
      <w:bookmarkStart w:id="687" w:name="Tc_RnBk-VQ54U2_FT1MU1dC1Q_26_0"/>
      <w:bookmarkStart w:id="688" w:name="Tc_FaYWhcEU50ChorzU4RXLkg_25_0"/>
      <w:bookmarkStart w:id="689" w:name="Tc_qXUn_8Mw7E-MZn67OltVVA_24_3"/>
      <w:bookmarkStart w:id="690" w:name="Tc_pN8xOfvSJkyIxctN-H9vVg_24_0"/>
      <w:bookmarkStart w:id="691" w:name="Tc_tHi-j2o9_EWV0nbct1ax7g_23_0"/>
      <w:bookmarkStart w:id="692" w:name="Tc_VhzfsrK-CES1d205uWYqqQ_22_0"/>
      <w:bookmarkStart w:id="693" w:name="Tc_7S7fd6w2-US-T68iVW9Jvg_21_0"/>
      <w:bookmarkStart w:id="694" w:name="Tc_c9RESnwr4UCNyEKcRgjvnA_20_0"/>
      <w:bookmarkStart w:id="695" w:name="Tc_Y4k_fM9VvEKkGtiFGLP0ww_19_0"/>
      <w:bookmarkStart w:id="696" w:name="Tc_IRtOXBwjHUeh-9M1MYOaEg_18_0"/>
      <w:bookmarkStart w:id="697" w:name="Tc_w6gw7LdZ0EqtNQzIH838tA_17_0"/>
      <w:bookmarkStart w:id="698" w:name="Tc_D9e5O35iUUeZgPLyDHU2IQ_16_6"/>
      <w:bookmarkStart w:id="699" w:name="Tc_LsVX9ILXfUSXOg0byq1h9A_16_0"/>
      <w:bookmarkStart w:id="700" w:name="Tc_3cqmxNNVWUiqjqJdAmT63w_15_0"/>
      <w:bookmarkStart w:id="701" w:name="Tc_-cjMAAuyzkit9jCxBNgy2Q_14_0"/>
      <w:bookmarkStart w:id="702" w:name="Tc_6n44VKHWX0qYGO-jXnUb-g_13_0"/>
      <w:bookmarkStart w:id="703" w:name="Tc_kpg4OOO3ZEaNcwEHiiQWug_12_0"/>
      <w:bookmarkStart w:id="704" w:name="Tc_k3AK1_0vrUCPSJJavjaiNw_11_0"/>
      <w:bookmarkStart w:id="705" w:name="Tc_kFa6h603BkG5hOFvJWTf_A_10_0"/>
      <w:bookmarkStart w:id="706" w:name="Tc_FdPhJ_MFaUaRRTgjr5kbuA_9_0"/>
      <w:bookmarkStart w:id="707" w:name="Tc_zkwRdNFiWEueFRlli4GhqA_8_0"/>
      <w:bookmarkStart w:id="708" w:name="Tc_ETN48jiaPkSKN8eVxtzH-Q_7_0"/>
      <w:bookmarkStart w:id="709" w:name="Tc_9duqFO49XE2D5ZiPNvpxFw_6_0"/>
      <w:bookmarkStart w:id="710" w:name="Tc_b2R_rdfxq0WOgHCHy9FN9A_5_5"/>
      <w:bookmarkStart w:id="711" w:name="Tc_HhLUvY7WrkakorgZYJZNcg_5_2"/>
      <w:bookmarkStart w:id="712" w:name="Tc_alQZiv5SIE-TSFCBC0F8hw_5_0"/>
      <w:bookmarkStart w:id="713" w:name="Tc_d2I9CouwwkS4BfELAob6ag_4_0"/>
      <w:bookmarkStart w:id="714" w:name="Tc_gR8p0FA2aUiN1DRY34ARmQ_3_2"/>
      <w:bookmarkStart w:id="715" w:name="Tc_AIm0Dpigmku-4sd4gOHMZA_2_5"/>
      <w:bookmarkStart w:id="716" w:name="Tc_p_rcRzvvpkehUgBzb2yuoA_2_2"/>
      <w:bookmarkStart w:id="717" w:name="Tc_jACVONaAikKRrtXlvplN8g_1_2"/>
      <w:bookmarkStart w:id="718" w:name="_9265a6c3_978c_4ae6_ab20_bb34282ec892"/>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tbl>
      <w:tblPr>
        <w:tblW w:w="10205" w:type="dxa"/>
        <w:jc w:val="left"/>
        <w:tblInd w:w="0" w:type="dxa"/>
        <w:tblLayout w:type="fixed"/>
        <w:tblCellMar>
          <w:top w:w="0" w:type="dxa"/>
          <w:left w:w="0" w:type="dxa"/>
          <w:bottom w:w="0" w:type="dxa"/>
          <w:right w:w="0" w:type="dxa"/>
        </w:tblCellMar>
      </w:tblPr>
      <w:tblGrid>
        <w:gridCol w:w="7450"/>
        <w:gridCol w:w="326"/>
        <w:gridCol w:w="235"/>
        <w:gridCol w:w="755"/>
        <w:gridCol w:w="392"/>
        <w:gridCol w:w="235"/>
        <w:gridCol w:w="812"/>
      </w:tblGrid>
      <w:tr>
        <w:trPr/>
        <w:tc>
          <w:tcPr>
            <w:tcW w:w="7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730750" cy="175260"/>
                      <wp:effectExtent l="0" t="0" r="0" b="0"/>
                      <wp:wrapNone/>
                      <wp:docPr id="83" name="Frame83"/>
                      <a:graphic xmlns:a="http://schemas.openxmlformats.org/drawingml/2006/main">
                        <a:graphicData uri="http://schemas.microsoft.com/office/word/2010/wordprocessingShape">
                          <wps:wsp>
                            <wps:cNvSpPr txBox="1"/>
                            <wps:spPr>
                              <a:xfrm>
                                <a:off x="0" y="0"/>
                                <a:ext cx="4730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9225" cy="175260"/>
                      <wp:effectExtent l="0" t="0" r="0" b="0"/>
                      <wp:wrapNone/>
                      <wp:docPr id="85" name="Frame85"/>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79425" cy="175260"/>
                      <wp:effectExtent l="0" t="0" r="0" b="0"/>
                      <wp:wrapNone/>
                      <wp:docPr id="86" name="Frame86"/>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48920" cy="175260"/>
                      <wp:effectExtent l="0" t="0" r="0" b="0"/>
                      <wp:wrapNone/>
                      <wp:docPr id="87" name="Frame87"/>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49225" cy="175260"/>
                      <wp:effectExtent l="0" t="0" r="0" b="0"/>
                      <wp:wrapNone/>
                      <wp:docPr id="88" name="Frame88"/>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15620" cy="175260"/>
                      <wp:effectExtent l="0" t="0" r="0" b="0"/>
                      <wp:wrapNone/>
                      <wp:docPr id="89" name="Frame89"/>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74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92" w:type="dxa"/>
            <w:tcBorders/>
            <w:vAlign w:val="center"/>
          </w:tcPr>
          <w:p>
            <w:pPr>
              <w:pStyle w:val="TableContents"/>
              <w:bidi w:val="0"/>
              <w:spacing w:before="0" w:after="1"/>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4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429"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center"/>
              <w:rPr/>
            </w:pPr>
            <w:r>
              <w:rPr/>
              <w:t>​</w:t>
            </w:r>
          </w:p>
        </w:tc>
        <w:tc>
          <w:tcPr>
            <w:tcW w:w="755" w:type="dxa"/>
            <w:tcBorders/>
            <w:shd w:fill="CCEEFF" w:val="clear"/>
            <w:vAlign w:val="center"/>
          </w:tcPr>
          <w:p>
            <w:pPr>
              <w:pStyle w:val="TableContents"/>
              <w:bidi w:val="0"/>
              <w:spacing w:before="0" w:after="1"/>
              <w:ind w:left="0" w:right="0" w:hanging="0"/>
              <w:jc w:val="center"/>
              <w:rPr/>
            </w:pPr>
            <w:r>
              <w:rPr/>
              <w:t>​</w:t>
            </w:r>
          </w:p>
        </w:tc>
        <w:tc>
          <w:tcPr>
            <w:tcW w:w="392" w:type="dxa"/>
            <w:tcBorders/>
            <w:shd w:fill="CCEEFF" w:val="clear"/>
            <w:vAlign w:val="center"/>
          </w:tcPr>
          <w:p>
            <w:pPr>
              <w:pStyle w:val="TableContents"/>
              <w:bidi w:val="0"/>
              <w:spacing w:before="0" w:after="1"/>
              <w:ind w:left="0" w:right="0" w:hanging="0"/>
              <w:jc w:val="center"/>
              <w:rPr/>
            </w:pPr>
            <w:r>
              <w:rPr/>
              <w:t>​</w:t>
            </w:r>
          </w:p>
        </w:tc>
        <w:tc>
          <w:tcPr>
            <w:tcW w:w="235" w:type="dxa"/>
            <w:tcBorders/>
            <w:shd w:fill="CCEEFF" w:val="clear"/>
            <w:vAlign w:val="center"/>
          </w:tcPr>
          <w:p>
            <w:pPr>
              <w:pStyle w:val="TableContents"/>
              <w:bidi w:val="0"/>
              <w:spacing w:before="0" w:after="1"/>
              <w:ind w:left="0" w:right="0" w:hanging="0"/>
              <w:jc w:val="center"/>
              <w:rPr/>
            </w:pPr>
            <w:r>
              <w:rPr/>
              <w:t>​</w:t>
            </w:r>
          </w:p>
        </w:tc>
        <w:tc>
          <w:tcPr>
            <w:tcW w:w="812" w:type="dxa"/>
            <w:tcBorders/>
            <w:shd w:fill="CCEEFF" w:val="clear"/>
            <w:vAlign w:val="center"/>
          </w:tcPr>
          <w:p>
            <w:pPr>
              <w:pStyle w:val="TableContents"/>
              <w:bidi w:val="0"/>
              <w:spacing w:before="0" w:after="1"/>
              <w:ind w:left="0" w:right="0" w:hanging="0"/>
              <w:jc w:val="center"/>
              <w:rPr/>
            </w:pPr>
            <w:r>
              <w:rPr/>
              <w:t>​</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loss </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(781)</w:t>
            </w:r>
          </w:p>
        </w:tc>
        <w:tc>
          <w:tcPr>
            <w:tcW w:w="392" w:type="dxa"/>
            <w:tcBorders/>
            <w:vAlign w:val="center"/>
          </w:tcPr>
          <w:p>
            <w:pPr>
              <w:pStyle w:val="TableContents"/>
              <w:bidi w:val="0"/>
              <w:spacing w:before="0" w:after="1"/>
              <w:ind w:left="0" w:right="0" w:hanging="0"/>
              <w:jc w:val="left"/>
              <w:rPr/>
            </w:pPr>
            <w:r>
              <w:rPr/>
              <w:t>    </w:t>
            </w:r>
          </w:p>
        </w:tc>
        <w:tc>
          <w:tcPr>
            <w:tcW w:w="23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(512)</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pPr>
            <w:r>
              <w:rPr/>
              <w:t>​</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 from securities transactions</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w:t>
            </w:r>
          </w:p>
        </w:tc>
        <w:tc>
          <w:tcPr>
            <w:tcW w:w="392"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322</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Purchases of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(1,069)</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(1,362)</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sales of securities</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1,310</w:t>
            </w:r>
          </w:p>
        </w:tc>
        <w:tc>
          <w:tcPr>
            <w:tcW w:w="392"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926</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to cover securities sold, not yet purchased</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(653)</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securities sold, not yet purchased</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w:t>
            </w:r>
          </w:p>
        </w:tc>
        <w:tc>
          <w:tcPr>
            <w:tcW w:w="392"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receivables and payables relating to securities transactions</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363</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1,597</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derivative assets and liabilities</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w:t>
            </w:r>
          </w:p>
        </w:tc>
        <w:tc>
          <w:tcPr>
            <w:tcW w:w="392"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loss on disposition of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w:t>
            </w:r>
          </w:p>
        </w:tc>
        <w:tc>
          <w:tcPr>
            <w:tcW w:w="392"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256</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taxes</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w:t>
            </w:r>
          </w:p>
        </w:tc>
        <w:tc>
          <w:tcPr>
            <w:tcW w:w="392"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other operating assets and liabilities</w:t>
            </w:r>
          </w:p>
        </w:tc>
        <w:tc>
          <w:tcPr>
            <w:tcW w:w="32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w:t>
            </w:r>
          </w:p>
        </w:tc>
        <w:tc>
          <w:tcPr>
            <w:tcW w:w="392"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642</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pPr>
            <w:r>
              <w:rPr/>
              <w:t>  </w:t>
            </w:r>
          </w:p>
        </w:tc>
        <w:tc>
          <w:tcPr>
            <w:tcW w:w="392"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pPr>
            <w:r>
              <w:rPr/>
              <w:t>  </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 expenditures</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Turnaround expenditures</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w:t>
            </w:r>
          </w:p>
        </w:tc>
        <w:tc>
          <w:tcPr>
            <w:tcW w:w="392"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Acquisition of businesses, net of cash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5"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disposition of businesses and assets</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w:t>
            </w:r>
          </w:p>
        </w:tc>
        <w:tc>
          <w:tcPr>
            <w:tcW w:w="392"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sale of equity method investment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Return of equity method investment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392"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w:t>
            </w:r>
          </w:p>
        </w:tc>
        <w:tc>
          <w:tcPr>
            <w:tcW w:w="392"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pPr>
            <w:r>
              <w:rPr/>
              <w:t>  </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pPr>
            <w:r>
              <w:rPr/>
              <w:t>  </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Investment segment contributions from non-controlling interests</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pPr>
            <w:r>
              <w:rPr/>
              <w:t>—</w:t>
            </w:r>
          </w:p>
        </w:tc>
        <w:tc>
          <w:tcPr>
            <w:tcW w:w="392"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Investment segment distributions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Partnership contributions</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w:t>
            </w:r>
          </w:p>
        </w:tc>
        <w:tc>
          <w:tcPr>
            <w:tcW w:w="392"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Partnership distributions</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additional interests in consolidated subsidiaries</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w:t>
            </w:r>
          </w:p>
        </w:tc>
        <w:tc>
          <w:tcPr>
            <w:tcW w:w="392"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Dividends and distributions to non-controlling interests in subsidiaries</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Holding Company senior notes</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pPr>
            <w:r>
              <w:rPr/>
              <w:t>—</w:t>
            </w:r>
          </w:p>
        </w:tc>
        <w:tc>
          <w:tcPr>
            <w:tcW w:w="392"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766</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Repayments of Holding Company senior notes</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(750)</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Repurchase of Holding Company senior notes</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w:t>
            </w:r>
          </w:p>
        </w:tc>
        <w:tc>
          <w:tcPr>
            <w:tcW w:w="392"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subsidiary borrowings</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Repayments of subsidiary borrowings</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w:t>
            </w:r>
          </w:p>
        </w:tc>
        <w:tc>
          <w:tcPr>
            <w:tcW w:w="392"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(612)</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cash used in financing activities</w:t>
            </w:r>
          </w:p>
        </w:tc>
        <w:tc>
          <w:tcPr>
            <w:tcW w:w="32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w:t>
            </w:r>
          </w:p>
        </w:tc>
        <w:tc>
          <w:tcPr>
            <w:tcW w:w="392"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(758)</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and cash equivalents and restricted cash and restricted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decrease in cash and cash equivalents and restricted cash and restricted cash equivalents</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(763)</w:t>
            </w:r>
          </w:p>
        </w:tc>
        <w:tc>
          <w:tcPr>
            <w:tcW w:w="392"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w:t>
            </w:r>
          </w:p>
        </w:tc>
      </w:tr>
      <w:tr>
        <w:trPr/>
        <w:tc>
          <w:tcPr>
            <w:tcW w:w="74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and restricted cash and restricted cash equivalents,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5,239</w:t>
            </w:r>
          </w:p>
        </w:tc>
        <w:tc>
          <w:tcPr>
            <w:tcW w:w="392"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5,946</w:t>
            </w:r>
          </w:p>
        </w:tc>
      </w:tr>
      <w:tr>
        <w:trPr/>
        <w:tc>
          <w:tcPr>
            <w:tcW w:w="745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and restricted cash and restricted cash equivalents, end of period</w:t>
            </w:r>
          </w:p>
        </w:tc>
        <w:tc>
          <w:tcPr>
            <w:tcW w:w="326" w:type="dxa"/>
            <w:tcBorders/>
            <w:vAlign w:val="center"/>
          </w:tcPr>
          <w:p>
            <w:pPr>
              <w:pStyle w:val="TableContents"/>
              <w:bidi w:val="0"/>
              <w:spacing w:before="0" w:after="1"/>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4,476</w:t>
            </w:r>
          </w:p>
        </w:tc>
        <w:tc>
          <w:tcPr>
            <w:tcW w:w="392" w:type="dxa"/>
            <w:tcBorders/>
            <w:vAlign w:val="center"/>
          </w:tcPr>
          <w:p>
            <w:pPr>
              <w:pStyle w:val="TableContents"/>
              <w:bidi w:val="0"/>
              <w:spacing w:before="0" w:after="1"/>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5,660</w:t>
            </w:r>
          </w:p>
        </w:tc>
      </w:tr>
    </w:tbl>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0" w:after="240"/>
        <w:ind w:left="0" w:right="0" w:firstLine="36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19" w:name="a1DescriptionofBusiness_834296"/>
      <w:bookmarkEnd w:id="719"/>
      <w:r>
        <w:rPr>
          <w:rFonts w:ascii="Times New Roman;Times;serif" w:hAnsi="Times New Roman;Times;serif"/>
          <w:b/>
          <w:sz w:val="20"/>
        </w:rPr>
        <w:t>1.  Description of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L.P. (“Icahn Enterprises”) is a master limited partnership formed in Delaware on February 17, 1987. References to “we,” “our” or “us” herein include both Icahn Enterprises and Icahn Enterprises Holdings L.P. (“Icahn Enterprises Holdings”) and their subsidiaries, unless the context otherwise requires.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owns a 99% limited partner interest in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June 30, 2025, representing an aggregate 1.99% general partner interest in Icahn Enterprises and Icahn Enterprises Holdings. Mr. Icahn and his affiliates owned approximately 86% of our outstanding depositary units as of June 30,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Description of Continuing Operating Businesses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See Note 12, “Segment Reporting,” for a reconciliation of each of our reporting segment’s results of operations to our consolidated results. Certain additional information with respect to our segments is discussed below.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value of approximately $2.5 billion and $2.7 billion as of June 30, 2025 and December 31, 2024,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Energy segment through our majority owned subsidiary, CVR Energy, Inc. (“CVR Energy”), along with our interest in CVR Partners, LP, a publicly traded limited partnership (“CVR Partners”) and subsidiary of CVR Energy. CVR Energy is a diversified holding company primarily engaged in the petroleum refining and marketing businesses, the renewable fuels businesses, as well as in the nitrogen fertilizer manufacturing and distribution businesses through its holdings in CVR Partners. CVR Energy is an independent petroleum refiner and marketer of high value transportation fuels primarily in the form of gasoline, diesel, jet fuel and distillates. The renewables business refines feedstocks, such as soybean oil, corn oil, and other related renewable feedstocks, into renewable diesel and markets renewable products. CVR Partners produces and markets nitrogen fertilizers in the form of urea ammonium nitrate (“UAN”) and ammonia. CVR Energy held 100% of the general partner interest and approximately 37% of the outstanding common units of CVR Partners as of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six months ended June 30, 2025, we increased our ownership of CVR Energy by acquiring 3,726,090 shares for a total purchase price of $65 million. During this period, we also increased our ownership of CVR Partners by acquiring 98,082 units for a total purchase price of $7 million. As of June 30, 2025, we owned approximately 70% of the total outstanding common stock of CVR Energy and 3% of the outstanding common units of CVR Partners.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Automotive segment through our wholly owned subsidiary, Icahn Automotive Group LLC (“Icahn Automotive”). The Automotive segment is engaged in providing a full range of automotive repair and maintenance services, along with the sale of any installed parts or materials related to automotive services (“Automotive Services”) to its customers, as well as sales of automotive aftermarket parts and retailed merchandise (“Aftermarket Parts”). We exited the Aftermarket Parts business in the first quarter of 2025. In addition to its primary businesses, the Automotive segment leases available and excess real estate in certain locations under long-term operating leases.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Food Packaging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conduct our Food Packaging segment through our majority owned subsidiary, Viskase Companies, Inc. (“Viskase”). Viskase is a producer of cellulosic, fibrous and plastic casings used to prepare and package processed meat products.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March 2025, Viskase completed an equity private placement whereby we acquired an additional 7,142,858 shares of Viskase common stock for $15 million. As of June 30, 2025, we owned approximately 91% of the total outstanding common stock of Viskase.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Real Estate segment through various wholly owned subsidiaries. Our Real Estate segment consists of investment properties which includes land, retail, office and industrial properties leased to corporate tenants, the development and sale of single-family homes, and the operations of a resort and a country club.</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Home Fashion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Home Fashion segment through our wholly owned subsidiary, WestPoint Home LLC (“WPH”). WPH’s business consists of manufacturing, sourcing, marketing, distributing and selling home fashion consumer products.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Pharma</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conduct our Pharma segment through our wholly owned subsidiary, Vivus LLC, formerly Vivus, Inc. (“Vivus”). Vivus is a specialty pharmaceutical company with two approved therapies: one for chronic weight management and the other for the treatment of exocrine pancreatic insufficiency. In addition, Vivus has two product candidates in active clinical development and two product candidates in early-stage development.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Basis of Presentation and Summary of Significant Accounting Policies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Events beyond our control, including significant appreciation or depreciation in the market value of certain of our publicly traded holdings or adverse developments with respect to our ownership of certain of our subsidiaries, could result in us inadvertently becoming an investment company that is required to register under the Investment Company Act. Following such events or certain transactions (such as the sale of an operating business),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condensed consolidated financial statements and related notes should be read in conjunction with our consolidated financial statements and related notes contained in our Annual Report on Form 10-K for the year ended December 31, 2024.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condensed consolidated financial statements include the accounts of (i) Icahn Enterprises and (ii) the wholly and majority owned subsidiaries of Icahn Enterprises,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 For entities over which the Company does not have significant influence, the Company accounts for its equity investment at fair value.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for our Investment segment and Holding Company, for equity investments in which we own 50% or less but greater than 20%, we generally account for such investments using the equity method. All other such equity investments are accounted for at fair value.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Variable Interest Entities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Icahn Enterprises Holdings and its subsidiaries own substantially all of our assets and liabilities and therefore, the balance sheets of Icahn Enterprises and Icahn Enterprises Holdings are substantially the same.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established a captive insurance program to supplement the insurance coverage of the officers, directors, employees and agents of the Company, its subsidiaries and our general partner, in addition to our established commercial insurance program. We hold assets in a protected cell, which we are the primary beneficiary of, and therefore consolidate the protected cell. Our total assets related to the protected cell were $111 million and $108 million as of June 30, 2025 and December 31, 2024, respectively, and included in restricted cash in the condensed consolidated balance sheet.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Reclassifications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Certain reclassifications from the prior year presentation have been made to conform to the current year presentation, which did not have an impact on previously reported net income and equity and are not deemed material.</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Note 5, “Fair Value Measurements,” for a detailed discussion of our investments and other non-financial assets and/or liabilities.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fair value of our long-term debt is based on the quoted market prices for the same or similar issues or on the current rates offered to us for debt of the same remaining maturities. The carrying value and estimated fair value of our long-term debt as of June 30, 2025 was approximately $6.7 billion and $6.5 billion, respectively. The carrying value and estimated fair value of our long-term debt as of December 31, 2024 was approximately $6.8 billion and $6.6 billion, respectively.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Cash Flow</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Cash and cash equivalents and restricted cash and restricted cash equivalents on our condensed consolidated statements of cash flows is comprised of (i) cash and cash equivalents and (ii) cash held at consolidated affiliated partnerships and restricted cash.</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Cash Held at Consolidated Affiliated Partnerships and Restricted Cash</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cash held at consolidated affiliated partnerships balance was $691 million and $915 million as of June 30, 2025 and December 31, 2024, respectively. Cash held at consolidated affiliated partnerships relates to our Investment segment and consists of cash and cash equivalents held by the Investment Funds that, although not legally restricted, are not used for the general operating needs of Icahn Enterprises.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restricted cash balance was approximately $2.0 billion and $1.7 billion as of June 30, 2025 and December 31, 2024, respectively. Restricted cash includes, but is not limited to, our Investment segment’s cash pledged and held for margin requirements on derivative transactions and cash held related to our captive insurance program.</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Revenue From Contracts With Customers and Contract Balances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Due to the nature of our business, we derive revenue from various sources in various industries. With the exception of all of our Investment segment’s and our Holding Company’s revenues, and our Real Estate segment’s and Automotive segment’s leasing revenue, our revenue is generally derived from contracts with customers in accordance with U.S. GAAP. Such revenue from contracts with customers is included in net sales and other revenues from operations in the condensed consolidated statements of operations, however, our Real Estate and Automotive segments’ leasing revenue, as disclosed in Note 9, “Leases,” is also included in other revenues from operations. Related contract assets are included in accounts receivable, net or other assets and related contract liabilities are included in accrued expenses and other liabilities in the condensed consolidated balance sheets. Our disaggregation of revenue information includes our net sales and other revenues from operations for each of our reporting segments as well as additional disaggregation of revenue information for our Energy and Automotive segments. See Note 12, “Segment Reporting,” for our complete disaggregation of revenue information. In addition, we disclose additional information with respect to revenue from contracts with customers and contract balances for our Energy and Automotive segments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Energy segment’s deferred revenue is a contract liability that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revenue is recognized at the point in time in which the customer obtains control of the product. As of June 30, 2025, our Energy segment had $6 million of remaining performance obligations for contracts with an original expected duration of more than one year. Our Energy segment expects to recognize $3 million of these performance obligations as revenue by the end of </w:t>
      </w:r>
      <w:r>
        <w:rPr>
          <w:rFonts w:ascii="Times New Roman;Times;serif" w:hAnsi="Times New Roman;Times;serif"/>
          <w:b w:val="false"/>
          <w:i w:val="false"/>
          <w:caps w:val="false"/>
          <w:smallCaps w:val="false"/>
          <w:sz w:val="20"/>
        </w:rPr>
        <w:t>2025</w:t>
      </w:r>
      <w:r>
        <w:rPr>
          <w:rFonts w:ascii="Times New Roman;Times;serif" w:hAnsi="Times New Roman;Times;serif"/>
          <w:sz w:val="20"/>
        </w:rPr>
        <w:t xml:space="preserve">, $3 million during </w:t>
      </w:r>
      <w:r>
        <w:rPr>
          <w:rFonts w:ascii="Times New Roman;Times;serif" w:hAnsi="Times New Roman;Times;serif"/>
          <w:b w:val="false"/>
          <w:i w:val="false"/>
          <w:caps w:val="false"/>
          <w:smallCaps w:val="false"/>
          <w:sz w:val="20"/>
        </w:rPr>
        <w:t>2026</w:t>
      </w:r>
      <w:r>
        <w:rPr>
          <w:rFonts w:ascii="Times New Roman;Times;serif" w:hAnsi="Times New Roman;Times;serif"/>
          <w:sz w:val="20"/>
        </w:rPr>
        <w:t>, and the remaining balance in 2027.</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deferred revenue includes agreements entered into with third-party investors that has allowed our Energy segment to monetize certain tax credits available under Section 45Q of the Internal Revenue Code (the “45Q Transaction”). Our Energy segment had deferred revenue of $33 million and $78 million as of June 30, 2025 and December 31, 2024, respectively. For the six months ended June 30, 2025 and 2024, our Energy segment recognized revenue of $47 million and $13 million, respectively, with respect to deferred revenue outstanding as of the beginning of each respective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 had deferred revenue with respect to extended warranty plans of $31 million and $37 million as of June 30, 2025 and December 31, 2024, respectively, which are included in accrued expenses and other liabilities on the condensed consolidated balance sheets. For each of the six months ended June 30, 2025 and 2024, our Automotive segment recorded deferred revenue of $11 million and $12 million, respectively, outstanding as of the beginning of each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Standards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 – Improvements to Income Tax Disclosures,</w:t>
      </w:r>
      <w:r>
        <w:rPr>
          <w:rFonts w:ascii="Times New Roman;Times;serif" w:hAnsi="Times New Roman;Times;serif"/>
          <w:sz w:val="20"/>
        </w:rPr>
        <w:t xml:space="preserve"> which requires enhanced income tax disclosures that reflect how operations and related tax risks, as well as how tax planning and operational opportunities, affect the tax rate and prospects for future cash flows. This standard is effective for the Company’s annual reporting period beginning January 1, 2025, with early adoption permitted. We are currently assessing the impact of adopting this standard on our consolidated financial statements. </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20"/>
        </w:rPr>
        <w:t>In November 2024, the FASB issued ASU 2024-03, </w:t>
      </w:r>
      <w:r>
        <w:rPr>
          <w:rFonts w:ascii="Times New Roman;Times;serif" w:hAnsi="Times New Roman;Times;serif"/>
          <w:i/>
          <w:sz w:val="20"/>
        </w:rPr>
        <w:t>Income Statement - Reporting Comprehensive Income - Expense Disaggregation Disclosures (Subtopic 220-40)</w:t>
      </w:r>
      <w:r>
        <w:rPr>
          <w:rFonts w:ascii="Times New Roman;Times;serif" w:hAnsi="Times New Roman;Times;serif"/>
          <w:sz w:val="18"/>
        </w:rPr>
        <w:t xml:space="preserve"> </w:t>
      </w:r>
      <w:r>
        <w:rPr>
          <w:rFonts w:ascii="Times New Roman;Times;serif" w:hAnsi="Times New Roman;Times;serif"/>
          <w:sz w:val="20"/>
        </w:rPr>
        <w:t>and in January 2025, the FASB issued ASU 2025-01</w:t>
      </w:r>
      <w:r>
        <w:rPr>
          <w:rFonts w:ascii="Times New Roman;Times;serif" w:hAnsi="Times New Roman;Times;serif"/>
          <w:i/>
          <w:sz w:val="20"/>
        </w:rPr>
        <w:t xml:space="preserve">, Income Statement - Reporting Comprehensive Income - Expense Disaggregation Disclosures (Subtopic 220-40): Clarifying the Effective Date. </w:t>
      </w:r>
      <w:r>
        <w:rPr>
          <w:rFonts w:ascii="Times New Roman;Times;serif" w:hAnsi="Times New Roman;Times;serif"/>
          <w:sz w:val="20"/>
        </w:rPr>
        <w:t>The ASU requires disclosure of specific information about costs and expenses within relevant expense captions on the face of the income statement, qualitative descriptions for expense captions not specifically disaggregated quantitatively, and the total amount and definition of selling expenses for interim and annual reporting periods. This standard, as clarified by ASU 2025-01, is effective for the Company’s annual reporting period beginning January 1, 2027 and interim reporting periods beginning January 1, 2028 and should be applied on a retrospective or prospective basis, with early adoption permitted. We are currently assessing the impact of adopting this standard on our consolidated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Related Party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third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Funds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2025 and December 31, 2024, the total fair market value of investments in the Investment Funds made by Mr. Icahn and his affiliates (excluding us and Brett Icahn) was approximately $1.1 billion and $1.5 billion, respectively, representing approximately 31% and 35% of the Investment Funds’ assets under management as of each respective date. Mr. Icahn and his affiliates (excluding us and Brett Icahn) redeemed $208 million from his personal interests in the Investment Funds during the three and six months ended June 30, 2025, and made no redemptions from the Investment Funds during the three and six months ended June 30, 2024.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pay for expenses pertaining to the operation, administration and investment activities of our Investment segment for the benefit of the Investment Funds (including salaries, benefits and rent). Based on an expense-sharing arrangement, certain expenses borne by us are reimbursed by the Investment Funds. For the six months ended June 30, 2025 and 2024, $6 million and $8 million, respectively, was allocated to the Investment Funds based on this expense-sharing arrangement.</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Other Related Party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Brett Icahn had net redemptions of $8 million during the six months ended June 30, 2025, and had $4 million net redemptions in the six months ended June 30, 2024. As of June 30, 2025 and December 31, 2024 Brett Icahn had investments in the Investment Funds with a total fair market value of $11 million and $17 million, respectively. We also entered into a guaranty agreement with an affiliate of Brett Icahn, pursuant to which we guaranteed the payment of certain amounts required to be distributed by the Investment Funds to such affiliate pursuant to the terms and conditions of the manager agreement.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20" w:name="Tc_6vXCc6kYJ0mIrFflhzvMNg_29_5"/>
      <w:bookmarkStart w:id="721" w:name="Tc_3jooGD2q6k-LMWSew7UE-w_29_2"/>
      <w:bookmarkStart w:id="722" w:name="Tc_BQM2BC7FZky2dFlMfXDXIg_28_3"/>
      <w:bookmarkStart w:id="723" w:name="Tc_V6_ZCECK9EezA0mmdtc0TQ_28_0"/>
      <w:bookmarkStart w:id="724" w:name="Tc_YX25C6VDj0GCV7BzmhAiiA_27_0"/>
      <w:bookmarkStart w:id="725" w:name="Tc_pso1Hkd43UKGSfQLfIZD4Q_25_3"/>
      <w:bookmarkStart w:id="726" w:name="Tc_k4wnuRbqrEyUCH1tfeAeCA_25_0"/>
      <w:bookmarkStart w:id="727" w:name="Tc_9EpuqXJj0UGYGK17NBgeUg_24_3"/>
      <w:bookmarkStart w:id="728" w:name="Tc_EPuaws72PECMspxXVokUUg_24_0"/>
      <w:bookmarkStart w:id="729" w:name="Tc_x6UwJMmPiU6cNlNpp-o6_Q_23_0"/>
      <w:bookmarkStart w:id="730" w:name="Tc_6gJQpk72UEa9vmq4wQp96A_22_5"/>
      <w:bookmarkStart w:id="731" w:name="Tc_h_7Q_ls3Xk20PC-ACGLLrg_22_2"/>
      <w:bookmarkStart w:id="732" w:name="Tc_njfHnWVX_U2uacpbSkfnqw_22_0"/>
      <w:bookmarkStart w:id="733" w:name="Tc_Cpu85K9M8EWyJia60889Jw_21_0"/>
      <w:bookmarkStart w:id="734" w:name="Tc_njUmf4G320aPzjxpSqegvw_20_0"/>
      <w:bookmarkStart w:id="735" w:name="Tc_CngVOtYcX0-UIm-H-XA5CQ_19_0"/>
      <w:bookmarkStart w:id="736" w:name="Tc_j6ORQMBq_kS30-MJOzrTWw_18_5"/>
      <w:bookmarkStart w:id="737" w:name="Tc_tq7Mz8FrqU-amwO9HsRC-g_18_2"/>
      <w:bookmarkStart w:id="738" w:name="Tc_dvGnWmY7S0efnTi8crzpTA_17_3"/>
      <w:bookmarkStart w:id="739" w:name="Tc_9oC8gxavw0ObVhLSDXDMew_16_3"/>
      <w:bookmarkStart w:id="740" w:name="Tc_f5N1gOvaIkS-j7b0VwtuhA_16_0"/>
      <w:bookmarkStart w:id="741" w:name="Tc_zBEOWeKvNESmGTDntjmvMQ_15_0"/>
      <w:bookmarkStart w:id="742" w:name="Tc_TUziLEQ3_kmMM8FfYCth9w_13_0"/>
      <w:bookmarkStart w:id="743" w:name="Tc_5vMOkT-kBkqcMeTME_bDxQ_12_0"/>
      <w:bookmarkStart w:id="744" w:name="Tc_knZGx_Xv202JNwUGo3x23Q_11_0"/>
      <w:bookmarkStart w:id="745" w:name="Tc_LuMHlhx9P0WTfgeZ9_oHuw_10_0"/>
      <w:bookmarkStart w:id="746" w:name="Tc_c8J0CAGWDEe23ZU8XIBhgQ_9_0"/>
      <w:bookmarkStart w:id="747" w:name="Tc_VOJzdumSBEGrqlBsP182Lg_8_0"/>
      <w:bookmarkStart w:id="748" w:name="Tc_p4SAIrWnrEG9DxjjFiFMdA_7_5"/>
      <w:bookmarkStart w:id="749" w:name="Tc_uWPz8IIYCUqowjWDl5FJGA_7_2"/>
      <w:bookmarkStart w:id="750" w:name="Tc_-UoKJFbtCkCSxNU_1J0pvQ_7_0"/>
      <w:bookmarkStart w:id="751" w:name="Tc_8D2CnuNJ2E2c9RBbwukQiA_6_0"/>
      <w:bookmarkStart w:id="752" w:name="Tc_YmB3NG-B8EyIW9BvtovwaQ_5_0"/>
      <w:bookmarkStart w:id="753" w:name="Tc_JpHX4r_1YU2cLe7CwNAQqQ_4_0"/>
      <w:bookmarkStart w:id="754" w:name="Tc_obKWsI0mDEaHv-oxc5lzyQ_3_2"/>
      <w:bookmarkStart w:id="755" w:name="Tc_Qo9SMU0H3UCbbWxQzVAMoA_2_5"/>
      <w:bookmarkStart w:id="756" w:name="Tc_HCkHLQku4UGINYqzKZ7JtQ_2_2"/>
      <w:bookmarkStart w:id="757" w:name="Tc_E_b1XC4UiU6Xe_p0q8Q3Sw_1_5"/>
      <w:bookmarkStart w:id="758" w:name="Tc_4jGfgDvjYUmov7cyFim56Q_1_2"/>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r>
        <w:rPr>
          <w:rFonts w:ascii="Times New Roman;Times;serif" w:hAnsi="Times New Roman;Times;serif"/>
          <w:b/>
          <w:sz w:val="20"/>
        </w:rPr>
        <w:t>4.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Investments and securities sold, not yet purchased consist of equities, bonds, bank debt and other corporate obligations, all of which are reported at fair value in our condensed consolidated balance sheets.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pStyle w:val="TextBody"/>
        <w:bidi w:val="0"/>
        <w:spacing w:before="0" w:after="0"/>
        <w:ind w:left="0" w:right="0" w:hanging="0"/>
        <w:jc w:val="left"/>
        <w:rPr/>
      </w:pPr>
      <w:r>
        <w:rPr/>
        <w:t>​</w:t>
      </w:r>
    </w:p>
    <w:tbl>
      <w:tblPr>
        <w:tblW w:w="6803" w:type="dxa"/>
        <w:jc w:val="left"/>
        <w:tblInd w:w="0" w:type="dxa"/>
        <w:tblLayout w:type="fixed"/>
        <w:tblCellMar>
          <w:top w:w="0" w:type="dxa"/>
          <w:left w:w="0" w:type="dxa"/>
          <w:bottom w:w="0" w:type="dxa"/>
          <w:right w:w="0" w:type="dxa"/>
        </w:tblCellMar>
      </w:tblPr>
      <w:tblGrid>
        <w:gridCol w:w="3946"/>
        <w:gridCol w:w="326"/>
        <w:gridCol w:w="230"/>
        <w:gridCol w:w="625"/>
        <w:gridCol w:w="326"/>
        <w:gridCol w:w="343"/>
        <w:gridCol w:w="1007"/>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505710" cy="175260"/>
                      <wp:effectExtent l="0" t="0" r="0" b="0"/>
                      <wp:wrapNone/>
                      <wp:docPr id="90" name="Frame90"/>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6050" cy="175260"/>
                      <wp:effectExtent l="0" t="0" r="0" b="0"/>
                      <wp:wrapNone/>
                      <wp:docPr id="92" name="Frame9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96875" cy="175260"/>
                      <wp:effectExtent l="0" t="0" r="0" b="0"/>
                      <wp:wrapNone/>
                      <wp:docPr id="93" name="Frame93"/>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7805" cy="175260"/>
                      <wp:effectExtent l="0" t="0" r="0" b="0"/>
                      <wp:wrapNone/>
                      <wp:docPr id="95" name="Frame95"/>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39445" cy="175260"/>
                      <wp:effectExtent l="0" t="0" r="0" b="0"/>
                      <wp:wrapNone/>
                      <wp:docPr id="96" name="Frame96"/>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680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9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31"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3946"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625"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343" w:type="dxa"/>
            <w:tcBorders/>
            <w:shd w:fill="CCEEFF" w:val="clear"/>
            <w:vAlign w:val="center"/>
          </w:tcPr>
          <w:p>
            <w:pPr>
              <w:pStyle w:val="TableContents"/>
              <w:bidi w:val="0"/>
              <w:spacing w:before="0" w:after="1"/>
              <w:ind w:left="0" w:right="0" w:hanging="0"/>
              <w:jc w:val="center"/>
              <w:rPr/>
            </w:pPr>
            <w:r>
              <w:rPr/>
              <w:t>​</w:t>
            </w:r>
          </w:p>
        </w:tc>
        <w:tc>
          <w:tcPr>
            <w:tcW w:w="1007" w:type="dxa"/>
            <w:tcBorders/>
            <w:shd w:fill="CCEEFF" w:val="clear"/>
            <w:vAlign w:val="center"/>
          </w:tcPr>
          <w:p>
            <w:pPr>
              <w:pStyle w:val="TableContents"/>
              <w:bidi w:val="0"/>
              <w:spacing w:before="0" w:after="1"/>
              <w:ind w:left="0" w:right="0" w:hanging="0"/>
              <w:jc w:val="center"/>
              <w:rPr/>
            </w:pPr>
            <w:r>
              <w:rPr/>
              <w:t>​</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62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343"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right"/>
              <w:rPr/>
            </w:pPr>
            <w:r>
              <w:rPr/>
              <w:t>  </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26" w:type="dxa"/>
            <w:tcBorders/>
            <w:shd w:fill="CCEEFF" w:val="clear"/>
            <w:vAlign w:val="center"/>
          </w:tcPr>
          <w:p>
            <w:pPr>
              <w:pStyle w:val="TableContents"/>
              <w:bidi w:val="0"/>
              <w:spacing w:before="0" w:after="1"/>
              <w:ind w:left="0" w:right="0" w:hanging="0"/>
              <w:jc w:val="left"/>
              <w:rPr/>
            </w:pPr>
            <w:r>
              <w:rPr/>
              <w:t> </w:t>
            </w:r>
          </w:p>
        </w:tc>
        <w:tc>
          <w:tcPr>
            <w:tcW w:w="230" w:type="dxa"/>
            <w:tcBorders/>
            <w:shd w:fill="CCEEFF" w:val="clear"/>
            <w:vAlign w:val="center"/>
          </w:tcPr>
          <w:p>
            <w:pPr>
              <w:pStyle w:val="TableContents"/>
              <w:bidi w:val="0"/>
              <w:spacing w:before="0" w:after="1"/>
              <w:ind w:left="0" w:right="0" w:hanging="0"/>
              <w:jc w:val="left"/>
              <w:rPr/>
            </w:pPr>
            <w:r>
              <w:rPr/>
              <w:t>​</w:t>
            </w:r>
          </w:p>
        </w:tc>
        <w:tc>
          <w:tcPr>
            <w:tcW w:w="62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43"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right"/>
              <w:rPr/>
            </w:pPr>
            <w:r>
              <w:rPr/>
              <w:t>  </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Communications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cyclical</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Utilities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Healthcare</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26" w:type="dxa"/>
            <w:tcBorders/>
            <w:vAlign w:val="center"/>
          </w:tcPr>
          <w:p>
            <w:pPr>
              <w:pStyle w:val="TableContents"/>
              <w:bidi w:val="0"/>
              <w:spacing w:before="0" w:after="1"/>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39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1,939</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2,241</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securities: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62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right"/>
              <w:rPr/>
            </w:pPr>
            <w:r>
              <w:rPr/>
              <w:t>​</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9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1,939</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2,272</w:t>
            </w:r>
          </w:p>
        </w:tc>
      </w:tr>
      <w:tr>
        <w:trPr/>
        <w:tc>
          <w:tcPr>
            <w:tcW w:w="394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pPr>
            <w:r>
              <w:rPr/>
              <w:t>  </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sold, not yet purchased, at fair value:</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pPr>
            <w:r>
              <w:rPr/>
              <w:t>  </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pPr>
            <w:r>
              <w:rPr/>
              <w:t>  </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Utilities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39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1,153</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securities: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62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right"/>
              <w:rPr/>
            </w:pPr>
            <w:r>
              <w:rPr/>
              <w:t>​</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Communications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w:t>
            </w:r>
          </w:p>
        </w:tc>
        <w:tc>
          <w:tcPr>
            <w:tcW w:w="326" w:type="dxa"/>
            <w:tcBorders/>
            <w:vAlign w:val="center"/>
          </w:tcPr>
          <w:p>
            <w:pPr>
              <w:pStyle w:val="TableContents"/>
              <w:bidi w:val="0"/>
              <w:spacing w:before="0" w:after="1"/>
              <w:ind w:left="0" w:right="0" w:hanging="0"/>
              <w:jc w:val="left"/>
              <w:rPr/>
            </w:pPr>
            <w:r>
              <w:rPr/>
              <w:t>​</w:t>
            </w:r>
          </w:p>
        </w:tc>
        <w:tc>
          <w:tcPr>
            <w:tcW w:w="3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1,373</w:t>
            </w:r>
          </w:p>
        </w:tc>
      </w:tr>
      <w:tr>
        <w:trPr/>
        <w:tc>
          <w:tcPr>
            <w:tcW w:w="39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62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portion of unrealized gains and (losses) that related to securities still held by our Investment segment, primarily equity securities, were $11 million and $(86) million for the three months ended June 30, 2025 and 2024, respectively, and $(204) and $(360) million for the six months ended June 30, 2025 and 2024, respectively.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Other Segments and Holding Company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With the exception of certain equity method investments at our operating subsidiaries and our Holding Company disclosed in the table below, our investments are measured at fair value in our condensed consolidated balance sheets.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bookmarkStart w:id="759" w:name="Tc_1KjhwA7IcUKaLIs7-LpYrw_7_5"/>
      <w:bookmarkStart w:id="760" w:name="Tc_rMle-wcYHUSzHGLrFcgMxg_7_2"/>
      <w:bookmarkStart w:id="761" w:name="Tc_UN1SfguKNEm03O-iF-Nqkg_6_0"/>
      <w:bookmarkStart w:id="762" w:name="Tc_lGLlacbeFkKGc2KC03VOzA_5_0"/>
      <w:bookmarkStart w:id="763" w:name="Tc_6nOBxaSVn0SXwnFv6FQfFw_4_5"/>
      <w:bookmarkStart w:id="764" w:name="Tc_I6Jv4geI0kWFUMdjr0W3eg_4_2"/>
      <w:bookmarkStart w:id="765" w:name="Tc_5nyoMC8Px0q_H-hChN_Vyw_4_0"/>
      <w:bookmarkStart w:id="766" w:name="Tc_J_1i6FQPCEmkssh_J0Se9Q_3_2"/>
      <w:bookmarkStart w:id="767" w:name="Tc_flYr4j8okEGUxjVmRIcA_g_2_5"/>
      <w:bookmarkStart w:id="768" w:name="Tc_9JllYWsKDEKkBAMILZ5ZEg_2_2"/>
      <w:bookmarkStart w:id="769" w:name="Tc_Z677jHDQpEeedK7A2y-pvg_1_5"/>
      <w:bookmarkStart w:id="770" w:name="Tc_-Gjaq2ZFQ02972IG0XG2Og_1_2"/>
      <w:bookmarkEnd w:id="759"/>
      <w:bookmarkEnd w:id="760"/>
      <w:bookmarkEnd w:id="761"/>
      <w:bookmarkEnd w:id="762"/>
      <w:bookmarkEnd w:id="763"/>
      <w:bookmarkEnd w:id="764"/>
      <w:bookmarkEnd w:id="765"/>
      <w:bookmarkEnd w:id="766"/>
      <w:bookmarkEnd w:id="767"/>
      <w:bookmarkEnd w:id="768"/>
      <w:bookmarkEnd w:id="769"/>
      <w:bookmarkEnd w:id="770"/>
      <w:r>
        <w:rPr>
          <w:rFonts w:ascii="Times New Roman;Times;serif" w:hAnsi="Times New Roman;Times;serif"/>
          <w:sz w:val="20"/>
        </w:rPr>
        <w:t>The carrying value of investments held by our other segments and our Holding Company consist of the following:</w:t>
      </w:r>
    </w:p>
    <w:p>
      <w:pPr>
        <w:pStyle w:val="TextBody"/>
        <w:bidi w:val="0"/>
        <w:spacing w:before="0" w:after="0"/>
        <w:ind w:left="0" w:right="0" w:hanging="0"/>
        <w:jc w:val="left"/>
        <w:rPr/>
      </w:pPr>
      <w:r>
        <w:rPr/>
        <w:t>​</w:t>
      </w:r>
    </w:p>
    <w:tbl>
      <w:tblPr>
        <w:tblW w:w="7973" w:type="dxa"/>
        <w:jc w:val="left"/>
        <w:tblInd w:w="0" w:type="dxa"/>
        <w:tblLayout w:type="fixed"/>
        <w:tblCellMar>
          <w:top w:w="0" w:type="dxa"/>
          <w:left w:w="0" w:type="dxa"/>
          <w:bottom w:w="0" w:type="dxa"/>
          <w:right w:w="0" w:type="dxa"/>
        </w:tblCellMar>
      </w:tblPr>
      <w:tblGrid>
        <w:gridCol w:w="5116"/>
        <w:gridCol w:w="326"/>
        <w:gridCol w:w="341"/>
        <w:gridCol w:w="514"/>
        <w:gridCol w:w="326"/>
        <w:gridCol w:w="449"/>
        <w:gridCol w:w="901"/>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248660" cy="175260"/>
                      <wp:effectExtent l="0" t="0" r="0" b="0"/>
                      <wp:wrapNone/>
                      <wp:docPr id="97" name="Frame97"/>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6535" cy="175260"/>
                      <wp:effectExtent l="0" t="0" r="0" b="0"/>
                      <wp:wrapNone/>
                      <wp:docPr id="99" name="Frame99"/>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26390" cy="175260"/>
                      <wp:effectExtent l="0" t="0" r="0" b="0"/>
                      <wp:wrapNone/>
                      <wp:docPr id="100" name="Frame100"/>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85115" cy="175260"/>
                      <wp:effectExtent l="0" t="0" r="0" b="0"/>
                      <wp:wrapNone/>
                      <wp:docPr id="102" name="Frame102"/>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72135" cy="175260"/>
                      <wp:effectExtent l="0" t="0" r="0" b="0"/>
                      <wp:wrapNone/>
                      <wp:docPr id="103" name="Frame10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797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1"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Held to maturity debt investments measured at amortized cost</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investments measured at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4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There were no unrealized gains and (losses) that relates to equity securities still held by our other segments and Holding Company for each of the three and six months ended June 30, 2025 and 2024.</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5.  Fair Value Measurements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 available active quoted prices or for which fair value can be measured from actively quoted prices generally will have a higher degree of market price observability and a lesser degree of judgment used in measuring fair value.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Assets and liabilities measured and reported at fair value are classified and disclosed in one of the following categories:</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Level 1 – Quoted prices are available in active markets for identical assets and liabilities as of the reporting date.</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bookmarkStart w:id="771" w:name="Tc_ss-U2ecqfkSCwtC3MkoAPQ_12_23"/>
      <w:bookmarkStart w:id="772" w:name="Tc_yMfd8BkeFE6uug2vjXyz4g_12_21"/>
      <w:bookmarkStart w:id="773" w:name="Tc_RAUY3o_XjU6ByuRBvSF4Mw_12_20"/>
      <w:bookmarkStart w:id="774" w:name="Tc_yxrnz-LPZ02Jj9Kyd3ak3g_12_17"/>
      <w:bookmarkStart w:id="775" w:name="Tc_cJkxdOANhEuDzIZGUm6KBw_12_14"/>
      <w:bookmarkStart w:id="776" w:name="Tc_vGwbFB4rvkqerzSPnZu14g_12_11"/>
      <w:bookmarkStart w:id="777" w:name="Tc_B3gGxv9T2UeuLe4SZ-QUsA_12_9"/>
      <w:bookmarkStart w:id="778" w:name="Tc_7vTWFT0q-U2EkaY-JtQqGg_12_8"/>
      <w:bookmarkStart w:id="779" w:name="Tc_Yb2CksH4DU-Ujs-NLMUQYQ_12_5"/>
      <w:bookmarkStart w:id="780" w:name="Tc_-wbBQG4UKkaPWR8h6ATDcg_12_2"/>
      <w:bookmarkStart w:id="781" w:name="Tc_10uY232Mq0mYkNQme49fYA_11_21"/>
      <w:bookmarkStart w:id="782" w:name="Tc_f68k0t7HVkSo125vrrP0ng_11_15"/>
      <w:bookmarkStart w:id="783" w:name="Tc_EWikEztN7USiT3n9IOh4vw_11_9"/>
      <w:bookmarkStart w:id="784" w:name="Tc_fwnFi9P1Kk6nbxdM0eYUbg_11_3"/>
      <w:bookmarkStart w:id="785" w:name="Tc_fwt69L4z80anymI64wdlwg_11_0"/>
      <w:bookmarkStart w:id="786" w:name="Tc_IE6SzS4ekECQp2O6CbAHRw_10_21"/>
      <w:bookmarkStart w:id="787" w:name="Tc_j1nb9DuBgkyE6nPQfA29ug_10_9"/>
      <w:bookmarkStart w:id="788" w:name="Tc_R5w4QoGgs0q3PsPD0oxgGg_10_3"/>
      <w:bookmarkStart w:id="789" w:name="Tc_YuCz5wqYKkCbNfUFq6FhgA_10_0"/>
      <w:bookmarkStart w:id="790" w:name="Tc_nfVudTU-L0Crdi6-Cu84vQ_9_23"/>
      <w:bookmarkStart w:id="791" w:name="Tc_KmteY7ytGky0B2-R0f1IVQ_9_21"/>
      <w:bookmarkStart w:id="792" w:name="Tc_UOeckEjXr0-6KW5ObWGlRA_9_20"/>
      <w:bookmarkStart w:id="793" w:name="Tc_3yN97zPxg02Ir2C3L-6C6g_9_17"/>
      <w:bookmarkStart w:id="794" w:name="Tc_w9HB3jsoNEaoardP-ehicQ_9_14"/>
      <w:bookmarkStart w:id="795" w:name="Tc_jJG8QVN-JEGozQRr4QBZ3A_9_11"/>
      <w:bookmarkStart w:id="796" w:name="Tc_8zQ1884dRU2HkQTSagmY3Q_9_9"/>
      <w:bookmarkStart w:id="797" w:name="Tc_2O9XI5osOk2xibFBfQehKg_9_8"/>
      <w:bookmarkStart w:id="798" w:name="Tc_2aAJJKG9J0qvyFWZiaf5xg_9_6"/>
      <w:bookmarkStart w:id="799" w:name="Tc_NkAdEDj5CUmcv8F0Ui6lIg_9_5"/>
      <w:bookmarkStart w:id="800" w:name="Tc_XU3vqqeeDki8lwNiBn7E2Q_9_2"/>
      <w:bookmarkStart w:id="801" w:name="Tc_gNxM0zIEvkyZa-QMwd2ZgA_9_0"/>
      <w:bookmarkStart w:id="802" w:name="Tc_gcI_G6-_w0CJFZiG5ZeyAA_8_0"/>
      <w:bookmarkStart w:id="803" w:name="Tc_Zcs2-WQdD0Oek5Zd5-b2VA_7_23"/>
      <w:bookmarkStart w:id="804" w:name="Tc_kGn2NgbUMkiht8JCnnd7sA_7_20"/>
      <w:bookmarkStart w:id="805" w:name="Tc_q_qnvbESb0S8gby5ybrP1w_7_17"/>
      <w:bookmarkStart w:id="806" w:name="Tc_O-zWsCvgU0-8QTEsfSQUhg_7_14"/>
      <w:bookmarkStart w:id="807" w:name="Tc_1l6Aa4hps0itqsBZXV9rXQ_7_11"/>
      <w:bookmarkStart w:id="808" w:name="Tc_fszeu6yKHkW5Jc7YhV4Dog_7_8"/>
      <w:bookmarkStart w:id="809" w:name="Tc_S2R5Aa1oKkOzJsa7ilsOZw_7_5"/>
      <w:bookmarkStart w:id="810" w:name="Tc_85JRSrCm4kK1RZvEZs6KPA_7_2"/>
      <w:bookmarkStart w:id="811" w:name="Tc_NvXYCZNBRU6EGk1MwYVz_Q_6_21"/>
      <w:bookmarkStart w:id="812" w:name="Tc_CmgEnwklJkKBMpDeJL0_cg_6_15"/>
      <w:bookmarkStart w:id="813" w:name="Tc_mgPdt8FoBkyA0_HU0dG6Rg_6_9"/>
      <w:bookmarkStart w:id="814" w:name="Tc_ABFbGxzgw0ahia85EcOyrQ_6_3"/>
      <w:bookmarkStart w:id="815" w:name="Tc_SBu19BHdoUWM2DRXVjaFdA_6_0"/>
      <w:bookmarkStart w:id="816" w:name="Tc_OE0Oi8mAY062qrb_Jd9GvQ_5_23"/>
      <w:bookmarkStart w:id="817" w:name="Tc_jx_nhi4H_0iUTGgd7SFw-A_5_20"/>
      <w:bookmarkStart w:id="818" w:name="Tc_drOhDgQN_UWNxCJ8QwaLYA_5_17"/>
      <w:bookmarkStart w:id="819" w:name="Tc_8_8XRpPKD0K39K43gG2S3g_5_14"/>
      <w:bookmarkStart w:id="820" w:name="Tc_Wmtlh2zlkEqpeylcrtiuBQ_5_11"/>
      <w:bookmarkStart w:id="821" w:name="Tc_DxZApjIkskeGx0ZBtxuC1Q_5_8"/>
      <w:bookmarkStart w:id="822" w:name="Tc_tirf0VEdZE2L8Fjwo-iLnw_5_6"/>
      <w:bookmarkStart w:id="823" w:name="Tc_ha1onMOkm0q-hxA4u5_3mA_5_5"/>
      <w:bookmarkStart w:id="824" w:name="Tc_-LNA9DkAs06dJ_zlioB0zA_5_2"/>
      <w:bookmarkStart w:id="825" w:name="Tc_fPF1IcsJnUGUrB_viFsnYA_5_0"/>
      <w:bookmarkStart w:id="826" w:name="Tc_YEAPDPGgv0CYlqomaxfN6A_4_0"/>
      <w:bookmarkStart w:id="827" w:name="Tc_LmwOOE94nU2C6CxBiBoURA_3_2"/>
      <w:bookmarkStart w:id="828" w:name="Tc_XB90xBQ02k6y7LBQtKXKtQ_2_23"/>
      <w:bookmarkStart w:id="829" w:name="Tc_UDnwxX8btUmrzB92xj7BLg_2_20"/>
      <w:bookmarkStart w:id="830" w:name="Tc_UlY7W0g6mkKQ4Z-_2VcXlQ_2_17"/>
      <w:bookmarkStart w:id="831" w:name="Tc_OQuovWF5sUmp0qZYMm4MXg_2_14"/>
      <w:bookmarkStart w:id="832" w:name="Tc_gMsVLvkhq0yTCAKXpf2VMA_2_11"/>
      <w:bookmarkStart w:id="833" w:name="Tc_2Gjpm7sjdECFYgPHxWRZqA_2_8"/>
      <w:bookmarkStart w:id="834" w:name="Tc_mXhwiSUiQUyavEmf0mJx1w_2_5"/>
      <w:bookmarkStart w:id="835" w:name="Tc_Ck4_toSPw0eGsbo-Yaxc5Q_2_2"/>
      <w:bookmarkStart w:id="836" w:name="Tc_FzmWZ_aztk-yHJa7sXsBHw_1_14"/>
      <w:bookmarkStart w:id="837" w:name="Tc_4onzWQKIWUy3J2MMrR6IKQ_1_2"/>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r>
        <w:rPr>
          <w:rFonts w:ascii="Times New Roman;Times;serif" w:hAnsi="Times New Roman;Times;serif"/>
          <w:b/>
          <w:i/>
          <w:sz w:val="20"/>
        </w:rPr>
        <w:t>Assets and Liabilities Measured at Fair Value on a Recurring Basis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summarizes the valuation of our assets and liabilities by the above fair value hierarchy levels measured on a recurring basis: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70"/>
        <w:gridCol w:w="326"/>
        <w:gridCol w:w="211"/>
        <w:gridCol w:w="571"/>
        <w:gridCol w:w="326"/>
        <w:gridCol w:w="211"/>
        <w:gridCol w:w="571"/>
        <w:gridCol w:w="326"/>
        <w:gridCol w:w="231"/>
        <w:gridCol w:w="383"/>
        <w:gridCol w:w="326"/>
        <w:gridCol w:w="211"/>
        <w:gridCol w:w="571"/>
        <w:gridCol w:w="326"/>
        <w:gridCol w:w="211"/>
        <w:gridCol w:w="571"/>
        <w:gridCol w:w="326"/>
        <w:gridCol w:w="211"/>
        <w:gridCol w:w="571"/>
        <w:gridCol w:w="326"/>
        <w:gridCol w:w="231"/>
        <w:gridCol w:w="383"/>
        <w:gridCol w:w="326"/>
        <w:gridCol w:w="211"/>
        <w:gridCol w:w="678"/>
      </w:tblGrid>
      <w:tr>
        <w:trPr/>
        <w:tc>
          <w:tcPr>
            <w:tcW w:w="1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996950" cy="175260"/>
                      <wp:effectExtent l="0" t="0" r="0" b="0"/>
                      <wp:wrapNone/>
                      <wp:docPr id="104" name="Frame104"/>
                      <a:graphic xmlns:a="http://schemas.openxmlformats.org/drawingml/2006/main">
                        <a:graphicData uri="http://schemas.microsoft.com/office/word/2010/wordprocessingShape">
                          <wps:wsp>
                            <wps:cNvSpPr txBox="1"/>
                            <wps:spPr>
                              <a:xfrm>
                                <a:off x="0" y="0"/>
                                <a:ext cx="996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62585" cy="175260"/>
                      <wp:effectExtent l="0" t="0" r="0" b="0"/>
                      <wp:wrapNone/>
                      <wp:docPr id="107" name="Frame10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62585" cy="175260"/>
                      <wp:effectExtent l="0" t="0" r="0" b="0"/>
                      <wp:wrapNone/>
                      <wp:docPr id="110" name="Frame1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6685" cy="175260"/>
                      <wp:effectExtent l="0" t="0" r="0" b="0"/>
                      <wp:wrapNone/>
                      <wp:docPr id="112" name="Frame112"/>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43205" cy="175260"/>
                      <wp:effectExtent l="0" t="0" r="0" b="0"/>
                      <wp:wrapNone/>
                      <wp:docPr id="113" name="Frame113"/>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62585" cy="175260"/>
                      <wp:effectExtent l="0" t="0" r="0" b="0"/>
                      <wp:wrapNone/>
                      <wp:docPr id="116" name="Frame11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62585" cy="175260"/>
                      <wp:effectExtent l="0" t="0" r="0" b="0"/>
                      <wp:wrapNone/>
                      <wp:docPr id="119" name="Frame11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62585" cy="175260"/>
                      <wp:effectExtent l="0" t="0" r="0" b="0"/>
                      <wp:wrapNone/>
                      <wp:docPr id="122" name="Frame1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46685" cy="175260"/>
                      <wp:effectExtent l="0" t="0" r="0" b="0"/>
                      <wp:wrapNone/>
                      <wp:docPr id="124" name="Frame124"/>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43205" cy="175260"/>
                      <wp:effectExtent l="0" t="0" r="0" b="0"/>
                      <wp:wrapNone/>
                      <wp:docPr id="125" name="Frame125"/>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30530" cy="175260"/>
                      <wp:effectExtent l="0" t="0" r="0" b="0"/>
                      <wp:wrapNone/>
                      <wp:docPr id="128" name="Frame128"/>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3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0"/>
              <w:ind w:left="0" w:right="0" w:hanging="0"/>
              <w:jc w:val="left"/>
              <w:rPr/>
            </w:pPr>
            <w:r>
              <w:rPr/>
              <w:t>​</w:t>
            </w:r>
          </w:p>
        </w:tc>
        <w:tc>
          <w:tcPr>
            <w:tcW w:w="404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5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26" w:type="dxa"/>
            <w:tcBorders/>
            <w:vAlign w:val="center"/>
          </w:tcPr>
          <w:p>
            <w:pPr>
              <w:pStyle w:val="TableContents"/>
              <w:bidi w:val="0"/>
              <w:spacing w:before="0" w:after="0"/>
              <w:ind w:left="0" w:right="0" w:hanging="0"/>
              <w:jc w:val="left"/>
              <w:rPr/>
            </w:pPr>
            <w:r>
              <w:rPr/>
              <w:t>    </w:t>
            </w:r>
          </w:p>
        </w:tc>
        <w:tc>
          <w:tcPr>
            <w:tcW w:w="6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26" w:type="dxa"/>
            <w:tcBorders/>
            <w:vAlign w:val="center"/>
          </w:tcPr>
          <w:p>
            <w:pPr>
              <w:pStyle w:val="TableContents"/>
              <w:bidi w:val="0"/>
              <w:spacing w:before="0" w:after="0"/>
              <w:ind w:left="0" w:right="0" w:hanging="0"/>
              <w:jc w:val="left"/>
              <w:rPr/>
            </w:pPr>
            <w:r>
              <w:rPr/>
              <w:t>    </w:t>
            </w:r>
          </w:p>
        </w:tc>
        <w:tc>
          <w:tcPr>
            <w:tcW w:w="6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326" w:type="dxa"/>
            <w:tcBorders/>
            <w:vAlign w:val="center"/>
          </w:tcPr>
          <w:p>
            <w:pPr>
              <w:pStyle w:val="TableContents"/>
              <w:bidi w:val="0"/>
              <w:spacing w:before="0" w:after="0"/>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5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309" w:type="dxa"/>
            <w:gridSpan w:val="23"/>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57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1" w:type="dxa"/>
            <w:tcBorders/>
            <w:vAlign w:val="center"/>
          </w:tcPr>
          <w:p>
            <w:pPr>
              <w:pStyle w:val="TableContents"/>
              <w:bidi w:val="0"/>
              <w:spacing w:before="0" w:after="0"/>
              <w:ind w:left="0" w:right="0" w:hanging="0"/>
              <w:jc w:val="center"/>
              <w:rPr/>
            </w:pPr>
            <w:r>
              <w:rPr/>
              <w:t>​</w:t>
            </w:r>
          </w:p>
        </w:tc>
        <w:tc>
          <w:tcPr>
            <w:tcW w:w="38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1" w:type="dxa"/>
            <w:tcBorders/>
            <w:vAlign w:val="center"/>
          </w:tcPr>
          <w:p>
            <w:pPr>
              <w:pStyle w:val="TableContents"/>
              <w:bidi w:val="0"/>
              <w:spacing w:before="0" w:after="0"/>
              <w:ind w:left="0" w:right="0" w:hanging="0"/>
              <w:jc w:val="center"/>
              <w:rPr/>
            </w:pPr>
            <w:r>
              <w:rPr/>
              <w:t>​</w:t>
            </w:r>
          </w:p>
        </w:tc>
        <w:tc>
          <w:tcPr>
            <w:tcW w:w="38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8" w:type="dxa"/>
            <w:tcBorders/>
            <w:vAlign w:val="center"/>
          </w:tcPr>
          <w:p>
            <w:pPr>
              <w:pStyle w:val="TableContents"/>
              <w:bidi w:val="0"/>
              <w:spacing w:before="0" w:after="0"/>
              <w:ind w:left="0" w:right="0" w:hanging="0"/>
              <w:jc w:val="center"/>
              <w:rPr/>
            </w:pPr>
            <w:r>
              <w:rPr/>
              <w:t>​</w:t>
            </w:r>
          </w:p>
        </w:tc>
      </w:tr>
      <w:tr>
        <w:trPr/>
        <w:tc>
          <w:tcPr>
            <w:tcW w:w="15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(Note 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2,275</w:t>
            </w:r>
          </w:p>
        </w:tc>
      </w:tr>
      <w:tr>
        <w:trPr/>
        <w:tc>
          <w:tcPr>
            <w:tcW w:w="15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assets, net (Note 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157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2,297</w:t>
            </w:r>
          </w:p>
        </w:tc>
      </w:tr>
      <w:tr>
        <w:trPr/>
        <w:tc>
          <w:tcPr>
            <w:tcW w:w="157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8" w:type="dxa"/>
            <w:tcBorders/>
            <w:vAlign w:val="center"/>
          </w:tcPr>
          <w:p>
            <w:pPr>
              <w:pStyle w:val="TableContents"/>
              <w:bidi w:val="0"/>
              <w:spacing w:before="0" w:after="0"/>
              <w:ind w:left="0" w:right="0" w:hanging="0"/>
              <w:jc w:val="right"/>
              <w:rPr/>
            </w:pPr>
            <w:r>
              <w:rPr/>
              <w:t>​</w:t>
            </w:r>
          </w:p>
        </w:tc>
      </w:tr>
      <w:tr>
        <w:trPr/>
        <w:tc>
          <w:tcPr>
            <w:tcW w:w="15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sold, not yet purchased (Note 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w:t>
            </w:r>
          </w:p>
        </w:tc>
      </w:tr>
      <w:tr>
        <w:trPr/>
        <w:tc>
          <w:tcPr>
            <w:tcW w:w="15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 net (Note 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3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3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r>
      <w:tr>
        <w:trPr/>
        <w:tc>
          <w:tcPr>
            <w:tcW w:w="15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RFS obligations (Note 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15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2,452</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Assets Measured at Fair Value on a Non-Recurring Basis for Which We Use Level 3 Inputs to Determine Fair Value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CVR Partners performed a non-recurring fair value measurement of the equity interest received as part of the 45Q Transaction. </w:t>
      </w:r>
      <w:r>
        <w:rPr>
          <w:rFonts w:ascii="TimesNewRoman" w:hAnsi="TimesNewRoman"/>
          <w:sz w:val="20"/>
        </w:rPr>
        <w:t>Such valuation used a combination of the market approach and the discounted cash flow methodology with key inputs including the discount rate, contractual and expected future cash flows, and market multiples.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Financial Instruments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forwards,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their counterparties.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frame. They are also entitled to receive from or required to pay to the counterparty a floating interest rate equal to the product of the notional amount multiplied by an agreed-upon rate. They also receive interest on any cash collateral that they post to the counterparty and pay interest on any cash collateral posted by the counterparty at an agreed-upon rate.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utilize forward contracts in securities, or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b/>
          <w:sz w:val="20"/>
        </w:rPr>
      </w:pPr>
      <w:bookmarkStart w:id="838" w:name="_255930f1_f0aa_4c93_bb4b_6a6aebf905d8"/>
      <w:bookmarkStart w:id="839" w:name="Tc_3iWe_rVkc0611ITIW0eBdg_9_5"/>
      <w:bookmarkStart w:id="840" w:name="Tc_4oD2IrHnT0mdjrRlncvDTQ_9_2"/>
      <w:bookmarkStart w:id="841" w:name="Tc_HvywyY73fEKwwceXrsyLXg_9_0"/>
      <w:bookmarkStart w:id="842" w:name="Tc_Vu8GWpZdXEqNKEbGCuZO-Q_8_0"/>
      <w:bookmarkStart w:id="843" w:name="Tc_qOfRHJwPf0iWA1mPQjXXkA_7_0"/>
      <w:bookmarkStart w:id="844" w:name="Tc_da82RymCokOGhv2RDSmgcw_6_12"/>
      <w:bookmarkStart w:id="845" w:name="Tc_E90PHCjLUEC6ZaXlvSPP2A_6_0"/>
      <w:bookmarkStart w:id="846" w:name="Tc_UUKnHnxtwUe9e9cImmWzHw_5_9"/>
      <w:bookmarkStart w:id="847" w:name="Tc_ErpkbstTukCT8UzjfeJKMA_5_0"/>
      <w:bookmarkStart w:id="848" w:name="Tc_VvZX0aDBWE6twoIV75B1WA_4_11"/>
      <w:bookmarkStart w:id="849" w:name="Tc_InCL6adz1EWXEkCT9jEsXg_4_8"/>
      <w:bookmarkStart w:id="850" w:name="Tc_tdmm8bBMuk2p0NrxsIscVg_4_5"/>
      <w:bookmarkStart w:id="851" w:name="Tc_raqQTQh0uEeTI1nc2BxJ4g_4_2"/>
      <w:bookmarkStart w:id="852" w:name="Tc_aaFIeTS5UkSKoQbinM_LQA_4_0"/>
      <w:bookmarkStart w:id="853" w:name="Tc_lbfbefFTAEWqCzWNALlixQ_3_3"/>
      <w:bookmarkStart w:id="854" w:name="Tc_P9f4o0SYS0aM6jZ1sluQ0Q_2_11"/>
      <w:bookmarkStart w:id="855" w:name="Tc_rUjnRDZ5Xkyc6bgic7PIiQ_2_8"/>
      <w:bookmarkStart w:id="856" w:name="Tc_ohowGSJfe0um2W9otA91OQ_2_5"/>
      <w:bookmarkStart w:id="857" w:name="Tc_FJblgW_rpkulnejlzBkUAg_2_2"/>
      <w:bookmarkStart w:id="858" w:name="Tc_pMScV1YVbkyDNVPRpyLBDA_1_8"/>
      <w:bookmarkStart w:id="859" w:name="Tc_7NeOQZNS30Cv2QLFO2yMmw_1_2"/>
      <w:bookmarkStart w:id="860" w:name="_8c8df067_0f3c_4c5e_9729_644fc25c8841"/>
      <w:bookmarkStart w:id="861" w:name="Tc_x4xYsjy66EenBlB2cH2urA_7_9"/>
      <w:bookmarkStart w:id="862" w:name="Tc_AXuap7fEUU6LES913hRb8Q_7_3"/>
      <w:bookmarkStart w:id="863" w:name="Tc_fb7XgjjXTEGK8bByr-RygQ_7_0"/>
      <w:bookmarkStart w:id="864" w:name="Tc_vM7C8XqHfUO025OdKRTRlQ_6_3"/>
      <w:bookmarkStart w:id="865" w:name="Tc_dk7NUKFUFEiLJN6VxXNUmQ_6_0"/>
      <w:bookmarkStart w:id="866" w:name="Tc_O_uoat6oGUm-tjsp5945cA_5_11"/>
      <w:bookmarkStart w:id="867" w:name="Tc_DG-LLgcf1UWOsfff-Mm45g_5_8"/>
      <w:bookmarkStart w:id="868" w:name="Tc_qqnhJ1xASUqQnIIvUpTb9w_5_5"/>
      <w:bookmarkStart w:id="869" w:name="Tc_9um0oZfJTk6ozqcaAR1zFw_5_2"/>
      <w:bookmarkStart w:id="870" w:name="Tc_LV8dr3Z270ecb2Q43ognaA_5_0"/>
      <w:bookmarkStart w:id="871" w:name="Tc_xNLcC-CSt0aYdate2JYqLA_4_0"/>
      <w:bookmarkStart w:id="872" w:name="Tc_zTwDsaCJ-0Wn2BeO_ekhAg_3_3"/>
      <w:bookmarkStart w:id="873" w:name="Tc_Ek9STFg-BkaYQhcG8faRNw_2_11"/>
      <w:bookmarkStart w:id="874" w:name="Tc_VJNJ6lIWQE2i77DCR3mDCg_2_8"/>
      <w:bookmarkStart w:id="875" w:name="Tc_K0gsg0edUkCBcF2Q_oCo6Q_2_5"/>
      <w:bookmarkStart w:id="876" w:name="Tc_CbqXzPqspkCtacGidJiXxA_2_2"/>
      <w:bookmarkStart w:id="877" w:name="Tc_29jzxOLG7kWNAWqv4MWqhw_1_8"/>
      <w:bookmarkStart w:id="878" w:name="Tc_91jghEuE-UqXJG3XnC77JQ_1_2"/>
      <w:bookmarkStart w:id="879" w:name="_2d2c95bb_09e0_4d23_8439_924c8d4639e1"/>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r>
        <w:rPr>
          <w:rFonts w:ascii="Times New Roman;Times;serif" w:hAnsi="Times New Roman;Times;serif"/>
          <w:b w:val="false"/>
          <w:sz w:val="20"/>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There were no</w:t>
      </w:r>
      <w:r>
        <w:rPr>
          <w:rFonts w:ascii="Times New Roman;Times;serif" w:hAnsi="Times New Roman;Times;serif"/>
          <w:b/>
          <w:sz w:val="20"/>
        </w:rPr>
        <w:t xml:space="preserve"> </w:t>
      </w:r>
      <w:r>
        <w:rPr>
          <w:rFonts w:ascii="Times New Roman;Times;serif" w:hAnsi="Times New Roman;Times;serif"/>
          <w:b w:val="false"/>
          <w:sz w:val="20"/>
        </w:rPr>
        <w:t xml:space="preserve">Investment Funds’ derivative instruments with credit-risk-related contingent features in a liability position as of June 30, 2025 and December 31, 2024.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volume of our Investment segment’s derivative activities based on their notional exposure, categorized by primary underlying risk:</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67"/>
        <w:gridCol w:w="326"/>
        <w:gridCol w:w="476"/>
        <w:gridCol w:w="1290"/>
        <w:gridCol w:w="326"/>
        <w:gridCol w:w="478"/>
        <w:gridCol w:w="1298"/>
        <w:gridCol w:w="326"/>
        <w:gridCol w:w="476"/>
        <w:gridCol w:w="1290"/>
        <w:gridCol w:w="326"/>
        <w:gridCol w:w="464"/>
        <w:gridCol w:w="1362"/>
      </w:tblGrid>
      <w:tr>
        <w:trPr/>
        <w:tc>
          <w:tcPr>
            <w:tcW w:w="17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12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78" w:type="dxa"/>
            <w:tcBorders/>
            <w:vAlign w:val="center"/>
          </w:tcPr>
          <w:p>
            <w:pPr>
              <w:pStyle w:val="TableContents"/>
              <w:bidi w:val="0"/>
              <w:spacing w:before="0" w:after="1"/>
              <w:ind w:left="0" w:right="0" w:hanging="0"/>
              <w:jc w:val="left"/>
              <w:rPr/>
            </w:pPr>
            <w:r>
              <w:rPr/>
              <w:t>​</w:t>
            </w:r>
          </w:p>
        </w:tc>
        <w:tc>
          <w:tcPr>
            <w:tcW w:w="12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12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4" w:type="dxa"/>
            <w:tcBorders/>
            <w:vAlign w:val="center"/>
          </w:tcPr>
          <w:p>
            <w:pPr>
              <w:pStyle w:val="TableContents"/>
              <w:bidi w:val="0"/>
              <w:spacing w:before="0" w:after="1"/>
              <w:ind w:left="0" w:right="0" w:hanging="0"/>
              <w:jc w:val="left"/>
              <w:rPr/>
            </w:pPr>
            <w:r>
              <w:rPr/>
              <w:t>​</w:t>
            </w:r>
          </w:p>
        </w:tc>
        <w:tc>
          <w:tcPr>
            <w:tcW w:w="1362" w:type="dxa"/>
            <w:tcBorders/>
            <w:vAlign w:val="center"/>
          </w:tcPr>
          <w:p>
            <w:pPr>
              <w:pStyle w:val="TableContents"/>
              <w:bidi w:val="0"/>
              <w:spacing w:before="0" w:after="1"/>
              <w:ind w:left="0" w:right="0" w:hanging="0"/>
              <w:jc w:val="left"/>
              <w:rPr/>
            </w:pPr>
            <w:r>
              <w:rPr/>
              <w:t>​</w:t>
            </w:r>
          </w:p>
        </w:tc>
      </w:tr>
      <w:tr>
        <w:trPr/>
        <w:tc>
          <w:tcPr>
            <w:tcW w:w="17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8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1"/>
              <w:ind w:left="0" w:right="0" w:hanging="0"/>
              <w:jc w:val="left"/>
              <w:rPr/>
            </w:pPr>
            <w:r>
              <w:rPr/>
              <w:t>​</w:t>
            </w:r>
          </w:p>
        </w:tc>
        <w:tc>
          <w:tcPr>
            <w:tcW w:w="39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7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Long Notional Exposure</w:t>
            </w:r>
          </w:p>
        </w:tc>
        <w:tc>
          <w:tcPr>
            <w:tcW w:w="326" w:type="dxa"/>
            <w:tcBorders/>
            <w:vAlign w:val="center"/>
          </w:tcPr>
          <w:p>
            <w:pPr>
              <w:pStyle w:val="TableContents"/>
              <w:bidi w:val="0"/>
              <w:spacing w:before="0" w:after="1"/>
              <w:ind w:left="0" w:right="0" w:hanging="0"/>
              <w:jc w:val="center"/>
              <w:rPr/>
            </w:pPr>
            <w:r>
              <w:rPr/>
              <w:t>    </w:t>
            </w:r>
          </w:p>
        </w:tc>
        <w:tc>
          <w:tcPr>
            <w:tcW w:w="17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Short Notional Exposure</w:t>
            </w:r>
          </w:p>
        </w:tc>
        <w:tc>
          <w:tcPr>
            <w:tcW w:w="326" w:type="dxa"/>
            <w:tcBorders/>
            <w:vAlign w:val="center"/>
          </w:tcPr>
          <w:p>
            <w:pPr>
              <w:pStyle w:val="TableContents"/>
              <w:bidi w:val="0"/>
              <w:spacing w:before="0" w:after="1"/>
              <w:ind w:left="0" w:right="0" w:hanging="0"/>
              <w:jc w:val="center"/>
              <w:rPr/>
            </w:pPr>
            <w:r>
              <w:rPr/>
              <w:t>    </w:t>
            </w:r>
          </w:p>
        </w:tc>
        <w:tc>
          <w:tcPr>
            <w:tcW w:w="1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Long Notional Exposure</w:t>
            </w:r>
          </w:p>
        </w:tc>
        <w:tc>
          <w:tcPr>
            <w:tcW w:w="326" w:type="dxa"/>
            <w:tcBorders/>
            <w:vAlign w:val="center"/>
          </w:tcPr>
          <w:p>
            <w:pPr>
              <w:pStyle w:val="TableContents"/>
              <w:bidi w:val="0"/>
              <w:spacing w:before="0" w:after="1"/>
              <w:ind w:left="0" w:right="0" w:hanging="0"/>
              <w:jc w:val="center"/>
              <w:rPr/>
            </w:pPr>
            <w:r>
              <w:rPr/>
              <w:t>    </w:t>
            </w:r>
          </w:p>
        </w:tc>
        <w:tc>
          <w:tcPr>
            <w:tcW w:w="1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Short Notional Exposure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7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76" w:type="dxa"/>
            <w:tcBorders/>
            <w:vAlign w:val="center"/>
          </w:tcPr>
          <w:p>
            <w:pPr>
              <w:pStyle w:val="TableContents"/>
              <w:bidi w:val="0"/>
              <w:spacing w:before="0" w:after="1"/>
              <w:ind w:left="0" w:right="0" w:hanging="0"/>
              <w:jc w:val="center"/>
              <w:rPr/>
            </w:pPr>
            <w:r>
              <w:rPr/>
              <w:t>​</w:t>
            </w:r>
          </w:p>
        </w:tc>
        <w:tc>
          <w:tcPr>
            <w:tcW w:w="7636" w:type="dxa"/>
            <w:gridSpan w:val="10"/>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7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Primary underlying risk:</w:t>
            </w:r>
          </w:p>
        </w:tc>
        <w:tc>
          <w:tcPr>
            <w:tcW w:w="326" w:type="dxa"/>
            <w:tcBorders/>
            <w:vAlign w:val="center"/>
          </w:tcPr>
          <w:p>
            <w:pPr>
              <w:pStyle w:val="TableContents"/>
              <w:bidi w:val="0"/>
              <w:spacing w:before="0" w:after="1"/>
              <w:ind w:left="0" w:right="0" w:hanging="0"/>
              <w:jc w:val="center"/>
              <w:rPr/>
            </w:pPr>
            <w:r>
              <w:rPr/>
              <w:t>​</w:t>
            </w:r>
          </w:p>
        </w:tc>
        <w:tc>
          <w:tcPr>
            <w:tcW w:w="476" w:type="dxa"/>
            <w:tcBorders/>
            <w:vAlign w:val="center"/>
          </w:tcPr>
          <w:p>
            <w:pPr>
              <w:pStyle w:val="TableContents"/>
              <w:bidi w:val="0"/>
              <w:spacing w:before="0" w:after="1"/>
              <w:ind w:left="0" w:right="0" w:hanging="0"/>
              <w:jc w:val="center"/>
              <w:rPr/>
            </w:pPr>
            <w:r>
              <w:rPr/>
              <w:t>​</w:t>
            </w:r>
          </w:p>
        </w:tc>
        <w:tc>
          <w:tcPr>
            <w:tcW w:w="12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78" w:type="dxa"/>
            <w:tcBorders/>
            <w:vAlign w:val="center"/>
          </w:tcPr>
          <w:p>
            <w:pPr>
              <w:pStyle w:val="TableContents"/>
              <w:bidi w:val="0"/>
              <w:spacing w:before="0" w:after="1"/>
              <w:ind w:left="0" w:right="0" w:hanging="0"/>
              <w:jc w:val="center"/>
              <w:rPr/>
            </w:pPr>
            <w:r>
              <w:rPr/>
              <w:t>​</w:t>
            </w:r>
          </w:p>
        </w:tc>
        <w:tc>
          <w:tcPr>
            <w:tcW w:w="129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76" w:type="dxa"/>
            <w:tcBorders/>
            <w:vAlign w:val="center"/>
          </w:tcPr>
          <w:p>
            <w:pPr>
              <w:pStyle w:val="TableContents"/>
              <w:bidi w:val="0"/>
              <w:spacing w:before="0" w:after="1"/>
              <w:ind w:left="0" w:right="0" w:hanging="0"/>
              <w:jc w:val="center"/>
              <w:rPr/>
            </w:pPr>
            <w:r>
              <w:rPr/>
              <w:t>​</w:t>
            </w:r>
          </w:p>
        </w:tc>
        <w:tc>
          <w:tcPr>
            <w:tcW w:w="12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64" w:type="dxa"/>
            <w:tcBorders/>
            <w:vAlign w:val="center"/>
          </w:tcPr>
          <w:p>
            <w:pPr>
              <w:pStyle w:val="TableContents"/>
              <w:bidi w:val="0"/>
              <w:spacing w:before="0" w:after="1"/>
              <w:ind w:left="0" w:right="0" w:hanging="0"/>
              <w:jc w:val="center"/>
              <w:rPr/>
            </w:pPr>
            <w:r>
              <w:rPr/>
              <w:t>​</w:t>
            </w:r>
          </w:p>
        </w:tc>
        <w:tc>
          <w:tcPr>
            <w:tcW w:w="1362" w:type="dxa"/>
            <w:tcBorders/>
            <w:vAlign w:val="center"/>
          </w:tcPr>
          <w:p>
            <w:pPr>
              <w:pStyle w:val="TableContents"/>
              <w:bidi w:val="0"/>
              <w:spacing w:before="0" w:after="1"/>
              <w:ind w:left="0" w:right="0" w:hanging="0"/>
              <w:jc w:val="center"/>
              <w:rPr/>
            </w:pPr>
            <w:r>
              <w:rPr/>
              <w:t>​</w:t>
            </w:r>
          </w:p>
        </w:tc>
      </w:tr>
      <w:tr>
        <w:trPr/>
        <w:tc>
          <w:tcPr>
            <w:tcW w:w="17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contracts</w:t>
            </w:r>
          </w:p>
        </w:tc>
        <w:tc>
          <w:tcPr>
            <w:tcW w:w="326" w:type="dxa"/>
            <w:tcBorders/>
            <w:shd w:fill="CCEEFF" w:val="clear"/>
            <w:vAlign w:val="center"/>
          </w:tcPr>
          <w:p>
            <w:pPr>
              <w:pStyle w:val="TableContents"/>
              <w:bidi w:val="0"/>
              <w:spacing w:before="0" w:after="1"/>
              <w:ind w:left="0" w:right="0" w:hanging="0"/>
              <w:jc w:val="center"/>
              <w:rPr/>
            </w:pPr>
            <w:r>
              <w:rPr/>
              <w:t>​</w:t>
            </w:r>
          </w:p>
        </w:tc>
        <w:tc>
          <w:tcPr>
            <w:tcW w:w="4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1,728</w:t>
            </w:r>
          </w:p>
        </w:tc>
        <w:tc>
          <w:tcPr>
            <w:tcW w:w="326" w:type="dxa"/>
            <w:tcBorders/>
            <w:shd w:fill="CCEEFF" w:val="clear"/>
            <w:vAlign w:val="center"/>
          </w:tcPr>
          <w:p>
            <w:pPr>
              <w:pStyle w:val="TableContents"/>
              <w:bidi w:val="0"/>
              <w:spacing w:before="0" w:after="1"/>
              <w:ind w:left="0" w:right="0" w:hanging="0"/>
              <w:jc w:val="right"/>
              <w:rPr/>
            </w:pPr>
            <w:r>
              <w:rPr/>
              <w:t>​</w:t>
            </w:r>
          </w:p>
        </w:tc>
        <w:tc>
          <w:tcPr>
            <w:tcW w:w="47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2,249</w:t>
            </w:r>
          </w:p>
        </w:tc>
        <w:tc>
          <w:tcPr>
            <w:tcW w:w="326" w:type="dxa"/>
            <w:tcBorders/>
            <w:shd w:fill="CCEEFF" w:val="clear"/>
            <w:vAlign w:val="center"/>
          </w:tcPr>
          <w:p>
            <w:pPr>
              <w:pStyle w:val="TableContents"/>
              <w:bidi w:val="0"/>
              <w:spacing w:before="0" w:after="1"/>
              <w:ind w:left="0" w:right="0" w:hanging="0"/>
              <w:jc w:val="right"/>
              <w:rPr/>
            </w:pPr>
            <w:r>
              <w:rPr/>
              <w:t>​</w:t>
            </w:r>
          </w:p>
        </w:tc>
        <w:tc>
          <w:tcPr>
            <w:tcW w:w="4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1,813</w:t>
            </w:r>
          </w:p>
        </w:tc>
        <w:tc>
          <w:tcPr>
            <w:tcW w:w="326" w:type="dxa"/>
            <w:tcBorders/>
            <w:shd w:fill="CCEEFF" w:val="clear"/>
            <w:vAlign w:val="center"/>
          </w:tcPr>
          <w:p>
            <w:pPr>
              <w:pStyle w:val="TableContents"/>
              <w:bidi w:val="0"/>
              <w:spacing w:before="0" w:after="1"/>
              <w:ind w:left="0" w:right="0" w:hanging="0"/>
              <w:jc w:val="right"/>
              <w:rPr/>
            </w:pPr>
            <w:r>
              <w:rPr/>
              <w:t>​</w:t>
            </w:r>
          </w:p>
        </w:tc>
        <w:tc>
          <w:tcPr>
            <w:tcW w:w="46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1,845</w:t>
            </w:r>
          </w:p>
        </w:tc>
      </w:tr>
      <w:tr>
        <w:trPr/>
        <w:tc>
          <w:tcPr>
            <w:tcW w:w="1767"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Credit contracts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476" w:type="dxa"/>
            <w:tcBorders/>
            <w:vAlign w:val="center"/>
          </w:tcPr>
          <w:p>
            <w:pPr>
              <w:pStyle w:val="TableContents"/>
              <w:bidi w:val="0"/>
              <w:spacing w:before="0" w:after="1"/>
              <w:ind w:left="0" w:right="0" w:hanging="0"/>
              <w:jc w:val="left"/>
              <w:rPr/>
            </w:pPr>
            <w:r>
              <w:rPr/>
              <w:t>​</w:t>
            </w:r>
          </w:p>
        </w:tc>
        <w:tc>
          <w:tcPr>
            <w:tcW w:w="12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478" w:type="dxa"/>
            <w:tcBorders/>
            <w:vAlign w:val="center"/>
          </w:tcPr>
          <w:p>
            <w:pPr>
              <w:pStyle w:val="TableContents"/>
              <w:bidi w:val="0"/>
              <w:spacing w:before="0" w:after="1"/>
              <w:ind w:left="0" w:right="0" w:hanging="0"/>
              <w:jc w:val="right"/>
              <w:rPr/>
            </w:pPr>
            <w:r>
              <w:rPr/>
              <w:t>​</w:t>
            </w:r>
          </w:p>
        </w:tc>
        <w:tc>
          <w:tcPr>
            <w:tcW w:w="12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1"/>
              <w:ind w:left="0" w:right="0" w:hanging="0"/>
              <w:jc w:val="right"/>
              <w:rPr/>
            </w:pPr>
            <w:r>
              <w:rPr/>
              <w:t>​</w:t>
            </w:r>
          </w:p>
        </w:tc>
        <w:tc>
          <w:tcPr>
            <w:tcW w:w="476" w:type="dxa"/>
            <w:tcBorders/>
            <w:vAlign w:val="center"/>
          </w:tcPr>
          <w:p>
            <w:pPr>
              <w:pStyle w:val="TableContents"/>
              <w:bidi w:val="0"/>
              <w:spacing w:before="0" w:after="1"/>
              <w:ind w:left="0" w:right="0" w:hanging="0"/>
              <w:jc w:val="right"/>
              <w:rPr/>
            </w:pPr>
            <w:r>
              <w:rPr/>
              <w:t>​</w:t>
            </w:r>
          </w:p>
        </w:tc>
        <w:tc>
          <w:tcPr>
            <w:tcW w:w="12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26" w:type="dxa"/>
            <w:tcBorders/>
            <w:vAlign w:val="center"/>
          </w:tcPr>
          <w:p>
            <w:pPr>
              <w:pStyle w:val="TableContents"/>
              <w:bidi w:val="0"/>
              <w:spacing w:before="0" w:after="1"/>
              <w:ind w:left="0" w:right="0" w:hanging="0"/>
              <w:jc w:val="right"/>
              <w:rPr/>
            </w:pPr>
            <w:r>
              <w:rPr/>
              <w:t> </w:t>
            </w:r>
          </w:p>
        </w:tc>
        <w:tc>
          <w:tcPr>
            <w:tcW w:w="464" w:type="dxa"/>
            <w:tcBorders/>
            <w:vAlign w:val="center"/>
          </w:tcPr>
          <w:p>
            <w:pPr>
              <w:pStyle w:val="TableContents"/>
              <w:bidi w:val="0"/>
              <w:spacing w:before="0" w:after="1"/>
              <w:ind w:left="0" w:right="0" w:hanging="0"/>
              <w:jc w:val="right"/>
              <w:rPr/>
            </w:pPr>
            <w:r>
              <w:rPr/>
              <w:t>​</w:t>
            </w:r>
          </w:p>
        </w:tc>
        <w:tc>
          <w:tcPr>
            <w:tcW w:w="13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7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1"/>
              <w:ind w:left="0" w:right="0" w:hanging="0"/>
              <w:jc w:val="left"/>
              <w:rPr/>
            </w:pPr>
            <w:r>
              <w:rPr/>
              <w:t> </w:t>
            </w:r>
          </w:p>
        </w:tc>
        <w:tc>
          <w:tcPr>
            <w:tcW w:w="476" w:type="dxa"/>
            <w:tcBorders/>
            <w:shd w:fill="CCEEFF" w:val="clear"/>
            <w:vAlign w:val="center"/>
          </w:tcPr>
          <w:p>
            <w:pPr>
              <w:pStyle w:val="TableContents"/>
              <w:bidi w:val="0"/>
              <w:spacing w:before="0" w:after="1"/>
              <w:ind w:left="0" w:right="0" w:hanging="0"/>
              <w:jc w:val="left"/>
              <w:rPr/>
            </w:pPr>
            <w:r>
              <w:rPr/>
              <w:t>​</w:t>
            </w:r>
          </w:p>
        </w:tc>
        <w:tc>
          <w:tcPr>
            <w:tcW w:w="12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478" w:type="dxa"/>
            <w:tcBorders/>
            <w:shd w:fill="CCEEFF" w:val="clear"/>
            <w:vAlign w:val="center"/>
          </w:tcPr>
          <w:p>
            <w:pPr>
              <w:pStyle w:val="TableContents"/>
              <w:bidi w:val="0"/>
              <w:spacing w:before="0" w:after="1"/>
              <w:ind w:left="0" w:right="0" w:hanging="0"/>
              <w:jc w:val="right"/>
              <w:rPr/>
            </w:pPr>
            <w:r>
              <w:rPr/>
              <w:t>​</w:t>
            </w:r>
          </w:p>
        </w:tc>
        <w:tc>
          <w:tcPr>
            <w:tcW w:w="12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shd w:fill="CCEEFF" w:val="clear"/>
            <w:vAlign w:val="center"/>
          </w:tcPr>
          <w:p>
            <w:pPr>
              <w:pStyle w:val="TableContents"/>
              <w:bidi w:val="0"/>
              <w:spacing w:before="0" w:after="1"/>
              <w:ind w:left="0" w:right="0" w:hanging="0"/>
              <w:jc w:val="right"/>
              <w:rPr/>
            </w:pPr>
            <w:r>
              <w:rPr/>
              <w:t>​</w:t>
            </w:r>
          </w:p>
        </w:tc>
        <w:tc>
          <w:tcPr>
            <w:tcW w:w="476" w:type="dxa"/>
            <w:tcBorders/>
            <w:shd w:fill="CCEEFF" w:val="clear"/>
            <w:vAlign w:val="center"/>
          </w:tcPr>
          <w:p>
            <w:pPr>
              <w:pStyle w:val="TableContents"/>
              <w:bidi w:val="0"/>
              <w:spacing w:before="0" w:after="1"/>
              <w:ind w:left="0" w:right="0" w:hanging="0"/>
              <w:jc w:val="right"/>
              <w:rPr/>
            </w:pPr>
            <w:r>
              <w:rPr/>
              <w:t>​</w:t>
            </w:r>
          </w:p>
        </w:tc>
        <w:tc>
          <w:tcPr>
            <w:tcW w:w="12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64" w:type="dxa"/>
            <w:tcBorders/>
            <w:shd w:fill="CCEEFF" w:val="clear"/>
            <w:vAlign w:val="center"/>
          </w:tcPr>
          <w:p>
            <w:pPr>
              <w:pStyle w:val="TableContents"/>
              <w:bidi w:val="0"/>
              <w:spacing w:before="0" w:after="1"/>
              <w:ind w:left="0" w:right="0" w:hanging="0"/>
              <w:jc w:val="right"/>
              <w:rPr/>
            </w:pPr>
            <w:r>
              <w:rPr/>
              <w:t>​</w:t>
            </w:r>
          </w:p>
        </w:tc>
        <w:tc>
          <w:tcPr>
            <w:tcW w:w="1362"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90</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short notional amount on our credit default swap positions was approximately $193</w:t>
            </w:r>
            <w:r>
              <w:rPr>
                <w:caps w:val="false"/>
                <w:smallCaps w:val="false"/>
              </w:rPr>
              <w:t xml:space="preserve"> </w:t>
            </w:r>
            <w:r>
              <w:rPr>
                <w:rFonts w:ascii="Times New Roman;Times;serif" w:hAnsi="Times New Roman;Times;serif"/>
                <w:b w:val="false"/>
                <w:i w:val="false"/>
                <w:caps w:val="false"/>
                <w:smallCaps w:val="false"/>
                <w:sz w:val="16"/>
              </w:rPr>
              <w:t>million and $213</w:t>
            </w:r>
            <w:r>
              <w:rPr>
                <w:caps w:val="false"/>
                <w:smallCaps w:val="false"/>
              </w:rPr>
              <w:t xml:space="preserve"> </w:t>
            </w:r>
            <w:r>
              <w:rPr>
                <w:rFonts w:ascii="Times New Roman;Times;serif" w:hAnsi="Times New Roman;Times;serif"/>
                <w:b w:val="false"/>
                <w:i w:val="false"/>
                <w:caps w:val="false"/>
                <w:smallCaps w:val="false"/>
                <w:sz w:val="16"/>
              </w:rPr>
              <w:t>million at June 30, 2025 and December 31, 2024, respectively. However, because credit spreads cannot compress below zero, our downside short notional exposure to loss is approximately $40</w:t>
            </w:r>
            <w:r>
              <w:rPr>
                <w:caps w:val="false"/>
                <w:smallCaps w:val="false"/>
              </w:rPr>
              <w:t xml:space="preserve"> </w:t>
            </w:r>
            <w:r>
              <w:rPr>
                <w:rFonts w:ascii="Times New Roman;Times;serif" w:hAnsi="Times New Roman;Times;serif"/>
                <w:b w:val="false"/>
                <w:i w:val="false"/>
                <w:caps w:val="false"/>
                <w:smallCaps w:val="false"/>
                <w:sz w:val="16"/>
              </w:rPr>
              <w:t>million and $55</w:t>
            </w:r>
            <w:r>
              <w:rPr>
                <w:caps w:val="false"/>
                <w:smallCaps w:val="false"/>
              </w:rPr>
              <w:t xml:space="preserve"> </w:t>
            </w:r>
            <w:r>
              <w:rPr>
                <w:rFonts w:ascii="Times New Roman;Times;serif" w:hAnsi="Times New Roman;Times;serif"/>
                <w:b w:val="false"/>
                <w:i w:val="false"/>
                <w:caps w:val="false"/>
                <w:smallCaps w:val="false"/>
                <w:sz w:val="16"/>
              </w:rPr>
              <w:t>million as of June 30, 2025 and December 31, 2024, respectively.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the fair values of our Investment segment’s derivatives that are not designated as hedging instruments in accordance with U.S. GAAP:</w:t>
      </w:r>
    </w:p>
    <w:p>
      <w:pPr>
        <w:pStyle w:val="TextBody"/>
        <w:bidi w:val="0"/>
        <w:spacing w:before="0" w:after="0"/>
        <w:ind w:left="0" w:right="0" w:hanging="0"/>
        <w:jc w:val="left"/>
        <w:rPr/>
      </w:pPr>
      <w:r>
        <w:rPr/>
        <w:t>​</w:t>
      </w:r>
    </w:p>
    <w:tbl>
      <w:tblPr>
        <w:tblW w:w="9989" w:type="dxa"/>
        <w:jc w:val="left"/>
        <w:tblInd w:w="0" w:type="dxa"/>
        <w:tblLayout w:type="fixed"/>
        <w:tblCellMar>
          <w:top w:w="0" w:type="dxa"/>
          <w:left w:w="0" w:type="dxa"/>
          <w:bottom w:w="0" w:type="dxa"/>
          <w:right w:w="0" w:type="dxa"/>
        </w:tblCellMar>
      </w:tblPr>
      <w:tblGrid>
        <w:gridCol w:w="2626"/>
        <w:gridCol w:w="326"/>
        <w:gridCol w:w="389"/>
        <w:gridCol w:w="887"/>
        <w:gridCol w:w="326"/>
        <w:gridCol w:w="526"/>
        <w:gridCol w:w="1200"/>
        <w:gridCol w:w="326"/>
        <w:gridCol w:w="344"/>
        <w:gridCol w:w="932"/>
        <w:gridCol w:w="336"/>
        <w:gridCol w:w="507"/>
        <w:gridCol w:w="1264"/>
      </w:tblGrid>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left"/>
              <w:rPr/>
            </w:pPr>
            <w:r>
              <w:rPr/>
              <w:t>​</w:t>
            </w:r>
          </w:p>
        </w:tc>
        <w:tc>
          <w:tcPr>
            <w:tcW w:w="1264" w:type="dxa"/>
            <w:tcBorders/>
            <w:vAlign w:val="center"/>
          </w:tcPr>
          <w:p>
            <w:pPr>
              <w:pStyle w:val="TableContents"/>
              <w:bidi w:val="0"/>
              <w:spacing w:before="0" w:after="1"/>
              <w:ind w:left="0" w:right="0" w:hanging="0"/>
              <w:jc w:val="left"/>
              <w:rPr/>
            </w:pPr>
            <w:r>
              <w:rPr/>
              <w:t>​</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3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Derivative Assets</w:t>
            </w:r>
          </w:p>
        </w:tc>
        <w:tc>
          <w:tcPr>
            <w:tcW w:w="326" w:type="dxa"/>
            <w:tcBorders/>
            <w:vAlign w:val="center"/>
          </w:tcPr>
          <w:p>
            <w:pPr>
              <w:pStyle w:val="TableContents"/>
              <w:bidi w:val="0"/>
              <w:spacing w:before="0" w:after="1"/>
              <w:ind w:left="0" w:right="0" w:hanging="0"/>
              <w:jc w:val="center"/>
              <w:rPr/>
            </w:pPr>
            <w:r>
              <w:rPr/>
              <w:t>​</w:t>
            </w:r>
          </w:p>
        </w:tc>
        <w:tc>
          <w:tcPr>
            <w:tcW w:w="33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Derivative Liabilities</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1"/>
              <w:ind w:left="0" w:right="0" w:hanging="0"/>
              <w:jc w:val="left"/>
              <w:rPr/>
            </w:pPr>
            <w:r>
              <w:rPr/>
              <w:t>    </w:t>
            </w:r>
          </w:p>
        </w:tc>
        <w:tc>
          <w:tcPr>
            <w:tcW w:w="17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326" w:type="dxa"/>
            <w:tcBorders/>
            <w:vAlign w:val="center"/>
          </w:tcPr>
          <w:p>
            <w:pPr>
              <w:pStyle w:val="TableContents"/>
              <w:bidi w:val="0"/>
              <w:spacing w:before="0" w:after="1"/>
              <w:ind w:left="0" w:right="0" w:hanging="0"/>
              <w:jc w:val="left"/>
              <w:rPr/>
            </w:pPr>
            <w:r>
              <w:rPr/>
              <w:t>    </w:t>
            </w:r>
          </w:p>
        </w:tc>
        <w:tc>
          <w:tcPr>
            <w:tcW w:w="12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36" w:type="dxa"/>
            <w:tcBorders/>
            <w:vAlign w:val="center"/>
          </w:tcPr>
          <w:p>
            <w:pPr>
              <w:pStyle w:val="TableContents"/>
              <w:bidi w:val="0"/>
              <w:spacing w:before="0" w:after="1"/>
              <w:ind w:left="0" w:right="0" w:hanging="0"/>
              <w:jc w:val="left"/>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998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89" w:type="dxa"/>
            <w:tcBorders/>
            <w:vAlign w:val="center"/>
          </w:tcPr>
          <w:p>
            <w:pPr>
              <w:pStyle w:val="TableContents"/>
              <w:bidi w:val="0"/>
              <w:spacing w:before="0" w:after="1"/>
              <w:ind w:left="0" w:right="0" w:hanging="0"/>
              <w:jc w:val="center"/>
              <w:rPr/>
            </w:pPr>
            <w:r>
              <w:rPr/>
              <w:t>​</w:t>
            </w:r>
          </w:p>
        </w:tc>
        <w:tc>
          <w:tcPr>
            <w:tcW w:w="6648" w:type="dxa"/>
            <w:gridSpan w:val="10"/>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1,154</w:t>
            </w:r>
          </w:p>
        </w:tc>
        <w:tc>
          <w:tcPr>
            <w:tcW w:w="336" w:type="dxa"/>
            <w:tcBorders/>
            <w:shd w:fill="CCEEFF" w:val="clear"/>
            <w:vAlign w:val="center"/>
          </w:tcPr>
          <w:p>
            <w:pPr>
              <w:pStyle w:val="TableContents"/>
              <w:bidi w:val="0"/>
              <w:spacing w:before="0" w:after="1"/>
              <w:ind w:left="0" w:right="0" w:hanging="0"/>
              <w:jc w:val="left"/>
              <w:rPr/>
            </w:pPr>
            <w:r>
              <w:rPr/>
              <w:t>​</w:t>
            </w:r>
          </w:p>
        </w:tc>
        <w:tc>
          <w:tcPr>
            <w:tcW w:w="5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contracts</w:t>
            </w:r>
          </w:p>
        </w:tc>
        <w:tc>
          <w:tcPr>
            <w:tcW w:w="326" w:type="dxa"/>
            <w:tcBorders/>
            <w:vAlign w:val="center"/>
          </w:tcPr>
          <w:p>
            <w:pPr>
              <w:pStyle w:val="TableContents"/>
              <w:bidi w:val="0"/>
              <w:spacing w:before="0" w:after="1"/>
              <w:ind w:left="0" w:right="0" w:hanging="0"/>
              <w:jc w:val="left"/>
              <w:rPr/>
            </w:pPr>
            <w:r>
              <w:rPr/>
              <w:t>​</w:t>
            </w:r>
          </w:p>
        </w:tc>
        <w:tc>
          <w:tcPr>
            <w:tcW w:w="38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pPr>
            <w:r>
              <w:rPr/>
              <w:t> </w:t>
            </w:r>
          </w:p>
        </w:tc>
        <w:tc>
          <w:tcPr>
            <w:tcW w:w="932" w:type="dxa"/>
            <w:tcBorders/>
            <w:vAlign w:val="center"/>
          </w:tcPr>
          <w:p>
            <w:pPr>
              <w:pStyle w:val="TableContents"/>
              <w:bidi w:val="0"/>
              <w:spacing w:before="0" w:after="1"/>
              <w:ind w:left="0" w:right="0" w:hanging="0"/>
              <w:jc w:val="right"/>
              <w:rPr/>
            </w:pPr>
            <w:r>
              <w:rPr/>
              <w:t>—</w:t>
            </w:r>
          </w:p>
        </w:tc>
        <w:tc>
          <w:tcPr>
            <w:tcW w:w="336"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left"/>
              <w:rPr/>
            </w:pPr>
            <w:r>
              <w:rPr/>
              <w:t> </w:t>
            </w:r>
          </w:p>
        </w:tc>
        <w:tc>
          <w:tcPr>
            <w:tcW w:w="12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3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36" w:type="dxa"/>
            <w:tcBorders/>
            <w:shd w:fill="CCEEFF" w:val="clear"/>
            <w:vAlign w:val="center"/>
          </w:tcPr>
          <w:p>
            <w:pPr>
              <w:pStyle w:val="TableContents"/>
              <w:bidi w:val="0"/>
              <w:spacing w:before="0" w:after="1"/>
              <w:ind w:left="0" w:right="0" w:hanging="0"/>
              <w:jc w:val="left"/>
              <w:rPr/>
            </w:pPr>
            <w:r>
              <w:rPr/>
              <w:t>​</w:t>
            </w:r>
          </w:p>
        </w:tc>
        <w:tc>
          <w:tcPr>
            <w:tcW w:w="5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vAlign w:val="center"/>
          </w:tcPr>
          <w:p>
            <w:pPr>
              <w:pStyle w:val="TableContents"/>
              <w:bidi w:val="0"/>
              <w:spacing w:before="0" w:after="1"/>
              <w:ind w:left="0" w:right="0" w:hanging="0"/>
              <w:jc w:val="left"/>
              <w:rPr/>
            </w:pPr>
            <w:r>
              <w:rPr/>
              <w:t>​</w:t>
            </w:r>
          </w:p>
        </w:tc>
        <w:tc>
          <w:tcPr>
            <w:tcW w:w="38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pPr>
            <w:r>
              <w:rPr/>
              <w:t> </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w:t>
            </w:r>
          </w:p>
        </w:tc>
        <w:tc>
          <w:tcPr>
            <w:tcW w:w="336"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left"/>
              <w:rPr/>
            </w:pPr>
            <w:r>
              <w:rPr/>
              <w:t> </w:t>
            </w:r>
          </w:p>
        </w:tc>
        <w:tc>
          <w:tcPr>
            <w:tcW w:w="12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w:t>
            </w:r>
          </w:p>
        </w:tc>
      </w:tr>
      <w:tr>
        <w:trPr/>
        <w:tc>
          <w:tcPr>
            <w:tcW w:w="26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Netting across contract types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3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CCEEFF" w:val="cle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shd w:fill="CCEEFF" w:val="clear"/>
            <w:vAlign w:val="center"/>
          </w:tcPr>
          <w:p>
            <w:pPr>
              <w:pStyle w:val="TableContents"/>
              <w:bidi w:val="0"/>
              <w:spacing w:before="0" w:after="1"/>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36" w:type="dxa"/>
            <w:tcBorders/>
            <w:shd w:fill="CCEEFF" w:val="clear"/>
            <w:vAlign w:val="center"/>
          </w:tcPr>
          <w:p>
            <w:pPr>
              <w:pStyle w:val="TableContents"/>
              <w:bidi w:val="0"/>
              <w:spacing w:before="0" w:after="1"/>
              <w:ind w:left="0" w:right="0" w:hanging="0"/>
              <w:jc w:val="left"/>
              <w:rPr/>
            </w:pPr>
            <w:r>
              <w:rPr/>
              <w:t>​</w:t>
            </w:r>
          </w:p>
        </w:tc>
        <w:tc>
          <w:tcPr>
            <w:tcW w:w="5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262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Total</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38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5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1,062</w:t>
            </w:r>
          </w:p>
        </w:tc>
        <w:tc>
          <w:tcPr>
            <w:tcW w:w="336" w:type="dxa"/>
            <w:tcBorders/>
            <w:vAlign w:val="center"/>
          </w:tcPr>
          <w:p>
            <w:pPr>
              <w:pStyle w:val="TableContents"/>
              <w:bidi w:val="0"/>
              <w:spacing w:before="0" w:after="1"/>
              <w:ind w:left="0" w:right="0" w:hanging="0"/>
              <w:jc w:val="left"/>
              <w:rPr/>
            </w:pPr>
            <w:r>
              <w:rPr/>
              <w:t>​</w:t>
            </w:r>
          </w:p>
        </w:tc>
        <w:tc>
          <w:tcPr>
            <w:tcW w:w="5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756</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Excludes netting of cash collateral received and posted. The total collateral posted at June 30, 2025 and December 31, 2024 was $1.79</w:t>
            </w:r>
            <w:r>
              <w:rPr>
                <w:caps w:val="false"/>
                <w:smallCaps w:val="false"/>
              </w:rPr>
              <w:t xml:space="preserve"> </w:t>
            </w:r>
            <w:r>
              <w:rPr>
                <w:rFonts w:ascii="Times New Roman;Times;serif" w:hAnsi="Times New Roman;Times;serif"/>
                <w:b w:val="false"/>
                <w:i w:val="false"/>
                <w:caps w:val="false"/>
                <w:smallCaps w:val="false"/>
                <w:sz w:val="16"/>
              </w:rPr>
              <w:t>billion and $1.75</w:t>
            </w:r>
            <w:r>
              <w:rPr>
                <w:caps w:val="false"/>
                <w:smallCaps w:val="false"/>
              </w:rPr>
              <w:t xml:space="preserve"> </w:t>
            </w:r>
            <w:r>
              <w:rPr>
                <w:rFonts w:ascii="Times New Roman;Times;serif" w:hAnsi="Times New Roman;Times;serif"/>
                <w:b w:val="false"/>
                <w:i w:val="false"/>
                <w:caps w:val="false"/>
                <w:smallCaps w:val="false"/>
                <w:sz w:val="16"/>
              </w:rPr>
              <w:t>billion, respectively, across all counterparties, which are included in cash held at consolidated affiliated partnerships and restricted cash in the condensed consolidated balance sheets.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880" w:name="Tc_pMF98tmDbE6WQY0aVq_O9g_6_12"/>
      <w:bookmarkStart w:id="881" w:name="Tc_A_bIfsj2mU2kBuWeErkqcw_6_11"/>
      <w:bookmarkStart w:id="882" w:name="Tc_3COf5_Ga_0Gi509ryeslRw_6_9"/>
      <w:bookmarkStart w:id="883" w:name="Tc_IQYrAmkTcECDBMiupCWQwA_6_8"/>
      <w:bookmarkStart w:id="884" w:name="Tc_0ccAMuvEl0-6fMTuRxxMgA_6_5"/>
      <w:bookmarkStart w:id="885" w:name="Tc_fn2oDG-qT0Sf8AWYuy9Qdg_6_2"/>
      <w:bookmarkStart w:id="886" w:name="Tc_48uo086Z8kuAMzAmoxgorg_6_0"/>
      <w:bookmarkStart w:id="887" w:name="Tc__MeJh6XuQ0WQOBQwqDp4fA_5_0"/>
      <w:bookmarkStart w:id="888" w:name="Tc_UeaA304qNUex376JJ33IsQ_4_11"/>
      <w:bookmarkStart w:id="889" w:name="Tc_VGgwORyaaESVhz53wereUg_4_8"/>
      <w:bookmarkStart w:id="890" w:name="Tc_EEwwy8UdxUezD9olMr733g_4_5"/>
      <w:bookmarkStart w:id="891" w:name="Tc_9uPuYSRM4E2ObflhsQtfig_4_2"/>
      <w:bookmarkStart w:id="892" w:name="Tc_w9iuM9Q9xk2A4Lzd3dNmlA_4_0"/>
      <w:bookmarkStart w:id="893" w:name="Tc_yMuQKno-FUqxk_PSTVqoTw_3_3"/>
      <w:bookmarkStart w:id="894" w:name="Tc_CN5n1nv350W2BHcbp8Sm8Q_2_11"/>
      <w:bookmarkStart w:id="895" w:name="Tc_cJMbHsGW0EKek3tY4wFFHA_2_8"/>
      <w:bookmarkStart w:id="896" w:name="Tc_cBvUcv7NKEWYnwhL5pYpvQ_2_5"/>
      <w:bookmarkStart w:id="897" w:name="Tc_7v6kdxISwUKMhR0ONC26WQ_2_2"/>
      <w:bookmarkStart w:id="898" w:name="Tc_qUiB6W2vVECHFrs3UV8JNA_1_8"/>
      <w:bookmarkStart w:id="899" w:name="Tc_7VINQbq-JUKKl9i9evWv1w_1_2"/>
      <w:bookmarkStart w:id="900" w:name="_da7738a0_19ab_4055_8031_10dac7b5ad1a"/>
      <w:bookmarkStart w:id="901" w:name="RANGEA3M8"/>
      <w:bookmarkStart w:id="902" w:name="_41b32f1c_0f95_49dc_9b05_5ce6715d36fa"/>
      <w:bookmarkStart w:id="903" w:name="Tc_jPwX2VeIUkiyCWOznFyyXQ_8_11"/>
      <w:bookmarkStart w:id="904" w:name="Tc_wz9INZYLfUW5ta_UTGe1tw_8_8"/>
      <w:bookmarkStart w:id="905" w:name="Tc_6R5lzrAN70uBXhWv07PAxw_8_5"/>
      <w:bookmarkStart w:id="906" w:name="Tc_VqQeZBl2nkODGQLqeVbBLw_8_2"/>
      <w:bookmarkStart w:id="907" w:name="Tc_3uUkHT_9rkacZGJma7t2CQ_7_0"/>
      <w:bookmarkStart w:id="908" w:name="Tc_pmwWK_-bZ0O60EXh7kZOfA_6_0"/>
      <w:bookmarkStart w:id="909" w:name="Tc_KavvN96GkU-3JJAjXRY6Nw_5_11"/>
      <w:bookmarkStart w:id="910" w:name="Tc_BlAlmKwY_EaPoOXPPsvgew_5_8"/>
      <w:bookmarkStart w:id="911" w:name="Tc_Hd3rtTGYlUa7I0amBK_hrA_5_5"/>
      <w:bookmarkStart w:id="912" w:name="Tc_tFpEmOYt706k6qu8_57A_w_5_2"/>
      <w:bookmarkStart w:id="913" w:name="Tc_RRRjd0a5YkmX3yDDIH2QRQ_5_0"/>
      <w:bookmarkStart w:id="914" w:name="Tc_OBsRITOyw06GY72CJPPPxA_4_2"/>
      <w:bookmarkStart w:id="915" w:name="Tc_vW5r6hW0UUOA1JlCEgjcnw_3_11"/>
      <w:bookmarkStart w:id="916" w:name="Tc_YLqPljH-ikmSrHdruAGrqw_3_8"/>
      <w:bookmarkStart w:id="917" w:name="Tc_ekniSgXad06Ubeh8AK5HMQ_3_5"/>
      <w:bookmarkStart w:id="918" w:name="Tc_21oV74F170e1MAIgvt6HmQ_3_2"/>
      <w:bookmarkStart w:id="919" w:name="Tc_ip8q3qxcWkWy42tNRi4TNw_2_8"/>
      <w:bookmarkStart w:id="920" w:name="Tc_8HGdHgr_CkKB4AAL5x7hzQ_2_2"/>
      <w:bookmarkStart w:id="921" w:name="Tc_g7ntWLlxakOqf1nFrf7kIw_1_2"/>
      <w:bookmarkStart w:id="922" w:name="_e8d26ce3_2852_4a7e_bacb_06593b606108"/>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r>
        <w:rPr>
          <w:rFonts w:ascii="Times New Roman;Times;serif" w:hAnsi="Times New Roman;Times;serif"/>
          <w:sz w:val="20"/>
        </w:rPr>
        <w:t xml:space="preserve">The following table presents the amount of gain (loss) recognized in the condensed consolidated statements of operations for our Investment segment’s derivatives not designated as hedging instruments: </w:t>
      </w:r>
    </w:p>
    <w:p>
      <w:pPr>
        <w:pStyle w:val="TextBody"/>
        <w:bidi w:val="0"/>
        <w:spacing w:before="0" w:after="0"/>
        <w:ind w:left="0" w:right="0" w:hanging="0"/>
        <w:jc w:val="left"/>
        <w:rPr/>
      </w:pPr>
      <w:r>
        <w:rPr/>
        <w:t>​</w:t>
      </w:r>
    </w:p>
    <w:tbl>
      <w:tblPr>
        <w:tblW w:w="7668" w:type="dxa"/>
        <w:jc w:val="left"/>
        <w:tblInd w:w="0" w:type="dxa"/>
        <w:tblLayout w:type="fixed"/>
        <w:tblCellMar>
          <w:top w:w="0" w:type="dxa"/>
          <w:left w:w="0" w:type="dxa"/>
          <w:bottom w:w="0" w:type="dxa"/>
          <w:right w:w="0" w:type="dxa"/>
        </w:tblCellMar>
      </w:tblPr>
      <w:tblGrid>
        <w:gridCol w:w="1876"/>
        <w:gridCol w:w="326"/>
        <w:gridCol w:w="307"/>
        <w:gridCol w:w="789"/>
        <w:gridCol w:w="475"/>
        <w:gridCol w:w="307"/>
        <w:gridCol w:w="789"/>
        <w:gridCol w:w="326"/>
        <w:gridCol w:w="278"/>
        <w:gridCol w:w="714"/>
        <w:gridCol w:w="430"/>
        <w:gridCol w:w="278"/>
        <w:gridCol w:w="773"/>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191260" cy="175260"/>
                      <wp:effectExtent l="0" t="0" r="0" b="0"/>
                      <wp:wrapNone/>
                      <wp:docPr id="129" name="Frame129"/>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94945" cy="175260"/>
                      <wp:effectExtent l="0" t="0" r="0" b="0"/>
                      <wp:wrapNone/>
                      <wp:docPr id="131" name="Frame131"/>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01015" cy="175260"/>
                      <wp:effectExtent l="0" t="0" r="0" b="0"/>
                      <wp:wrapNone/>
                      <wp:docPr id="132" name="Frame132"/>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01625" cy="175260"/>
                      <wp:effectExtent l="0" t="0" r="0" b="0"/>
                      <wp:wrapNone/>
                      <wp:docPr id="133" name="Frame133"/>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94945" cy="175260"/>
                      <wp:effectExtent l="0" t="0" r="0" b="0"/>
                      <wp:wrapNone/>
                      <wp:docPr id="134" name="Frame134"/>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01015" cy="175260"/>
                      <wp:effectExtent l="0" t="0" r="0" b="0"/>
                      <wp:wrapNone/>
                      <wp:docPr id="135" name="Frame135"/>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76530" cy="175260"/>
                      <wp:effectExtent l="0" t="0" r="0" b="0"/>
                      <wp:wrapNone/>
                      <wp:docPr id="137" name="Frame137"/>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53390" cy="175260"/>
                      <wp:effectExtent l="0" t="0" r="0" b="0"/>
                      <wp:wrapNone/>
                      <wp:docPr id="138" name="Frame138"/>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73050" cy="175260"/>
                      <wp:effectExtent l="0" t="0" r="0" b="0"/>
                      <wp:wrapNone/>
                      <wp:docPr id="139" name="Frame139"/>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76530" cy="175260"/>
                      <wp:effectExtent l="0" t="0" r="0" b="0"/>
                      <wp:wrapNone/>
                      <wp:docPr id="140" name="Frame140"/>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90855" cy="175260"/>
                      <wp:effectExtent l="0" t="0" r="0" b="0"/>
                      <wp:wrapNone/>
                      <wp:docPr id="141" name="Frame141"/>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466" w:type="dxa"/>
            <w:gridSpan w:val="11"/>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 xml:space="preserve">Gain (loss) Recognized in Income </w:t>
            </w:r>
            <w:r>
              <w:rPr>
                <w:rFonts w:ascii="Times New Roman;Times;serif" w:hAnsi="Times New Roman;Times;serif"/>
                <w:b/>
                <w:sz w:val="15"/>
              </w:rPr>
              <w:t>(1)</w:t>
            </w:r>
          </w:p>
        </w:tc>
      </w:tr>
      <w:tr>
        <w:trPr/>
        <w:tc>
          <w:tcPr>
            <w:tcW w:w="1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6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26" w:type="dxa"/>
            <w:tcBorders/>
            <w:vAlign w:val="center"/>
          </w:tcPr>
          <w:p>
            <w:pPr>
              <w:pStyle w:val="TableContents"/>
              <w:bidi w:val="0"/>
              <w:spacing w:before="0" w:after="1"/>
              <w:ind w:left="0" w:right="0" w:hanging="0"/>
              <w:jc w:val="center"/>
              <w:rPr/>
            </w:pPr>
            <w:r>
              <w:rPr/>
              <w:t>​</w:t>
            </w:r>
          </w:p>
        </w:tc>
        <w:tc>
          <w:tcPr>
            <w:tcW w:w="24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1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75"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30"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766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466" w:type="dxa"/>
            <w:gridSpan w:val="11"/>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475"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w:t>
            </w:r>
          </w:p>
        </w:tc>
        <w:tc>
          <w:tcPr>
            <w:tcW w:w="430"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contracts</w:t>
            </w:r>
          </w:p>
        </w:tc>
        <w:tc>
          <w:tcPr>
            <w:tcW w:w="32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475"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430"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475" w:type="dxa"/>
            <w:tcBorders/>
            <w:shd w:fill="CCEEFF" w:val="clear"/>
            <w:vAlign w:val="center"/>
          </w:tcPr>
          <w:p>
            <w:pPr>
              <w:pStyle w:val="TableContents"/>
              <w:bidi w:val="0"/>
              <w:spacing w:before="0" w:after="1"/>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430" w:type="dxa"/>
            <w:tcBorders/>
            <w:shd w:fill="CCEEFF" w:val="clear"/>
            <w:vAlign w:val="center"/>
          </w:tcPr>
          <w:p>
            <w:pPr>
              <w:pStyle w:val="TableContents"/>
              <w:bidi w:val="0"/>
              <w:spacing w:before="0" w:after="1"/>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1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475" w:type="dxa"/>
            <w:tcBorders/>
            <w:vAlign w:val="center"/>
          </w:tcPr>
          <w:p>
            <w:pPr>
              <w:pStyle w:val="TableContents"/>
              <w:bidi w:val="0"/>
              <w:spacing w:before="0" w:after="1"/>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w:t>
            </w:r>
          </w:p>
        </w:tc>
        <w:tc>
          <w:tcPr>
            <w:tcW w:w="326" w:type="dxa"/>
            <w:tcBorders/>
            <w:vAlign w:val="center"/>
          </w:tcPr>
          <w:p>
            <w:pPr>
              <w:pStyle w:val="TableContents"/>
              <w:bidi w:val="0"/>
              <w:spacing w:before="0" w:after="1"/>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c>
          <w:tcPr>
            <w:tcW w:w="430" w:type="dxa"/>
            <w:tcBorders/>
            <w:vAlign w:val="center"/>
          </w:tcPr>
          <w:p>
            <w:pPr>
              <w:pStyle w:val="TableContents"/>
              <w:bidi w:val="0"/>
              <w:spacing w:before="0" w:after="1"/>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Gains (losses) recognized on derivatives are classified in net (loss) gain from investment activities in our condensed consolidated statements of operations for our Investment segment.</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CVR Energy’s businesses are subject to fluctuations of commodity prices caused by supply and economic conditions, weather, interest rates, and other factors. To manage price risk on crude oil and other inventories and to fix margins on future sales and purchases, CVR Energy from time to time enters into various commodity derivative transactions and holds derivative instruments, such as futures and swaps, which it believes provide an economic hedge on future transactions, as such instruments are not designated as hedge instruments. CVR Energy may enter into forward purchase or sale contracts associated with its feedstocks, expected future gasoline and diesel production and/or renewable identification numbers (“RINs”).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2025 and December 31, 2024, CVR Energy had swap positions for crack spreads that offset to 1 million barrels and less than 1 million barrels at each period, respectively. As of June 30, 2025 and December 31, 2024, CVR Energy had less than 1 million barrels and zero futures contracts, respectively. As of June 30, 2025 and December 31, 2024, CVR Energy had forward contracts of less than 1 million barrels at each period. As of June 30, 2025 and December 31, 2024, CVR Energy had open fixed-price commitments to purchase a net 5 million and 7 million RINs,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presents the fair value of our Energy segment’s derivatives and the effect of the collateral netting: </w:t>
      </w:r>
    </w:p>
    <w:tbl>
      <w:tblPr>
        <w:tblW w:w="10066" w:type="dxa"/>
        <w:jc w:val="left"/>
        <w:tblInd w:w="0" w:type="dxa"/>
        <w:tblLayout w:type="fixed"/>
        <w:tblCellMar>
          <w:top w:w="0" w:type="dxa"/>
          <w:left w:w="0" w:type="dxa"/>
          <w:bottom w:w="0" w:type="dxa"/>
          <w:right w:w="0" w:type="dxa"/>
        </w:tblCellMar>
      </w:tblPr>
      <w:tblGrid>
        <w:gridCol w:w="2626"/>
        <w:gridCol w:w="326"/>
        <w:gridCol w:w="496"/>
        <w:gridCol w:w="779"/>
        <w:gridCol w:w="335"/>
        <w:gridCol w:w="620"/>
        <w:gridCol w:w="1106"/>
        <w:gridCol w:w="326"/>
        <w:gridCol w:w="483"/>
        <w:gridCol w:w="792"/>
        <w:gridCol w:w="406"/>
        <w:gridCol w:w="564"/>
        <w:gridCol w:w="1207"/>
      </w:tblGrid>
      <w:tr>
        <w:trPr/>
        <w:tc>
          <w:tcPr>
            <w:tcW w:w="2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c>
          <w:tcPr>
            <w:tcW w:w="1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left"/>
              <w:rPr/>
            </w:pPr>
            <w:r>
              <w:rPr/>
              <w:t>​</w:t>
            </w:r>
          </w:p>
        </w:tc>
      </w:tr>
      <w:tr>
        <w:trPr/>
        <w:tc>
          <w:tcPr>
            <w:tcW w:w="2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3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Derivative Assets</w:t>
            </w:r>
          </w:p>
        </w:tc>
        <w:tc>
          <w:tcPr>
            <w:tcW w:w="326" w:type="dxa"/>
            <w:tcBorders/>
            <w:vAlign w:val="center"/>
          </w:tcPr>
          <w:p>
            <w:pPr>
              <w:pStyle w:val="TableContents"/>
              <w:bidi w:val="0"/>
              <w:spacing w:before="0" w:after="0"/>
              <w:ind w:left="0" w:right="0" w:hanging="0"/>
              <w:jc w:val="center"/>
              <w:rPr/>
            </w:pPr>
            <w:r>
              <w:rPr/>
              <w:t>​</w:t>
            </w:r>
          </w:p>
        </w:tc>
        <w:tc>
          <w:tcPr>
            <w:tcW w:w="345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Derivative Liabilities</w:t>
            </w:r>
          </w:p>
        </w:tc>
      </w:tr>
      <w:tr>
        <w:trPr/>
        <w:tc>
          <w:tcPr>
            <w:tcW w:w="2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35" w:type="dxa"/>
            <w:tcBorders/>
            <w:vAlign w:val="center"/>
          </w:tcPr>
          <w:p>
            <w:pPr>
              <w:pStyle w:val="TableContents"/>
              <w:bidi w:val="0"/>
              <w:spacing w:before="0" w:after="0"/>
              <w:ind w:left="0" w:right="0" w:hanging="0"/>
              <w:jc w:val="left"/>
              <w:rPr/>
            </w:pPr>
            <w:r>
              <w:rPr/>
              <w:t>    </w:t>
            </w:r>
          </w:p>
        </w:tc>
        <w:tc>
          <w:tcPr>
            <w:tcW w:w="17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326" w:type="dxa"/>
            <w:tcBorders/>
            <w:vAlign w:val="center"/>
          </w:tcPr>
          <w:p>
            <w:pPr>
              <w:pStyle w:val="TableContents"/>
              <w:bidi w:val="0"/>
              <w:spacing w:before="0" w:after="0"/>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406" w:type="dxa"/>
            <w:tcBorders/>
            <w:vAlign w:val="center"/>
          </w:tcPr>
          <w:p>
            <w:pPr>
              <w:pStyle w:val="TableContents"/>
              <w:bidi w:val="0"/>
              <w:spacing w:before="0" w:after="0"/>
              <w:ind w:left="0" w:right="0" w:hanging="0"/>
              <w:jc w:val="left"/>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006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pPr>
            <w:r>
              <w:rPr/>
              <w:t>​</w:t>
            </w:r>
          </w:p>
        </w:tc>
        <w:tc>
          <w:tcPr>
            <w:tcW w:w="6618" w:type="dxa"/>
            <w:gridSpan w:val="1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35"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4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06"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6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Netting across contract types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35" w:type="dxa"/>
            <w:tcBorders/>
            <w:vAlign w:val="center"/>
          </w:tcPr>
          <w:p>
            <w:pPr>
              <w:pStyle w:val="TableContents"/>
              <w:bidi w:val="0"/>
              <w:spacing w:before="0" w:after="0"/>
              <w:ind w:left="0" w:right="0" w:hanging="0"/>
              <w:jc w:val="left"/>
              <w:rPr/>
            </w:pPr>
            <w:r>
              <w:rPr/>
              <w:t>​</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48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06" w:type="dxa"/>
            <w:tcBorders/>
            <w:vAlign w:val="center"/>
          </w:tcPr>
          <w:p>
            <w:pPr>
              <w:pStyle w:val="TableContents"/>
              <w:bidi w:val="0"/>
              <w:spacing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6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Total</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35" w:type="dxa"/>
            <w:tcBorders/>
            <w:shd w:fill="CCEEFF" w:val="clear"/>
            <w:vAlign w:val="center"/>
          </w:tcPr>
          <w:p>
            <w:pPr>
              <w:pStyle w:val="TableContents"/>
              <w:bidi w:val="0"/>
              <w:spacing w:before="0" w:after="0"/>
              <w:ind w:left="0" w:right="0" w:hanging="0"/>
              <w:jc w:val="left"/>
              <w:rPr/>
            </w:pPr>
            <w:r>
              <w:rPr/>
              <w:t>​</w:t>
            </w:r>
          </w:p>
        </w:tc>
        <w:tc>
          <w:tcPr>
            <w:tcW w:w="6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4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5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79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netting of derivatives primarily related to initial margin requirements of $6</w:t>
            </w:r>
            <w:r>
              <w:rPr>
                <w:caps w:val="false"/>
                <w:smallCaps w:val="false"/>
              </w:rPr>
              <w:t xml:space="preserve"> </w:t>
            </w:r>
            <w:r>
              <w:rPr>
                <w:rFonts w:ascii="Times New Roman;Times;serif" w:hAnsi="Times New Roman;Times;serif"/>
                <w:b w:val="false"/>
                <w:i w:val="false"/>
                <w:caps w:val="false"/>
                <w:smallCaps w:val="false"/>
                <w:sz w:val="16"/>
              </w:rPr>
              <w:t>million and $3</w:t>
            </w:r>
            <w:r>
              <w:rPr>
                <w:caps w:val="false"/>
                <w:smallCaps w:val="false"/>
              </w:rPr>
              <w:t xml:space="preserve"> </w:t>
            </w:r>
            <w:r>
              <w:rPr>
                <w:rFonts w:ascii="Times New Roman;Times;serif" w:hAnsi="Times New Roman;Times;serif"/>
                <w:b w:val="false"/>
                <w:i w:val="false"/>
                <w:caps w:val="false"/>
                <w:smallCaps w:val="false"/>
                <w:sz w:val="16"/>
              </w:rPr>
              <w:t>million at June 30, 2025 and December 31, 2024, respectively, which was not offset against derivatives liabilities, net in the condensed consolidated balance sheets.</w:t>
            </w:r>
          </w:p>
        </w:tc>
      </w:tr>
    </w:tbl>
    <w:p>
      <w:pPr>
        <w:pStyle w:val="TextBody"/>
        <w:bidi w:val="0"/>
        <w:spacing w:before="0" w:after="0"/>
        <w:ind w:left="72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Certain derivative instruments within our Energy segment contain credit risk-related contingent provisions associated with our Energy segment’s credit ratings. If our Energy segment’s credit rating were to be downgraded, it would allow the counterparty to require our Energy segment to post collateral or to request immediate, full settlement of derivative instruments in liability positions. As of June 30 2025 and December 31, 2024, there were no derivative liabilities in our Energy segment’s derivative instruments with credit-risk-related contingent features.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Gains and (losses) recognized on derivatives for our Energy segment were $4 million and $23 million for the three months ended June 30, 2025 and 2024, respectively, and $19 million and $5 million for the six months ended June 30, 2025 and 2024, respectively. Gains and losses recognized on derivatives for our Energy segment are included in cost of goods sold on the condensed consolidated statements of operations.</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923" w:name="Tc_meAcM2wC7kW2cZO9jOJ-Gw_7_5"/>
      <w:bookmarkStart w:id="924" w:name="Tc_YGLbYTvXHEWVUggye5DDkA_7_2"/>
      <w:bookmarkStart w:id="925" w:name="Tc_-YlUu21_U0St_2Z7IjAaVA_6_0"/>
      <w:bookmarkStart w:id="926" w:name="Tc_sG9UzdwEpE6Zs5d8gYoWFw_5_0"/>
      <w:bookmarkStart w:id="927" w:name="Tc_7FX4typOfUGRVPOjp8eVIA_4_5"/>
      <w:bookmarkStart w:id="928" w:name="Tc_PmgD8h9eD0a_dfEMS-XmnA_4_2"/>
      <w:bookmarkStart w:id="929" w:name="Tc_9_8zjoMGh0qnURLgqZUoMQ_4_0"/>
      <w:bookmarkStart w:id="930" w:name="Tc_O0dUXT_fQEmUUjjgkI33Fw_3_2"/>
      <w:bookmarkStart w:id="931" w:name="Tc_OUTAQlBA_EetxCgMFcw4qg_2_5"/>
      <w:bookmarkStart w:id="932" w:name="Tc_CV2991iKvU6AEzlYWclwMw_2_2"/>
      <w:bookmarkStart w:id="933" w:name="Tc_3FKTTvSQe0-sNIGDYDxzPg_1_5"/>
      <w:bookmarkStart w:id="934" w:name="Tc_7q7_RxvuCUiT34l7EHDR1g_1_2"/>
      <w:bookmarkEnd w:id="923"/>
      <w:bookmarkEnd w:id="924"/>
      <w:bookmarkEnd w:id="925"/>
      <w:bookmarkEnd w:id="926"/>
      <w:bookmarkEnd w:id="927"/>
      <w:bookmarkEnd w:id="928"/>
      <w:bookmarkEnd w:id="929"/>
      <w:bookmarkEnd w:id="930"/>
      <w:bookmarkEnd w:id="931"/>
      <w:bookmarkEnd w:id="932"/>
      <w:bookmarkEnd w:id="933"/>
      <w:bookmarkEnd w:id="934"/>
      <w:r>
        <w:rPr>
          <w:rFonts w:ascii="Times New Roman;Times;serif" w:hAnsi="Times New Roman;Times;serif"/>
          <w:b/>
          <w:sz w:val="20"/>
        </w:rPr>
        <w:t>7.  Inventories, Net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Inventories, net consists of the following:</w:t>
      </w:r>
    </w:p>
    <w:p>
      <w:pPr>
        <w:pStyle w:val="TextBody"/>
        <w:bidi w:val="0"/>
        <w:spacing w:before="0" w:after="240"/>
        <w:ind w:left="0" w:right="0" w:firstLine="360"/>
        <w:jc w:val="left"/>
        <w:rPr/>
      </w:pPr>
      <w:r>
        <w:rPr/>
        <w:t>​</w:t>
      </w:r>
    </w:p>
    <w:tbl>
      <w:tblPr>
        <w:tblW w:w="4283" w:type="dxa"/>
        <w:jc w:val="left"/>
        <w:tblInd w:w="0" w:type="dxa"/>
        <w:tblLayout w:type="fixed"/>
        <w:tblCellMar>
          <w:top w:w="0" w:type="dxa"/>
          <w:left w:w="0" w:type="dxa"/>
          <w:bottom w:w="0" w:type="dxa"/>
          <w:right w:w="0" w:type="dxa"/>
        </w:tblCellMar>
      </w:tblPr>
      <w:tblGrid>
        <w:gridCol w:w="1426"/>
        <w:gridCol w:w="326"/>
        <w:gridCol w:w="284"/>
        <w:gridCol w:w="571"/>
        <w:gridCol w:w="326"/>
        <w:gridCol w:w="386"/>
        <w:gridCol w:w="964"/>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905510" cy="175260"/>
                      <wp:effectExtent l="0" t="0" r="0" b="0"/>
                      <wp:wrapNone/>
                      <wp:docPr id="142" name="Frame142"/>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80340" cy="175260"/>
                      <wp:effectExtent l="0" t="0" r="0" b="0"/>
                      <wp:wrapNone/>
                      <wp:docPr id="144" name="Frame144"/>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62585" cy="175260"/>
                      <wp:effectExtent l="0" t="0" r="0" b="0"/>
                      <wp:wrapNone/>
                      <wp:docPr id="145" name="Frame14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45110" cy="175260"/>
                      <wp:effectExtent l="0" t="0" r="0" b="0"/>
                      <wp:wrapNone/>
                      <wp:docPr id="147" name="Frame14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12140" cy="175260"/>
                      <wp:effectExtent l="0" t="0" r="0" b="0"/>
                      <wp:wrapNone/>
                      <wp:docPr id="148" name="Frame148"/>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428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531"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c>
          <w:tcPr>
            <w:tcW w:w="32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r>
      <w:tr>
        <w:trPr/>
        <w:tc>
          <w:tcPr>
            <w:tcW w:w="1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 </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w:t>
            </w:r>
          </w:p>
        </w:tc>
        <w:tc>
          <w:tcPr>
            <w:tcW w:w="326" w:type="dxa"/>
            <w:tcBorders/>
            <w:shd w:fill="CCEEFF" w:val="clear"/>
            <w:vAlign w:val="center"/>
          </w:tcPr>
          <w:p>
            <w:pPr>
              <w:pStyle w:val="TableContents"/>
              <w:bidi w:val="0"/>
              <w:spacing w:before="0" w:after="1"/>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w: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w:t>
            </w:r>
          </w:p>
        </w:tc>
        <w:tc>
          <w:tcPr>
            <w:tcW w:w="326" w:type="dxa"/>
            <w:tcBorders/>
            <w:vAlign w:val="center"/>
          </w:tcPr>
          <w:p>
            <w:pPr>
              <w:pStyle w:val="TableContents"/>
              <w:bidi w:val="0"/>
              <w:spacing w:before="0" w:after="1"/>
              <w:ind w:left="0" w:right="0" w:hanging="0"/>
              <w:jc w:val="left"/>
              <w:rPr/>
            </w:pPr>
            <w:r>
              <w:rPr/>
              <w:t>​</w:t>
            </w:r>
          </w:p>
        </w:tc>
        <w:tc>
          <w:tcPr>
            <w:tcW w:w="38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897</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35" w:name="Tc_cU_3oyqQuUiwoAHRSXPVVQ_13_17"/>
      <w:bookmarkStart w:id="936" w:name="Tc_k84rjEbpsUu_mOsI4jcXHA_13_8"/>
      <w:bookmarkStart w:id="937" w:name="Tc_4vVXq84pbEuIwvAfEZj4rA_13_0"/>
      <w:bookmarkStart w:id="938" w:name="Tc_htYBHZaAlE-XOJyxqUEnjw_12_17"/>
      <w:bookmarkStart w:id="939" w:name="Tc_CCGDC1ACT0WAaYC8lo4SyA_12_8"/>
      <w:bookmarkStart w:id="940" w:name="Tc_96SrYn0T3kyHj6jt_HCvxw_12_0"/>
      <w:bookmarkStart w:id="941" w:name="Tc_XRmmqRK5mkW0tcr18ESD5A_10_17"/>
      <w:bookmarkStart w:id="942" w:name="Tc_kwW3rU-Au0iDbBqaBewp8A_10_14"/>
      <w:bookmarkStart w:id="943" w:name="Tc_2jlWxfiJ30i6MFI_WVQGKQ_10_11"/>
      <w:bookmarkStart w:id="944" w:name="Tc_FDQ8cbHl702i7TLmgFi3tw_10_8"/>
      <w:bookmarkStart w:id="945" w:name="Tc_tdTecdwJ7ESszvd2ghfC-Q_10_5"/>
      <w:bookmarkStart w:id="946" w:name="Tc_gkjVGzNVjk6MKfSSzGLhhA_10_2"/>
      <w:bookmarkStart w:id="947" w:name="Tc_iCmejIw7F0uGYCGP8QS7Vw_9_0"/>
      <w:bookmarkStart w:id="948" w:name="Tc_AG-Yn5GlLEK6iCU3P3beVg_8_0"/>
      <w:bookmarkStart w:id="949" w:name="Tc_ArhAw-BISEKEZuH9YMr03A_7_17"/>
      <w:bookmarkStart w:id="950" w:name="Tc_2mIZ7UtZ_0qiMnSf6AtF8Q_7_14"/>
      <w:bookmarkStart w:id="951" w:name="Tc_dRFgS0zMFUybE_75OOBhOg_7_11"/>
      <w:bookmarkStart w:id="952" w:name="Tc_ovaEfYS9OEOhjHO9RY-_2w_7_8"/>
      <w:bookmarkStart w:id="953" w:name="Tc_iaGEmlVwKUyrJ39IA2OGFw_7_5"/>
      <w:bookmarkStart w:id="954" w:name="Tc_4KCRqfAUd0-KpRYaVqnVxw_7_2"/>
      <w:bookmarkStart w:id="955" w:name="Tc_JzWRi-ttKUqhPRhbrKg0HQ_7_0"/>
      <w:bookmarkStart w:id="956" w:name="Tc_oA4ruX8bqU2yDdczJIXQGA_6_0"/>
      <w:bookmarkStart w:id="957" w:name="Tc_BwF0W5B-tEqeDDsUbNVjBg_5_2"/>
      <w:bookmarkStart w:id="958" w:name="Tc_rYxBWkoCaEmPuw6qLlp_yA_4_17"/>
      <w:bookmarkStart w:id="959" w:name="Tc_KWpZCIXAw0yL8VIMrRSFJA_4_14"/>
      <w:bookmarkStart w:id="960" w:name="Tc_WuYWT9SNmUm1G7VlsFr0vg_4_11"/>
      <w:bookmarkStart w:id="961" w:name="Tc_wSZdnKWLU0S4c78WNPbWAg_4_8"/>
      <w:bookmarkStart w:id="962" w:name="Tc_HNHgV6he9UCsQMGTUWZ-yQ_4_5"/>
      <w:bookmarkStart w:id="963" w:name="Tc_-DuzDZ33GUermN4C1iw7PQ_4_2"/>
      <w:bookmarkStart w:id="964" w:name="Tc_4vUcvCLQ50a9eynnUJDdNQ_3_17"/>
      <w:bookmarkStart w:id="965" w:name="Tc_jSkbDJI72k29PvECMCuRxg_3_14"/>
      <w:bookmarkStart w:id="966" w:name="Tc_UxUVRR2dn0S0Wm1cO56oeg_3_11"/>
      <w:bookmarkStart w:id="967" w:name="Tc_0bvMK5xBrUu3j9IDlI6aBQ_3_8"/>
      <w:bookmarkStart w:id="968" w:name="Tc_ri5_e5IiDEis4uBJK3vAoQ_3_5"/>
      <w:bookmarkStart w:id="969" w:name="Tc_HBJ_q6NI3ki54pmG8WpzVA_3_2"/>
      <w:bookmarkStart w:id="970" w:name="Tc_5BOtewYmrkiqL4vJTUeoVA_2_17"/>
      <w:bookmarkStart w:id="971" w:name="Tc_MODyej1jFUSeZU13OellEg_2_11"/>
      <w:bookmarkStart w:id="972" w:name="Tc_HetESL6laUGnYRqDgn1meA_2_8"/>
      <w:bookmarkStart w:id="973" w:name="Tc_MV93FVRj0UGSc03FCZxzkQ_2_2"/>
      <w:bookmarkStart w:id="974" w:name="Tc_qEYYBQBr30S_HVEHf4J9AA_1_11"/>
      <w:bookmarkStart w:id="975" w:name="Tc_qSyT6edR8EeUyoPUfrIFXg_1_2"/>
      <w:bookmarkStart w:id="976" w:name="Tc_po1LjR5ATEKNKfalFU_7Bw_10_17"/>
      <w:bookmarkStart w:id="977" w:name="Tc_ihEweQCP5U6yl0zAXj3lkw_10_14"/>
      <w:bookmarkStart w:id="978" w:name="Tc_QpKXgo2__0K-br7ss8nSDA_10_11"/>
      <w:bookmarkStart w:id="979" w:name="Tc_vmPG46vzOEu-ApNUvVFjhA_10_8"/>
      <w:bookmarkStart w:id="980" w:name="Tc_M3txqghDCkWlBDzhQq8IPw_10_5"/>
      <w:bookmarkStart w:id="981" w:name="Tc_TM3JOgvjNE26-T8noaVesg_10_2"/>
      <w:bookmarkStart w:id="982" w:name="Tc_TAZjJHxOsUCt-Dmxud0yuw_9_15"/>
      <w:bookmarkStart w:id="983" w:name="Tc_MSyM0ZGIA0WQvY2nYgVTdQ_9_6"/>
      <w:bookmarkStart w:id="984" w:name="Tc_0rd0mXFZykKEJxUXed3jTA_9_0"/>
      <w:bookmarkStart w:id="985" w:name="Tc_qpIzLr9PyEKIJNeXmnOzlQ_8_0"/>
      <w:bookmarkStart w:id="986" w:name="Tc_0xIuBaLk7EGkXRQ6egsRfA_7_15"/>
      <w:bookmarkStart w:id="987" w:name="Tc_RZmzBX5DOEm0UTnxrD5xVQ_7_6"/>
      <w:bookmarkStart w:id="988" w:name="Tc_KYoycQQznU6NdazV2J5q6g_7_0"/>
      <w:bookmarkStart w:id="989" w:name="Tc_NLhvJNS_50O6XlU-wIXW-A_6_17"/>
      <w:bookmarkStart w:id="990" w:name="Tc_xw3yGG515UypOSOIsc439Q_6_14"/>
      <w:bookmarkStart w:id="991" w:name="Tc_vy3xAHOAAEi4g2eG59ZrCg_6_11"/>
      <w:bookmarkStart w:id="992" w:name="Tc_EedMzCMVAUqi8Vcmjq5b-A_6_8"/>
      <w:bookmarkStart w:id="993" w:name="Tc_LgkLMvz38UCzj4_VX59ngA_6_5"/>
      <w:bookmarkStart w:id="994" w:name="Tc_36vf3rgtdES5Umdl2DH93g_6_2"/>
      <w:bookmarkStart w:id="995" w:name="Tc_Qf5rVgMDTkWLOHLsYWQInQ_6_0"/>
      <w:bookmarkStart w:id="996" w:name="Tc_JeYGvjAxm0ubUQ2h14D5Mw_5_2"/>
      <w:bookmarkStart w:id="997" w:name="Tc_ePDGsLGME06JDLmRiI5VbA_4_17"/>
      <w:bookmarkStart w:id="998" w:name="Tc_I7w5yccpAkGql4_Mw3X0rw_4_14"/>
      <w:bookmarkStart w:id="999" w:name="Tc_cM4ifVZ7wUKOi3CtTYSaZQ_4_11"/>
      <w:bookmarkStart w:id="1000" w:name="Tc_AsI12N4vpEyOofqqr-IzLQ_4_8"/>
      <w:bookmarkStart w:id="1001" w:name="Tc_oZpEDBP_60a39u99i11SEA_4_5"/>
      <w:bookmarkStart w:id="1002" w:name="Tc_7-uAkQ3UxEGtBtFg8End_w_4_2"/>
      <w:bookmarkStart w:id="1003" w:name="Tc_56Fr4nl1FUWrzZUHbZ4CNw_3_17"/>
      <w:bookmarkStart w:id="1004" w:name="Tc_HnpYwAROGkqC0DXJMD47oQ_3_14"/>
      <w:bookmarkStart w:id="1005" w:name="Tc_MvMywEvJ8UqwykggIBUcCw_3_11"/>
      <w:bookmarkStart w:id="1006" w:name="Tc_hegTTYgtDUWPVrZnCsAz0w_3_8"/>
      <w:bookmarkStart w:id="1007" w:name="Tc_MNGpwbsBdE-1bVMUProiiA_3_5"/>
      <w:bookmarkStart w:id="1008" w:name="Tc_EdzZQk-1AUSsTjz3uqd1yQ_3_2"/>
      <w:bookmarkStart w:id="1009" w:name="Tc_PqVFXAVwoUCbUKrhXPfNOQ_2_17"/>
      <w:bookmarkStart w:id="1010" w:name="Tc_x_ZS9v0kQESXPaNDWHJwzA_2_11"/>
      <w:bookmarkStart w:id="1011" w:name="Tc_x7jaXIOXEE-GKE1dF_xipQ_2_8"/>
      <w:bookmarkStart w:id="1012" w:name="Tc_7l-A4_hswUGvqLHsZwxTDA_2_2"/>
      <w:bookmarkStart w:id="1013" w:name="Tc_vs_6BN9UX0yWweUH01ugDw_1_11"/>
      <w:bookmarkStart w:id="1014" w:name="Tc_78chGoqqiEScxXd0tSL0Sw_1_2"/>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r>
        <w:rPr>
          <w:rFonts w:ascii="Times New Roman;Times;serif" w:hAnsi="Times New Roman;Times;serif"/>
          <w:b/>
          <w:sz w:val="20"/>
        </w:rPr>
        <w:t>8.  Goodwill and Intangible Assets,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Goodwill consists of the following:</w:t>
      </w:r>
    </w:p>
    <w:p>
      <w:pPr>
        <w:pStyle w:val="TextBody"/>
        <w:bidi w:val="0"/>
        <w:spacing w:before="0" w:after="0"/>
        <w:ind w:left="0" w:right="0" w:hanging="0"/>
        <w:jc w:val="left"/>
        <w:rPr/>
      </w:pPr>
      <w:r>
        <w:rPr/>
        <w:t>​</w:t>
      </w:r>
    </w:p>
    <w:tbl>
      <w:tblPr>
        <w:tblW w:w="9522" w:type="dxa"/>
        <w:jc w:val="left"/>
        <w:tblInd w:w="0" w:type="dxa"/>
        <w:tblLayout w:type="fixed"/>
        <w:tblCellMar>
          <w:top w:w="0" w:type="dxa"/>
          <w:left w:w="0" w:type="dxa"/>
          <w:bottom w:w="0" w:type="dxa"/>
          <w:right w:w="0" w:type="dxa"/>
        </w:tblCellMar>
      </w:tblPr>
      <w:tblGrid>
        <w:gridCol w:w="1441"/>
        <w:gridCol w:w="326"/>
        <w:gridCol w:w="314"/>
        <w:gridCol w:w="631"/>
        <w:gridCol w:w="326"/>
        <w:gridCol w:w="437"/>
        <w:gridCol w:w="779"/>
        <w:gridCol w:w="326"/>
        <w:gridCol w:w="300"/>
        <w:gridCol w:w="601"/>
        <w:gridCol w:w="326"/>
        <w:gridCol w:w="300"/>
        <w:gridCol w:w="601"/>
        <w:gridCol w:w="326"/>
        <w:gridCol w:w="437"/>
        <w:gridCol w:w="779"/>
        <w:gridCol w:w="326"/>
        <w:gridCol w:w="270"/>
        <w:gridCol w:w="676"/>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915035" cy="175260"/>
                      <wp:effectExtent l="0" t="0" r="0" b="0"/>
                      <wp:wrapNone/>
                      <wp:docPr id="149" name="Frame149"/>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99390" cy="175260"/>
                      <wp:effectExtent l="0" t="0" r="0" b="0"/>
                      <wp:wrapNone/>
                      <wp:docPr id="151" name="Frame151"/>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00685" cy="175260"/>
                      <wp:effectExtent l="0" t="0" r="0" b="0"/>
                      <wp:wrapNone/>
                      <wp:docPr id="152" name="Frame15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77495" cy="175260"/>
                      <wp:effectExtent l="0" t="0" r="0" b="0"/>
                      <wp:wrapNone/>
                      <wp:docPr id="154" name="Frame154"/>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94665" cy="175260"/>
                      <wp:effectExtent l="0" t="0" r="0" b="0"/>
                      <wp:wrapNone/>
                      <wp:docPr id="155" name="Frame155"/>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90500" cy="175260"/>
                      <wp:effectExtent l="0" t="0" r="0" b="0"/>
                      <wp:wrapNone/>
                      <wp:docPr id="157" name="Frame157"/>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81635" cy="175260"/>
                      <wp:effectExtent l="0" t="0" r="0" b="0"/>
                      <wp:wrapNone/>
                      <wp:docPr id="158" name="Frame15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90500" cy="175260"/>
                      <wp:effectExtent l="0" t="0" r="0" b="0"/>
                      <wp:wrapNone/>
                      <wp:docPr id="160" name="Frame160"/>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81635" cy="175260"/>
                      <wp:effectExtent l="0" t="0" r="0" b="0"/>
                      <wp:wrapNone/>
                      <wp:docPr id="161" name="Frame16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77495" cy="175260"/>
                      <wp:effectExtent l="0" t="0" r="0" b="0"/>
                      <wp:wrapNone/>
                      <wp:docPr id="163" name="Frame163"/>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94665" cy="175260"/>
                      <wp:effectExtent l="0" t="0" r="0" b="0"/>
                      <wp:wrapNone/>
                      <wp:docPr id="164" name="Frame164"/>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71450" cy="175260"/>
                      <wp:effectExtent l="0" t="0" r="0" b="0"/>
                      <wp:wrapNone/>
                      <wp:docPr id="166" name="Frame166"/>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29260" cy="175260"/>
                      <wp:effectExtent l="0" t="0" r="0" b="0"/>
                      <wp:wrapNone/>
                      <wp:docPr id="167" name="Frame1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1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0"/>
              <w:ind w:left="0" w:right="0" w:hanging="0"/>
              <w:jc w:val="left"/>
              <w:rPr/>
            </w:pPr>
            <w:r>
              <w:rPr/>
              <w:t>​</w:t>
            </w:r>
          </w:p>
        </w:tc>
        <w:tc>
          <w:tcPr>
            <w:tcW w:w="371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Gross </w:t>
            </w:r>
          </w:p>
        </w:tc>
        <w:tc>
          <w:tcPr>
            <w:tcW w:w="32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Impairment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Impairment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9522"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755" w:type="dxa"/>
            <w:gridSpan w:val="17"/>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0"/>
              <w:ind w:left="0" w:right="0" w:hanging="0"/>
              <w:jc w:val="left"/>
              <w:rPr>
                <w:rFonts w:ascii="Times" w:hAnsi="Times"/>
                <w:sz w:val="20"/>
              </w:rPr>
            </w:pPr>
            <w:r>
              <w:rPr>
                <w:rFonts w:ascii="Times" w:hAnsi="Times"/>
                <w:sz w:val="20"/>
              </w:rPr>
              <w:t>Automotive</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0"/>
              <w:ind w:left="0" w:right="0" w:hanging="0"/>
              <w:jc w:val="left"/>
              <w:rPr/>
            </w:pPr>
            <w:r>
              <w:rPr/>
              <w:t>    </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0"/>
              <w:ind w:left="0" w:right="0" w:hanging="0"/>
              <w:jc w:val="left"/>
              <w:rPr/>
            </w:pPr>
            <w:r>
              <w:rPr/>
              <w:t>    </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1441" w:type="dxa"/>
            <w:tcBorders/>
            <w:vAlign w:val="center"/>
          </w:tcPr>
          <w:p>
            <w:pPr>
              <w:pStyle w:val="TableContents"/>
              <w:bidi w:val="0"/>
              <w:spacing w:before="0" w:after="0"/>
              <w:ind w:left="0" w:right="0" w:hanging="0"/>
              <w:jc w:val="left"/>
              <w:rPr>
                <w:rFonts w:ascii="Times" w:hAnsi="Times"/>
                <w:sz w:val="20"/>
              </w:rPr>
            </w:pPr>
            <w:r>
              <w:rPr>
                <w:rFonts w:ascii="Times" w:hAnsi="Times"/>
                <w:sz w:val="20"/>
              </w:rPr>
              <w:t>Food Packaging</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441" w:type="dxa"/>
            <w:tcBorders/>
            <w:shd w:fill="CCEEFF" w:val="clear"/>
            <w:vAlign w:val="center"/>
          </w:tcPr>
          <w:p>
            <w:pPr>
              <w:pStyle w:val="TableContents"/>
              <w:bidi w:val="0"/>
              <w:spacing w:before="0" w:after="0"/>
              <w:ind w:left="0" w:right="0" w:hanging="0"/>
              <w:jc w:val="left"/>
              <w:rPr>
                <w:rFonts w:ascii="Times" w:hAnsi="Times"/>
                <w:sz w:val="20"/>
              </w:rPr>
            </w:pPr>
            <w:r>
              <w:rPr>
                <w:rFonts w:ascii="Times" w:hAnsi="Times"/>
                <w:sz w:val="20"/>
              </w:rPr>
              <w:t>Home Fashion</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1441" w:type="dxa"/>
            <w:tcBorders/>
            <w:vAlign w:val="center"/>
          </w:tcPr>
          <w:p>
            <w:pPr>
              <w:pStyle w:val="TableContents"/>
              <w:bidi w:val="0"/>
              <w:spacing w:before="0" w:after="0"/>
              <w:ind w:left="0" w:right="0" w:hanging="0"/>
              <w:jc w:val="left"/>
              <w:rPr>
                <w:rFonts w:ascii="Times" w:hAnsi="Times"/>
                <w:sz w:val="20"/>
              </w:rPr>
            </w:pPr>
            <w:r>
              <w:rPr>
                <w:rFonts w:ascii="Times" w:hAnsi="Times"/>
                <w:sz w:val="20"/>
              </w:rPr>
              <w:t>Pharma</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4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26" w:type="dxa"/>
            <w:tcBorders/>
            <w:shd w:fill="CCEEFF" w:val="clear"/>
            <w:vAlign w:val="center"/>
          </w:tcPr>
          <w:p>
            <w:pPr>
              <w:pStyle w:val="TableContents"/>
              <w:bidi w:val="0"/>
              <w:spacing w:before="0" w:after="0"/>
              <w:ind w:left="0" w:right="0" w:hanging="0"/>
              <w:jc w:val="left"/>
              <w:rPr/>
            </w:pPr>
            <w:r>
              <w:rPr/>
              <w:t>​</w:t>
            </w:r>
          </w:p>
        </w:tc>
        <w:tc>
          <w:tcPr>
            <w:tcW w:w="4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326" w:type="dxa"/>
            <w:tcBorders/>
            <w:shd w:fill="CCEEFF" w:val="clear"/>
            <w:vAlign w:val="center"/>
          </w:tcPr>
          <w:p>
            <w:pPr>
              <w:pStyle w:val="TableContents"/>
              <w:bidi w:val="0"/>
              <w:spacing w:before="0" w:after="0"/>
              <w:ind w:left="0" w:right="0" w:hanging="0"/>
              <w:jc w:val="left"/>
              <w:rPr/>
            </w:pPr>
            <w:r>
              <w:rPr/>
              <w:t>​</w:t>
            </w:r>
          </w:p>
        </w:tc>
        <w:tc>
          <w:tcPr>
            <w:tcW w:w="4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Intangible assets, net consists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86"/>
        <w:gridCol w:w="326"/>
        <w:gridCol w:w="306"/>
        <w:gridCol w:w="615"/>
        <w:gridCol w:w="326"/>
        <w:gridCol w:w="379"/>
        <w:gridCol w:w="867"/>
        <w:gridCol w:w="326"/>
        <w:gridCol w:w="300"/>
        <w:gridCol w:w="601"/>
        <w:gridCol w:w="326"/>
        <w:gridCol w:w="300"/>
        <w:gridCol w:w="601"/>
        <w:gridCol w:w="326"/>
        <w:gridCol w:w="379"/>
        <w:gridCol w:w="867"/>
        <w:gridCol w:w="326"/>
        <w:gridCol w:w="270"/>
        <w:gridCol w:w="678"/>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24610" cy="175260"/>
                      <wp:effectExtent l="0" t="0" r="0" b="0"/>
                      <wp:wrapNone/>
                      <wp:docPr id="168" name="Frame168"/>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94310" cy="175260"/>
                      <wp:effectExtent l="0" t="0" r="0" b="0"/>
                      <wp:wrapNone/>
                      <wp:docPr id="170" name="Frame170"/>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90525" cy="175260"/>
                      <wp:effectExtent l="0" t="0" r="0" b="0"/>
                      <wp:wrapNone/>
                      <wp:docPr id="171" name="Frame171"/>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40665" cy="175260"/>
                      <wp:effectExtent l="0" t="0" r="0" b="0"/>
                      <wp:wrapNone/>
                      <wp:docPr id="173" name="Frame173"/>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50545" cy="175260"/>
                      <wp:effectExtent l="0" t="0" r="0" b="0"/>
                      <wp:wrapNone/>
                      <wp:docPr id="174" name="Frame174"/>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90500" cy="175260"/>
                      <wp:effectExtent l="0" t="0" r="0" b="0"/>
                      <wp:wrapNone/>
                      <wp:docPr id="176" name="Frame176"/>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81635" cy="175260"/>
                      <wp:effectExtent l="0" t="0" r="0" b="0"/>
                      <wp:wrapNone/>
                      <wp:docPr id="177" name="Frame17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90500" cy="175260"/>
                      <wp:effectExtent l="0" t="0" r="0" b="0"/>
                      <wp:wrapNone/>
                      <wp:docPr id="179" name="Frame179"/>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81635" cy="175260"/>
                      <wp:effectExtent l="0" t="0" r="0" b="0"/>
                      <wp:wrapNone/>
                      <wp:docPr id="180" name="Frame18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40665" cy="175260"/>
                      <wp:effectExtent l="0" t="0" r="0" b="0"/>
                      <wp:wrapNone/>
                      <wp:docPr id="182" name="Frame182"/>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50545" cy="175260"/>
                      <wp:effectExtent l="0" t="0" r="0" b="0"/>
                      <wp:wrapNone/>
                      <wp:docPr id="183" name="Frame183"/>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71450" cy="175260"/>
                      <wp:effectExtent l="0" t="0" r="0" b="0"/>
                      <wp:wrapNone/>
                      <wp:docPr id="185" name="Frame185"/>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30530" cy="175260"/>
                      <wp:effectExtent l="0" t="0" r="0" b="0"/>
                      <wp:wrapNone/>
                      <wp:docPr id="186" name="Frame186"/>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2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0"/>
              <w:ind w:left="0" w:right="0" w:hanging="0"/>
              <w:jc w:val="left"/>
              <w:rPr/>
            </w:pPr>
            <w:r>
              <w:rPr/>
              <w:t>​</w:t>
            </w:r>
          </w:p>
        </w:tc>
        <w:tc>
          <w:tcPr>
            <w:tcW w:w="374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2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Gross </w:t>
            </w:r>
          </w:p>
        </w:tc>
        <w:tc>
          <w:tcPr>
            <w:tcW w:w="32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4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w: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2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0"/>
              <w:ind w:left="0" w:right="0" w:hanging="0"/>
              <w:jc w:val="left"/>
              <w:rPr/>
            </w:pPr>
            <w:r>
              <w:rPr/>
              <w:t>​</w:t>
            </w:r>
          </w:p>
        </w:tc>
        <w:tc>
          <w:tcPr>
            <w:tcW w:w="94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vAlign w:val="center"/>
          </w:tcPr>
          <w:p>
            <w:pPr>
              <w:pStyle w:val="TableContents"/>
              <w:bidi w:val="0"/>
              <w:spacing w:before="0" w:after="0"/>
              <w:ind w:left="0" w:right="0" w:hanging="0"/>
              <w:jc w:val="left"/>
              <w:rPr/>
            </w:pPr>
            <w:r>
              <w:rPr/>
              <w:t>​</w:t>
            </w:r>
          </w:p>
        </w:tc>
        <w:tc>
          <w:tcPr>
            <w:tcW w:w="9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793" w:type="dxa"/>
            <w:gridSpan w:val="17"/>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Definite-lived intangible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30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7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7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70" w:type="dxa"/>
            <w:tcBorders/>
            <w:shd w:fill="CCEEFF" w:val="clear"/>
            <w:vAlign w:val="center"/>
          </w:tcPr>
          <w:p>
            <w:pPr>
              <w:pStyle w:val="TableContents"/>
              <w:bidi w:val="0"/>
              <w:spacing w:before="0" w:after="0"/>
              <w:ind w:left="0" w:right="0" w:hanging="0"/>
              <w:jc w:val="left"/>
              <w:rPr/>
            </w:pPr>
            <w:r>
              <w:rPr/>
              <w:t>​</w:t>
            </w:r>
          </w:p>
        </w:tc>
        <w:tc>
          <w:tcPr>
            <w:tcW w:w="678" w:type="dxa"/>
            <w:tcBorders/>
            <w:shd w:fill="CCEEFF" w:val="clear"/>
            <w:vAlign w:val="center"/>
          </w:tcPr>
          <w:p>
            <w:pPr>
              <w:pStyle w:val="TableContents"/>
              <w:bidi w:val="0"/>
              <w:spacing w:before="0" w:after="0"/>
              <w:ind w:left="0" w:right="0" w:hanging="0"/>
              <w:jc w:val="right"/>
              <w:rPr/>
            </w:pPr>
            <w:r>
              <w:rPr/>
              <w:t>  </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vAlign w:val="center"/>
          </w:tcPr>
          <w:p>
            <w:pPr>
              <w:pStyle w:val="TableContents"/>
              <w:bidi w:val="0"/>
              <w:spacing w:before="0" w:after="0"/>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vAlign w:val="center"/>
          </w:tcPr>
          <w:p>
            <w:pPr>
              <w:pStyle w:val="TableContents"/>
              <w:bidi w:val="0"/>
              <w:spacing w:before="0" w:after="0"/>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20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78" w:type="dxa"/>
            <w:tcBorders/>
            <w:vAlign w:val="center"/>
          </w:tcPr>
          <w:p>
            <w:pPr>
              <w:pStyle w:val="TableContents"/>
              <w:bidi w:val="0"/>
              <w:spacing w:before="0" w:after="0"/>
              <w:ind w:left="0" w:right="0" w:hanging="0"/>
              <w:jc w:val="right"/>
              <w:rPr/>
            </w:pPr>
            <w:r>
              <w:rPr/>
              <w:t>​</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Indefinite-lived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 </w:t>
            </w:r>
          </w:p>
        </w:tc>
        <w:tc>
          <w:tcPr>
            <w:tcW w:w="61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409</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Amortization expense associated with definite-lived intangible assets was $14 million and $15 million for the three months ended June 30, 2025 and 2024, respectively, and $28 million and $29 million for the six months ended June 30, 2025 and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utilize the straight-line method of amortization, recognized over the estimated useful lives of the assets. </w:t>
      </w:r>
    </w:p>
    <w:p>
      <w:pPr>
        <w:pStyle w:val="TextBody"/>
        <w:bidi w:val="0"/>
        <w:spacing w:before="0" w:after="240"/>
        <w:ind w:left="0" w:right="0" w:hanging="0"/>
        <w:jc w:val="left"/>
        <w:rPr>
          <w:rFonts w:ascii="Times New Roman;Times;serif" w:hAnsi="Times New Roman;Times;serif"/>
          <w:b/>
          <w:sz w:val="20"/>
        </w:rPr>
      </w:pPr>
      <w:bookmarkStart w:id="1015" w:name="Tc_pKW2foc93USl-tMjKiBRhg_8_5"/>
      <w:bookmarkStart w:id="1016" w:name="Tc_txA0M8pAE0afz6zmXymFYQ_8_2"/>
      <w:bookmarkStart w:id="1017" w:name="Tc_dK-2MJqRWkWIBRZWaNem9w_7_0"/>
      <w:bookmarkStart w:id="1018" w:name="Tc_Ma0bm6dkekaUN6cvI41Wtg_6_8"/>
      <w:bookmarkStart w:id="1019" w:name="Tc_G5qAIHvouE-iTITdNh37cw_6_0"/>
      <w:bookmarkStart w:id="1020" w:name="Tc_LkrTByQ5zECsG8B1zZWELg_5_8"/>
      <w:bookmarkStart w:id="1021" w:name="Tc_cllA7GAO7kGacYVLlinNlQ_5_0"/>
      <w:bookmarkStart w:id="1022" w:name="Tc_WTXNGIlBokSPiSVum0qH5A_4_8"/>
      <w:bookmarkStart w:id="1023" w:name="Tc_2BgMBXukkUiG4oR4xQldCA_4_5"/>
      <w:bookmarkStart w:id="1024" w:name="Tc_XPGdGHJZX0-DshC1qBh2TA_4_2"/>
      <w:bookmarkStart w:id="1025" w:name="Tc_KC0uVMYlEUy8Fpbtwb1SeA_4_0"/>
      <w:bookmarkStart w:id="1026" w:name="Tc_K5ZWi0cBDEytgKm3Ayzgbg_3_2"/>
      <w:bookmarkStart w:id="1027" w:name="Tc_LiXddeaigUKyEFdq_VMhnw_2_10"/>
      <w:bookmarkStart w:id="1028" w:name="Tc_zM_cJZ_yqEqsZAhggBWmKg_2_8"/>
      <w:bookmarkStart w:id="1029" w:name="Tc_Q2VwMdZO30iAOdF2dWaUPA_2_5"/>
      <w:bookmarkStart w:id="1030" w:name="Tc_xc40uLK3K0ucbl4By_EsEg_2_2"/>
      <w:bookmarkStart w:id="1031" w:name="Tc_CuI1aih_oUehjrhYRBUjkA_2_0"/>
      <w:bookmarkStart w:id="1032" w:name="Tc_BboOgAh9a0msgPcJkeSp2Q_1_10"/>
      <w:bookmarkStart w:id="1033" w:name="Tc_ctw-6hIw4UiyrN57LeIFGA_1_5"/>
      <w:bookmarkStart w:id="1034" w:name="Tc_o3TTbQaFHU2WmBwVx4UTYg_1_2"/>
      <w:bookmarkStart w:id="1035" w:name="_7a05827d_c990_4c54_b21c_3fff58b575f8"/>
      <w:bookmarkStart w:id="1036" w:name="Tc_aW_WCXUz1UeQWBJhH23erA_8_5"/>
      <w:bookmarkStart w:id="1037" w:name="Tc_hZISt2EZT0uYQf5D-mEPsw_8_2"/>
      <w:bookmarkStart w:id="1038" w:name="Tc_i7XxxYuZnkShBWkoia9DEQ_7_0"/>
      <w:bookmarkStart w:id="1039" w:name="Tc_QPZ8U3fdqUqLvsJlC04xJw_6_8"/>
      <w:bookmarkStart w:id="1040" w:name="Tc_gNl7-S68Okak0_6-LXlQ2g_6_0"/>
      <w:bookmarkStart w:id="1041" w:name="Tc_sV5Lj6rPtk6WoaCTF5-WcA_5_8"/>
      <w:bookmarkStart w:id="1042" w:name="Tc_QHuBo02yd0KLFQox1p9l7g_5_0"/>
      <w:bookmarkStart w:id="1043" w:name="Tc_UgadIOUI5kS0k5BT5FVpPA_4_8"/>
      <w:bookmarkStart w:id="1044" w:name="Tc_GAFP0gb-60ePuC80YkPtMQ_4_5"/>
      <w:bookmarkStart w:id="1045" w:name="Tc_wBEO3zzF2EOSYk7Q6o0mnA_4_2"/>
      <w:bookmarkStart w:id="1046" w:name="Tc_q9RNyms-ikmERh2BIctmbg_4_0"/>
      <w:bookmarkStart w:id="1047" w:name="Tc_vkqYTARJc0uiDBeYJRu2rA_3_2"/>
      <w:bookmarkStart w:id="1048" w:name="Tc_LR0JngUVO0COIuHVjgyb1w_2_10"/>
      <w:bookmarkStart w:id="1049" w:name="Tc_yBLavDwOPkikugoXfm3D8Q_2_8"/>
      <w:bookmarkStart w:id="1050" w:name="Tc_LZ6R8MaEOkeoCeDzLYtIYw_2_5"/>
      <w:bookmarkStart w:id="1051" w:name="Tc_VPFYD0IMt0ynUeEeWwPjXQ_2_2"/>
      <w:bookmarkStart w:id="1052" w:name="Tc_XbXvfQXYakiU49KJZOGygQ_2_0"/>
      <w:bookmarkStart w:id="1053" w:name="Tc_K-Wa7XWWCUSD_2jdFoJdoA_1_10"/>
      <w:bookmarkStart w:id="1054" w:name="Tc_pBNvtnf3G0y27X7vF6EI0w_1_5"/>
      <w:bookmarkStart w:id="1055" w:name="Tc_Busd5CjcYUWEtr8znVulBg_1_2"/>
      <w:bookmarkStart w:id="1056" w:name="_f9f3067d_6509_40d1_a7f8_3af7adcb5e00"/>
      <w:bookmarkStart w:id="1057" w:name="Tc_hXNTF3tN80C8sKoSK7ErAQ_8_0"/>
      <w:bookmarkStart w:id="1058" w:name="Tc_moEGeWDxK0uE4FI3Udsnfg_5_5"/>
      <w:bookmarkStart w:id="1059" w:name="Tc_3HaTbidhi0GshFqIHQdKKg_5_2"/>
      <w:bookmarkStart w:id="1060" w:name="Tc_cRR02ufpA0GBn_gcIYvFDQ_4_0"/>
      <w:bookmarkStart w:id="1061" w:name="Tc_oDJXfBbRQke8K7Ov9lXYrw_3_2"/>
      <w:bookmarkStart w:id="1062" w:name="Tc_g1FUp2jnWUKYHbsuej-b0g_2_5"/>
      <w:bookmarkStart w:id="1063" w:name="Tc_AHQBSr__uE2jcQztW0K3ig_2_2"/>
      <w:bookmarkStart w:id="1064" w:name="Tc_kNFVMAAhRkumbiFdFDWArQ_1_5"/>
      <w:bookmarkStart w:id="1065" w:name="Tc_lYT-24_GUk2qVFWF9H4J3A_1_2"/>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r>
        <w:rPr>
          <w:rFonts w:ascii="Times New Roman;Times;serif" w:hAnsi="Times New Roman;Times;serif"/>
          <w:b/>
          <w:sz w:val="20"/>
        </w:rPr>
        <w:t>9.  Leases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All Segments and 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Right-of-use assets and lease liabilities are as follows:</w:t>
      </w:r>
    </w:p>
    <w:p>
      <w:pPr>
        <w:pStyle w:val="TextBody"/>
        <w:bidi w:val="0"/>
        <w:spacing w:before="0" w:after="0"/>
        <w:ind w:left="0" w:right="0" w:hanging="0"/>
        <w:jc w:val="left"/>
        <w:rPr/>
      </w:pPr>
      <w:r>
        <w:rPr/>
        <w:t>​</w:t>
      </w:r>
    </w:p>
    <w:tbl>
      <w:tblPr>
        <w:tblW w:w="7478" w:type="dxa"/>
        <w:jc w:val="left"/>
        <w:tblInd w:w="0" w:type="dxa"/>
        <w:tblLayout w:type="fixed"/>
        <w:tblCellMar>
          <w:top w:w="0" w:type="dxa"/>
          <w:left w:w="0" w:type="dxa"/>
          <w:bottom w:w="0" w:type="dxa"/>
          <w:right w:w="0" w:type="dxa"/>
        </w:tblCellMar>
      </w:tblPr>
      <w:tblGrid>
        <w:gridCol w:w="4621"/>
        <w:gridCol w:w="326"/>
        <w:gridCol w:w="284"/>
        <w:gridCol w:w="571"/>
        <w:gridCol w:w="326"/>
        <w:gridCol w:w="421"/>
        <w:gridCol w:w="929"/>
      </w:tblGrid>
      <w:tr>
        <w:trPr/>
        <w:tc>
          <w:tcPr>
            <w:tcW w:w="4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934335" cy="175260"/>
                      <wp:effectExtent l="0" t="0" r="0" b="0"/>
                      <wp:wrapNone/>
                      <wp:docPr id="187" name="Frame187"/>
                      <a:graphic xmlns:a="http://schemas.openxmlformats.org/drawingml/2006/main">
                        <a:graphicData uri="http://schemas.microsoft.com/office/word/2010/wordprocessingShape">
                          <wps:wsp>
                            <wps:cNvSpPr txBox="1"/>
                            <wps:spPr>
                              <a:xfrm>
                                <a:off x="0" y="0"/>
                                <a:ext cx="293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80340" cy="175260"/>
                      <wp:effectExtent l="0" t="0" r="0" b="0"/>
                      <wp:wrapNone/>
                      <wp:docPr id="189" name="Frame189"/>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62585" cy="175260"/>
                      <wp:effectExtent l="0" t="0" r="0" b="0"/>
                      <wp:wrapNone/>
                      <wp:docPr id="190" name="Frame1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67335" cy="175260"/>
                      <wp:effectExtent l="0" t="0" r="0" b="0"/>
                      <wp:wrapNone/>
                      <wp:docPr id="192" name="Frame19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89915" cy="175260"/>
                      <wp:effectExtent l="0" t="0" r="0" b="0"/>
                      <wp:wrapNone/>
                      <wp:docPr id="193" name="Frame193"/>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5" w:type="dxa"/>
            <w:gridSpan w:val="2"/>
            <w:tcBorders/>
            <w:vAlign w:val="center"/>
          </w:tcPr>
          <w:p>
            <w:pPr>
              <w:pStyle w:val="TableContents"/>
              <w:bidi w:val="0"/>
              <w:spacing w:before="0" w:after="0"/>
              <w:ind w:left="0" w:right="0" w:hanging="0"/>
              <w:jc w:val="center"/>
              <w:rPr>
                <w:rFonts w:ascii="Times" w:hAnsi="Times"/>
                <w:b/>
                <w:sz w:val="20"/>
              </w:rPr>
            </w:pPr>
            <w:r>
              <w:rPr>
                <w:rFonts w:ascii="Times" w:hAnsi="Times"/>
                <w:b/>
                <w:sz w:val="20"/>
              </w:rPr>
              <w:t>June 30, </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vAlign w:val="center"/>
          </w:tcPr>
          <w:p>
            <w:pPr>
              <w:pStyle w:val="TableContents"/>
              <w:bidi w:val="0"/>
              <w:spacing w:before="0" w:after="0"/>
              <w:ind w:left="0" w:right="0" w:hanging="0"/>
              <w:jc w:val="center"/>
              <w:rPr>
                <w:rFonts w:ascii="Times" w:hAnsi="Times"/>
                <w:b/>
                <w:sz w:val="20"/>
              </w:rPr>
            </w:pPr>
            <w:r>
              <w:rPr>
                <w:rFonts w:ascii="Times" w:hAnsi="Times"/>
                <w:b/>
                <w:sz w:val="20"/>
              </w:rPr>
              <w:t>December 31, </w:t>
            </w:r>
          </w:p>
        </w:tc>
      </w:tr>
      <w:tr>
        <w:trPr/>
        <w:tc>
          <w:tcPr>
            <w:tcW w:w="4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w:hAnsi="Times"/>
                <w:b/>
                <w:sz w:val="20"/>
              </w:rPr>
            </w:pPr>
            <w:r>
              <w:rPr>
                <w:rFonts w:ascii="Times" w:hAnsi="Times"/>
                <w:b/>
                <w:sz w:val="20"/>
              </w:rPr>
              <w:t>2025</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w:hAnsi="Times"/>
                <w:b/>
                <w:sz w:val="20"/>
              </w:rPr>
            </w:pPr>
            <w:r>
              <w:rPr>
                <w:rFonts w:ascii="Times" w:hAnsi="Times"/>
                <w:b/>
                <w:sz w:val="20"/>
              </w:rPr>
              <w:t>2024</w:t>
            </w:r>
          </w:p>
        </w:tc>
      </w:tr>
      <w:tr>
        <w:trPr/>
        <w:tc>
          <w:tcPr>
            <w:tcW w:w="747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1" w:type="dxa"/>
            <w:gridSpan w:val="5"/>
            <w:tcBorders/>
            <w:vAlign w:val="center"/>
          </w:tcPr>
          <w:p>
            <w:pPr>
              <w:pStyle w:val="TableContents"/>
              <w:bidi w:val="0"/>
              <w:spacing w:before="0" w:after="0"/>
              <w:ind w:left="0" w:right="0" w:hanging="0"/>
              <w:jc w:val="center"/>
              <w:rPr>
                <w:rFonts w:ascii="Times" w:hAnsi="Times"/>
                <w:sz w:val="16"/>
              </w:rPr>
            </w:pPr>
            <w:r>
              <w:rPr>
                <w:rFonts w:ascii="Times" w:hAnsi="Times"/>
                <w:sz w:val="16"/>
              </w:rPr>
              <w:t>(in millions)</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center"/>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(other assets)</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(accrued expenses and 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r>
      <w:tr>
        <w:trPr/>
        <w:tc>
          <w:tcPr>
            <w:tcW w:w="4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(property, plant and equipment, net)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(debt)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Additional information with respect to our operating leases as of June 30, 2025 and December 31, 2024 is presented below. The lease terms and discount rates for our Energy, Automotive and Food Packaging segments represent weighted averages based on their respective lease liability balances.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999" w:type="dxa"/>
        <w:jc w:val="left"/>
        <w:tblInd w:w="0" w:type="dxa"/>
        <w:tblLayout w:type="fixed"/>
        <w:tblCellMar>
          <w:top w:w="0" w:type="dxa"/>
          <w:left w:w="0" w:type="dxa"/>
          <w:bottom w:w="0" w:type="dxa"/>
          <w:right w:w="0" w:type="dxa"/>
        </w:tblCellMar>
      </w:tblPr>
      <w:tblGrid>
        <w:gridCol w:w="3271"/>
        <w:gridCol w:w="326"/>
        <w:gridCol w:w="414"/>
        <w:gridCol w:w="831"/>
        <w:gridCol w:w="326"/>
        <w:gridCol w:w="325"/>
        <w:gridCol w:w="651"/>
        <w:gridCol w:w="326"/>
        <w:gridCol w:w="1126"/>
        <w:gridCol w:w="326"/>
        <w:gridCol w:w="886"/>
        <w:gridCol w:w="19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7085" cy="175260"/>
                      <wp:effectExtent l="0" t="0" r="0" b="0"/>
                      <wp:wrapNone/>
                      <wp:docPr id="194" name="Frame194"/>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62890" cy="175260"/>
                      <wp:effectExtent l="0" t="0" r="0" b="0"/>
                      <wp:wrapNone/>
                      <wp:docPr id="196" name="Frame196"/>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27685" cy="175260"/>
                      <wp:effectExtent l="0" t="0" r="0" b="0"/>
                      <wp:wrapNone/>
                      <wp:docPr id="197" name="Frame197"/>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6375" cy="175260"/>
                      <wp:effectExtent l="0" t="0" r="0" b="0"/>
                      <wp:wrapNone/>
                      <wp:docPr id="199" name="Frame199"/>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13385" cy="175260"/>
                      <wp:effectExtent l="0" t="0" r="0" b="0"/>
                      <wp:wrapNone/>
                      <wp:docPr id="200" name="Frame200"/>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715010" cy="175260"/>
                      <wp:effectExtent l="0" t="0" r="0" b="0"/>
                      <wp:wrapNone/>
                      <wp:docPr id="202" name="Frame20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62610" cy="175260"/>
                      <wp:effectExtent l="0" t="0" r="0" b="0"/>
                      <wp:wrapNone/>
                      <wp:docPr id="204" name="Frame20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21285" cy="175260"/>
                      <wp:effectExtent l="0" t="0" r="0" b="0"/>
                      <wp:wrapNone/>
                      <wp:docPr id="205" name="Frame20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Right-Of-Use </w:t>
            </w:r>
          </w:p>
        </w:tc>
        <w:tc>
          <w:tcPr>
            <w:tcW w:w="326" w:type="dxa"/>
            <w:tcBorders/>
            <w:vAlign w:val="center"/>
          </w:tcPr>
          <w:p>
            <w:pPr>
              <w:pStyle w:val="TableContents"/>
              <w:bidi w:val="0"/>
              <w:spacing w:before="0" w:after="0"/>
              <w:ind w:left="0" w:right="0" w:hanging="0"/>
              <w:jc w:val="left"/>
              <w:rPr/>
            </w:pPr>
            <w:r>
              <w:rPr/>
              <w:t>    </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Lease</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Discount </w:t>
            </w:r>
          </w:p>
        </w:tc>
        <w:tc>
          <w:tcPr>
            <w:tcW w:w="191" w:type="dxa"/>
            <w:tcBorders/>
            <w:vAlign w:val="center"/>
          </w:tcPr>
          <w:p>
            <w:pPr>
              <w:pStyle w:val="TableContents"/>
              <w:bidi w:val="0"/>
              <w:spacing w:before="0" w:after="0"/>
              <w:ind w:left="0" w:right="0" w:hanging="0"/>
              <w:jc w:val="center"/>
              <w:rPr/>
            </w:pPr>
            <w:r>
              <w:rPr/>
              <w:t> </w:t>
            </w:r>
          </w:p>
        </w:tc>
      </w:tr>
      <w:tr>
        <w:trPr/>
        <w:tc>
          <w:tcPr>
            <w:tcW w:w="3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Leases as of June 30, 2025</w:t>
            </w:r>
          </w:p>
        </w:tc>
        <w:tc>
          <w:tcPr>
            <w:tcW w:w="32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Lease Term</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Rate</w:t>
            </w:r>
          </w:p>
        </w:tc>
        <w:tc>
          <w:tcPr>
            <w:tcW w:w="191" w:type="dxa"/>
            <w:tcBorders/>
            <w:vAlign w:val="center"/>
          </w:tcPr>
          <w:p>
            <w:pPr>
              <w:pStyle w:val="TableContents"/>
              <w:bidi w:val="0"/>
              <w:spacing w:before="0" w:after="0"/>
              <w:ind w:left="0" w:right="0" w:hanging="0"/>
              <w:jc w:val="center"/>
              <w:rPr/>
            </w:pPr>
            <w:r>
              <w:rPr/>
              <w:t> </w:t>
            </w:r>
          </w:p>
        </w:tc>
      </w:tr>
      <w:tr>
        <w:trPr/>
        <w:tc>
          <w:tcPr>
            <w:tcW w:w="8999"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7"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 years</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 years</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191" w:type="dxa"/>
            <w:tcBorders/>
            <w:vAlign w:val="center"/>
          </w:tcPr>
          <w:p>
            <w:pPr>
              <w:pStyle w:val="TableContents"/>
              <w:bidi w:val="0"/>
              <w:spacing w:before="0" w:after="0"/>
              <w:ind w:left="0" w:right="0" w:hanging="0"/>
              <w:jc w:val="righ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 years</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segments and Holding Company</w:t>
            </w:r>
          </w:p>
        </w:tc>
        <w:tc>
          <w:tcPr>
            <w:tcW w:w="326" w:type="dxa"/>
            <w:tcBorders/>
            <w:vAlign w:val="center"/>
          </w:tcPr>
          <w:p>
            <w:pPr>
              <w:pStyle w:val="TableContents"/>
              <w:bidi w:val="0"/>
              <w:spacing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w:t>
            </w:r>
          </w:p>
        </w:tc>
      </w:tr>
      <w:tr>
        <w:trPr/>
        <w:tc>
          <w:tcPr>
            <w:tcW w:w="32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397" w:type="dxa"/>
        <w:jc w:val="left"/>
        <w:tblInd w:w="0" w:type="dxa"/>
        <w:tblLayout w:type="fixed"/>
        <w:tblCellMar>
          <w:top w:w="0" w:type="dxa"/>
          <w:left w:w="0" w:type="dxa"/>
          <w:bottom w:w="0" w:type="dxa"/>
          <w:right w:w="0" w:type="dxa"/>
        </w:tblCellMar>
      </w:tblPr>
      <w:tblGrid>
        <w:gridCol w:w="3706"/>
        <w:gridCol w:w="326"/>
        <w:gridCol w:w="414"/>
        <w:gridCol w:w="831"/>
        <w:gridCol w:w="326"/>
        <w:gridCol w:w="325"/>
        <w:gridCol w:w="651"/>
        <w:gridCol w:w="326"/>
        <w:gridCol w:w="1126"/>
        <w:gridCol w:w="326"/>
        <w:gridCol w:w="886"/>
        <w:gridCol w:w="154"/>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353310" cy="175260"/>
                      <wp:effectExtent l="0" t="0" r="0" b="0"/>
                      <wp:wrapNone/>
                      <wp:docPr id="206" name="Frame206"/>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62890" cy="175260"/>
                      <wp:effectExtent l="0" t="0" r="0" b="0"/>
                      <wp:wrapNone/>
                      <wp:docPr id="208" name="Frame208"/>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27685" cy="175260"/>
                      <wp:effectExtent l="0" t="0" r="0" b="0"/>
                      <wp:wrapNone/>
                      <wp:docPr id="209" name="Frame209"/>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6375" cy="175260"/>
                      <wp:effectExtent l="0" t="0" r="0" b="0"/>
                      <wp:wrapNone/>
                      <wp:docPr id="211" name="Frame211"/>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13385" cy="175260"/>
                      <wp:effectExtent l="0" t="0" r="0" b="0"/>
                      <wp:wrapNone/>
                      <wp:docPr id="212" name="Frame212"/>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715010" cy="175260"/>
                      <wp:effectExtent l="0" t="0" r="0" b="0"/>
                      <wp:wrapNone/>
                      <wp:docPr id="214" name="Frame214"/>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62610" cy="175260"/>
                      <wp:effectExtent l="0" t="0" r="0" b="0"/>
                      <wp:wrapNone/>
                      <wp:docPr id="216" name="Frame21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97790" cy="175260"/>
                      <wp:effectExtent l="0" t="0" r="0" b="0"/>
                      <wp:wrapNone/>
                      <wp:docPr id="217" name="Frame21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Right-Of-Use </w:t>
            </w:r>
          </w:p>
        </w:tc>
        <w:tc>
          <w:tcPr>
            <w:tcW w:w="326" w:type="dxa"/>
            <w:tcBorders/>
            <w:vAlign w:val="center"/>
          </w:tcPr>
          <w:p>
            <w:pPr>
              <w:pStyle w:val="TableContents"/>
              <w:bidi w:val="0"/>
              <w:spacing w:before="0" w:after="0"/>
              <w:ind w:left="0" w:right="0" w:hanging="0"/>
              <w:jc w:val="left"/>
              <w:rPr/>
            </w:pPr>
            <w:r>
              <w:rPr/>
              <w:t>    </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Lease</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Discount </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Leases as of December 31, 2024</w:t>
            </w:r>
          </w:p>
        </w:tc>
        <w:tc>
          <w:tcPr>
            <w:tcW w:w="32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Lease Term</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Rate</w:t>
            </w:r>
          </w:p>
        </w:tc>
        <w:tc>
          <w:tcPr>
            <w:tcW w:w="154" w:type="dxa"/>
            <w:tcBorders/>
            <w:vAlign w:val="center"/>
          </w:tcPr>
          <w:p>
            <w:pPr>
              <w:pStyle w:val="TableContents"/>
              <w:bidi w:val="0"/>
              <w:spacing w:before="0" w:after="0"/>
              <w:ind w:left="0" w:right="0" w:hanging="0"/>
              <w:jc w:val="left"/>
              <w:rPr/>
            </w:pPr>
            <w:r>
              <w:rPr/>
              <w:t>​</w:t>
            </w:r>
          </w:p>
        </w:tc>
      </w:tr>
      <w:tr>
        <w:trPr/>
        <w:tc>
          <w:tcPr>
            <w:tcW w:w="939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7"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 years</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 years</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9.1 years</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segments and Holding Company</w:t>
            </w:r>
          </w:p>
        </w:tc>
        <w:tc>
          <w:tcPr>
            <w:tcW w:w="326" w:type="dxa"/>
            <w:tcBorders/>
            <w:vAlign w:val="center"/>
          </w:tcPr>
          <w:p>
            <w:pPr>
              <w:pStyle w:val="TableContents"/>
              <w:bidi w:val="0"/>
              <w:spacing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066" w:name="_9fd8ba27_89ee_4d2c_a8d0_949d9b6ef070_5"/>
      <w:bookmarkStart w:id="1067" w:name="_9fd8ba27_89ee_4d2c_a8d0_949d9b6ef070_4"/>
      <w:bookmarkStart w:id="1068" w:name="_9fd8ba27_89ee_4d2c_a8d0_949d9b6ef070_3"/>
      <w:bookmarkStart w:id="1069" w:name="_9fd8ba27_89ee_4d2c_a8d0_949d9b6ef070_2"/>
      <w:bookmarkStart w:id="1070" w:name="_9fd8ba27_89ee_4d2c_a8d0_949d9b6ef070"/>
      <w:bookmarkStart w:id="1071" w:name="Narr_hK3M6L6BWky6tdhw763C1g"/>
      <w:bookmarkStart w:id="1072" w:name="Narr_LIjNUcEXc0-_z7WWhyh3BA"/>
      <w:bookmarkEnd w:id="1066"/>
      <w:bookmarkEnd w:id="1067"/>
      <w:bookmarkEnd w:id="1068"/>
      <w:bookmarkEnd w:id="1069"/>
      <w:bookmarkEnd w:id="1070"/>
      <w:bookmarkEnd w:id="1071"/>
      <w:bookmarkEnd w:id="1072"/>
      <w:r>
        <w:rPr>
          <w:rFonts w:ascii="Times New Roman;Times;serif" w:hAnsi="Times New Roman;Times;serif"/>
          <w:sz w:val="20"/>
        </w:rPr>
        <w:t xml:space="preserve">For the three months ended June 30, 2025 and 2024, lease cost was comprised of (i) operating lease cost of $45 million and $44 million, respectively, (ii) amortization of financing lease right-of-use assets of $3 million and $2 million, respectively, and (iii) interest expense on financing lease liabilities of $4 million and $2 million, respectively. For the six months ended June 30, 2025 and 2024, lease cost was comprised of (i) operating lease cost of $89 million and $86 million, respectively, (ii) amortization of financing lease right-of-use assets of $5 million and $4 million, respectively, and (iii) interest expense on financing lease liabilities of $5 million and $3 million,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Automotive segment accounted for $67 million and $68 million of total lease cost for each of the six months ended June 30, 2025 and 2024, respectively.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Lessor Arrangements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Automotive segment leases available and excess real estate in certain locations under long-term operating leases. Our Automotive segment’s revenues from operating leases were $8 million and $15 million for the three months ended June 30, 2025 and 2024, respectively, and $22 million and $30 million for the six months ended June 30, 2025 and 2024, respectively. Revenues from operating leases are included in other revenue from operations in the condensed consolidated statements of operations. Our Automotive segment’s expenses from operating leases including variable lease costs were $22 million and $24 million for the three months ended June 30, 2025 and 2024, respectively, and $46 million and $48 million for the six months ended June 30, 2025 and 2024, respectively. Expenses from operating leases are included in other expenses from operations in the condensed consolidated statements of operations.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Real Estate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Real Estate segment leases real estate, primarily commercial properties under long-term operating leases. As of June 30, 2025 and December 31, 2024, our Real Estate segment had assets leased to others included in property, plant and equipment of $282 million and $236 million, respectively, net of accumulated depreciation. Our Real Estate segment’s revenue from operating leases were $2 million and $2 million for the three months ended June 30, 2025 and 2024, respectively, and $5 million for each of the six months ended June 30, 2025 and 2024. Revenues from operating leases are included in other revenue from operations in the condensed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73" w:name="Tc_7XWf2Y7Y_U-Ic9oMwC2U9g_19_5"/>
      <w:bookmarkStart w:id="1074" w:name="Tc_1mtZyTi7EEivvZ17Yu2Cuw_19_2"/>
      <w:bookmarkStart w:id="1075" w:name="Tc__J2fYKFDyUiIdlk8iIxkyw_19_0"/>
      <w:bookmarkStart w:id="1076" w:name="Tc__cj1N1x3lEmQjKdePRuIcg_17_0"/>
      <w:bookmarkStart w:id="1077" w:name="Tc_dXESbcBqzEqMYeCak6iiqA_16_0"/>
      <w:bookmarkStart w:id="1078" w:name="Tc_mDAK8BKn30qCIEaRZObg5g_15_0"/>
      <w:bookmarkStart w:id="1079" w:name="Tc_E6eQOVlnikmVWoccSa86EA_14_0"/>
      <w:bookmarkStart w:id="1080" w:name="Tc_iAReLbyIyUm18OVlTBmHWQ_13_0"/>
      <w:bookmarkStart w:id="1081" w:name="Tc_NpQnlZiWs0CK5nMbejNKLQ_12_0"/>
      <w:bookmarkStart w:id="1082" w:name="Tc_Fk7b2ct7ykOiDFMBXU7GHw_10_0"/>
      <w:bookmarkStart w:id="1083" w:name="Tc_PL3FVlFoKESE_wgFWzT1vA_9_0"/>
      <w:bookmarkStart w:id="1084" w:name="Tc_8R12VyjgK0WRHVTSZvOHzA_8_0"/>
      <w:bookmarkStart w:id="1085" w:name="Tc_ZBbpgkgoE0WtOL11Pt3lmA_7_0"/>
      <w:bookmarkStart w:id="1086" w:name="Tc_xInLxYWwi0mPRalIiXZlQQ_6_0"/>
      <w:bookmarkStart w:id="1087" w:name="Tc_lDg6fCr0PUabHd-D9v2mbw_5_5"/>
      <w:bookmarkStart w:id="1088" w:name="Tc_LqCoj_1UdEWkHS4OIECmsA_5_2"/>
      <w:bookmarkStart w:id="1089" w:name="Tc_vfIMy1s3h0SETqxS2pQSFA_5_0"/>
      <w:bookmarkStart w:id="1090" w:name="Tc_5CcbVyEDhUWkxIA8CdyjIA_4_0"/>
      <w:bookmarkStart w:id="1091" w:name="Tc_wWrCqGc8VUCvQBf4mO7GsA_3_2"/>
      <w:bookmarkStart w:id="1092" w:name="Tc_g9pMyH5b4kS642M6UJVRVg_2_5"/>
      <w:bookmarkStart w:id="1093" w:name="Tc_pkm6xNpveU-kXDUdKyN75w_2_2"/>
      <w:bookmarkStart w:id="1094" w:name="Tc_vlb1nhExeES1s8U_yZ1w-A_1_5"/>
      <w:bookmarkStart w:id="1095" w:name="Tc_zPgnB_Yc9EGExYqt0IK39Q_1_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r>
        <w:rPr>
          <w:rFonts w:ascii="Times New Roman;Times;serif" w:hAnsi="Times New Roman;Times;serif"/>
          <w:b/>
          <w:sz w:val="20"/>
        </w:rPr>
        <w:t>10.  Debt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Debt consists of the following:</w:t>
      </w:r>
    </w:p>
    <w:p>
      <w:pPr>
        <w:pStyle w:val="TextBody"/>
        <w:bidi w:val="0"/>
        <w:spacing w:before="0" w:after="0"/>
        <w:ind w:left="0" w:right="0" w:hanging="0"/>
        <w:jc w:val="left"/>
        <w:rPr/>
      </w:pPr>
      <w:r>
        <w:rPr/>
        <w:t>​</w:t>
      </w:r>
    </w:p>
    <w:tbl>
      <w:tblPr>
        <w:tblW w:w="5543" w:type="dxa"/>
        <w:jc w:val="left"/>
        <w:tblInd w:w="0" w:type="dxa"/>
        <w:tblLayout w:type="fixed"/>
        <w:tblCellMar>
          <w:top w:w="0" w:type="dxa"/>
          <w:left w:w="0" w:type="dxa"/>
          <w:bottom w:w="0" w:type="dxa"/>
          <w:right w:w="0" w:type="dxa"/>
        </w:tblCellMar>
      </w:tblPr>
      <w:tblGrid>
        <w:gridCol w:w="2686"/>
        <w:gridCol w:w="326"/>
        <w:gridCol w:w="230"/>
        <w:gridCol w:w="625"/>
        <w:gridCol w:w="326"/>
        <w:gridCol w:w="320"/>
        <w:gridCol w:w="1030"/>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705610" cy="175260"/>
                      <wp:effectExtent l="0" t="0" r="0" b="0"/>
                      <wp:wrapNone/>
                      <wp:docPr id="218" name="Frame218"/>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46050" cy="175260"/>
                      <wp:effectExtent l="0" t="0" r="0" b="0"/>
                      <wp:wrapNone/>
                      <wp:docPr id="220" name="Frame22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96875" cy="175260"/>
                      <wp:effectExtent l="0" t="0" r="0" b="0"/>
                      <wp:wrapNone/>
                      <wp:docPr id="221" name="Frame221"/>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3200" cy="175260"/>
                      <wp:effectExtent l="0" t="0" r="0" b="0"/>
                      <wp:wrapNone/>
                      <wp:docPr id="223" name="Frame223"/>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54050" cy="175260"/>
                      <wp:effectExtent l="0" t="0" r="0" b="0"/>
                      <wp:wrapNone/>
                      <wp:docPr id="224" name="Frame224"/>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554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1"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Holding Company:</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  </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6.250% senior notes due 2026</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5.250% senior notes due 2027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4.375% senior notes due 2029</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9.750% senior notes due 2029</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10.000% senior notes due 2029</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9.000% senior notes due 2030</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4,664</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4,699</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Reporting Segments: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6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2,049</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6,713</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6,809</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Holding Company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NRMTPro" w:hAnsi="TimesNRMTPro"/>
          <w:sz w:val="20"/>
        </w:rPr>
        <w:t>In June 2025, we repurchased in the open market approximately $35</w:t>
      </w:r>
      <w:r>
        <w:rPr>
          <w:rFonts w:ascii="Times New Roman;Times;serif" w:hAnsi="Times New Roman;Times;serif"/>
          <w:sz w:val="20"/>
        </w:rPr>
        <w:t xml:space="preserve"> </w:t>
      </w:r>
      <w:r>
        <w:rPr>
          <w:rFonts w:ascii="TimesNRMTPro" w:hAnsi="TimesNRMTPro"/>
          <w:sz w:val="20"/>
        </w:rPr>
        <w:t>million aggregate principal amount of our 9.000%</w:t>
      </w:r>
      <w:r>
        <w:rPr>
          <w:rFonts w:ascii="Times New Roman;Times;serif" w:hAnsi="Times New Roman;Times;serif"/>
          <w:sz w:val="20"/>
        </w:rPr>
        <w:t xml:space="preserve"> </w:t>
      </w:r>
      <w:r>
        <w:rPr>
          <w:rFonts w:ascii="TimesNRMTPro" w:hAnsi="TimesNRMTPro"/>
          <w:sz w:val="20"/>
        </w:rPr>
        <w:t>senior notes due 2030 for total cash paid of $32</w:t>
      </w:r>
      <w:r>
        <w:rPr>
          <w:rFonts w:ascii="Times New Roman;Times;serif" w:hAnsi="Times New Roman;Times;serif"/>
          <w:sz w:val="20"/>
        </w:rPr>
        <w:t xml:space="preserve"> </w:t>
      </w:r>
      <w:r>
        <w:rPr>
          <w:rFonts w:ascii="TimesNRMTPro" w:hAnsi="TimesNRMTPro"/>
          <w:sz w:val="20"/>
        </w:rPr>
        <w:t>million. The repurchased notes were extinguished but were not retired and are held in treasury.</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0"/>
        <w:ind w:left="0" w:right="0" w:hanging="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 xml:space="preserve">In June 2025, certain of our Energy segment’s subsidiaries (the “Term Loan Borrowers”) prepaid $70 million in principal amount of the senior secured term loan facility (the “Term Loan”). As a result of this transaction, CVR Energy recognized a $1 million loss on extinguishment of debt for the six months ended June 30, 2025. </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As of June 30, 2025, total availability under CVR Energy’s Amended and Restated ABL Credit Agreement (“CVR Energy ABL”) and CVR Partners’ ABL Credit Agreement (“CVR Partners ABL”) facilities aggregated to $324 million. The CVR Energy ABL had $24 million of letters of credit outstanding as of June 30, 2025. The CVR Energy ABL matures on June 30, 2027, and the CVR Partners ABL on September 26, 2028.</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Covenants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and 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 In July 2025, Viskase entered into an amendment to its credit agreement providing for, among other things, a waiver of any events of default relating to financial covenants under the credit agreement for the measurement period ended June 30, 2025, and consenting to the merger of Viskase with Enzon Pharmaceuticals, Inc.</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Non-Cash Charges to Interest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amortization of deferred financing costs and debt discounts and premiums included in interest expense in the condensed consolidated statements of operations were $2 million and $1 million for the three months ended June 30, 2025 and 2024, respectively, and $3 million and $2 million for the six months ended June 30, 2025 and 2024, respectively.</w:t>
      </w:r>
    </w:p>
    <w:p>
      <w:pPr>
        <w:pStyle w:val="TextBody"/>
        <w:bidi w:val="0"/>
        <w:spacing w:before="0" w:after="240"/>
        <w:ind w:left="0" w:right="0" w:hanging="0"/>
        <w:jc w:val="left"/>
        <w:rPr>
          <w:rFonts w:ascii="Times New Roman;Times;serif" w:hAnsi="Times New Roman;Times;serif"/>
          <w:b/>
          <w:sz w:val="20"/>
        </w:rPr>
      </w:pPr>
      <w:bookmarkStart w:id="1096" w:name="Tc_FoBkpasxl0G-2fScnAEWJA_8_0"/>
      <w:bookmarkStart w:id="1097" w:name="Tc_iSMPlxLSWEiVJk3F_4x0Ug_7_11"/>
      <w:bookmarkStart w:id="1098" w:name="Tc_g6HRa9TnYUaYnNkFlG3TYw_7_8"/>
      <w:bookmarkStart w:id="1099" w:name="Tc_tR0xThTc2UuFMY2uBZ7zAQ_7_5"/>
      <w:bookmarkStart w:id="1100" w:name="Tc_O0IR0HQKH0WbaoNvQpMc9Q_7_2"/>
      <w:bookmarkStart w:id="1101" w:name="Tc_pb-BSftEM06xa283uNZUnw_7_0"/>
      <w:bookmarkStart w:id="1102" w:name="Tc_IvWEcmjO4EGy2mAjzxSbRQ_5_11"/>
      <w:bookmarkStart w:id="1103" w:name="Tc_2JxZSKKipUqaFXqohb9EeQ_5_8"/>
      <w:bookmarkStart w:id="1104" w:name="Tc_gGPRl_0XpUWEAX3oPRaSQA_5_5"/>
      <w:bookmarkStart w:id="1105" w:name="Tc_k0ffw8HKnUOeCUtfw1yVQg_5_2"/>
      <w:bookmarkStart w:id="1106" w:name="Tc_caDszp7n_kqloo6gRGnidg_5_0"/>
      <w:bookmarkStart w:id="1107" w:name="Tc_xnDIl6_6o0i3Xk5xlpYdAg_4_11"/>
      <w:bookmarkStart w:id="1108" w:name="Tc_TjASsynNMU-1hKNmHGQDAA_4_8"/>
      <w:bookmarkStart w:id="1109" w:name="Tc_Lf2_TohdW02Dc3V7blClAw_4_5"/>
      <w:bookmarkStart w:id="1110" w:name="Tc_z9jtnIGpgEOEUUWIxNggqw_4_2"/>
      <w:bookmarkStart w:id="1111" w:name="Tc_HU0I7DOZk0iPURnhGIecDg_4_0"/>
      <w:bookmarkStart w:id="1112" w:name="Tc_1_SM-PrJVkiGH-281o3rIg_3_2"/>
      <w:bookmarkStart w:id="1113" w:name="Tc_HyKCx2k3f0WCCTQnBwxXXg_2_11"/>
      <w:bookmarkStart w:id="1114" w:name="Tc_nWVPxIEZi0KP69K-iwmhdA_2_8"/>
      <w:bookmarkStart w:id="1115" w:name="Tc_j2UyPmr1HUOXaP1CgaSOTQ_2_5"/>
      <w:bookmarkStart w:id="1116" w:name="Tc_CG88e_NrmkOfK1dh0NlZ7A_2_2"/>
      <w:bookmarkStart w:id="1117" w:name="Tc_uj1LVUG7DkixHc7XpWxaQQ_1_8"/>
      <w:bookmarkStart w:id="1118" w:name="Tc_g5_yDphaIkSk9KZWM43mFQ_1_2"/>
      <w:bookmarkStart w:id="1119" w:name="_a03facfb_c75e_435f_958f_b94e8694d05c"/>
      <w:bookmarkStart w:id="1120" w:name="_84cd67ff_cc68_415d_ba8d_9ced38450f16"/>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r>
        <w:rPr>
          <w:rFonts w:ascii="Times New Roman;Times;serif" w:hAnsi="Times New Roman;Times;serif"/>
          <w:b/>
          <w:sz w:val="20"/>
        </w:rPr>
        <w:t>11. Net Income (Loss) Per LP Unit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components of the computation of basic and diluted income per LP unit of Icahn Enterprises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84"/>
        <w:gridCol w:w="326"/>
        <w:gridCol w:w="261"/>
        <w:gridCol w:w="704"/>
        <w:gridCol w:w="404"/>
        <w:gridCol w:w="261"/>
        <w:gridCol w:w="704"/>
        <w:gridCol w:w="326"/>
        <w:gridCol w:w="244"/>
        <w:gridCol w:w="656"/>
        <w:gridCol w:w="377"/>
        <w:gridCol w:w="244"/>
        <w:gridCol w:w="714"/>
      </w:tblGrid>
      <w:tr>
        <w:trPr/>
        <w:tc>
          <w:tcPr>
            <w:tcW w:w="4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164840" cy="175260"/>
                      <wp:effectExtent l="0" t="0" r="0" b="0"/>
                      <wp:wrapNone/>
                      <wp:docPr id="225" name="Frame225"/>
                      <a:graphic xmlns:a="http://schemas.openxmlformats.org/drawingml/2006/main">
                        <a:graphicData uri="http://schemas.microsoft.com/office/word/2010/wordprocessingShape">
                          <wps:wsp>
                            <wps:cNvSpPr txBox="1"/>
                            <wps:spPr>
                              <a:xfrm>
                                <a:off x="0" y="0"/>
                                <a:ext cx="316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65735" cy="175260"/>
                      <wp:effectExtent l="0" t="0" r="0" b="0"/>
                      <wp:wrapNone/>
                      <wp:docPr id="227" name="Frame227"/>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47040" cy="175260"/>
                      <wp:effectExtent l="0" t="0" r="0" b="0"/>
                      <wp:wrapNone/>
                      <wp:docPr id="228" name="Frame228"/>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56540" cy="175260"/>
                      <wp:effectExtent l="0" t="0" r="0" b="0"/>
                      <wp:wrapNone/>
                      <wp:docPr id="229" name="Frame229"/>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65735" cy="175260"/>
                      <wp:effectExtent l="0" t="0" r="0" b="0"/>
                      <wp:wrapNone/>
                      <wp:docPr id="230" name="Frame230"/>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47040" cy="175260"/>
                      <wp:effectExtent l="0" t="0" r="0" b="0"/>
                      <wp:wrapNone/>
                      <wp:docPr id="231" name="Frame231"/>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54940" cy="175260"/>
                      <wp:effectExtent l="0" t="0" r="0" b="0"/>
                      <wp:wrapNone/>
                      <wp:docPr id="233" name="Frame233"/>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16560" cy="175260"/>
                      <wp:effectExtent l="0" t="0" r="0" b="0"/>
                      <wp:wrapNone/>
                      <wp:docPr id="234" name="Frame234"/>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39395" cy="175260"/>
                      <wp:effectExtent l="0" t="0" r="0" b="0"/>
                      <wp:wrapNone/>
                      <wp:docPr id="235" name="Frame235"/>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54940" cy="175260"/>
                      <wp:effectExtent l="0" t="0" r="0" b="0"/>
                      <wp:wrapNone/>
                      <wp:docPr id="236" name="Frame236"/>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53390" cy="175260"/>
                      <wp:effectExtent l="0" t="0" r="0" b="0"/>
                      <wp:wrapNone/>
                      <wp:docPr id="237" name="Frame237"/>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2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49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04" w:type="dxa"/>
            <w:tcBorders/>
            <w:vAlign w:val="center"/>
          </w:tcPr>
          <w:p>
            <w:pPr>
              <w:pStyle w:val="TableContents"/>
              <w:bidi w:val="0"/>
              <w:spacing w:before="0" w:after="0"/>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7" w:type="dxa"/>
            <w:tcBorders/>
            <w:vAlign w:val="center"/>
          </w:tcPr>
          <w:p>
            <w:pPr>
              <w:pStyle w:val="TableContents"/>
              <w:bidi w:val="0"/>
              <w:spacing w:before="0" w:after="0"/>
              <w:ind w:left="0" w:right="0" w:hanging="0"/>
              <w:jc w:val="left"/>
              <w:rPr/>
            </w:pPr>
            <w:r>
              <w:rPr/>
              <w:t>    </w:t>
            </w:r>
          </w:p>
        </w:tc>
        <w:tc>
          <w:tcPr>
            <w:tcW w:w="9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9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9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 except per unit amounts)</w:t>
            </w:r>
          </w:p>
        </w:tc>
      </w:tr>
      <w:tr>
        <w:trPr/>
        <w:tc>
          <w:tcPr>
            <w:tcW w:w="49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Icahn Enterprises</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404" w:type="dxa"/>
            <w:tcBorders/>
            <w:shd w:fill="CCEEFF" w:val="clear"/>
            <w:vAlign w:val="center"/>
          </w:tcPr>
          <w:p>
            <w:pPr>
              <w:pStyle w:val="TableContents"/>
              <w:bidi w:val="0"/>
              <w:spacing w:before="0" w:after="0"/>
              <w:ind w:left="0" w:right="0" w:hanging="0"/>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c>
          <w:tcPr>
            <w:tcW w:w="377" w:type="dxa"/>
            <w:tcBorders/>
            <w:shd w:fill="CCEEFF" w:val="clear"/>
            <w:vAlign w:val="center"/>
          </w:tcPr>
          <w:p>
            <w:pPr>
              <w:pStyle w:val="TableContents"/>
              <w:bidi w:val="0"/>
              <w:spacing w:before="0" w:after="0"/>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r>
      <w:tr>
        <w:trPr/>
        <w:tc>
          <w:tcPr>
            <w:tcW w:w="4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Icahn Enterprises allocated to limited partners (98.01% allocation)</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404"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26"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377"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r>
      <w:tr>
        <w:trPr/>
        <w:tc>
          <w:tcPr>
            <w:tcW w:w="49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w:t>
            </w:r>
          </w:p>
        </w:tc>
      </w:tr>
      <w:tr>
        <w:trPr/>
        <w:tc>
          <w:tcPr>
            <w:tcW w:w="4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income (loss) per LP unit:</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404"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c>
          <w:tcPr>
            <w:tcW w:w="326"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77"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r>
      <w:tr>
        <w:trPr/>
        <w:tc>
          <w:tcPr>
            <w:tcW w:w="498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Basic and diluted weighted average LP units outstanding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404"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377"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440</w:t>
            </w:r>
          </w:p>
        </w:tc>
      </w:tr>
    </w:tbl>
    <w:tbl>
      <w:tblPr>
        <w:tblW w:w="9066" w:type="dxa"/>
        <w:jc w:val="left"/>
        <w:tblInd w:w="0" w:type="dxa"/>
        <w:tblLayout w:type="fixed"/>
        <w:tblCellMar>
          <w:top w:w="28" w:type="dxa"/>
          <w:left w:w="28" w:type="dxa"/>
          <w:bottom w:w="28" w:type="dxa"/>
          <w:right w:w="28" w:type="dxa"/>
        </w:tblCellMar>
      </w:tblPr>
      <w:tblGrid>
        <w:gridCol w:w="124"/>
        <w:gridCol w:w="316"/>
        <w:gridCol w:w="862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Excludes an immaterial amount of unvested RSU awards during the three and six months ended June 30, 2025 and 2024. </w:t>
            </w:r>
          </w:p>
        </w:tc>
      </w:tr>
    </w:tbl>
    <w:p>
      <w:pPr>
        <w:pStyle w:val="TextBody"/>
        <w:bidi w:val="0"/>
        <w:spacing w:before="0" w:after="0"/>
        <w:ind w:left="72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LP Unit Transactions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 xml:space="preserve">Unit Distributions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February 24, 2025, we declared a quarterly distribution in the amount of $0.50 per depositary unit in which each depositary unitholder had the option to make an election to receive either cash or additional depositary units, payable April 16, 2025. In April 2025, we distributed 23,349,786 depositary units to unitholders who did not elect to receive cash, of which 21,962,413 depositary units were distributed to Mr. Icahn and his affiliates. In connection with these distributions, aggregate cash distributions to all depositary unitholders that made a timely election to receive cash was $75 million, of which $50 million was distributed to Mr. Icahn and his affiliates in April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5, 2025, we declared a quarterly distribution in the amount of $0.50 per depositary unit in which each depositary unitholder had the option to make an election to receive either cash or additional depositary units, payable June 25, 2025. In June 2025, we distributed 23,351,314 depositary units to unitholders who did not elect to receive cash, of which 22,033,036 depositary units were distributed to Mr. Icahn and his affiliates. In connection with these distributions, aggregate cash distributions to all depositary unitholders that made a timely election to receive cash was $76 million, of which $50 million was distributed to Mr. Icahn and his affiliates in June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At-The-Market Offerings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three and six months ended June 30, 2025, we sold 3,811,992 depositary units pursuant to the Open Market Sale Agreement entered into November 21, 2022, resulting in gross proceeds of $33 million. As of June 30, 2025, we continue to have effective Open Market Sale Agreements and Icahn Enterprises may sell its depositary units for up to an additional $13 million in aggregate gross sale proceeds pursuant to its Open Market Sale Agreement entered into November 21, 2022 and up to $400 million in aggregate gross sale proceeds pursuant to its Open Market Sale Agreement entered into August 26, 2024, subject to the effectiveness of a shelf registration statement on Form S-3 filed with the Securities and Exchange Commission.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Repurchase Authorization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May 9, 2023, the Board of Directors of the General Partner approved a repurchase program which authorizes Icahn Enterprises or affiliates of Icahn Enterprises to repurchase up to an aggregate of $500 million worth of any of our outstanding fixed-rate senior notes issued by Icahn Enterprises and Icahn Enterprises Finance Corp. and up to an aggregate of $500 million worth of the depositary units issued by Icahn Enterprises (the “Repurchase Program”), in each case subject to restrictions on use of our cash contained in the indentures governing our indebtedness.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On November 6, 2024, the Board re-approved the Repurchase Program, and, pursuant to the reapproved Program, we were reauthorized to repurchase up to $500 million worth of our outstanding fixed-rate senior notes, in addition to the $269 million we repurchased prior to the Board’s reapproval of the Repurchase Program. During the six months ended June 30, 2025, the Company did not repurchase any of the Company’s depositary units under the Repurchase Program and has repurchased $35 million worth of our outstanding fixed-rate senior notes. In July 2025, we repurchased in the open market approximately $15 million aggregate principal amount of our 9.000% senior notes due 2030 for cash paid of $14 million. The repurchased notes were extinguished but were not retired and are held in treasury. As of June 30, 2025, we were authorized to repurchase up to $450 million of our senior notes and up to $500 million of our outstanding depositary units, in each case subject to restrictions on use of our cash contained in the indentures governing our indebtedness.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Segment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reportable segments reflect the way the Company is managed, and for which separate financial information is available and evaluated regularly by the Company’s Chief Operating Decision Maker (“CODM”) in deciding how to allocate resources and assess performance. The Chairman of the Board of Directors of our general partner, who is our CODM, reviews financial information for each segment and evaluates the results in relation to our broader business strategies. Accordingly, segment operating results are assessed based on net income from continuing operations attributable to Icahn Enterprises. Assets provided to the CODM are consistent with those reported in the condensed consolidated balance sheets, and there are no intra-entity sales or transfers, or significant expense categories regularly reviewed by the CODM beyond those disclosed in the condensed consolidated statements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21" w:name="Tc_bWzYcpjv4U6ThEbCIrjb7Q_27_26"/>
      <w:bookmarkStart w:id="1122" w:name="Tc_80YA29MH0UiAzzWk2t6R6Q_27_24"/>
      <w:bookmarkStart w:id="1123" w:name="Tc_KSqqcF5Z7ke_F9CjP7IDoQ_27_23"/>
      <w:bookmarkStart w:id="1124" w:name="Tc_z3tPlq5T1USV5vE-fGWxBQ_27_20"/>
      <w:bookmarkStart w:id="1125" w:name="Tc_w_JIQ_uDOEeWoxOs9WAY_w_27_17"/>
      <w:bookmarkStart w:id="1126" w:name="Tc_76gLbKxf1keHHT_n4D5u-A_27_14"/>
      <w:bookmarkStart w:id="1127" w:name="Tc_cp0zGuavCU61QCOof3VXkA_27_11"/>
      <w:bookmarkStart w:id="1128" w:name="Tc_mHIGGQwZNEqpQka0SLkZPg_27_8"/>
      <w:bookmarkStart w:id="1129" w:name="Tc_JskhQ1Rdtk2dRbYt_8XXvw_27_5"/>
      <w:bookmarkStart w:id="1130" w:name="Tc_80KvKCoW10iH0EoF4u4f-A_27_3"/>
      <w:bookmarkStart w:id="1131" w:name="Tc_09BIWhy2O0mFbtl4gwU8KA_27_2"/>
      <w:bookmarkStart w:id="1132" w:name="Tc_ixo9LPnsyEmIN0uW5xgIiQ_27_0"/>
      <w:bookmarkStart w:id="1133" w:name="Tc_DYANkhw1KkmoACJlLHXS5w_26_26"/>
      <w:bookmarkStart w:id="1134" w:name="Tc_7FLffD-nj029WrK7WrSthQ_26_24"/>
      <w:bookmarkStart w:id="1135" w:name="Tc_dUdZn70KTUqn31sTqvzTbg_26_23"/>
      <w:bookmarkStart w:id="1136" w:name="Tc_qB4NGNOzmES3ccO-4GP0dQ_26_21"/>
      <w:bookmarkStart w:id="1137" w:name="Tc_XQ5atsrzWU6jONOZsRjL4Q_26_20"/>
      <w:bookmarkStart w:id="1138" w:name="Tc_oTOdIPHC1UKILQP0pXvw3w_26_17"/>
      <w:bookmarkStart w:id="1139" w:name="Tc_mlKESuWHkkGs6kvLKELNsQ_26_14"/>
      <w:bookmarkStart w:id="1140" w:name="Tc_VpcpcsDzT0-4LYDAKyTVLA_26_11"/>
      <w:bookmarkStart w:id="1141" w:name="Tc_kY57QLcRoUi0nBNR3Tui_g_26_8"/>
      <w:bookmarkStart w:id="1142" w:name="Tc_Tl5_iAJudkmh7W74I8ZH9A_26_5"/>
      <w:bookmarkStart w:id="1143" w:name="Tc_qMgidYVhdkqqM9xbUSHMvw_26_3"/>
      <w:bookmarkStart w:id="1144" w:name="Tc_AnbCJZyAt0O9iX11WWQl9Q_26_2"/>
      <w:bookmarkStart w:id="1145" w:name="Tc_7qxaLMLEwkSbpXBpXxXRQg_26_0"/>
      <w:bookmarkStart w:id="1146" w:name="Tc_lMa9Oa0dR022D1FEu_EyZQ_25_0"/>
      <w:bookmarkStart w:id="1147" w:name="Tc_C0xVD727S0yanS2dK8kZCg_24_26"/>
      <w:bookmarkStart w:id="1148" w:name="Tc_K3hCNnCSKkqsU_XiqNMDfA_24_23"/>
      <w:bookmarkStart w:id="1149" w:name="Tc_PJO7Rx00tUewrhWDo5yrsA_24_20"/>
      <w:bookmarkStart w:id="1150" w:name="Tc_TkvFYeV_JE-_8QFc-fK79Q_24_18"/>
      <w:bookmarkStart w:id="1151" w:name="Tc_93xO6e4mV0-v1KNfS3iF0Q_24_17"/>
      <w:bookmarkStart w:id="1152" w:name="Tc_sK39xJMAqUKckUXH-CGTiA_24_15"/>
      <w:bookmarkStart w:id="1153" w:name="Tc_wNFuBuU5PkOmOJ6ed5EQfw_24_14"/>
      <w:bookmarkStart w:id="1154" w:name="Tc_CSVLbAGhiES2T5A30OX9aw_24_11"/>
      <w:bookmarkStart w:id="1155" w:name="Tc_fDQ2TZ1JH0GP99fUNc7qsQ_24_8"/>
      <w:bookmarkStart w:id="1156" w:name="Tc_8QyBdA5nPUqIk0MDbOiFRA_24_5"/>
      <w:bookmarkStart w:id="1157" w:name="Tc_0rO-aa-J2Uiepc5Ry_enAA_24_2"/>
      <w:bookmarkStart w:id="1158" w:name="Tc_CED1UvNMvUm1xncVjgr_hg_24_0"/>
      <w:bookmarkStart w:id="1159" w:name="Tc_p7tqIJgfwUWKIC-Q0wE2qg_23_24"/>
      <w:bookmarkStart w:id="1160" w:name="Tc_rklESf42cU6YbY17MI_NvQ_23_21"/>
      <w:bookmarkStart w:id="1161" w:name="Tc_hM1Ve20OK0CYdxiSQEspkQ_23_18"/>
      <w:bookmarkStart w:id="1162" w:name="Tc_oha4_wiXYUeQ6lB69nKuHQ_23_15"/>
      <w:bookmarkStart w:id="1163" w:name="Tc_bOBw12gBDkeSpnZg8ipLxg_23_9"/>
      <w:bookmarkStart w:id="1164" w:name="Tc_q1FnVfMrAkS8j88WkK5nFQ_23_0"/>
      <w:bookmarkStart w:id="1165" w:name="Tc_fWR2ljsvEkqOM6vWFF17iQ_22_18"/>
      <w:bookmarkStart w:id="1166" w:name="Tc_zfLqR8kKnkCj_GQW6vj4Dw_22_15"/>
      <w:bookmarkStart w:id="1167" w:name="Tc_ba5P0p6690u7y6wfeQ6j7A_22_0"/>
      <w:bookmarkStart w:id="1168" w:name="Tc_B4FC3F1InUSnWkwFptKLVQ_21_21"/>
      <w:bookmarkStart w:id="1169" w:name="Tc_qJN_CKbwSUWuQayWnuui0Q_21_18"/>
      <w:bookmarkStart w:id="1170" w:name="Tc_cAp4GAzm0kiXmQImhfbrjQ_21_15"/>
      <w:bookmarkStart w:id="1171" w:name="Tc_cxCpQwbDzk-ttrdKwukZFw_21_9"/>
      <w:bookmarkStart w:id="1172" w:name="Tc_oS3ODotPr0us5G5B2KkH4g_21_3"/>
      <w:bookmarkStart w:id="1173" w:name="Tc_Fe62NWfDrE6znVnA1lzVHA_21_0"/>
      <w:bookmarkStart w:id="1174" w:name="Tc_6FTnRPo4P0GgCFIcKgOw7w_20_18"/>
      <w:bookmarkStart w:id="1175" w:name="Tc_Ty3VpM4rK0CngmiB0EkT4Q_20_15"/>
      <w:bookmarkStart w:id="1176" w:name="Tc_dsM7G8n6rkCzyub0I-kOxg_20_0"/>
      <w:bookmarkStart w:id="1177" w:name="Tc_BUJzgbUaOUesYeRyGt2CGA_18_21"/>
      <w:bookmarkStart w:id="1178" w:name="Tc_Oxm4Qgxvv0SI6MReutT-KQ_18_18"/>
      <w:bookmarkStart w:id="1179" w:name="Tc_7opf2ysdA0SWLSxYK-1cPg_18_15"/>
      <w:bookmarkStart w:id="1180" w:name="Tc_aWEMNpQIcEGE_77kRsRyEw_18_0"/>
      <w:bookmarkStart w:id="1181" w:name="Tc_ksGmRTBzWUORx-Ejcckk1A_17_24"/>
      <w:bookmarkStart w:id="1182" w:name="Tc_0RX58n5n5UW7B-nA2g77Fg_17_21"/>
      <w:bookmarkStart w:id="1183" w:name="Tc_No85KVlGlkyaVz2QD2oF-w_17_18"/>
      <w:bookmarkStart w:id="1184" w:name="Tc_r4jogVBQpUy-QdjvbDCcdA_17_15"/>
      <w:bookmarkStart w:id="1185" w:name="Tc_ok837iT0ikGgC9urlyupgQ_17_9"/>
      <w:bookmarkStart w:id="1186" w:name="Tc_SJWOtydp802acC8gso7tnQ_17_6"/>
      <w:bookmarkStart w:id="1187" w:name="Tc_eVCsrwd2TEylHzgepvuOvg_17_3"/>
      <w:bookmarkStart w:id="1188" w:name="Tc_di8ebmx71k2klFq5Kg75qg_17_0"/>
      <w:bookmarkStart w:id="1189" w:name="Tc_tnvM--iOb0uGiQeDlavdUQ_16_0"/>
      <w:bookmarkStart w:id="1190" w:name="Tc_0hOWzG7iQ02jm0jyqYoIkw_15_24"/>
      <w:bookmarkStart w:id="1191" w:name="Tc_9Up8cYAU5kSZdJML6HMacA_15_21"/>
      <w:bookmarkStart w:id="1192" w:name="Tc_JEHBRdyZ5UWgsGAN0RBJQA_15_18"/>
      <w:bookmarkStart w:id="1193" w:name="Tc_--GfPGclmU2hAMPwp2mwyQ_15_15"/>
      <w:bookmarkStart w:id="1194" w:name="Tc_4F7ObPukyk6y1z2r-i1TvQ_15_12"/>
      <w:bookmarkStart w:id="1195" w:name="Tc_IYqzBKnQe0m4OyGtWNeJfA_15_9"/>
      <w:bookmarkStart w:id="1196" w:name="Tc_bTt_EX4shUap0wVMA6MaRg_15_6"/>
      <w:bookmarkStart w:id="1197" w:name="Tc_F0THgqzTbEqzSF-f3NEZTA_15_0"/>
      <w:bookmarkStart w:id="1198" w:name="Tc_bAgeEGTrsUyJVjgQqg8UfA_14_24"/>
      <w:bookmarkStart w:id="1199" w:name="Tc_FdQDoM93kUmJ0YQWsIC2Mg_14_21"/>
      <w:bookmarkStart w:id="1200" w:name="Tc_mRYQppin0kiAxaClS3U9OA_14_18"/>
      <w:bookmarkStart w:id="1201" w:name="Tc_7gixm7MLXE2yUcGUcirmCw_14_12"/>
      <w:bookmarkStart w:id="1202" w:name="Tc_FZHpuHBz-0eBSebgNXKhsg_14_6"/>
      <w:bookmarkStart w:id="1203" w:name="Tc_-AQrXYRGVEylcA60c_xKLg_14_3"/>
      <w:bookmarkStart w:id="1204" w:name="Tc_ju6z_EXk4EaEAErjf3kNSQ_14_0"/>
      <w:bookmarkStart w:id="1205" w:name="Tc_o8869YhAz0Spych-8dlgfA_13_24"/>
      <w:bookmarkStart w:id="1206" w:name="Tc_JTmb-m-5jEan3W4OccW6dQ_13_3"/>
      <w:bookmarkStart w:id="1207" w:name="Tc_mLxHgQfCuESRqEPJQL3IQA_13_0"/>
      <w:bookmarkStart w:id="1208" w:name="Tc_2CuxNHEMEEOGUNhZ09pgXw_12_0"/>
      <w:bookmarkStart w:id="1209" w:name="Tc_MFB7dBCUTUOg8ma3m8JxAw_10_24"/>
      <w:bookmarkStart w:id="1210" w:name="Tc_QVc1qoXUsUeivbhq3dBT_A_10_21"/>
      <w:bookmarkStart w:id="1211" w:name="Tc_PTsDY6XfqkOqipFIS1QOzQ_10_18"/>
      <w:bookmarkStart w:id="1212" w:name="Tc_ykhCcdArskiy30Z4DXWTJA_10_15"/>
      <w:bookmarkStart w:id="1213" w:name="Tc_eLozIKdsLEG9fJV9GU7yBQ_10_12"/>
      <w:bookmarkStart w:id="1214" w:name="Tc_5VPlvZavD0atyPAHrgqYpg_10_9"/>
      <w:bookmarkStart w:id="1215" w:name="Tc_WklmlZ3HUUy9dSMWFw1H6g_10_3"/>
      <w:bookmarkStart w:id="1216" w:name="Tc_-SdXqruTG0-MKBW10ibsLw_10_0"/>
      <w:bookmarkStart w:id="1217" w:name="Tc_o_x24jqynUid0ByewTxupw_9_24"/>
      <w:bookmarkStart w:id="1218" w:name="Tc_PWejO04jYkyPArlPJhLTBA_9_21"/>
      <w:bookmarkStart w:id="1219" w:name="Tc_ribX0BO7LUqPEwNJyjEF1Q_9_18"/>
      <w:bookmarkStart w:id="1220" w:name="Tc_5LHNVw5vZkCbLdi7sxnWqQ_9_15"/>
      <w:bookmarkStart w:id="1221" w:name="Tc_nyAqYjI08UySPBkR_sjq0A_9_12"/>
      <w:bookmarkStart w:id="1222" w:name="Tc_zR0BpUX5sEC9-kK6-nukkw_9_6"/>
      <w:bookmarkStart w:id="1223" w:name="Tc_ISIBo8tWYkWJKrQr_QBy1A_9_3"/>
      <w:bookmarkStart w:id="1224" w:name="Tc_W91IMjPPFUGlf1sIRomw8g_9_0"/>
      <w:bookmarkStart w:id="1225" w:name="Tc_mumZ8KSswU-cyIpYootzOw_8_18"/>
      <w:bookmarkStart w:id="1226" w:name="Tc_mzKya-d7hEWm6r3DlVsyMQ_8_15"/>
      <w:bookmarkStart w:id="1227" w:name="Tc_QVf4LAq7B0aoVXxB19QVSQ_8_12"/>
      <w:bookmarkStart w:id="1228" w:name="Tc_N_OJN7itOEefsaWjnY66jg_8_0"/>
      <w:bookmarkStart w:id="1229" w:name="Tc_xwruFaVQV0aTJrFXo-5Lkg_7_24"/>
      <w:bookmarkStart w:id="1230" w:name="Tc_T4A6NdbCGE60zzrI5azrqg_7_21"/>
      <w:bookmarkStart w:id="1231" w:name="Tc_H5ae2A4rGEG1OPvSZZy_6A_7_18"/>
      <w:bookmarkStart w:id="1232" w:name="Tc_Qilx1Fr7OEiQh3_6LzKg0w_7_15"/>
      <w:bookmarkStart w:id="1233" w:name="Tc_70Q9Zoyu3UmwDCYyWhwU0w_7_12"/>
      <w:bookmarkStart w:id="1234" w:name="Tc_SqmC4uRp_0eB8vO_7s9Vhg_7_9"/>
      <w:bookmarkStart w:id="1235" w:name="Tc_v6ThQxlQb0WK_LwPCXK05g_7_6"/>
      <w:bookmarkStart w:id="1236" w:name="Tc_40lO-xhTzkmE3aQY2MprhA_7_0"/>
      <w:bookmarkStart w:id="1237" w:name="Tc_08d1vOsWBEOem7h14KN-Eg_6_24"/>
      <w:bookmarkStart w:id="1238" w:name="Tc_PRV52YvVgUOb3yk-YZYTHA_6_18"/>
      <w:bookmarkStart w:id="1239" w:name="Tc_n0pe_rnyFkOB6KClhCL3JA_6_12"/>
      <w:bookmarkStart w:id="1240" w:name="Tc_2OeO_qDe0EGKkUuyGAcvfA_6_6"/>
      <w:bookmarkStart w:id="1241" w:name="Tc_pCtCGBu5W0evHJm9FUWQ9g_6_3"/>
      <w:bookmarkStart w:id="1242" w:name="Tc_QR6ScvZUYEKmKd75fEYoYg_6_0"/>
      <w:bookmarkStart w:id="1243" w:name="Tc_W6zqAtkzEU6zGY99OkQpnw_5_26"/>
      <w:bookmarkStart w:id="1244" w:name="Tc_9GV9jA4xG0yIDOpy5wC83w_5_24"/>
      <w:bookmarkStart w:id="1245" w:name="Tc_FXtmDojGY0a1sl_QTuWZMA_5_23"/>
      <w:bookmarkStart w:id="1246" w:name="Tc_e-nMs0JzY0ScLtZdZTBrxg_5_20"/>
      <w:bookmarkStart w:id="1247" w:name="Tc_j8raXHbhkUWLBCj9EJJ17A_5_17"/>
      <w:bookmarkStart w:id="1248" w:name="Tc_uPNF_R7zz0SrQl-4F8meFA_5_14"/>
      <w:bookmarkStart w:id="1249" w:name="Tc_6qYQvGIU1EaIR1D7BIzwTg_5_11"/>
      <w:bookmarkStart w:id="1250" w:name="Tc_KJuL05BMtku43MIxsPByCg_5_8"/>
      <w:bookmarkStart w:id="1251" w:name="Tc_oO_pay9Q8k2UUvlypJFErw_5_5"/>
      <w:bookmarkStart w:id="1252" w:name="Tc_y8QKmLD9i02Ue9Mm5l-DGQ_5_3"/>
      <w:bookmarkStart w:id="1253" w:name="Tc_wBM2Oaj1yk-bnc6l_uze6Q_5_2"/>
      <w:bookmarkStart w:id="1254" w:name="Tc_nwgxWNQ04EWZ1QtFhWxHjg_5_0"/>
      <w:bookmarkStart w:id="1255" w:name="Tc_sVXoF2NuBUigeSKxvslDjw_4_0"/>
      <w:bookmarkStart w:id="1256" w:name="Tc_JVfg7xrdr0exOwVIkDcYaQ_3_2"/>
      <w:bookmarkStart w:id="1257" w:name="Tc_oySns0MsfkyGM1bAyfN_vw_2_26"/>
      <w:bookmarkStart w:id="1258" w:name="Tc_4q1YZUpFVEufIjiDt2iDQg_2_23"/>
      <w:bookmarkStart w:id="1259" w:name="Tc_kaHaOoJQEEy55fReZwiuCQ_2_20"/>
      <w:bookmarkStart w:id="1260" w:name="Tc_1EAqz82ZckKX-WWbE1xSuw_2_17"/>
      <w:bookmarkStart w:id="1261" w:name="Tc_SraYNIdJDUqxKI_63uYtmA_2_14"/>
      <w:bookmarkStart w:id="1262" w:name="Tc_Xqmjbyd3ZE2ERRT2K2aBSQ_2_11"/>
      <w:bookmarkStart w:id="1263" w:name="Tc_qtwewMkS6ESVG8KLOkHD6w_2_8"/>
      <w:bookmarkStart w:id="1264" w:name="Tc_Z_NSEtBJaUKLcwFULmdHGA_2_5"/>
      <w:bookmarkStart w:id="1265" w:name="Tc_QttGjEZSbEyTj5_E72tn7w_2_2"/>
      <w:bookmarkStart w:id="1266" w:name="Tc_nCXnrBUq30-K2YLnTSfNbA_1_2"/>
      <w:bookmarkStart w:id="1267" w:name="_10686c91_9fce_4551_aa14_88579185a64e"/>
      <w:bookmarkStart w:id="1268" w:name="Tc_Yr9t48lYsU-QPYLlrTRTHg_28_26"/>
      <w:bookmarkStart w:id="1269" w:name="Tc_UIDFLvFMz06SaeGLY7rCFw_28_24"/>
      <w:bookmarkStart w:id="1270" w:name="Tc_IEBRZVyNAk6aVI4pHZ1DYw_28_23"/>
      <w:bookmarkStart w:id="1271" w:name="Tc_HKbSsDWFUkCgHHy8uyKu5A_28_20"/>
      <w:bookmarkStart w:id="1272" w:name="Tc_vL6CRgInSkGYJ7aWcBd9IA_28_17"/>
      <w:bookmarkStart w:id="1273" w:name="Tc_EVrsyjzdpEKFfxmZrl_sFg_28_14"/>
      <w:bookmarkStart w:id="1274" w:name="Tc_O5vtAaQbA0ufwMxDFGrZyg_28_11"/>
      <w:bookmarkStart w:id="1275" w:name="Tc_zqhIN4FY10CyIXQ6lvLiCQ_28_8"/>
      <w:bookmarkStart w:id="1276" w:name="Tc_X-rRCeoNoE667tzW5tDEVg_28_5"/>
      <w:bookmarkStart w:id="1277" w:name="Tc_T8rHIuu0pkmJ2Qz9JGoAkw_28_3"/>
      <w:bookmarkStart w:id="1278" w:name="Tc_16c26Y7eAkqfflRYac1olA_28_2"/>
      <w:bookmarkStart w:id="1279" w:name="Tc_OQKtSidZY0m8joY3w9z3zg_28_0"/>
      <w:bookmarkStart w:id="1280" w:name="Tc_op4uCM0HKEOtDdUGifnOFQ_27_26"/>
      <w:bookmarkStart w:id="1281" w:name="Tc_S4dgahPtF0mJY0vOZlICiQ_27_24"/>
      <w:bookmarkStart w:id="1282" w:name="Tc_KkJIFEvD4U-jEYBamqVScA_27_23"/>
      <w:bookmarkStart w:id="1283" w:name="Tc_40X88TEz80W8yZP3g67kSA_27_21"/>
      <w:bookmarkStart w:id="1284" w:name="Tc_Y234_9CEuECQ_2juLFMNrw_27_20"/>
      <w:bookmarkStart w:id="1285" w:name="Tc_s7JtxleunUuQGOFcrZvi3g_27_17"/>
      <w:bookmarkStart w:id="1286" w:name="Tc_FVfv9w_U9EGyfrN4V4Piaw_27_14"/>
      <w:bookmarkStart w:id="1287" w:name="Tc_AhG-Tyv5xEqLJKT3eAqW5g_27_11"/>
      <w:bookmarkStart w:id="1288" w:name="Tc_aiGptqjsl0-IN_qTIEqXqQ_27_8"/>
      <w:bookmarkStart w:id="1289" w:name="Tc_VlfR8vS_N0WWVBMXbpAuxA_27_5"/>
      <w:bookmarkStart w:id="1290" w:name="Tc_Hp3a30KgtUa0Ix8rANXONg_27_3"/>
      <w:bookmarkStart w:id="1291" w:name="Tc_fGKGBBFx_kycqt3nGV4rEQ_27_2"/>
      <w:bookmarkStart w:id="1292" w:name="Tc_1fLT0-xWNEuJIaeR2pSm6w_27_0"/>
      <w:bookmarkStart w:id="1293" w:name="Tc_Ft-DM3RqZ0mNpzGPm825XA_26_0"/>
      <w:bookmarkStart w:id="1294" w:name="Tc_xWbNgZh7v0aiPINUpKBMpA_25_26"/>
      <w:bookmarkStart w:id="1295" w:name="Tc_gX59YVQhx0CI6WBqfoO87A_25_23"/>
      <w:bookmarkStart w:id="1296" w:name="Tc_YOVy1jC2EESLd_1OLMHLZQ_25_20"/>
      <w:bookmarkStart w:id="1297" w:name="Tc_h0Wb0enWmE65OVwuu3xtpA_25_17"/>
      <w:bookmarkStart w:id="1298" w:name="Tc_8jkMjHqzr0-kA6CK8xCoBw_25_14"/>
      <w:bookmarkStart w:id="1299" w:name="Tc_Ovf1AHmGGEGexTxPIk7OaQ_25_11"/>
      <w:bookmarkStart w:id="1300" w:name="Tc_gzbeSMaK9EmatvsS6r7j1g_25_8"/>
      <w:bookmarkStart w:id="1301" w:name="Tc_qFNOKvUXCEappCfA44WM8w_25_5"/>
      <w:bookmarkStart w:id="1302" w:name="Tc_WefIWwl8Kkqedo4ZoKK04w_25_2"/>
      <w:bookmarkStart w:id="1303" w:name="Tc_GHNy-I1SvkeNXIdiO6RVNg_25_0"/>
      <w:bookmarkStart w:id="1304" w:name="Tc_z6-lu3NQ_EuPu6lV_diUdQ_24_24"/>
      <w:bookmarkStart w:id="1305" w:name="Tc_Ii2OpWqeZkiLfevO361w-A_24_21"/>
      <w:bookmarkStart w:id="1306" w:name="Tc_VDagRYEy6kSvfQsAlT6yBA_24_18"/>
      <w:bookmarkStart w:id="1307" w:name="Tc_oKXsH9gsZEa1wvfKlpY80w_24_15"/>
      <w:bookmarkStart w:id="1308" w:name="Tc_V7x_FDrHY0K0dvCrDzGB_A_24_12"/>
      <w:bookmarkStart w:id="1309" w:name="Tc_NRwsquLqI0arQqVeBzG7yg_24_9"/>
      <w:bookmarkStart w:id="1310" w:name="Tc_Rr6Z_KdCPU-7wHC4Hcy_xA_24_0"/>
      <w:bookmarkStart w:id="1311" w:name="Tc_teMzKVHavEOxa3Bw7rHHug_23_0"/>
      <w:bookmarkStart w:id="1312" w:name="Tc_VbP_XjD-2kyuFBrBoHbvpg_22_21"/>
      <w:bookmarkStart w:id="1313" w:name="Tc_ZEWPQLO8gEKCk6ns2uT0QQ_22_18"/>
      <w:bookmarkStart w:id="1314" w:name="Tc_ZOAPtOuie027JujNhnmNHw_22_15"/>
      <w:bookmarkStart w:id="1315" w:name="Tc_n9p99kflR0KkdA1JhWbvOw_22_3"/>
      <w:bookmarkStart w:id="1316" w:name="Tc_upVG58VzfkKW-uaPAef5vg_22_0"/>
      <w:bookmarkStart w:id="1317" w:name="Tc_QdpmecM6XUuQKG5IbopCfw_21_0"/>
      <w:bookmarkStart w:id="1318" w:name="Tc_43rKnQKXxU2TlLTemlsTrg_19_21"/>
      <w:bookmarkStart w:id="1319" w:name="Tc_3Dehx1oc20CJfhBX0exdbQ_19_15"/>
      <w:bookmarkStart w:id="1320" w:name="Tc_pXyZqSxqJUe0nRuBEmcIyQ_19_0"/>
      <w:bookmarkStart w:id="1321" w:name="Tc_mpRk0Z137kmtnxJqq-qryw_18_24"/>
      <w:bookmarkStart w:id="1322" w:name="Tc_lBgUXI3MA062QaFsc3035Q_18_21"/>
      <w:bookmarkStart w:id="1323" w:name="Tc_ks_E10AanU67-BSt-PVs6w_18_18"/>
      <w:bookmarkStart w:id="1324" w:name="Tc_xTS1R55viEq7EtKcvmvAZw_18_15"/>
      <w:bookmarkStart w:id="1325" w:name="Tc_Dv7Vf3UIlEy1ywl4-P9Mng_18_9"/>
      <w:bookmarkStart w:id="1326" w:name="Tc_eZRmJlJ_PkCIrruOu_1ikA_18_6"/>
      <w:bookmarkStart w:id="1327" w:name="Tc_qnBOP1mYpkuclyNOoTK2Ag_18_3"/>
      <w:bookmarkStart w:id="1328" w:name="Tc_Gw_eqeSvB0SrIWeLQQkpHA_18_0"/>
      <w:bookmarkStart w:id="1329" w:name="Tc_AOOnKgh7FUKiFpoHJ1BKdw_17_24"/>
      <w:bookmarkStart w:id="1330" w:name="Tc_HO32K8zKmk-SAGu95hQPWQ_17_21"/>
      <w:bookmarkStart w:id="1331" w:name="Tc_fEsurVJYrUixP9YWUupFVA_17_18"/>
      <w:bookmarkStart w:id="1332" w:name="Tc_eWh6GdMhskqqt5bIzSatlA_17_15"/>
      <w:bookmarkStart w:id="1333" w:name="Tc_uWgF_lvuPkWyT34YYUxGlQ_17_9"/>
      <w:bookmarkStart w:id="1334" w:name="Tc_3w7O48HWYkuWHN28HGpjTA_17_6"/>
      <w:bookmarkStart w:id="1335" w:name="Tc_1RSRKhhPbEW2igtp8rUC0w_17_3"/>
      <w:bookmarkStart w:id="1336" w:name="Tc_5dGZ8R4R5UuaNajIjsss1Q_17_0"/>
      <w:bookmarkStart w:id="1337" w:name="Tc_s5aYtm6AwEKoFrQUyrFf9A_16_0"/>
      <w:bookmarkStart w:id="1338" w:name="Tc_HDFDt53NYEWuVEZEbpx3jg_15_24"/>
      <w:bookmarkStart w:id="1339" w:name="Tc_ai21Cl6j6kK0aYMzzofCEw_15_21"/>
      <w:bookmarkStart w:id="1340" w:name="Tc_-JmrGU5dF0aamqz9uZOlOg_15_18"/>
      <w:bookmarkStart w:id="1341" w:name="Tc__Da_VDjx60etukdjrKTodw_15_15"/>
      <w:bookmarkStart w:id="1342" w:name="Tc_g7x19hBZ9k2zFtdrOtUmIQ_15_12"/>
      <w:bookmarkStart w:id="1343" w:name="Tc_0RhQ9E6q-kmGDVboONR89Q_15_9"/>
      <w:bookmarkStart w:id="1344" w:name="Tc_nJhp13ChBkygP9g4Z9OWlg_15_6"/>
      <w:bookmarkStart w:id="1345" w:name="Tc_0-7eaARgnUKQ3Gj4COH-3Q_15_0"/>
      <w:bookmarkStart w:id="1346" w:name="Tc_JK8hOAPE502eZRDbmzAr6Q_14_24"/>
      <w:bookmarkStart w:id="1347" w:name="Tc_vvr5QSg4yEipvGYrWolhIg_14_21"/>
      <w:bookmarkStart w:id="1348" w:name="Tc_8P7PbC_mLEGryaJgPVLMwQ_14_18"/>
      <w:bookmarkStart w:id="1349" w:name="Tc_XsX1KjYnq0y8nRk1YgK_dA_14_12"/>
      <w:bookmarkStart w:id="1350" w:name="Tc_4thnV_UFWU6H4T_IsFOgMQ_14_6"/>
      <w:bookmarkStart w:id="1351" w:name="Tc_dGA_eh6bJ0OFx_2phebJYA_14_3"/>
      <w:bookmarkStart w:id="1352" w:name="Tc_NeY2Lpk6YUyKPZ6F9tLWbw_14_0"/>
      <w:bookmarkStart w:id="1353" w:name="Tc_fQt-VKMV_0SAD_B5vC-ulg_13_24"/>
      <w:bookmarkStart w:id="1354" w:name="Tc_SwsVRq_b30qOrt0-t6f87Q_13_3"/>
      <w:bookmarkStart w:id="1355" w:name="Tc_3lD-gen5tku6Av9chDi7XA_13_0"/>
      <w:bookmarkStart w:id="1356" w:name="Tc_n8VmMp5hd0uqBOWBWa38aQ_12_0"/>
      <w:bookmarkStart w:id="1357" w:name="Tc_N7nXmjrOCEuFsCyMG35JsA_10_18"/>
      <w:bookmarkStart w:id="1358" w:name="Tc_eMJFvhaF8EqfMrxfz-iutw_10_12"/>
      <w:bookmarkStart w:id="1359" w:name="Tc___G9s-lYL0mSFhUd3GA33A_10_9"/>
      <w:bookmarkStart w:id="1360" w:name="Tc_fX8B0JeYI0-XvXBEdf7dFg_10_0"/>
      <w:bookmarkStart w:id="1361" w:name="Tc_BrLQabDsnkqJkRjFLD4EMA_9_24"/>
      <w:bookmarkStart w:id="1362" w:name="Tc_TKhTJfWTXECYQjQZrgQ_jw_9_21"/>
      <w:bookmarkStart w:id="1363" w:name="Tc_jd-OnZN8fkiWKFl4G2fAvA_9_18"/>
      <w:bookmarkStart w:id="1364" w:name="Tc_6nZn0zVIYE2HVnrrDOPM8w_9_12"/>
      <w:bookmarkStart w:id="1365" w:name="Tc_MzzdgJ65ZEyMBX4hPKdWBQ_9_3"/>
      <w:bookmarkStart w:id="1366" w:name="Tc_o21E-mOESk-OAaNiEWHnfA_9_0"/>
      <w:bookmarkStart w:id="1367" w:name="Tc_J3BGN9deXkauQVrnKVohQA_8_18"/>
      <w:bookmarkStart w:id="1368" w:name="Tc_0tGOF-6zsESbfzlud9Dzzw_8_15"/>
      <w:bookmarkStart w:id="1369" w:name="Tc_6jKvvjlcfUqr8531T10NmQ_8_12"/>
      <w:bookmarkStart w:id="1370" w:name="Tc_696AvykreUGiON5FnmiH4Q_8_0"/>
      <w:bookmarkStart w:id="1371" w:name="Tc_uduVdrFylUu1q7vJUeZ9hw_7_24"/>
      <w:bookmarkStart w:id="1372" w:name="Tc_l44jNTzhNUqL-dM6FCxDuA_7_21"/>
      <w:bookmarkStart w:id="1373" w:name="Tc_pZtydUpFnEKoikTdRHEXhg_7_18"/>
      <w:bookmarkStart w:id="1374" w:name="Tc_X4X7vxzO7UizmJebXu4Nbw_7_15"/>
      <w:bookmarkStart w:id="1375" w:name="Tc_ce6tjFfM1UWlFv4R88sQ7Q_7_12"/>
      <w:bookmarkStart w:id="1376" w:name="Tc_mCk3Aql3N0iuD3ojx8QTvQ_7_9"/>
      <w:bookmarkStart w:id="1377" w:name="Tc_EPDiHn_X8U6degzyUpQq-Q_7_6"/>
      <w:bookmarkStart w:id="1378" w:name="Tc_G74YLtIQyECveEFhAIgV6g_7_0"/>
      <w:bookmarkStart w:id="1379" w:name="Tc_xn5yPp1YykGHW2b7xVINag_6_24"/>
      <w:bookmarkStart w:id="1380" w:name="Tc_6xEfssQigEGtNYi3HvAydg_6_18"/>
      <w:bookmarkStart w:id="1381" w:name="Tc_K_vC43EG1UKQ7JnpCdTDfg_6_12"/>
      <w:bookmarkStart w:id="1382" w:name="Tc_WHmxyaJM4kuRfmQlUK76Eg_6_6"/>
      <w:bookmarkStart w:id="1383" w:name="Tc_RrbNwQk_HUeGYsc11ld7Mg_6_3"/>
      <w:bookmarkStart w:id="1384" w:name="Tc_-u7jUkq0ckSumeh58-ti_g_6_0"/>
      <w:bookmarkStart w:id="1385" w:name="Tc_avoEKbYY00iHLvYC6dawrA_5_26"/>
      <w:bookmarkStart w:id="1386" w:name="Tc_r3SKL8sib0Camuq4bYAt-A_5_24"/>
      <w:bookmarkStart w:id="1387" w:name="Tc_2D52HdGgZUWxNqpHWoa_YA_5_23"/>
      <w:bookmarkStart w:id="1388" w:name="Tc_13dgav5VI02y28l6OW8oqg_5_20"/>
      <w:bookmarkStart w:id="1389" w:name="Tc_scVmGh8hd0SexOQCpW_HBQ_5_17"/>
      <w:bookmarkStart w:id="1390" w:name="Tc_2cEoB4nkYkevlCGCx0RbkQ_5_14"/>
      <w:bookmarkStart w:id="1391" w:name="Tc_J8nBTecuMkCP7jctm1rF-w_5_11"/>
      <w:bookmarkStart w:id="1392" w:name="Tc_cHRWC-pnu0ufUoTLc6AADg_5_8"/>
      <w:bookmarkStart w:id="1393" w:name="Tc_BIyExj5j3kK3OQdVXle_oQ_5_5"/>
      <w:bookmarkStart w:id="1394" w:name="Tc_V6LLrxelfUK0DZza3hce9Q_5_3"/>
      <w:bookmarkStart w:id="1395" w:name="Tc_D4X8unfFoEOAKgN88UbXVg_5_2"/>
      <w:bookmarkStart w:id="1396" w:name="Tc_Jh6ALhD8jU6jMxoGHeJ6Fw_5_0"/>
      <w:bookmarkStart w:id="1397" w:name="Tc_hm2-sC94ekSkctxRiEKDMQ_4_0"/>
      <w:bookmarkStart w:id="1398" w:name="Tc_O5ucKZkOk0Gts5WUOSWUWQ_3_2"/>
      <w:bookmarkStart w:id="1399" w:name="Tc_VTEVBb1eY0ylV6uTmr9apQ_2_26"/>
      <w:bookmarkStart w:id="1400" w:name="Tc_h3Kdn8kZaUaEQKSLqq71tQ_2_23"/>
      <w:bookmarkStart w:id="1401" w:name="Tc__RNzpOAkXUKmUFXr8Q3PBw_2_20"/>
      <w:bookmarkStart w:id="1402" w:name="Tc_8M5Qq2tRP0GPN4d6N6el1g_2_17"/>
      <w:bookmarkStart w:id="1403" w:name="Tc_yOo3cVuNyU2OFPisGxN9XQ_2_14"/>
      <w:bookmarkStart w:id="1404" w:name="Tc_9JjauQyT00KqgS9DtWicIQ_2_11"/>
      <w:bookmarkStart w:id="1405" w:name="Tc_w5COFZZLUk-_pmbO8b4a9A_2_8"/>
      <w:bookmarkStart w:id="1406" w:name="Tc_QGitV3CliEa84ku5HJKalQ_2_5"/>
      <w:bookmarkStart w:id="1407" w:name="Tc_C2Ze3g1pdEq2_MPIrzTAbA_2_2"/>
      <w:bookmarkStart w:id="1408" w:name="Tc_FuG751NAOkGbVal8mEl4uA_1_2"/>
      <w:bookmarkStart w:id="1409" w:name="_14ec5e71_ba2b_4ffa_90de_ff6ccd8efc82"/>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r>
        <w:rPr>
          <w:rFonts w:ascii="Times New Roman;Times;serif" w:hAnsi="Times New Roman;Times;serif"/>
          <w:b/>
          <w:sz w:val="20"/>
        </w:rPr>
        <w:t>Condensed Statements of Operations</w:t>
      </w:r>
    </w:p>
    <w:p>
      <w:pPr>
        <w:pStyle w:val="TextBody"/>
        <w:bidi w:val="0"/>
        <w:spacing w:before="0" w:after="0"/>
        <w:ind w:left="0" w:right="0" w:hanging="0"/>
        <w:jc w:val="left"/>
        <w:rPr/>
      </w:pPr>
      <w:r>
        <w:rPr/>
        <w:t>​</w:t>
      </w:r>
    </w:p>
    <w:tbl>
      <w:tblPr>
        <w:tblW w:w="10206" w:type="dxa"/>
        <w:jc w:val="left"/>
        <w:tblInd w:w="0" w:type="dxa"/>
        <w:tblLayout w:type="fixed"/>
        <w:tblCellMar>
          <w:top w:w="0" w:type="dxa"/>
          <w:left w:w="0" w:type="dxa"/>
          <w:bottom w:w="0" w:type="dxa"/>
          <w:right w:w="0" w:type="dxa"/>
        </w:tblCellMar>
      </w:tblPr>
      <w:tblGrid>
        <w:gridCol w:w="1051"/>
        <w:gridCol w:w="326"/>
        <w:gridCol w:w="263"/>
        <w:gridCol w:w="503"/>
        <w:gridCol w:w="326"/>
        <w:gridCol w:w="181"/>
        <w:gridCol w:w="436"/>
        <w:gridCol w:w="326"/>
        <w:gridCol w:w="273"/>
        <w:gridCol w:w="523"/>
        <w:gridCol w:w="326"/>
        <w:gridCol w:w="252"/>
        <w:gridCol w:w="484"/>
        <w:gridCol w:w="326"/>
        <w:gridCol w:w="181"/>
        <w:gridCol w:w="346"/>
        <w:gridCol w:w="326"/>
        <w:gridCol w:w="201"/>
        <w:gridCol w:w="385"/>
        <w:gridCol w:w="326"/>
        <w:gridCol w:w="196"/>
        <w:gridCol w:w="375"/>
        <w:gridCol w:w="326"/>
        <w:gridCol w:w="232"/>
        <w:gridCol w:w="444"/>
        <w:gridCol w:w="326"/>
        <w:gridCol w:w="258"/>
        <w:gridCol w:w="688"/>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67385" cy="175260"/>
                      <wp:effectExtent l="0" t="0" r="0" b="0"/>
                      <wp:wrapNone/>
                      <wp:docPr id="238" name="Frame23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67005" cy="175260"/>
                      <wp:effectExtent l="0" t="0" r="0" b="0"/>
                      <wp:wrapNone/>
                      <wp:docPr id="240" name="Frame240"/>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19405" cy="175260"/>
                      <wp:effectExtent l="0" t="0" r="0" b="0"/>
                      <wp:wrapNone/>
                      <wp:docPr id="241" name="Frame241"/>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14935" cy="175260"/>
                      <wp:effectExtent l="0" t="0" r="0" b="0"/>
                      <wp:wrapNone/>
                      <wp:docPr id="243" name="Frame24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76860" cy="175260"/>
                      <wp:effectExtent l="0" t="0" r="0" b="0"/>
                      <wp:wrapNone/>
                      <wp:docPr id="244" name="Frame24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73355" cy="175260"/>
                      <wp:effectExtent l="0" t="0" r="0" b="0"/>
                      <wp:wrapNone/>
                      <wp:docPr id="246" name="Frame246"/>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32105" cy="175260"/>
                      <wp:effectExtent l="0" t="0" r="0" b="0"/>
                      <wp:wrapNone/>
                      <wp:docPr id="247" name="Frame247"/>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60020" cy="175260"/>
                      <wp:effectExtent l="0" t="0" r="0" b="0"/>
                      <wp:wrapNone/>
                      <wp:docPr id="249" name="Frame24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07340" cy="175260"/>
                      <wp:effectExtent l="0" t="0" r="0" b="0"/>
                      <wp:wrapNone/>
                      <wp:docPr id="250" name="Frame250"/>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14935" cy="175260"/>
                      <wp:effectExtent l="0" t="0" r="0" b="0"/>
                      <wp:wrapNone/>
                      <wp:docPr id="252" name="Frame25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27635" cy="175260"/>
                      <wp:effectExtent l="0" t="0" r="0" b="0"/>
                      <wp:wrapNone/>
                      <wp:docPr id="255" name="Frame255"/>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44475" cy="175260"/>
                      <wp:effectExtent l="0" t="0" r="0" b="0"/>
                      <wp:wrapNone/>
                      <wp:docPr id="256" name="Frame256"/>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24460" cy="175260"/>
                      <wp:effectExtent l="0" t="0" r="0" b="0"/>
                      <wp:wrapNone/>
                      <wp:docPr id="258" name="Frame2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38125" cy="175260"/>
                      <wp:effectExtent l="0" t="0" r="0" b="0"/>
                      <wp:wrapNone/>
                      <wp:docPr id="259" name="Frame25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47320" cy="175260"/>
                      <wp:effectExtent l="0" t="0" r="0" b="0"/>
                      <wp:wrapNone/>
                      <wp:docPr id="261" name="Frame261"/>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81940" cy="175260"/>
                      <wp:effectExtent l="0" t="0" r="0" b="0"/>
                      <wp:wrapNone/>
                      <wp:docPr id="262" name="Frame262"/>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63830" cy="175260"/>
                      <wp:effectExtent l="0" t="0" r="0" b="0"/>
                      <wp:wrapNone/>
                      <wp:docPr id="264" name="Frame264"/>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36880" cy="175260"/>
                      <wp:effectExtent l="0" t="0" r="0" b="0"/>
                      <wp:wrapNone/>
                      <wp:docPr id="265" name="Frame265"/>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29"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Three Months Ended June 30, 2025</w: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26"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26" w:type="dxa"/>
            <w:tcBorders/>
            <w:vAlign w:val="center"/>
          </w:tcPr>
          <w:p>
            <w:pPr>
              <w:pStyle w:val="TableContents"/>
              <w:bidi w:val="0"/>
              <w:spacing w:before="0" w:after="1"/>
              <w:ind w:left="0" w:right="0" w:hanging="0"/>
              <w:jc w:val="left"/>
              <w:rPr/>
            </w:pPr>
            <w:r>
              <w:rPr/>
              <w:t>    </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26" w:type="dxa"/>
            <w:tcBorders/>
            <w:vAlign w:val="center"/>
          </w:tcPr>
          <w:p>
            <w:pPr>
              <w:pStyle w:val="TableContents"/>
              <w:bidi w:val="0"/>
              <w:spacing w:before="0" w:after="1"/>
              <w:ind w:left="0" w:right="0" w:hanging="0"/>
              <w:jc w:val="left"/>
              <w:rPr/>
            </w:pPr>
            <w:r>
              <w:rPr/>
              <w:t>    </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26" w:type="dxa"/>
            <w:tcBorders/>
            <w:vAlign w:val="center"/>
          </w:tcPr>
          <w:p>
            <w:pPr>
              <w:pStyle w:val="TableContents"/>
              <w:bidi w:val="0"/>
              <w:spacing w:before="0" w:after="1"/>
              <w:ind w:left="0" w:right="0" w:hanging="0"/>
              <w:jc w:val="left"/>
              <w:rPr/>
            </w:pPr>
            <w:r>
              <w:rPr/>
              <w:t>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26" w:type="dxa"/>
            <w:tcBorders/>
            <w:vAlign w:val="center"/>
          </w:tcPr>
          <w:p>
            <w:pPr>
              <w:pStyle w:val="TableContents"/>
              <w:bidi w:val="0"/>
              <w:spacing w:before="0" w:after="1"/>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26" w:type="dxa"/>
            <w:tcBorders/>
            <w:vAlign w:val="center"/>
          </w:tcPr>
          <w:p>
            <w:pPr>
              <w:pStyle w:val="TableContents"/>
              <w:bidi w:val="0"/>
              <w:spacing w:before="0" w:after="1"/>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326" w:type="dxa"/>
            <w:tcBorders/>
            <w:vAlign w:val="center"/>
          </w:tcPr>
          <w:p>
            <w:pPr>
              <w:pStyle w:val="TableContents"/>
              <w:bidi w:val="0"/>
              <w:spacing w:before="0" w:after="1"/>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6"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29" w:type="dxa"/>
            <w:gridSpan w:val="26"/>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Revenues:</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center"/>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1,761</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209</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2,143</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154</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172</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from investment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Gain (loss) on disposition of assets, net</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income (loss), net</w:t>
            </w:r>
          </w:p>
        </w:tc>
        <w:tc>
          <w:tcPr>
            <w:tcW w:w="326" w:type="dxa"/>
            <w:tcBorders/>
            <w:vAlign w:val="center"/>
          </w:tcPr>
          <w:p>
            <w:pPr>
              <w:pStyle w:val="TableContents"/>
              <w:bidi w:val="0"/>
              <w:spacing w:before="0" w:after="1"/>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r>
      <w:tr>
        <w:trPr/>
        <w:tc>
          <w:tcPr>
            <w:tcW w:w="10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1,769</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362</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2,369</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Expenses:</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1,839</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144</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2,118</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137</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154</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113</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207</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Impairment</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Restructuring, net</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129</w: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1,917</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395</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326" w:type="dxa"/>
            <w:tcBorders/>
            <w:vAlign w:val="center"/>
          </w:tcPr>
          <w:p>
            <w:pPr>
              <w:pStyle w:val="TableContents"/>
              <w:bidi w:val="0"/>
              <w:spacing w:before="0" w:after="1"/>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2,615</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income before income tax (expense) benefit</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(148)</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(246)</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Income tax benefit</w:t>
            </w:r>
          </w:p>
        </w:tc>
        <w:tc>
          <w:tcPr>
            <w:tcW w:w="326" w:type="dxa"/>
            <w:tcBorders/>
            <w:vAlign w:val="center"/>
          </w:tcPr>
          <w:p>
            <w:pPr>
              <w:pStyle w:val="TableContents"/>
              <w:bidi w:val="0"/>
              <w:spacing w:before="0" w:after="1"/>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righ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Less: net loss attributable to non-controlling interests</w:t>
            </w:r>
          </w:p>
        </w:tc>
        <w:tc>
          <w:tcPr>
            <w:tcW w:w="326" w:type="dxa"/>
            <w:tcBorders/>
            <w:vAlign w:val="center"/>
          </w:tcPr>
          <w:p>
            <w:pPr>
              <w:pStyle w:val="TableContents"/>
              <w:bidi w:val="0"/>
              <w:spacing w:before="0" w:after="1"/>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 attributable to Icahn Enterprises</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(165)</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132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10206" w:type="dxa"/>
        <w:jc w:val="left"/>
        <w:tblInd w:w="0" w:type="dxa"/>
        <w:tblLayout w:type="fixed"/>
        <w:tblCellMar>
          <w:top w:w="0" w:type="dxa"/>
          <w:left w:w="0" w:type="dxa"/>
          <w:bottom w:w="0" w:type="dxa"/>
          <w:right w:w="0" w:type="dxa"/>
        </w:tblCellMar>
      </w:tblPr>
      <w:tblGrid>
        <w:gridCol w:w="1051"/>
        <w:gridCol w:w="326"/>
        <w:gridCol w:w="248"/>
        <w:gridCol w:w="518"/>
        <w:gridCol w:w="326"/>
        <w:gridCol w:w="181"/>
        <w:gridCol w:w="436"/>
        <w:gridCol w:w="326"/>
        <w:gridCol w:w="273"/>
        <w:gridCol w:w="523"/>
        <w:gridCol w:w="326"/>
        <w:gridCol w:w="252"/>
        <w:gridCol w:w="484"/>
        <w:gridCol w:w="326"/>
        <w:gridCol w:w="181"/>
        <w:gridCol w:w="346"/>
        <w:gridCol w:w="326"/>
        <w:gridCol w:w="201"/>
        <w:gridCol w:w="385"/>
        <w:gridCol w:w="326"/>
        <w:gridCol w:w="196"/>
        <w:gridCol w:w="375"/>
        <w:gridCol w:w="326"/>
        <w:gridCol w:w="232"/>
        <w:gridCol w:w="444"/>
        <w:gridCol w:w="326"/>
        <w:gridCol w:w="258"/>
        <w:gridCol w:w="688"/>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67385" cy="175260"/>
                      <wp:effectExtent l="0" t="0" r="0" b="0"/>
                      <wp:wrapNone/>
                      <wp:docPr id="266" name="Frame26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57480" cy="175260"/>
                      <wp:effectExtent l="0" t="0" r="0" b="0"/>
                      <wp:wrapNone/>
                      <wp:docPr id="268" name="Frame268"/>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28930" cy="175260"/>
                      <wp:effectExtent l="0" t="0" r="0" b="0"/>
                      <wp:wrapNone/>
                      <wp:docPr id="269" name="Frame269"/>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14935" cy="175260"/>
                      <wp:effectExtent l="0" t="0" r="0" b="0"/>
                      <wp:wrapNone/>
                      <wp:docPr id="271" name="Frame27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76860" cy="175260"/>
                      <wp:effectExtent l="0" t="0" r="0" b="0"/>
                      <wp:wrapNone/>
                      <wp:docPr id="272" name="Frame27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73355" cy="175260"/>
                      <wp:effectExtent l="0" t="0" r="0" b="0"/>
                      <wp:wrapNone/>
                      <wp:docPr id="274" name="Frame274"/>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332105" cy="175260"/>
                      <wp:effectExtent l="0" t="0" r="0" b="0"/>
                      <wp:wrapNone/>
                      <wp:docPr id="275" name="Frame275"/>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6"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60020" cy="175260"/>
                      <wp:effectExtent l="0" t="0" r="0" b="0"/>
                      <wp:wrapNone/>
                      <wp:docPr id="277" name="Frame27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07340" cy="175260"/>
                      <wp:effectExtent l="0" t="0" r="0" b="0"/>
                      <wp:wrapNone/>
                      <wp:docPr id="278" name="Frame278"/>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14935" cy="175260"/>
                      <wp:effectExtent l="0" t="0" r="0" b="0"/>
                      <wp:wrapNone/>
                      <wp:docPr id="280" name="Frame28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27635" cy="175260"/>
                      <wp:effectExtent l="0" t="0" r="0" b="0"/>
                      <wp:wrapNone/>
                      <wp:docPr id="283" name="Frame283"/>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44475" cy="175260"/>
                      <wp:effectExtent l="0" t="0" r="0" b="0"/>
                      <wp:wrapNone/>
                      <wp:docPr id="284" name="Frame284"/>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24460" cy="175260"/>
                      <wp:effectExtent l="0" t="0" r="0" b="0"/>
                      <wp:wrapNone/>
                      <wp:docPr id="286" name="Frame2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38125" cy="175260"/>
                      <wp:effectExtent l="0" t="0" r="0" b="0"/>
                      <wp:wrapNone/>
                      <wp:docPr id="287" name="Frame287"/>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47320" cy="175260"/>
                      <wp:effectExtent l="0" t="0" r="0" b="0"/>
                      <wp:wrapNone/>
                      <wp:docPr id="289" name="Frame289"/>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81940" cy="175260"/>
                      <wp:effectExtent l="0" t="0" r="0" b="0"/>
                      <wp:wrapNone/>
                      <wp:docPr id="290" name="Frame290"/>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91"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63830" cy="175260"/>
                      <wp:effectExtent l="0" t="0" r="0" b="0"/>
                      <wp:wrapNone/>
                      <wp:docPr id="292" name="Frame292"/>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36880" cy="175260"/>
                      <wp:effectExtent l="0" t="0" r="0" b="0"/>
                      <wp:wrapNone/>
                      <wp:docPr id="293" name="Frame293"/>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29"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Three Months Ended June 30, 2024</w: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26"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26" w:type="dxa"/>
            <w:tcBorders/>
            <w:vAlign w:val="center"/>
          </w:tcPr>
          <w:p>
            <w:pPr>
              <w:pStyle w:val="TableContents"/>
              <w:bidi w:val="0"/>
              <w:spacing w:before="0" w:after="1"/>
              <w:ind w:left="0" w:right="0" w:hanging="0"/>
              <w:jc w:val="left"/>
              <w:rPr/>
            </w:pPr>
            <w:r>
              <w:rPr/>
              <w:t>    </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26" w:type="dxa"/>
            <w:tcBorders/>
            <w:vAlign w:val="center"/>
          </w:tcPr>
          <w:p>
            <w:pPr>
              <w:pStyle w:val="TableContents"/>
              <w:bidi w:val="0"/>
              <w:spacing w:before="0" w:after="1"/>
              <w:ind w:left="0" w:right="0" w:hanging="0"/>
              <w:jc w:val="left"/>
              <w:rPr/>
            </w:pPr>
            <w:r>
              <w:rPr/>
              <w:t>    </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26" w:type="dxa"/>
            <w:tcBorders/>
            <w:vAlign w:val="center"/>
          </w:tcPr>
          <w:p>
            <w:pPr>
              <w:pStyle w:val="TableContents"/>
              <w:bidi w:val="0"/>
              <w:spacing w:before="0" w:after="1"/>
              <w:ind w:left="0" w:right="0" w:hanging="0"/>
              <w:jc w:val="left"/>
              <w:rPr/>
            </w:pPr>
            <w:r>
              <w:rPr/>
              <w:t>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26" w:type="dxa"/>
            <w:tcBorders/>
            <w:vAlign w:val="center"/>
          </w:tcPr>
          <w:p>
            <w:pPr>
              <w:pStyle w:val="TableContents"/>
              <w:bidi w:val="0"/>
              <w:spacing w:before="0" w:after="1"/>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26" w:type="dxa"/>
            <w:tcBorders/>
            <w:vAlign w:val="center"/>
          </w:tcPr>
          <w:p>
            <w:pPr>
              <w:pStyle w:val="TableContents"/>
              <w:bidi w:val="0"/>
              <w:spacing w:before="0" w:after="1"/>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326" w:type="dxa"/>
            <w:tcBorders/>
            <w:vAlign w:val="center"/>
          </w:tcPr>
          <w:p>
            <w:pPr>
              <w:pStyle w:val="TableContents"/>
              <w:bidi w:val="0"/>
              <w:spacing w:before="0" w:after="1"/>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6"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29" w:type="dxa"/>
            <w:gridSpan w:val="26"/>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Revenues:</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center"/>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1,966</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221</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2,371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182</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from investment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(479)</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(479)</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Gain on disposition of assets, net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income, net</w:t>
            </w:r>
          </w:p>
        </w:tc>
        <w:tc>
          <w:tcPr>
            <w:tcW w:w="32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r>
      <w:tr>
        <w:trPr/>
        <w:tc>
          <w:tcPr>
            <w:tcW w:w="10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(392)</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1,977</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385</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2,201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Expenses:</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1,922</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146</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2,208</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132</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99</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Restructuring, net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w:t>
            </w:r>
          </w:p>
        </w:tc>
      </w:tr>
      <w:tr>
        <w:trPr/>
        <w:tc>
          <w:tcPr>
            <w:tcW w:w="10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1,983</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378</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2,683</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income before income tax (expense) benefit</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(430)</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(482)</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Income tax (expense) benefit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(430)</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(486)</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Less: net (loss) income attributable to non-controlling interests</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(173)</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 attributable to Icahn Enterprises</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vAlign w:val="center"/>
          </w:tcPr>
          <w:p>
            <w:pPr>
              <w:pStyle w:val="TableContents"/>
              <w:bidi w:val="0"/>
              <w:spacing w:before="0" w:after="1"/>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w:t>
            </w:r>
          </w:p>
        </w:tc>
        <w:tc>
          <w:tcPr>
            <w:tcW w:w="326"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(331)</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127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1410" w:name="Tc_Izup4Rg6cEGfuFHBF2i0Mg_27_26"/>
      <w:bookmarkStart w:id="1411" w:name="Tc_VfeX-PScSUG2Xpr4WloXdA_27_24"/>
      <w:bookmarkStart w:id="1412" w:name="Tc_8MNHDpK4FUGVu9r1MbQnNQ_27_23"/>
      <w:bookmarkStart w:id="1413" w:name="Tc_JxSm2i3sIEml1jHpr2-L-w_27_20"/>
      <w:bookmarkStart w:id="1414" w:name="Tc_iAqVW-GYPUeA3IPGTh2R7Q_27_17"/>
      <w:bookmarkStart w:id="1415" w:name="Tc_Z6Z12Shtp0GNJaawy_i65w_27_14"/>
      <w:bookmarkStart w:id="1416" w:name="Tc_tb48-U1VJUyTfXocZaQD9Q_27_11"/>
      <w:bookmarkStart w:id="1417" w:name="Tc_uNk3spDVG0qrvnxABRBAEA_27_8"/>
      <w:bookmarkStart w:id="1418" w:name="Tc_0igEBkfKpEOoypqy4E5QIA_27_5"/>
      <w:bookmarkStart w:id="1419" w:name="Tc_TdoarpqzU0-kjftZJdElyg_27_3"/>
      <w:bookmarkStart w:id="1420" w:name="Tc_4f1_6BcH9U6x_B329R_9uw_27_2"/>
      <w:bookmarkStart w:id="1421" w:name="Tc_TeQWwkcEgUal6apiai42ww_27_0"/>
      <w:bookmarkStart w:id="1422" w:name="Tc_xKZ9RtOUSUKpxcaCIC_g6g_26_26"/>
      <w:bookmarkStart w:id="1423" w:name="Tc_pE1HyrbVnEWP67gpteNUtw_26_24"/>
      <w:bookmarkStart w:id="1424" w:name="Tc_hsWyif9b3kGPfXPfj7rYeQ_26_23"/>
      <w:bookmarkStart w:id="1425" w:name="Tc_X1mSi3MGp0ywZ9Dt1LwuyQ_26_21"/>
      <w:bookmarkStart w:id="1426" w:name="Tc_MAnVzj4yQku_3ui1J8H4Sg_26_20"/>
      <w:bookmarkStart w:id="1427" w:name="Tc_WIxcltP_CE6V0UBAyUGeZw_26_17"/>
      <w:bookmarkStart w:id="1428" w:name="Tc_vBKYZTmjJUKDEjPy76uDsw_26_14"/>
      <w:bookmarkStart w:id="1429" w:name="Tc_OrIMeBUkzE6utcDDwtTEeg_26_11"/>
      <w:bookmarkStart w:id="1430" w:name="Tc_U5MjN6NhckKRHtCPDA5KBQ_26_8"/>
      <w:bookmarkStart w:id="1431" w:name="Tc_9FwbbIyuY0W0TDR2orYqvA_26_5"/>
      <w:bookmarkStart w:id="1432" w:name="Tc_GGO8aGK3rUGm4Z88QxM6ig_26_3"/>
      <w:bookmarkStart w:id="1433" w:name="Tc_LpzKZnGpNk6Y9m6_MpP0Bg_26_2"/>
      <w:bookmarkStart w:id="1434" w:name="Tc_-aaRvJe1lUCADI_lvOah7w_26_0"/>
      <w:bookmarkStart w:id="1435" w:name="Tc_-yPUyhINpU22pGTaCJJVMg_25_0"/>
      <w:bookmarkStart w:id="1436" w:name="Tc_RPM7vzRYe0idroAHVXclTA_24_26"/>
      <w:bookmarkStart w:id="1437" w:name="Tc__4CT9ecvnkK2EXsN-fVEyg_24_23"/>
      <w:bookmarkStart w:id="1438" w:name="Tc_OAulteKlXEeqjS5Ns6TO4A_24_20"/>
      <w:bookmarkStart w:id="1439" w:name="Tc_PsfCgILRvUer1Vedcgg1Nw_24_17"/>
      <w:bookmarkStart w:id="1440" w:name="Tc_HdXrX-r1l0KZ7uZoxjh00Q_24_14"/>
      <w:bookmarkStart w:id="1441" w:name="Tc_I_zNqMZGxkG9B8wl5EX9CA_24_11"/>
      <w:bookmarkStart w:id="1442" w:name="Tc_BH8DUzkUwUac8V722wuFKA_24_8"/>
      <w:bookmarkStart w:id="1443" w:name="Tc_uw3Hq1pDy0eMgHvfhaJ3DQ_24_5"/>
      <w:bookmarkStart w:id="1444" w:name="Tc_GkYCXBQMGUm7TdxQT6bd-g_24_2"/>
      <w:bookmarkStart w:id="1445" w:name="Tc_X2nlmbewhEubv7d2UfdeGw_24_0"/>
      <w:bookmarkStart w:id="1446" w:name="Tc_VXL8TMfLdkezXIDxknLZ4Q_23_24"/>
      <w:bookmarkStart w:id="1447" w:name="Tc_TOiDT0UBIE27JeEFkNCqMA_23_21"/>
      <w:bookmarkStart w:id="1448" w:name="Tc_9ZYlbkdGEEuQuFelBi2meQ_23_18"/>
      <w:bookmarkStart w:id="1449" w:name="Tc_8Ll1z1h9BEib9X-0S_KLsA_23_15"/>
      <w:bookmarkStart w:id="1450" w:name="Tc_YB8Ory6PuECjBIa_FzQBCw_23_9"/>
      <w:bookmarkStart w:id="1451" w:name="Tc_tA_7xSN3z0ivWKttZs5t_w_23_0"/>
      <w:bookmarkStart w:id="1452" w:name="Tc_Ek_xSJ3AiUm2gOcYU50pZw_22_0"/>
      <w:bookmarkStart w:id="1453" w:name="Tc_A0Q68IqNwUmxAfrhfkzTcw_21_21"/>
      <w:bookmarkStart w:id="1454" w:name="Tc_F5O-2pQEOkSPJmXGx5Na1w_21_18"/>
      <w:bookmarkStart w:id="1455" w:name="Tc_gO4gyZWIgEuCyiM46tLIMA_21_15"/>
      <w:bookmarkStart w:id="1456" w:name="Tc_pdbaGGUSfkqI0IYQJPbY_g_21_3"/>
      <w:bookmarkStart w:id="1457" w:name="Tc_ZzgEsjMouUaciB38x7z1jQ_21_0"/>
      <w:bookmarkStart w:id="1458" w:name="Tc_lB7Dy5df_UWpB5BG9NS9ag_20_0"/>
      <w:bookmarkStart w:id="1459" w:name="Tc_nzHIc8_9tEmWGm_GG3LVWQ_18_21"/>
      <w:bookmarkStart w:id="1460" w:name="Tc_PsuGen4WTUqYVVgWVKuTeQ_18_18"/>
      <w:bookmarkStart w:id="1461" w:name="Tc_54ADxr2cBkWiPEtae1yFpg_18_15"/>
      <w:bookmarkStart w:id="1462" w:name="Tc_6lAxQKlcr06yt8gT9VHxag_18_0"/>
      <w:bookmarkStart w:id="1463" w:name="Tc_nnJwyu9UeUSCW4_acyw4Tw_17_24"/>
      <w:bookmarkStart w:id="1464" w:name="Tc_qpkRIajdWEW5cBLxeEy4rw_17_21"/>
      <w:bookmarkStart w:id="1465" w:name="Tc_RGEmyAVKXEm1pQNeppqUFw_17_18"/>
      <w:bookmarkStart w:id="1466" w:name="Tc_npR_otYT7k6OXnKi0xP1uA_17_15"/>
      <w:bookmarkStart w:id="1467" w:name="Tc_dQ12eXZVkkqiEefCTzjn3A_17_9"/>
      <w:bookmarkStart w:id="1468" w:name="Tc_ZBxPF3FcvkyiMmDvayFX6g_17_6"/>
      <w:bookmarkStart w:id="1469" w:name="Tc_r3TsZMtA3UGAGEM2bKisQA_17_3"/>
      <w:bookmarkStart w:id="1470" w:name="Tc_Rk0Um_2xg0C0IJuvwwOmDQ_17_0"/>
      <w:bookmarkStart w:id="1471" w:name="Tc_xG3R5ITOTkuE1sTG5VlcbA_16_0"/>
      <w:bookmarkStart w:id="1472" w:name="Tc_UKKRYSB3LU-2aakTaar9HQ_15_24"/>
      <w:bookmarkStart w:id="1473" w:name="Tc_CiQHG9zl1E-D79To9yN2HQ_15_21"/>
      <w:bookmarkStart w:id="1474" w:name="Tc_vuIrML6DjkWcqKLhBXd7fg_15_18"/>
      <w:bookmarkStart w:id="1475" w:name="Tc_LAWqMO4pXk-UPUwggkddrw_15_15"/>
      <w:bookmarkStart w:id="1476" w:name="Tc_12CfDdyCwUihh-Be9WwoWA_15_12"/>
      <w:bookmarkStart w:id="1477" w:name="Tc_xg2tOZvkBUWmgWT-G8nUnQ_15_9"/>
      <w:bookmarkStart w:id="1478" w:name="Tc_PXzX3VleBkqjgVcXKmMKoA_15_6"/>
      <w:bookmarkStart w:id="1479" w:name="Tc_bUJY0fpBLkuYjfgZGIP6XQ_15_0"/>
      <w:bookmarkStart w:id="1480" w:name="Tc_Ebvp4i0XD02wDMZmulWmeQ_14_24"/>
      <w:bookmarkStart w:id="1481" w:name="Tc_h4kVGMXk80ee_GX9fnSa_A_14_21"/>
      <w:bookmarkStart w:id="1482" w:name="Tc_MqWtRZFT0UWlsI28AyEalw_14_18"/>
      <w:bookmarkStart w:id="1483" w:name="Tc_HKcSVRbAxU6x_JIo4SyCuQ_14_12"/>
      <w:bookmarkStart w:id="1484" w:name="Tc_L_HDYvv9u0ChM1SCvvTXQA_14_6"/>
      <w:bookmarkStart w:id="1485" w:name="Tc_dZ1gAGsm5UuzgQHZLTvTZQ_14_3"/>
      <w:bookmarkStart w:id="1486" w:name="Tc_kpTubZZ-n0igDipM59bZUg_14_0"/>
      <w:bookmarkStart w:id="1487" w:name="Tc_f7-vcCBrIUGgwjUIPoVA0A_13_24"/>
      <w:bookmarkStart w:id="1488" w:name="Tc_HKKLZv52HE2-5GV8rPw6UA_13_3"/>
      <w:bookmarkStart w:id="1489" w:name="Tc_rvYrDKdWD0itqx0sks3bWQ_13_0"/>
      <w:bookmarkStart w:id="1490" w:name="Tc_RYD1D0MzqE2_M2CZRhyaKw_12_0"/>
      <w:bookmarkStart w:id="1491" w:name="Tc_PXH1YAtzMEGM6GbkwFWWYA_10_24"/>
      <w:bookmarkStart w:id="1492" w:name="Tc_FJEqHuG9BEae1SaUW-k3eQ_10_21"/>
      <w:bookmarkStart w:id="1493" w:name="Tc_H6OIwAsSjEi95wDfBQrs1w_10_18"/>
      <w:bookmarkStart w:id="1494" w:name="Tc_-TAJx-xLKEOQftsPvuPt-g_10_15"/>
      <w:bookmarkStart w:id="1495" w:name="Tc_M37p041HpUmr06fJJFhoDQ_10_9"/>
      <w:bookmarkStart w:id="1496" w:name="Tc_P1pmyimTIkOKlJU5IXlcyw_10_3"/>
      <w:bookmarkStart w:id="1497" w:name="Tc_bi66adMrfUWD5M8v8r4Gvw_10_0"/>
      <w:bookmarkStart w:id="1498" w:name="Tc_KH_GMUkzD0K-M4FrM6XmCg_9_24"/>
      <w:bookmarkStart w:id="1499" w:name="Tc_PZA1SBX2v0SmKYiCxDuA9w_9_21"/>
      <w:bookmarkStart w:id="1500" w:name="Tc_ZJsHiXmgE0eppXn_FdE8xw_9_18"/>
      <w:bookmarkStart w:id="1501" w:name="Tc_QRT95ADljkGPbc_NMtr5wQ_9_15"/>
      <w:bookmarkStart w:id="1502" w:name="Tc_SDLZoIXZ3USYXRzCpYpjfA_9_12"/>
      <w:bookmarkStart w:id="1503" w:name="Tc_Y9XoZIgRQEa7u8-pH9E_vQ_9_3"/>
      <w:bookmarkStart w:id="1504" w:name="Tc_-42O1Y92skW0_xuyW_RrfQ_9_0"/>
      <w:bookmarkStart w:id="1505" w:name="Tc_hQvjV-_vXECgQAmK6ZkOjg_8_18"/>
      <w:bookmarkStart w:id="1506" w:name="Tc_CXHKeY935ECru94ieoTsRg_8_15"/>
      <w:bookmarkStart w:id="1507" w:name="Tc_E24QQuU3BUeg05K4off-fg_8_12"/>
      <w:bookmarkStart w:id="1508" w:name="Tc_d_FvChiexk2dVNCCk4xQNw_8_0"/>
      <w:bookmarkStart w:id="1509" w:name="Tc_rSvXl6rjqUqDhwaPQBZZoQ_7_24"/>
      <w:bookmarkStart w:id="1510" w:name="Tc_vJ9j6eqVBkGpveic91wQCw_7_21"/>
      <w:bookmarkStart w:id="1511" w:name="Tc_rAHG-tYJ6Um8RyN-uFcMaA_7_18"/>
      <w:bookmarkStart w:id="1512" w:name="Tc_FhC0bB2jSUyNB68TuA3uJA_7_15"/>
      <w:bookmarkStart w:id="1513" w:name="Tc_1woIkSD3G0GQiHDK8Qa51w_7_12"/>
      <w:bookmarkStart w:id="1514" w:name="Tc_GmdFVQIbM02izrIwLZcJkw_7_9"/>
      <w:bookmarkStart w:id="1515" w:name="Tc_D23R8mHpikq5vCQjconxEQ_7_6"/>
      <w:bookmarkStart w:id="1516" w:name="Tc_3zrD2U72LkypjpMG-xbT2g_7_0"/>
      <w:bookmarkStart w:id="1517" w:name="Tc_fQikkesnB0qVkqLSXTX8Nw_6_24"/>
      <w:bookmarkStart w:id="1518" w:name="Tc_hbTwksA8Gk-IbXpny1Uurw_6_18"/>
      <w:bookmarkStart w:id="1519" w:name="Tc_gWPRhNh_u0SIn7IW4vTGXQ_6_12"/>
      <w:bookmarkStart w:id="1520" w:name="Tc_8rbmlTpBJ0-pRY6W--8nHQ_6_6"/>
      <w:bookmarkStart w:id="1521" w:name="Tc_-yH_GOQ_4kGIdRKkdyztZA_6_3"/>
      <w:bookmarkStart w:id="1522" w:name="Tc_-whXEntN20KFfiUjKxK87A_6_0"/>
      <w:bookmarkStart w:id="1523" w:name="Tc_qpKSvndnKkul-6Qr1diCJQ_5_26"/>
      <w:bookmarkStart w:id="1524" w:name="Tc_OjCgQG8rakmbzpSby063zg_5_24"/>
      <w:bookmarkStart w:id="1525" w:name="Tc_xzIhYKEFqkudmv13lcxl8Q_5_23"/>
      <w:bookmarkStart w:id="1526" w:name="Tc_twxSJ1MlLkmjD_EQrAAwPA_5_20"/>
      <w:bookmarkStart w:id="1527" w:name="Tc_uXYucXVCl027dQ9N4rB4EA_5_17"/>
      <w:bookmarkStart w:id="1528" w:name="Tc_sOaNJhl870O8odkeidof4w_5_14"/>
      <w:bookmarkStart w:id="1529" w:name="Tc_gIuXymSRykyUPWXZOJ3PyA_5_11"/>
      <w:bookmarkStart w:id="1530" w:name="Tc_TQORHatSvkuHS5w6LC4pfg_5_8"/>
      <w:bookmarkStart w:id="1531" w:name="Tc_TUZw2w53ckCizYo4e7aZQA_5_5"/>
      <w:bookmarkStart w:id="1532" w:name="Tc_MvDf1FrAV0Wa-o4DwUPwuw_5_3"/>
      <w:bookmarkStart w:id="1533" w:name="Tc_cacK9v6wL0eLCWGd1c6W7g_5_2"/>
      <w:bookmarkStart w:id="1534" w:name="Tc_kOC3GLOp20ipXCdGQOiLjg_5_0"/>
      <w:bookmarkStart w:id="1535" w:name="Tc_LGIqASwOcUCypetpcKPfNQ_4_0"/>
      <w:bookmarkStart w:id="1536" w:name="Tc_8fPFL0-EVEKD6yPw_yk1CA_3_2"/>
      <w:bookmarkStart w:id="1537" w:name="Tc_vqVWMHuYjUG-s7Nu7T3Y6Q_2_26"/>
      <w:bookmarkStart w:id="1538" w:name="Tc_L7MwqEwks0C5jF06DymGHw_2_23"/>
      <w:bookmarkStart w:id="1539" w:name="Tc_6FVJy7CZzkq_tHhUgLFZ7w_2_20"/>
      <w:bookmarkStart w:id="1540" w:name="Tc_-VcEDYG7tkuFlFefz7G36w_2_17"/>
      <w:bookmarkStart w:id="1541" w:name="Tc_E4Nti747iUqa-0dnnDT08A_2_14"/>
      <w:bookmarkStart w:id="1542" w:name="Tc_cK460VueZ0e6uaznO_v0Zg_2_11"/>
      <w:bookmarkStart w:id="1543" w:name="Tc_xTGZ1LBSUUaAhwVALkQ8RA_2_8"/>
      <w:bookmarkStart w:id="1544" w:name="Tc_dupbLlsQr0aLHNoVZrsDQw_2_5"/>
      <w:bookmarkStart w:id="1545" w:name="Tc_tO4bRMBcTEuMZkmC_AKXFA_2_2"/>
      <w:bookmarkStart w:id="1546" w:name="Tc_sY6dLkxXgUK6XPM6pQ0U-g_1_2"/>
      <w:bookmarkStart w:id="1547" w:name="_d492ef7d_e2df_4616_880b_7f5cd56bb5fc"/>
      <w:bookmarkStart w:id="1548" w:name="Tc_uMi6ri1BwUSR16pw-NRQig_28_26"/>
      <w:bookmarkStart w:id="1549" w:name="Tc_Ze4KFEdIWEWbMS3pSB0s1g_28_24"/>
      <w:bookmarkStart w:id="1550" w:name="Tc_NB2FCjObzE6RA6HRD-bFTA_28_23"/>
      <w:bookmarkStart w:id="1551" w:name="Tc_4sP3OFBum0i3Nt_7LXst2w_28_20"/>
      <w:bookmarkStart w:id="1552" w:name="Tc_LtxjQpQrvUq5NNu5Q2u_Tg_28_17"/>
      <w:bookmarkStart w:id="1553" w:name="Tc_Am2EQF6wjE2kgg-eMGshJQ_28_14"/>
      <w:bookmarkStart w:id="1554" w:name="Tc_7n0HHv-OwUK0FNLwialIig_28_11"/>
      <w:bookmarkStart w:id="1555" w:name="Tc_B2p-VU4S7EeXtaTEtid55g_28_8"/>
      <w:bookmarkStart w:id="1556" w:name="Tc_n24JnNL3zkaAHmCvurNN7g_28_5"/>
      <w:bookmarkStart w:id="1557" w:name="Tc_VCFrUVJus0uOr1ZOm3mYBA_28_3"/>
      <w:bookmarkStart w:id="1558" w:name="Tc_UhSfkgF0Q023bSiRfKzFPA_28_2"/>
      <w:bookmarkStart w:id="1559" w:name="Tc_eEkxr2BNi0C8bRddNLWpdA_28_0"/>
      <w:bookmarkStart w:id="1560" w:name="Tc_8tcyBdVMK0Wsz1y4A3x3hA_27_26"/>
      <w:bookmarkStart w:id="1561" w:name="Tc_sjSGMCColEiPrew7uHi5eA_27_24"/>
      <w:bookmarkStart w:id="1562" w:name="Tc_qg0l0QC3wkmr0OmxzgTIgQ_27_23"/>
      <w:bookmarkStart w:id="1563" w:name="Tc_2r0gX8CTikm0pbZ1x7hxiQ_27_21"/>
      <w:bookmarkStart w:id="1564" w:name="Tc_-Jx1BCcd-0a4ywAk5xx4KQ_27_20"/>
      <w:bookmarkStart w:id="1565" w:name="Tc_GQc2pY16i0WJr25b4LKxaA_27_17"/>
      <w:bookmarkStart w:id="1566" w:name="Tc_9bNhanbbmUuGhZ9VJbHTbw_27_14"/>
      <w:bookmarkStart w:id="1567" w:name="Tc_StO1rDWRhkC5hnYRgC38Bg_27_11"/>
      <w:bookmarkStart w:id="1568" w:name="Tc_YEJPUJr5n0eXOqAS7ydDBg_27_8"/>
      <w:bookmarkStart w:id="1569" w:name="Tc_dDigIzop4Ey1nMainrOp6A_27_5"/>
      <w:bookmarkStart w:id="1570" w:name="Tc_5d7VYLU1EUyuuGAkEtHF7Q_27_3"/>
      <w:bookmarkStart w:id="1571" w:name="Tc_0FDN96QJeUqlR90fIWBQgA_27_2"/>
      <w:bookmarkStart w:id="1572" w:name="Tc_YroTirzPwUuvy9U8FLSOAg_27_0"/>
      <w:bookmarkStart w:id="1573" w:name="Tc_1uDsQFPEukWxjIG8RFXkEw_26_0"/>
      <w:bookmarkStart w:id="1574" w:name="Tc_13v4KnqRz0uK246AExF87w_25_26"/>
      <w:bookmarkStart w:id="1575" w:name="Tc_3vgzqcCPdEmmL6PVFzVh0w_25_23"/>
      <w:bookmarkStart w:id="1576" w:name="Tc_Cwe2BZW27E-cm7qRQQFdRA_25_20"/>
      <w:bookmarkStart w:id="1577" w:name="Tc_MRWP6fA71EWvfdYxIZEUOg_25_17"/>
      <w:bookmarkStart w:id="1578" w:name="Tc_AKS0WDH33ECGZb6sn_sFSw_25_14"/>
      <w:bookmarkStart w:id="1579" w:name="Tc_l1h8NUuHwEGQMGUBXBDWNA_25_11"/>
      <w:bookmarkStart w:id="1580" w:name="Tc_zMOHujgJ40aNba8QIvHvlQ_25_8"/>
      <w:bookmarkStart w:id="1581" w:name="Tc_uA3e6loOVkGwy7TvfQPt8A_25_5"/>
      <w:bookmarkStart w:id="1582" w:name="Tc_QGMTmAUKgUSminr9q3i8ew_25_2"/>
      <w:bookmarkStart w:id="1583" w:name="Tc_lge_ppngJUypKzh-uZxasA_25_0"/>
      <w:bookmarkStart w:id="1584" w:name="Tc_mvvKdqXxEkO3-gPmTKSWsg_24_24"/>
      <w:bookmarkStart w:id="1585" w:name="Tc_N1SoS1HodEyXxlPAyJZwPg_24_21"/>
      <w:bookmarkStart w:id="1586" w:name="Tc_BuY6dfLI40ytNzgywU7YeA_24_18"/>
      <w:bookmarkStart w:id="1587" w:name="Tc_2SdDUd3_n0Gqf-FyNTLUcA_24_15"/>
      <w:bookmarkStart w:id="1588" w:name="Tc_ucxDXUPHc0uossfBSSOGpg_24_9"/>
      <w:bookmarkStart w:id="1589" w:name="Tc_b5kgu9BwIUGXLcVoRb8neg_24_0"/>
      <w:bookmarkStart w:id="1590" w:name="Tc_0wk25D31K0OPN-ZR8CcDQg_23_0"/>
      <w:bookmarkStart w:id="1591" w:name="Tc_2F0hzctkckGKa9aQhK3Htw_22_21"/>
      <w:bookmarkStart w:id="1592" w:name="Tc_oMXERDAO2E23MTmuuta3QQ_22_18"/>
      <w:bookmarkStart w:id="1593" w:name="Tc_X5rUgvXYNkSwXI6YWVEsSw_22_15"/>
      <w:bookmarkStart w:id="1594" w:name="Tc_tLbzbRxG-EerirDLfX5Uww_22_3"/>
      <w:bookmarkStart w:id="1595" w:name="Tc_iC8V4O6T8kez7-qqjTcfEw_22_0"/>
      <w:bookmarkStart w:id="1596" w:name="Tc_1cEstmySfUylEF8AX9QC0A_21_0"/>
      <w:bookmarkStart w:id="1597" w:name="Tc_Y0-KY1ONq0uh3NKUY0rfBQ_19_21"/>
      <w:bookmarkStart w:id="1598" w:name="Tc_wvNwdd_b5kOgv3TVwFVVsg_19_15"/>
      <w:bookmarkStart w:id="1599" w:name="Tc_6JtdWf44hkGdg5ka_lM9Jw_19_0"/>
      <w:bookmarkStart w:id="1600" w:name="Tc_qCuGWDFvr0OoDWgeDdLFHA_18_24"/>
      <w:bookmarkStart w:id="1601" w:name="Tc_mToE3ulbMEuHNPc1i0tEqw_18_21"/>
      <w:bookmarkStart w:id="1602" w:name="Tc_NXb2jUZlqUGqqrnFOXrv1w_18_18"/>
      <w:bookmarkStart w:id="1603" w:name="Tc_DidjBSD-2kCvX59X5bRf8g_18_15"/>
      <w:bookmarkStart w:id="1604" w:name="Tc_Bttm8j57FkGNfAjmLbxtQA_18_9"/>
      <w:bookmarkStart w:id="1605" w:name="Tc_q1kTUMIIRke5GM_SQNVCUg_18_6"/>
      <w:bookmarkStart w:id="1606" w:name="Tc_VlBFbhlpZUWIXwbSpWr16Q_18_3"/>
      <w:bookmarkStart w:id="1607" w:name="Tc_hBUhu98rKU64ug7hkQ1UQg_18_0"/>
      <w:bookmarkStart w:id="1608" w:name="Tc_YypTtygoX0SVDQHrLYX-Cg_17_24"/>
      <w:bookmarkStart w:id="1609" w:name="Tc_G0ckUSCmrUaYLLqHUZzo2w_17_21"/>
      <w:bookmarkStart w:id="1610" w:name="Tc_D7sM_X50OEWswHzGTvLdMA_17_18"/>
      <w:bookmarkStart w:id="1611" w:name="Tc_xWd0i_W2AUWC3Kh4Y80N2A_17_15"/>
      <w:bookmarkStart w:id="1612" w:name="Tc_uIazjyHoCE2uZZceS2XgGg_17_9"/>
      <w:bookmarkStart w:id="1613" w:name="Tc_aSZaDrS8xkqyTrPiGSyr1A_17_6"/>
      <w:bookmarkStart w:id="1614" w:name="Tc_WMktEEu53Eyow2n2mRn0TA_17_3"/>
      <w:bookmarkStart w:id="1615" w:name="Tc_oaHV61FlIk-U26FZMDO5Og_17_0"/>
      <w:bookmarkStart w:id="1616" w:name="Tc_4dw0qQs9P0GbHPSc_x_OWA_16_0"/>
      <w:bookmarkStart w:id="1617" w:name="Tc_e5nPiYPppEWEuZzK5RKcEw_15_24"/>
      <w:bookmarkStart w:id="1618" w:name="Tc_EaOuF2MmUEqAT4SWGpsj6Q_15_21"/>
      <w:bookmarkStart w:id="1619" w:name="Tc_hRTG_CfuWEaHB3e9k2Pfsw_15_18"/>
      <w:bookmarkStart w:id="1620" w:name="Tc_2V3hsaYzukyyW4paGCtsUA_15_15"/>
      <w:bookmarkStart w:id="1621" w:name="Tc_CS1OLeO4X0W06v79cOOhDQ_15_12"/>
      <w:bookmarkStart w:id="1622" w:name="Tc_VSuKjlhVZEyNXc7i96TgGQ_15_9"/>
      <w:bookmarkStart w:id="1623" w:name="Tc_fFn6FDP_4EKnf9G47QeQZw_15_6"/>
      <w:bookmarkStart w:id="1624" w:name="Tc_3-kZ-TjMLUy8s7WHkeZkzQ_15_0"/>
      <w:bookmarkStart w:id="1625" w:name="Tc_EqKqqKtf40yyFSG9nJEbxw_14_24"/>
      <w:bookmarkStart w:id="1626" w:name="Tc_WStUIs6dM0CGRFDYs7OduA_14_21"/>
      <w:bookmarkStart w:id="1627" w:name="Tc_67J4xvkdJUyF3QAiFizbhA_14_18"/>
      <w:bookmarkStart w:id="1628" w:name="Tc_jDzCvkYH2EiRkvz0UkUyDw_14_12"/>
      <w:bookmarkStart w:id="1629" w:name="Tc_kSxNuQN5VkmvYEPGPZTkSw_14_6"/>
      <w:bookmarkStart w:id="1630" w:name="Tc_0WPE-c1BJEyMdYbIac-GnA_14_3"/>
      <w:bookmarkStart w:id="1631" w:name="Tc_C-23dBEnCU-k4_GCqPcQXA_14_0"/>
      <w:bookmarkStart w:id="1632" w:name="Tc_xHGP_B0yVkK_v_REvBTLgg_13_24"/>
      <w:bookmarkStart w:id="1633" w:name="Tc_UrdyM1Qu40GkXVHea8NbjA_13_3"/>
      <w:bookmarkStart w:id="1634" w:name="Tc_4MbnxOOnW0GE9smQpvbdHA_13_0"/>
      <w:bookmarkStart w:id="1635" w:name="Tc_dcr6sgHtWkq4gNHlwj8tcA_12_0"/>
      <w:bookmarkStart w:id="1636" w:name="Tc_zJEERI2acEOxDOafWEvVhw_10_21"/>
      <w:bookmarkStart w:id="1637" w:name="Tc_XFKizOnz5kOvrN2zmwdPbQ_10_9"/>
      <w:bookmarkStart w:id="1638" w:name="Tc_pfbSoZkTuEqR9hfO70f4xQ_10_0"/>
      <w:bookmarkStart w:id="1639" w:name="Tc_TDfTnoVi9UCVyHPlLGbq-w_9_24"/>
      <w:bookmarkStart w:id="1640" w:name="Tc_-5cd9QmSek2VyNO4ULrFJA_9_21"/>
      <w:bookmarkStart w:id="1641" w:name="Tc_GPfiSJfJikqiSCW2JkqJrQ_9_18"/>
      <w:bookmarkStart w:id="1642" w:name="Tc_HeYSJCi_zEK2VMxEycZETg_9_12"/>
      <w:bookmarkStart w:id="1643" w:name="Tc_35caHiRSVUmAjYoAr2Neaw_9_6"/>
      <w:bookmarkStart w:id="1644" w:name="Tc_GFK0Nt7Qe06eigsOzWVHbg_9_3"/>
      <w:bookmarkStart w:id="1645" w:name="Tc_Ofz_68t-lU-hvVpMGRoHAw_9_0"/>
      <w:bookmarkStart w:id="1646" w:name="Tc_AdKTSH6Vl0OTbvlnWyWMtA_8_18"/>
      <w:bookmarkStart w:id="1647" w:name="Tc__cTvf-xHPkabBxIm9ClEjQ_8_15"/>
      <w:bookmarkStart w:id="1648" w:name="Tc_htB1aKVXmUCvHaegRVykaQ_8_12"/>
      <w:bookmarkStart w:id="1649" w:name="Tc_ikIxBcuRiEy7gA6P1sarng_8_0"/>
      <w:bookmarkStart w:id="1650" w:name="Tc_n1siwSmCXEeRn4SdtVFJXA_7_24"/>
      <w:bookmarkStart w:id="1651" w:name="Tc_aPpq_VIhJkyv0FPCiTTUNA_7_21"/>
      <w:bookmarkStart w:id="1652" w:name="Tc_axJkN0WH50W_hNEh6Ng-xw_7_18"/>
      <w:bookmarkStart w:id="1653" w:name="Tc_H19fhI83oUeVg31CUFTs6Q_7_15"/>
      <w:bookmarkStart w:id="1654" w:name="Tc_Wj_id9UJbEyOma5kWZcE6g_7_12"/>
      <w:bookmarkStart w:id="1655" w:name="Tc_QiYyWNoXXUS7HvO8lc652Q_7_9"/>
      <w:bookmarkStart w:id="1656" w:name="Tc_z67WygHsA0aNAOu3U5W6RQ_7_6"/>
      <w:bookmarkStart w:id="1657" w:name="Tc_Pz_GCoeUZUCtJO_OeIZ0uw_7_0"/>
      <w:bookmarkStart w:id="1658" w:name="Tc_GjkKTU8oZEaF_kQ0kyeWQg_6_24"/>
      <w:bookmarkStart w:id="1659" w:name="Tc_HTmuwpbHvk-ETL7X80L8Sw_6_18"/>
      <w:bookmarkStart w:id="1660" w:name="Tc_HEljzXB60U-vjbfw-hoM_w_6_12"/>
      <w:bookmarkStart w:id="1661" w:name="Tc_1c0PdDLHCUmrCoq6KFYhlg_6_6"/>
      <w:bookmarkStart w:id="1662" w:name="Tc_QoWO0xqvvUSAJepUA3w5_g_6_3"/>
      <w:bookmarkStart w:id="1663" w:name="Tc_7K3OzpxCy0Wp6L32YdFdmA_6_0"/>
      <w:bookmarkStart w:id="1664" w:name="Tc_2UycBEsB1kuHx_QziitMAA_5_26"/>
      <w:bookmarkStart w:id="1665" w:name="Tc_Rn6ETW1PMkiDsIuQW_FLZg_5_24"/>
      <w:bookmarkStart w:id="1666" w:name="Tc_2MU7rhArEUOFw4Zp_Yugnw_5_23"/>
      <w:bookmarkStart w:id="1667" w:name="Tc_6OUYG66UW0yuXiCq1AU1vw_5_20"/>
      <w:bookmarkStart w:id="1668" w:name="Tc_hWipGffMd0WZRG3pCoE9vg_5_17"/>
      <w:bookmarkStart w:id="1669" w:name="Tc__LYNaTdZ4kaEpM4xUWVGDg_5_14"/>
      <w:bookmarkStart w:id="1670" w:name="Tc_zAODemirTEGzSpotcunRsQ_5_11"/>
      <w:bookmarkStart w:id="1671" w:name="Tc_qyTWBMmmw02UKcle03NNJg_5_8"/>
      <w:bookmarkStart w:id="1672" w:name="Tc_VmM2Dah-MEyl0WOPkrdY6A_5_5"/>
      <w:bookmarkStart w:id="1673" w:name="Tc_abarjvm16E6udXh4ZJGUpw_5_3"/>
      <w:bookmarkStart w:id="1674" w:name="Tc_4hJ6onyHOkuwQfCW2WV-cQ_5_2"/>
      <w:bookmarkStart w:id="1675" w:name="Tc_BdYZ6QO_y0uqIiZ9x6wVkw_5_0"/>
      <w:bookmarkStart w:id="1676" w:name="Tc_7l1R-_C6HEi_MgFF_YXYVw_4_0"/>
      <w:bookmarkStart w:id="1677" w:name="Tc_ncNJ1-G-p0Kw6VTrlRLEoQ_3_2"/>
      <w:bookmarkStart w:id="1678" w:name="Tc_vZxKdD4iA0Kqnzv5g18AsA_2_26"/>
      <w:bookmarkStart w:id="1679" w:name="Tc_WCM2-F2730-hdZiRVLvWGg_2_23"/>
      <w:bookmarkStart w:id="1680" w:name="Tc_vYyFrzr2pEmv-3l9w8XHsg_2_20"/>
      <w:bookmarkStart w:id="1681" w:name="Tc_AQT901xP5kyqEjeGw0zl1w_2_17"/>
      <w:bookmarkStart w:id="1682" w:name="Tc_j2hhXg0nZk6MRBtMhLdFaQ_2_14"/>
      <w:bookmarkStart w:id="1683" w:name="Tc_8NGi3wIWIEqEiX45OzFC6g_2_11"/>
      <w:bookmarkStart w:id="1684" w:name="Tc_TZSBCNCcPU2R9UhDldUFiw_2_8"/>
      <w:bookmarkStart w:id="1685" w:name="Tc_HzgnLaJXO0qXcIQvCsyyNA_2_5"/>
      <w:bookmarkStart w:id="1686" w:name="Tc_gku3lSbcuUmGBuwtk3i68w_2_2"/>
      <w:bookmarkStart w:id="1687" w:name="Tc_hyENIuDOaUGfqMe1Lm9uCA_1_2"/>
      <w:bookmarkStart w:id="1688" w:name="_aa6bee7e_bc30_419c_9f16_63546f1c1bff"/>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r>
        <w:rPr/>
        <w:t>​</w:t>
      </w:r>
    </w:p>
    <w:tbl>
      <w:tblPr>
        <w:tblW w:w="10206" w:type="dxa"/>
        <w:jc w:val="left"/>
        <w:tblInd w:w="0" w:type="dxa"/>
        <w:tblLayout w:type="fixed"/>
        <w:tblCellMar>
          <w:top w:w="0" w:type="dxa"/>
          <w:left w:w="0" w:type="dxa"/>
          <w:bottom w:w="0" w:type="dxa"/>
          <w:right w:w="0" w:type="dxa"/>
        </w:tblCellMar>
      </w:tblPr>
      <w:tblGrid>
        <w:gridCol w:w="1051"/>
        <w:gridCol w:w="326"/>
        <w:gridCol w:w="248"/>
        <w:gridCol w:w="518"/>
        <w:gridCol w:w="326"/>
        <w:gridCol w:w="181"/>
        <w:gridCol w:w="436"/>
        <w:gridCol w:w="326"/>
        <w:gridCol w:w="273"/>
        <w:gridCol w:w="523"/>
        <w:gridCol w:w="326"/>
        <w:gridCol w:w="252"/>
        <w:gridCol w:w="484"/>
        <w:gridCol w:w="326"/>
        <w:gridCol w:w="181"/>
        <w:gridCol w:w="346"/>
        <w:gridCol w:w="326"/>
        <w:gridCol w:w="201"/>
        <w:gridCol w:w="385"/>
        <w:gridCol w:w="326"/>
        <w:gridCol w:w="196"/>
        <w:gridCol w:w="375"/>
        <w:gridCol w:w="326"/>
        <w:gridCol w:w="219"/>
        <w:gridCol w:w="457"/>
        <w:gridCol w:w="326"/>
        <w:gridCol w:w="258"/>
        <w:gridCol w:w="688"/>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67385" cy="175260"/>
                      <wp:effectExtent l="0" t="0" r="0" b="0"/>
                      <wp:wrapNone/>
                      <wp:docPr id="294" name="Frame29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57480" cy="175260"/>
                      <wp:effectExtent l="0" t="0" r="0" b="0"/>
                      <wp:wrapNone/>
                      <wp:docPr id="296" name="Frame296"/>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28930" cy="175260"/>
                      <wp:effectExtent l="0" t="0" r="0" b="0"/>
                      <wp:wrapNone/>
                      <wp:docPr id="297" name="Frame297"/>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14935" cy="175260"/>
                      <wp:effectExtent l="0" t="0" r="0" b="0"/>
                      <wp:wrapNone/>
                      <wp:docPr id="299" name="Frame29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76860" cy="175260"/>
                      <wp:effectExtent l="0" t="0" r="0" b="0"/>
                      <wp:wrapNone/>
                      <wp:docPr id="300" name="Frame30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73355" cy="175260"/>
                      <wp:effectExtent l="0" t="0" r="0" b="0"/>
                      <wp:wrapNone/>
                      <wp:docPr id="302" name="Frame302"/>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32105" cy="175260"/>
                      <wp:effectExtent l="0" t="0" r="0" b="0"/>
                      <wp:wrapNone/>
                      <wp:docPr id="303" name="Frame303"/>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60020" cy="175260"/>
                      <wp:effectExtent l="0" t="0" r="0" b="0"/>
                      <wp:wrapNone/>
                      <wp:docPr id="305" name="Frame30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07340" cy="175260"/>
                      <wp:effectExtent l="0" t="0" r="0" b="0"/>
                      <wp:wrapNone/>
                      <wp:docPr id="306" name="Frame306"/>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14935" cy="175260"/>
                      <wp:effectExtent l="0" t="0" r="0" b="0"/>
                      <wp:wrapNone/>
                      <wp:docPr id="308" name="Frame30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27635" cy="175260"/>
                      <wp:effectExtent l="0" t="0" r="0" b="0"/>
                      <wp:wrapNone/>
                      <wp:docPr id="311" name="Frame311"/>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44475" cy="175260"/>
                      <wp:effectExtent l="0" t="0" r="0" b="0"/>
                      <wp:wrapNone/>
                      <wp:docPr id="312" name="Frame312"/>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24460" cy="175260"/>
                      <wp:effectExtent l="0" t="0" r="0" b="0"/>
                      <wp:wrapNone/>
                      <wp:docPr id="314" name="Frame3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38125" cy="175260"/>
                      <wp:effectExtent l="0" t="0" r="0" b="0"/>
                      <wp:wrapNone/>
                      <wp:docPr id="315" name="Frame315"/>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9065" cy="175260"/>
                      <wp:effectExtent l="0" t="0" r="0" b="0"/>
                      <wp:wrapNone/>
                      <wp:docPr id="317" name="Frame317"/>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90195" cy="175260"/>
                      <wp:effectExtent l="0" t="0" r="0" b="0"/>
                      <wp:wrapNone/>
                      <wp:docPr id="318" name="Frame318"/>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63830" cy="175260"/>
                      <wp:effectExtent l="0" t="0" r="0" b="0"/>
                      <wp:wrapNone/>
                      <wp:docPr id="320" name="Frame320"/>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36880" cy="175260"/>
                      <wp:effectExtent l="0" t="0" r="0" b="0"/>
                      <wp:wrapNone/>
                      <wp:docPr id="321" name="Frame321"/>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29"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Six Months Ended June 30, 2025</w: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26"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26" w:type="dxa"/>
            <w:tcBorders/>
            <w:vAlign w:val="center"/>
          </w:tcPr>
          <w:p>
            <w:pPr>
              <w:pStyle w:val="TableContents"/>
              <w:bidi w:val="0"/>
              <w:spacing w:before="0" w:after="1"/>
              <w:ind w:left="0" w:right="0" w:hanging="0"/>
              <w:jc w:val="left"/>
              <w:rPr/>
            </w:pPr>
            <w:r>
              <w:rPr/>
              <w:t>    </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26" w:type="dxa"/>
            <w:tcBorders/>
            <w:vAlign w:val="center"/>
          </w:tcPr>
          <w:p>
            <w:pPr>
              <w:pStyle w:val="TableContents"/>
              <w:bidi w:val="0"/>
              <w:spacing w:before="0" w:after="1"/>
              <w:ind w:left="0" w:right="0" w:hanging="0"/>
              <w:jc w:val="left"/>
              <w:rPr/>
            </w:pPr>
            <w:r>
              <w:rPr/>
              <w:t>    </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26" w:type="dxa"/>
            <w:tcBorders/>
            <w:vAlign w:val="center"/>
          </w:tcPr>
          <w:p>
            <w:pPr>
              <w:pStyle w:val="TableContents"/>
              <w:bidi w:val="0"/>
              <w:spacing w:before="0" w:after="1"/>
              <w:ind w:left="0" w:right="0" w:hanging="0"/>
              <w:jc w:val="left"/>
              <w:rPr/>
            </w:pPr>
            <w:r>
              <w:rPr/>
              <w:t>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26" w:type="dxa"/>
            <w:tcBorders/>
            <w:vAlign w:val="center"/>
          </w:tcPr>
          <w:p>
            <w:pPr>
              <w:pStyle w:val="TableContents"/>
              <w:bidi w:val="0"/>
              <w:spacing w:before="0" w:after="1"/>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26" w:type="dxa"/>
            <w:tcBorders/>
            <w:vAlign w:val="center"/>
          </w:tcPr>
          <w:p>
            <w:pPr>
              <w:pStyle w:val="TableContents"/>
              <w:bidi w:val="0"/>
              <w:spacing w:before="0" w:after="1"/>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326" w:type="dxa"/>
            <w:tcBorders/>
            <w:vAlign w:val="center"/>
          </w:tcPr>
          <w:p>
            <w:pPr>
              <w:pStyle w:val="TableContents"/>
              <w:bidi w:val="0"/>
              <w:spacing w:before="0" w:after="1"/>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6"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29" w:type="dxa"/>
            <w:gridSpan w:val="26"/>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Revenues:</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center"/>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3,407</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407</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4,145</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305</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340</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from investment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(468)</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(468)</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gain on disposition of assets, net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income (loss), net</w:t>
            </w:r>
          </w:p>
        </w:tc>
        <w:tc>
          <w:tcPr>
            <w:tcW w:w="32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r>
      <w:tr>
        <w:trPr/>
        <w:tc>
          <w:tcPr>
            <w:tcW w:w="10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(352)</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3,426</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710</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193</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4,236</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Expenses:</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3,587</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288</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165</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4,134</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272</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305</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218</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408</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Impairment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Restructuring, net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167</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257</w: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3,744</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780</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213</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w:t>
            </w:r>
          </w:p>
        </w:tc>
        <w:tc>
          <w:tcPr>
            <w:tcW w:w="326" w:type="dxa"/>
            <w:tcBorders/>
            <w:vAlign w:val="center"/>
          </w:tcPr>
          <w:p>
            <w:pPr>
              <w:pStyle w:val="TableContents"/>
              <w:bidi w:val="0"/>
              <w:spacing w:before="0" w:after="1"/>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5,136</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income before income tax benefit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(384)</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(318)</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(900)</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Income tax benefit</w:t>
            </w:r>
          </w:p>
        </w:tc>
        <w:tc>
          <w:tcPr>
            <w:tcW w:w="32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99</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119</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(384)</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(219)</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righ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(146)</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Less: net loss attributable to non-controlling interests</w:t>
            </w:r>
          </w:p>
        </w:tc>
        <w:tc>
          <w:tcPr>
            <w:tcW w:w="32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(144)</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(194)</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 attributable to Icahn Enterprises</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(170)</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(146)</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(587)</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184</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178</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250</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35"/>
        <w:gridCol w:w="326"/>
        <w:gridCol w:w="271"/>
        <w:gridCol w:w="495"/>
        <w:gridCol w:w="326"/>
        <w:gridCol w:w="206"/>
        <w:gridCol w:w="436"/>
        <w:gridCol w:w="326"/>
        <w:gridCol w:w="297"/>
        <w:gridCol w:w="499"/>
        <w:gridCol w:w="326"/>
        <w:gridCol w:w="277"/>
        <w:gridCol w:w="468"/>
        <w:gridCol w:w="326"/>
        <w:gridCol w:w="208"/>
        <w:gridCol w:w="350"/>
        <w:gridCol w:w="326"/>
        <w:gridCol w:w="222"/>
        <w:gridCol w:w="375"/>
        <w:gridCol w:w="326"/>
        <w:gridCol w:w="213"/>
        <w:gridCol w:w="358"/>
        <w:gridCol w:w="326"/>
        <w:gridCol w:w="244"/>
        <w:gridCol w:w="447"/>
        <w:gridCol w:w="146"/>
        <w:gridCol w:w="283"/>
        <w:gridCol w:w="667"/>
      </w:tblGrid>
      <w:tr>
        <w:trPr/>
        <w:tc>
          <w:tcPr>
            <w:tcW w:w="1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720725" cy="175260"/>
                      <wp:effectExtent l="0" t="0" r="0" b="0"/>
                      <wp:wrapNone/>
                      <wp:docPr id="322" name="Frame322"/>
                      <a:graphic xmlns:a="http://schemas.openxmlformats.org/drawingml/2006/main">
                        <a:graphicData uri="http://schemas.microsoft.com/office/word/2010/wordprocessingShape">
                          <wps:wsp>
                            <wps:cNvSpPr txBox="1"/>
                            <wps:spPr>
                              <a:xfrm>
                                <a:off x="0" y="0"/>
                                <a:ext cx="720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72085" cy="175260"/>
                      <wp:effectExtent l="0" t="0" r="0" b="0"/>
                      <wp:wrapNone/>
                      <wp:docPr id="324" name="Frame32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314325" cy="175260"/>
                      <wp:effectExtent l="0" t="0" r="0" b="0"/>
                      <wp:wrapNone/>
                      <wp:docPr id="325" name="Frame325"/>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0810" cy="175260"/>
                      <wp:effectExtent l="0" t="0" r="0" b="0"/>
                      <wp:wrapNone/>
                      <wp:docPr id="327" name="Frame32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76860" cy="175260"/>
                      <wp:effectExtent l="0" t="0" r="0" b="0"/>
                      <wp:wrapNone/>
                      <wp:docPr id="328" name="Frame32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88595" cy="175260"/>
                      <wp:effectExtent l="0" t="0" r="0" b="0"/>
                      <wp:wrapNone/>
                      <wp:docPr id="330" name="Frame330"/>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316865" cy="175260"/>
                      <wp:effectExtent l="0" t="0" r="0" b="0"/>
                      <wp:wrapNone/>
                      <wp:docPr id="331" name="Frame331"/>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75895" cy="175260"/>
                      <wp:effectExtent l="0" t="0" r="0" b="0"/>
                      <wp:wrapNone/>
                      <wp:docPr id="333" name="Frame333"/>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97180" cy="175260"/>
                      <wp:effectExtent l="0" t="0" r="0" b="0"/>
                      <wp:wrapNone/>
                      <wp:docPr id="334" name="Frame334"/>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2080" cy="175260"/>
                      <wp:effectExtent l="0" t="0" r="0" b="0"/>
                      <wp:wrapNone/>
                      <wp:docPr id="336" name="Frame336"/>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22250" cy="175260"/>
                      <wp:effectExtent l="0" t="0" r="0" b="0"/>
                      <wp:wrapNone/>
                      <wp:docPr id="337" name="Frame337"/>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40970" cy="175260"/>
                      <wp:effectExtent l="0" t="0" r="0" b="0"/>
                      <wp:wrapNone/>
                      <wp:docPr id="339" name="Frame33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38125" cy="175260"/>
                      <wp:effectExtent l="0" t="0" r="0" b="0"/>
                      <wp:wrapNone/>
                      <wp:docPr id="340" name="Frame340"/>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5255" cy="175260"/>
                      <wp:effectExtent l="0" t="0" r="0" b="0"/>
                      <wp:wrapNone/>
                      <wp:docPr id="342" name="Frame342"/>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27330" cy="175260"/>
                      <wp:effectExtent l="0" t="0" r="0" b="0"/>
                      <wp:wrapNone/>
                      <wp:docPr id="343" name="Frame343"/>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54940" cy="175260"/>
                      <wp:effectExtent l="0" t="0" r="0" b="0"/>
                      <wp:wrapNone/>
                      <wp:docPr id="345" name="Frame345"/>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83845" cy="175260"/>
                      <wp:effectExtent l="0" t="0" r="0" b="0"/>
                      <wp:wrapNone/>
                      <wp:docPr id="346" name="Frame346"/>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92710" cy="175260"/>
                      <wp:effectExtent l="0" t="0" r="0" b="0"/>
                      <wp:wrapNone/>
                      <wp:docPr id="347" name="Frame34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79705" cy="175260"/>
                      <wp:effectExtent l="0" t="0" r="0" b="0"/>
                      <wp:wrapNone/>
                      <wp:docPr id="348" name="Frame348"/>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23545" cy="175260"/>
                      <wp:effectExtent l="0" t="0" r="0" b="0"/>
                      <wp:wrapNone/>
                      <wp:docPr id="349" name="Frame349"/>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744"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2024</w:t>
            </w:r>
          </w:p>
        </w:tc>
      </w:tr>
      <w:tr>
        <w:trPr/>
        <w:tc>
          <w:tcPr>
            <w:tcW w:w="11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26" w:type="dxa"/>
            <w:tcBorders/>
            <w:vAlign w:val="center"/>
          </w:tcPr>
          <w:p>
            <w:pPr>
              <w:pStyle w:val="TableContents"/>
              <w:bidi w:val="0"/>
              <w:spacing w:before="0" w:after="0"/>
              <w:ind w:left="0" w:right="0" w:hanging="0"/>
              <w:jc w:val="left"/>
              <w:rPr/>
            </w:pPr>
            <w:r>
              <w:rPr/>
              <w:t>    </w:t>
            </w:r>
          </w:p>
        </w:tc>
        <w:tc>
          <w:tcPr>
            <w:tcW w:w="6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26" w:type="dxa"/>
            <w:tcBorders/>
            <w:vAlign w:val="center"/>
          </w:tcPr>
          <w:p>
            <w:pPr>
              <w:pStyle w:val="TableContents"/>
              <w:bidi w:val="0"/>
              <w:spacing w:before="0" w:after="0"/>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26" w:type="dxa"/>
            <w:tcBorders/>
            <w:vAlign w:val="center"/>
          </w:tcPr>
          <w:p>
            <w:pPr>
              <w:pStyle w:val="TableContents"/>
              <w:bidi w:val="0"/>
              <w:spacing w:before="0" w:after="0"/>
              <w:ind w:left="0" w:right="0" w:hanging="0"/>
              <w:jc w:val="left"/>
              <w:rPr/>
            </w:pPr>
            <w:r>
              <w:rPr/>
              <w:t>    </w:t>
            </w:r>
          </w:p>
        </w:tc>
        <w:tc>
          <w:tcPr>
            <w:tcW w:w="7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26" w:type="dxa"/>
            <w:tcBorders/>
            <w:vAlign w:val="center"/>
          </w:tcPr>
          <w:p>
            <w:pPr>
              <w:pStyle w:val="TableContents"/>
              <w:bidi w:val="0"/>
              <w:spacing w:before="0" w:after="0"/>
              <w:ind w:left="0" w:right="0" w:hanging="0"/>
              <w:jc w:val="left"/>
              <w:rPr/>
            </w:pPr>
            <w:r>
              <w:rPr/>
              <w:t>    </w:t>
            </w:r>
          </w:p>
        </w:tc>
        <w:tc>
          <w:tcPr>
            <w:tcW w:w="5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26" w:type="dxa"/>
            <w:tcBorders/>
            <w:vAlign w:val="center"/>
          </w:tcPr>
          <w:p>
            <w:pPr>
              <w:pStyle w:val="TableContents"/>
              <w:bidi w:val="0"/>
              <w:spacing w:before="0" w:after="0"/>
              <w:ind w:left="0" w:right="0" w:hanging="0"/>
              <w:jc w:val="left"/>
              <w:rPr/>
            </w:pPr>
            <w:r>
              <w:rPr/>
              <w:t>    </w:t>
            </w:r>
          </w:p>
        </w:tc>
        <w:tc>
          <w:tcPr>
            <w:tcW w:w="5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146" w:type="dxa"/>
            <w:tcBorders/>
            <w:vAlign w:val="center"/>
          </w:tcPr>
          <w:p>
            <w:pPr>
              <w:pStyle w:val="TableContents"/>
              <w:bidi w:val="0"/>
              <w:spacing w:before="0" w:after="0"/>
              <w:ind w:left="0" w:right="0" w:hanging="0"/>
              <w:jc w:val="center"/>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5"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1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648" w:type="dxa"/>
            <w:gridSpan w:val="23"/>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(in millions)</w:t>
            </w:r>
          </w:p>
        </w:tc>
        <w:tc>
          <w:tcPr>
            <w:tcW w:w="146" w:type="dxa"/>
            <w:tcBorders/>
            <w:vAlign w:val="center"/>
          </w:tcPr>
          <w:p>
            <w:pPr>
              <w:pStyle w:val="TableContents"/>
              <w:bidi w:val="0"/>
              <w:spacing w:before="0" w:after="0"/>
              <w:ind w:left="0" w:right="0" w:hanging="0"/>
              <w:jc w:val="center"/>
              <w:rPr/>
            </w:pPr>
            <w:r>
              <w:rPr/>
              <w:t> </w:t>
            </w:r>
          </w:p>
        </w:tc>
        <w:tc>
          <w:tcPr>
            <w:tcW w:w="283"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center"/>
              <w:rPr/>
            </w:pPr>
            <w:r>
              <w:rPr/>
              <w:t>​</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Revenues:</w:t>
            </w:r>
          </w:p>
        </w:tc>
        <w:tc>
          <w:tcPr>
            <w:tcW w:w="32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49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  </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97" w:type="dxa"/>
            <w:tcBorders/>
            <w:vAlign w:val="center"/>
          </w:tcPr>
          <w:p>
            <w:pPr>
              <w:pStyle w:val="TableContents"/>
              <w:bidi w:val="0"/>
              <w:spacing w:before="0" w:after="0"/>
              <w:ind w:left="0" w:right="0" w:hanging="0"/>
              <w:jc w:val="center"/>
              <w:rPr/>
            </w:pPr>
            <w:r>
              <w:rPr/>
              <w:t>  </w:t>
            </w:r>
          </w:p>
        </w:tc>
        <w:tc>
          <w:tcPr>
            <w:tcW w:w="4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center"/>
              <w:rPr/>
            </w:pPr>
            <w:r>
              <w:rPr/>
              <w:t>  </w:t>
            </w:r>
          </w:p>
        </w:tc>
        <w:tc>
          <w:tcPr>
            <w:tcW w:w="46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08" w:type="dxa"/>
            <w:tcBorders/>
            <w:vAlign w:val="center"/>
          </w:tcPr>
          <w:p>
            <w:pPr>
              <w:pStyle w:val="TableContents"/>
              <w:bidi w:val="0"/>
              <w:spacing w:before="0" w:after="0"/>
              <w:ind w:left="0" w:right="0" w:hanging="0"/>
              <w:jc w:val="center"/>
              <w:rPr/>
            </w:pPr>
            <w:r>
              <w:rPr/>
              <w:t>  </w:t>
            </w:r>
          </w:p>
        </w:tc>
        <w:tc>
          <w:tcPr>
            <w:tcW w:w="35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2" w:type="dxa"/>
            <w:tcBorders/>
            <w:vAlign w:val="center"/>
          </w:tcPr>
          <w:p>
            <w:pPr>
              <w:pStyle w:val="TableContents"/>
              <w:bidi w:val="0"/>
              <w:spacing w:before="0" w:after="0"/>
              <w:ind w:left="0" w:right="0" w:hanging="0"/>
              <w:jc w:val="center"/>
              <w:rPr/>
            </w:pPr>
            <w:r>
              <w:rPr/>
              <w:t>  </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3" w:type="dxa"/>
            <w:tcBorders/>
            <w:vAlign w:val="center"/>
          </w:tcPr>
          <w:p>
            <w:pPr>
              <w:pStyle w:val="TableContents"/>
              <w:bidi w:val="0"/>
              <w:spacing w:before="0" w:after="0"/>
              <w:ind w:left="0" w:right="0" w:hanging="0"/>
              <w:jc w:val="center"/>
              <w:rPr/>
            </w:pPr>
            <w:r>
              <w:rPr/>
              <w:t>  </w:t>
            </w:r>
          </w:p>
        </w:tc>
        <w:tc>
          <w:tcPr>
            <w:tcW w:w="3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44" w:type="dxa"/>
            <w:tcBorders/>
            <w:vAlign w:val="center"/>
          </w:tcPr>
          <w:p>
            <w:pPr>
              <w:pStyle w:val="TableContents"/>
              <w:bidi w:val="0"/>
              <w:spacing w:before="0" w:after="0"/>
              <w:ind w:left="0" w:right="0" w:hanging="0"/>
              <w:jc w:val="center"/>
              <w:rPr/>
            </w:pPr>
            <w:r>
              <w:rPr/>
              <w:t>  </w:t>
            </w:r>
          </w:p>
        </w:tc>
        <w:tc>
          <w:tcPr>
            <w:tcW w:w="44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283"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center"/>
              <w:rPr/>
            </w:pPr>
            <w:r>
              <w:rPr/>
              <w:t>​</w:t>
            </w:r>
          </w:p>
        </w:tc>
      </w:tr>
      <w:tr>
        <w:trPr/>
        <w:tc>
          <w:tcPr>
            <w:tcW w:w="11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3,829</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449</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206</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4,624</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318</w:t>
            </w:r>
          </w:p>
        </w:tc>
        <w:tc>
          <w:tcPr>
            <w:tcW w:w="32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356</w:t>
            </w:r>
          </w:p>
        </w:tc>
      </w:tr>
      <w:tr>
        <w:trPr/>
        <w:tc>
          <w:tcPr>
            <w:tcW w:w="11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from investment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(575)</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(575)</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w:t>
            </w:r>
          </w:p>
        </w:tc>
        <w:tc>
          <w:tcPr>
            <w:tcW w:w="3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265</w:t>
            </w:r>
          </w:p>
        </w:tc>
      </w:tr>
      <w:tr>
        <w:trPr/>
        <w:tc>
          <w:tcPr>
            <w:tcW w:w="11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on disposition of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income (loss), net</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vAlign w:val="center"/>
          </w:tcPr>
          <w:p>
            <w:pPr>
              <w:pStyle w:val="TableContents"/>
              <w:bidi w:val="0"/>
              <w:spacing w:before="0" w:after="0"/>
              <w:ind w:left="0" w:right="0" w:hanging="0"/>
              <w:jc w:val="left"/>
              <w:rPr/>
            </w:pPr>
            <w:r>
              <w:rPr/>
              <w:t> </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0"/>
              <w:ind w:left="0" w:right="0" w:hanging="0"/>
              <w:jc w:val="left"/>
              <w:rPr/>
            </w:pPr>
            <w:r>
              <w:rPr/>
              <w:t> </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r>
      <w:tr>
        <w:trPr/>
        <w:tc>
          <w:tcPr>
            <w:tcW w:w="11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(383)</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3,856</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765</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204</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4,671</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Expenses: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pPr>
            <w:r>
              <w:rPr/>
              <w:t>​</w:t>
            </w:r>
          </w:p>
        </w:tc>
      </w:tr>
      <w:tr>
        <w:trPr/>
        <w:tc>
          <w:tcPr>
            <w:tcW w:w="11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3,635</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4,199</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267</w:t>
            </w:r>
          </w:p>
        </w:tc>
        <w:tc>
          <w:tcPr>
            <w:tcW w:w="32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w:t>
            </w:r>
          </w:p>
        </w:tc>
      </w:tr>
      <w:tr>
        <w:trPr/>
        <w:tc>
          <w:tcPr>
            <w:tcW w:w="11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w:t>
            </w:r>
          </w:p>
        </w:tc>
        <w:tc>
          <w:tcPr>
            <w:tcW w:w="32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201</w:t>
            </w:r>
          </w:p>
        </w:tc>
        <w:tc>
          <w:tcPr>
            <w:tcW w:w="32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c>
          <w:tcPr>
            <w:tcW w:w="32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376</w:t>
            </w:r>
          </w:p>
        </w:tc>
      </w:tr>
      <w:tr>
        <w:trPr/>
        <w:tc>
          <w:tcPr>
            <w:tcW w:w="11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Restructuring, net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w:t>
            </w:r>
          </w:p>
        </w:tc>
        <w:tc>
          <w:tcPr>
            <w:tcW w:w="326" w:type="dxa"/>
            <w:tcBorders/>
            <w:vAlign w:val="center"/>
          </w:tcPr>
          <w:p>
            <w:pPr>
              <w:pStyle w:val="TableContents"/>
              <w:bidi w:val="0"/>
              <w:spacing w:before="0" w:after="0"/>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w:t>
            </w:r>
          </w:p>
        </w:tc>
        <w:tc>
          <w:tcPr>
            <w:tcW w:w="326" w:type="dxa"/>
            <w:tcBorders/>
            <w:vAlign w:val="center"/>
          </w:tcPr>
          <w:p>
            <w:pPr>
              <w:pStyle w:val="TableContents"/>
              <w:bidi w:val="0"/>
              <w:spacing w:before="0" w:after="0"/>
              <w:ind w:left="0" w:right="0" w:hanging="0"/>
              <w:jc w:val="left"/>
              <w:rPr/>
            </w:pPr>
            <w:r>
              <w:rPr/>
              <w:t> </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 </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0"/>
              <w:ind w:left="0" w:right="0" w:hanging="0"/>
              <w:jc w:val="left"/>
              <w:rPr/>
            </w:pPr>
            <w:r>
              <w:rPr/>
              <w:t> </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w:t>
            </w:r>
          </w:p>
        </w:tc>
      </w:tr>
      <w:tr>
        <w:trPr/>
        <w:tc>
          <w:tcPr>
            <w:tcW w:w="11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3,771</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771</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5,172</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income before income tax (expense) benefit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(470)</w:t>
            </w:r>
          </w:p>
        </w:tc>
        <w:tc>
          <w:tcPr>
            <w:tcW w:w="3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w:t>
            </w:r>
          </w:p>
        </w:tc>
        <w:tc>
          <w:tcPr>
            <w:tcW w:w="32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(501)</w:t>
            </w:r>
          </w:p>
        </w:tc>
      </w:tr>
      <w:tr>
        <w:trPr/>
        <w:tc>
          <w:tcPr>
            <w:tcW w:w="11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income</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(470)</w:t>
            </w:r>
          </w:p>
        </w:tc>
        <w:tc>
          <w:tcPr>
            <w:tcW w:w="3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w:t>
            </w:r>
          </w:p>
        </w:tc>
        <w:tc>
          <w:tcPr>
            <w:tcW w:w="32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righ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(512)</w:t>
            </w:r>
          </w:p>
        </w:tc>
      </w:tr>
      <w:tr>
        <w:trPr/>
        <w:tc>
          <w:tcPr>
            <w:tcW w:w="11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Less: net (loss) income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(190)</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income attributable to Icahn Enterprises</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w:t>
            </w:r>
          </w:p>
        </w:tc>
        <w:tc>
          <w:tcPr>
            <w:tcW w:w="146" w:type="dxa"/>
            <w:tcBorders/>
            <w:vAlign w:val="center"/>
          </w:tcPr>
          <w:p>
            <w:pPr>
              <w:pStyle w:val="TableContents"/>
              <w:bidi w:val="0"/>
              <w:spacing w:before="0" w:after="0"/>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(369)</w:t>
            </w:r>
          </w:p>
        </w:tc>
      </w:tr>
      <w:tr>
        <w:trPr/>
        <w:tc>
          <w:tcPr>
            <w:tcW w:w="11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pPr>
            <w:r>
              <w:rPr/>
              <w:t>​</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4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w:t>
            </w:r>
          </w:p>
        </w:tc>
      </w:tr>
      <w:tr>
        <w:trPr/>
        <w:tc>
          <w:tcPr>
            <w:tcW w:w="11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182</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7" w:type="dxa"/>
            <w:tcBorders/>
            <w:shd w:fill="CCEEFF" w:val="cle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256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89" w:name="Tc_RP7ELDWlIEmmQb0VNaHWDg_8_11"/>
      <w:bookmarkStart w:id="1690" w:name="Tc_ddlLoMOPck-NUnnhm5gzZw_8_8"/>
      <w:bookmarkStart w:id="1691" w:name="Tc_kgmgwDUCkUq01Ey7w6Dl-Q_8_5"/>
      <w:bookmarkStart w:id="1692" w:name="Tc_kz3E4nPamESy0hrTBAs2VA_8_2"/>
      <w:bookmarkStart w:id="1693" w:name="Tc_yVdwlWv3_UW5Q_EckwMuqQ_8_0"/>
      <w:bookmarkStart w:id="1694" w:name="Tc_yhR1GNoyyEq6DNCQcXdKvg_7_0"/>
      <w:bookmarkStart w:id="1695" w:name="Tc_dFzjQ7bNuECL6hut-WNbTQ_6_5"/>
      <w:bookmarkStart w:id="1696" w:name="Tc_L9wfDWGR5Umvliw6mP74Hg_6_2"/>
      <w:bookmarkStart w:id="1697" w:name="Tc_VQAXazpJMkCQfCJ10DjkDg_6_0"/>
      <w:bookmarkStart w:id="1698" w:name="Tc_8X3ixyaK7UWIV9IOatK8QQ_5_3"/>
      <w:bookmarkStart w:id="1699" w:name="Tc_OrGW5LTtk0GP77R36c8Edw_5_0"/>
      <w:bookmarkStart w:id="1700" w:name="Tc_LwK8TdtrKkCfkzA9EpBloA_4_11"/>
      <w:bookmarkStart w:id="1701" w:name="Tc_KQ9Uv7niX0qGO3OnsKYwrg_4_8"/>
      <w:bookmarkStart w:id="1702" w:name="Tc_rsrex18MYEqy92qzJrPd6Q_4_5"/>
      <w:bookmarkStart w:id="1703" w:name="Tc_LZoN46JdFEe2ShOcvdnWDA_4_2"/>
      <w:bookmarkStart w:id="1704" w:name="Tc_9Tcic_BGUki_U-QJHBejJg_4_0"/>
      <w:bookmarkStart w:id="1705" w:name="Tc_0os0R5LPjU6tip3baQc7qQ_3_2"/>
      <w:bookmarkStart w:id="1706" w:name="Tc__5BOTwBqEEGiXj8mTTs9Jw_2_11"/>
      <w:bookmarkStart w:id="1707" w:name="Tc_O9VyFNXHAE6KkQ8KzOXsgA_2_8"/>
      <w:bookmarkStart w:id="1708" w:name="Tc_ze6NVaG8hUm6mB4gKnHN6w_2_5"/>
      <w:bookmarkStart w:id="1709" w:name="Tc_KONMAUK7UEmmC-dh0i4B5g_2_2"/>
      <w:bookmarkStart w:id="1710" w:name="Tc_cee8S3gXuE-GhZuw4hVM-Q_1_8"/>
      <w:bookmarkStart w:id="1711" w:name="Tc_M8gTP_n_1EmayJrT7rY13g_1_2"/>
      <w:bookmarkStart w:id="1712" w:name="Tc_atqznvTKzky4xQh3yZ8dOg_7_11"/>
      <w:bookmarkStart w:id="1713" w:name="Tc_Qo43fNYggEuN2NTCf5g03g_7_8"/>
      <w:bookmarkStart w:id="1714" w:name="Tc_uc2rBfahZUqK2xRWpuN3AA_7_5"/>
      <w:bookmarkStart w:id="1715" w:name="Tc_yytugyvWTEyws3Kz54EKTg_7_2"/>
      <w:bookmarkStart w:id="1716" w:name="Tc_p577dUUdfUCAwmhuHv6BjA_6_0"/>
      <w:bookmarkStart w:id="1717" w:name="Tc_xyfelDKSVEO3ZMDahfB5kg_5_0"/>
      <w:bookmarkStart w:id="1718" w:name="Tc_8kzxDO9EA0qv0LAhsklMoA_4_11"/>
      <w:bookmarkStart w:id="1719" w:name="Tc_s3DY4PI_KEOuGUXw-xLrtg_4_5"/>
      <w:bookmarkStart w:id="1720" w:name="Tc_PoeoDW7sOkiO2nMG1dhjbQ_4_2"/>
      <w:bookmarkStart w:id="1721" w:name="Tc_pJq3lY0UYk-sUa3YQMy5Aw_4_0"/>
      <w:bookmarkStart w:id="1722" w:name="Tc_vRaJq6HRi0CiVnf75k405w_3_2"/>
      <w:bookmarkStart w:id="1723" w:name="Tc_787388fM8k-Vl11YYWFcCw_2_11"/>
      <w:bookmarkStart w:id="1724" w:name="Tc_B_Dc6olb6ke_uu4KoqGqUQ_2_8"/>
      <w:bookmarkStart w:id="1725" w:name="Tc_3PWp7eI830y2LtoqwucByg_2_5"/>
      <w:bookmarkStart w:id="1726" w:name="Tc_-djIFerAeUGsVLzgVONG0Q_2_2"/>
      <w:bookmarkStart w:id="1727" w:name="Tc_n8iEr9OurUO0xMujOPupZg_1_8"/>
      <w:bookmarkStart w:id="1728" w:name="Tc_KmSr6Rnq7kCK38_FPLgV0A_1_2"/>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r>
        <w:rPr>
          <w:rFonts w:ascii="Times New Roman;Times;serif" w:hAnsi="Times New Roman;Times;serif"/>
          <w:b/>
          <w:sz w:val="20"/>
        </w:rPr>
        <w:t>Disaggregation of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condensed statements of operations by reporting segment above, we provide additional disaggregated revenue information for our Energy and Automotive segments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Energy</w:t>
      </w:r>
    </w:p>
    <w:p>
      <w:pPr>
        <w:pStyle w:val="TextBody"/>
        <w:bidi w:val="0"/>
        <w:spacing w:before="0" w:after="0"/>
        <w:ind w:left="0" w:right="0" w:hanging="0"/>
        <w:jc w:val="left"/>
        <w:rPr/>
      </w:pPr>
      <w:r>
        <w:rPr/>
        <w:t>​</w:t>
      </w:r>
    </w:p>
    <w:tbl>
      <w:tblPr>
        <w:tblW w:w="8118" w:type="dxa"/>
        <w:jc w:val="left"/>
        <w:tblInd w:w="0" w:type="dxa"/>
        <w:tblLayout w:type="fixed"/>
        <w:tblCellMar>
          <w:top w:w="0" w:type="dxa"/>
          <w:left w:w="0" w:type="dxa"/>
          <w:bottom w:w="0" w:type="dxa"/>
          <w:right w:w="0" w:type="dxa"/>
        </w:tblCellMar>
      </w:tblPr>
      <w:tblGrid>
        <w:gridCol w:w="2326"/>
        <w:gridCol w:w="326"/>
        <w:gridCol w:w="298"/>
        <w:gridCol w:w="806"/>
        <w:gridCol w:w="460"/>
        <w:gridCol w:w="298"/>
        <w:gridCol w:w="806"/>
        <w:gridCol w:w="326"/>
        <w:gridCol w:w="261"/>
        <w:gridCol w:w="708"/>
        <w:gridCol w:w="404"/>
        <w:gridCol w:w="261"/>
        <w:gridCol w:w="838"/>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477010" cy="175260"/>
                      <wp:effectExtent l="0" t="0" r="0" b="0"/>
                      <wp:wrapNone/>
                      <wp:docPr id="350" name="Frame350"/>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89230" cy="175260"/>
                      <wp:effectExtent l="0" t="0" r="0" b="0"/>
                      <wp:wrapNone/>
                      <wp:docPr id="352" name="Frame352"/>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11810" cy="175260"/>
                      <wp:effectExtent l="0" t="0" r="0" b="0"/>
                      <wp:wrapNone/>
                      <wp:docPr id="353" name="Frame353"/>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92100" cy="175260"/>
                      <wp:effectExtent l="0" t="0" r="0" b="0"/>
                      <wp:wrapNone/>
                      <wp:docPr id="354" name="Frame354"/>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89230" cy="175260"/>
                      <wp:effectExtent l="0" t="0" r="0" b="0"/>
                      <wp:wrapNone/>
                      <wp:docPr id="355" name="Frame355"/>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11810" cy="175260"/>
                      <wp:effectExtent l="0" t="0" r="0" b="0"/>
                      <wp:wrapNone/>
                      <wp:docPr id="356" name="Frame356"/>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7" name="Frame3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65735" cy="175260"/>
                      <wp:effectExtent l="0" t="0" r="0" b="0"/>
                      <wp:wrapNone/>
                      <wp:docPr id="358" name="Frame358"/>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49580" cy="175260"/>
                      <wp:effectExtent l="0" t="0" r="0" b="0"/>
                      <wp:wrapNone/>
                      <wp:docPr id="359" name="Frame359"/>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56540" cy="175260"/>
                      <wp:effectExtent l="0" t="0" r="0" b="0"/>
                      <wp:wrapNone/>
                      <wp:docPr id="360" name="Frame360"/>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65735" cy="175260"/>
                      <wp:effectExtent l="0" t="0" r="0" b="0"/>
                      <wp:wrapNone/>
                      <wp:docPr id="361" name="Frame361"/>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32130" cy="175260"/>
                      <wp:effectExtent l="0" t="0" r="0" b="0"/>
                      <wp:wrapNone/>
                      <wp:docPr id="362" name="Frame362"/>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47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60" w:type="dxa"/>
            <w:tcBorders/>
            <w:vAlign w:val="center"/>
          </w:tcPr>
          <w:p>
            <w:pPr>
              <w:pStyle w:val="TableContents"/>
              <w:bidi w:val="0"/>
              <w:spacing w:before="0" w:after="0"/>
              <w:ind w:left="0" w:right="0" w:hanging="0"/>
              <w:jc w:val="left"/>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9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04" w:type="dxa"/>
            <w:tcBorders/>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811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66"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Petroleum products</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w:t>
            </w:r>
          </w:p>
        </w:tc>
        <w:tc>
          <w:tcPr>
            <w:tcW w:w="460"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3,033</w:t>
            </w:r>
          </w:p>
        </w:tc>
        <w:tc>
          <w:tcPr>
            <w:tcW w:w="40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3,510</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Renewable products</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460"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40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Nitrogen fertilizer products</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460"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404"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r>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w:t>
            </w:r>
          </w:p>
        </w:tc>
        <w:tc>
          <w:tcPr>
            <w:tcW w:w="460"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3,407</w:t>
            </w:r>
          </w:p>
        </w:tc>
        <w:tc>
          <w:tcPr>
            <w:tcW w:w="404"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3,829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Automotive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57"/>
        <w:gridCol w:w="326"/>
        <w:gridCol w:w="334"/>
        <w:gridCol w:w="668"/>
        <w:gridCol w:w="517"/>
        <w:gridCol w:w="334"/>
        <w:gridCol w:w="668"/>
        <w:gridCol w:w="326"/>
        <w:gridCol w:w="295"/>
        <w:gridCol w:w="588"/>
        <w:gridCol w:w="455"/>
        <w:gridCol w:w="295"/>
        <w:gridCol w:w="742"/>
      </w:tblGrid>
      <w:tr>
        <w:trPr/>
        <w:tc>
          <w:tcPr>
            <w:tcW w:w="4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957195" cy="175260"/>
                      <wp:effectExtent l="0" t="0" r="0" b="0"/>
                      <wp:wrapNone/>
                      <wp:docPr id="363" name="Frame363"/>
                      <a:graphic xmlns:a="http://schemas.openxmlformats.org/drawingml/2006/main">
                        <a:graphicData uri="http://schemas.microsoft.com/office/word/2010/wordprocessingShape">
                          <wps:wsp>
                            <wps:cNvSpPr txBox="1"/>
                            <wps:spPr>
                              <a:xfrm>
                                <a:off x="0" y="0"/>
                                <a:ext cx="295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2090" cy="175260"/>
                      <wp:effectExtent l="0" t="0" r="0" b="0"/>
                      <wp:wrapNone/>
                      <wp:docPr id="365" name="Frame365"/>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24180" cy="175260"/>
                      <wp:effectExtent l="0" t="0" r="0" b="0"/>
                      <wp:wrapNone/>
                      <wp:docPr id="366" name="Frame366"/>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328295" cy="175260"/>
                      <wp:effectExtent l="0" t="0" r="0" b="0"/>
                      <wp:wrapNone/>
                      <wp:docPr id="367" name="Frame367"/>
                      <a:graphic xmlns:a="http://schemas.openxmlformats.org/drawingml/2006/main">
                        <a:graphicData uri="http://schemas.microsoft.com/office/word/2010/wordprocessingShape">
                          <wps:wsp>
                            <wps:cNvSpPr txBox="1"/>
                            <wps:spPr>
                              <a:xfrm>
                                <a:off x="0" y="0"/>
                                <a:ext cx="328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2090" cy="175260"/>
                      <wp:effectExtent l="0" t="0" r="0" b="0"/>
                      <wp:wrapNone/>
                      <wp:docPr id="368" name="Frame368"/>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24180" cy="175260"/>
                      <wp:effectExtent l="0" t="0" r="0" b="0"/>
                      <wp:wrapNone/>
                      <wp:docPr id="369" name="Frame369"/>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87325" cy="175260"/>
                      <wp:effectExtent l="0" t="0" r="0" b="0"/>
                      <wp:wrapNone/>
                      <wp:docPr id="371" name="Frame371"/>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373380" cy="175260"/>
                      <wp:effectExtent l="0" t="0" r="0" b="0"/>
                      <wp:wrapNone/>
                      <wp:docPr id="372" name="Frame372"/>
                      <a:graphic xmlns:a="http://schemas.openxmlformats.org/drawingml/2006/main">
                        <a:graphicData uri="http://schemas.microsoft.com/office/word/2010/wordprocessingShape">
                          <wps:wsp>
                            <wps:cNvSpPr txBox="1"/>
                            <wps:spPr>
                              <a:xfrm>
                                <a:off x="0" y="0"/>
                                <a:ext cx="373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88925" cy="175260"/>
                      <wp:effectExtent l="0" t="0" r="0" b="0"/>
                      <wp:wrapNone/>
                      <wp:docPr id="373" name="Frame373"/>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87325" cy="175260"/>
                      <wp:effectExtent l="0" t="0" r="0" b="0"/>
                      <wp:wrapNone/>
                      <wp:docPr id="374" name="Frame374"/>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71170" cy="175260"/>
                      <wp:effectExtent l="0" t="0" r="0" b="0"/>
                      <wp:wrapNone/>
                      <wp:docPr id="375" name="Frame375"/>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46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17"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55"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6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22"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517"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455"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r>
      <w:tr>
        <w:trPr/>
        <w:tc>
          <w:tcPr>
            <w:tcW w:w="46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Aftermarket Parts</w:t>
            </w:r>
          </w:p>
        </w:tc>
        <w:tc>
          <w:tcPr>
            <w:tcW w:w="326" w:type="dxa"/>
            <w:tcBorders/>
            <w:vAlign w:val="center"/>
          </w:tcPr>
          <w:p>
            <w:pPr>
              <w:pStyle w:val="TableContents"/>
              <w:bidi w:val="0"/>
              <w:spacing w:before="0" w:after="0"/>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17" w:type="dxa"/>
            <w:tcBorders/>
            <w:vAlign w:val="center"/>
          </w:tcPr>
          <w:p>
            <w:pPr>
              <w:pStyle w:val="TableContents"/>
              <w:bidi w:val="0"/>
              <w:spacing w:before="0" w:after="0"/>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55"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 from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3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517" w:type="dxa"/>
            <w:tcBorders/>
            <w:shd w:fill="CCEEFF" w:val="clear"/>
            <w:vAlign w:val="center"/>
          </w:tcPr>
          <w:p>
            <w:pPr>
              <w:pStyle w:val="TableContents"/>
              <w:bidi w:val="0"/>
              <w:spacing w:before="0" w:after="0"/>
              <w:ind w:left="0" w:right="0" w:hanging="0"/>
              <w:jc w:val="left"/>
              <w:rPr/>
            </w:pPr>
            <w:r>
              <w:rPr/>
              <w:t>​</w:t>
            </w:r>
          </w:p>
        </w:tc>
        <w:tc>
          <w:tcPr>
            <w:tcW w:w="3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455"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r>
      <w:tr>
        <w:trPr/>
        <w:tc>
          <w:tcPr>
            <w:tcW w:w="46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revenue outside the scope of ASC 606</w:t>
            </w:r>
          </w:p>
        </w:tc>
        <w:tc>
          <w:tcPr>
            <w:tcW w:w="326" w:type="dxa"/>
            <w:tcBorders/>
            <w:vAlign w:val="center"/>
          </w:tcPr>
          <w:p>
            <w:pPr>
              <w:pStyle w:val="TableContents"/>
              <w:bidi w:val="0"/>
              <w:spacing w:before="0" w:after="0"/>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517" w:type="dxa"/>
            <w:tcBorders/>
            <w:vAlign w:val="center"/>
          </w:tcPr>
          <w:p>
            <w:pPr>
              <w:pStyle w:val="TableContents"/>
              <w:bidi w:val="0"/>
              <w:spacing w:before="0" w:after="0"/>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55"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4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Automotive net sales and other revenues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517" w:type="dxa"/>
            <w:tcBorders/>
            <w:shd w:fill="CCEEFF" w:val="clear"/>
            <w:vAlign w:val="center"/>
          </w:tcPr>
          <w:p>
            <w:pPr>
              <w:pStyle w:val="TableContents"/>
              <w:bidi w:val="0"/>
              <w:spacing w:before="0" w:after="0"/>
              <w:ind w:left="0" w:right="0" w:hanging="0"/>
              <w:jc w:val="left"/>
              <w:rPr/>
            </w:pPr>
            <w:r>
              <w:rPr/>
              <w:t>​</w:t>
            </w:r>
          </w:p>
        </w:tc>
        <w:tc>
          <w:tcPr>
            <w:tcW w:w="3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455"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767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29" w:name="Tc_Iuzuz70CP0yyHq1atTkVDQ_23_26"/>
      <w:bookmarkStart w:id="1730" w:name="Tc_Y0otIPUGJ0SVI35OjG3ZRw_23_23"/>
      <w:bookmarkStart w:id="1731" w:name="Tc_hY9DaUjst0S3X83iTqxnqw_23_20"/>
      <w:bookmarkStart w:id="1732" w:name="Tc_DoPri0g6vU2VrY6cfipP9A_23_17"/>
      <w:bookmarkStart w:id="1733" w:name="Tc_LBGPMZnQPUiLudIvHlD1AQ_23_14"/>
      <w:bookmarkStart w:id="1734" w:name="Tc_Io1RIzyc9UWMn4HuYMFKug_23_11"/>
      <w:bookmarkStart w:id="1735" w:name="Tc_DKWcz3FqLkyxYRYtpRquyQ_23_8"/>
      <w:bookmarkStart w:id="1736" w:name="Tc_pk17R3qp1U6DCxebm1ArWQ_23_5"/>
      <w:bookmarkStart w:id="1737" w:name="Tc_flQ62NDTUECZyTpz6oDsEA_23_2"/>
      <w:bookmarkStart w:id="1738" w:name="Tc_BDu11R_s5E-YA0P3mf3oDA_23_0"/>
      <w:bookmarkStart w:id="1739" w:name="Tc_e734ztECpUCUrokP3d1f7Q_22_0"/>
      <w:bookmarkStart w:id="1740" w:name="Tc_kVSZUae0vEKx9qEO_8MDgw_21_24"/>
      <w:bookmarkStart w:id="1741" w:name="Tc_c0tNdIIE-k-4DgYUDvr1dg_21_21"/>
      <w:bookmarkStart w:id="1742" w:name="Tc_gA0rXPiGXECAYYGG91gaSA_21_18"/>
      <w:bookmarkStart w:id="1743" w:name="Tc_GAwGHKmjnEaXllVIZuqQKQ_21_9"/>
      <w:bookmarkStart w:id="1744" w:name="Tc_lOzmgi3SakOcpkbo1qMuAQ_21_0"/>
      <w:bookmarkStart w:id="1745" w:name="Tc_pt9X9jg3AUufNPe1HUnviQ_20_0"/>
      <w:bookmarkStart w:id="1746" w:name="Tc_x6Qj6dWfxUmAzNO8EZnhBw_18_0"/>
      <w:bookmarkStart w:id="1747" w:name="Tc_r325Y7TlRkq_gcbFGiFhoA_17_21"/>
      <w:bookmarkStart w:id="1748" w:name="Tc_A9kD8IZs9UK9c5u264fgHQ_17_3"/>
      <w:bookmarkStart w:id="1749" w:name="Tc_RreCHD8GwUWXsH-PIO1F0A_17_0"/>
      <w:bookmarkStart w:id="1750" w:name="Tc_k1NTBLslaECIHVZBCVzuBw_16_24"/>
      <w:bookmarkStart w:id="1751" w:name="Tc_kKl8Oe8Pd0uSQH4nZ-6V_w_16_21"/>
      <w:bookmarkStart w:id="1752" w:name="Tc_GvPXqVNHbU2nOwpFWWmj1A_16_18"/>
      <w:bookmarkStart w:id="1753" w:name="Tc_I9O7m3pUUkq9nd8hPjoLgQ_16_15"/>
      <w:bookmarkStart w:id="1754" w:name="Tc_Yd9HSuplN0yuSBqbrKgEcA_16_12"/>
      <w:bookmarkStart w:id="1755" w:name="Tc_vLOhVNaTT0OBQGvGCZGeQg_16_9"/>
      <w:bookmarkStart w:id="1756" w:name="Tc_0sw7TtrlMEiRmZYv5ycM4g_16_6"/>
      <w:bookmarkStart w:id="1757" w:name="Tc_vfPHpDXOt0ClLNqbFD5k1g_16_0"/>
      <w:bookmarkStart w:id="1758" w:name="Tc_ksatKXRkUEqg-I6YOKUnDw_15_26"/>
      <w:bookmarkStart w:id="1759" w:name="Tc_7r3WkP6bgUWt-spn5alubQ_15_23"/>
      <w:bookmarkStart w:id="1760" w:name="Tc_QFwpTk2Kjk63leTA2RGJaA_15_20"/>
      <w:bookmarkStart w:id="1761" w:name="Tc_SwsMgF8xZEG22CSJ2tfYrw_15_17"/>
      <w:bookmarkStart w:id="1762" w:name="Tc_hiKxt4jfEkyA4decuszJJA_15_14"/>
      <w:bookmarkStart w:id="1763" w:name="Tc_cvHZHmciv0CSEDmiMgxO5w_15_11"/>
      <w:bookmarkStart w:id="1764" w:name="Tc_TZTDJXEd90GCqaT_VHHb0A_15_8"/>
      <w:bookmarkStart w:id="1765" w:name="Tc_HPkWDb4Me0OPfRvndB7fKQ_15_5"/>
      <w:bookmarkStart w:id="1766" w:name="Tc_ilxUqMxnB0eWjXLZohC5xg_15_2"/>
      <w:bookmarkStart w:id="1767" w:name="Tc_te45o7XcsUWcb0t-_hd38w_15_0"/>
      <w:bookmarkStart w:id="1768" w:name="Tc_fO45X3Tj7Eqi3vi4dBMr0g_14_0"/>
      <w:bookmarkStart w:id="1769" w:name="Tc_i7xSA5MYr0CE6VMDyrAblA_13_26"/>
      <w:bookmarkStart w:id="1770" w:name="Tc_p6prJCzHlEqoYG6osxDJyQ_13_23"/>
      <w:bookmarkStart w:id="1771" w:name="Tc_DT3rUkCdD0iVPV8eTsKGeA_13_20"/>
      <w:bookmarkStart w:id="1772" w:name="Tc_1zqttkaNkE2RtdtgSYqOAA_13_17"/>
      <w:bookmarkStart w:id="1773" w:name="Tc_wWHAj8NQkkqsb2SRU2Upuw_13_14"/>
      <w:bookmarkStart w:id="1774" w:name="Tc_laSKbxJlY0uLQbCwB3oX7A_13_11"/>
      <w:bookmarkStart w:id="1775" w:name="Tc_iZo5252Zu0GAjL7JSTmkRg_13_8"/>
      <w:bookmarkStart w:id="1776" w:name="Tc_ij3RXV3V0kKS-kONs5VbRg_13_5"/>
      <w:bookmarkStart w:id="1777" w:name="Tc_hLkYTPeq20yubZGHhFhc_g_13_2"/>
      <w:bookmarkStart w:id="1778" w:name="Tc_0OibZxRw4UmajeZt5hHn6w_13_0"/>
      <w:bookmarkStart w:id="1779" w:name="Tc_KkBZLrQi3kuf5EmJtw3gOA_12_0"/>
      <w:bookmarkStart w:id="1780" w:name="Tc_vILd5vecWUW_638EdMohJg_11_24"/>
      <w:bookmarkStart w:id="1781" w:name="Tc_DJfZZ1V96UeZi83nHhS0Vg_11_15"/>
      <w:bookmarkStart w:id="1782" w:name="Tc_xI_hPAg9K0SkuC35mnNZAw_11_3"/>
      <w:bookmarkStart w:id="1783" w:name="Tc_VgHmkJ3TB0aTArQliWQfYQ_11_0"/>
      <w:bookmarkStart w:id="1784" w:name="Tc_QwxAdt3xbEWUTARHkoWGoQ_10_21"/>
      <w:bookmarkStart w:id="1785" w:name="Tc_AsmTiPzSsEajFnLf53lFiA_10_3"/>
      <w:bookmarkStart w:id="1786" w:name="Tc_4hzRHvcbCk-z6kVFtzPnTw_10_0"/>
      <w:bookmarkStart w:id="1787" w:name="Tc_FFuxaByWMEmrwN0P83CcRg_9_24"/>
      <w:bookmarkStart w:id="1788" w:name="Tc_l5SMxH8imke-BPR6H3FCeA_9_15"/>
      <w:bookmarkStart w:id="1789" w:name="Tc_-Xk_R6tqckeRK9lBJ_WgmA_9_3"/>
      <w:bookmarkStart w:id="1790" w:name="Tc_I0PgktnD-EKc2vlQbF4Kmw_9_0"/>
      <w:bookmarkStart w:id="1791" w:name="Tc_nwpNOyw-90Kh5EHNFo7m_A_8_24"/>
      <w:bookmarkStart w:id="1792" w:name="Tc_hPN59wm0e0-5uKgsTcb5Mg_8_3"/>
      <w:bookmarkStart w:id="1793" w:name="Tc_pw-ehuqgkES0rJIJrCEonQ_8_0"/>
      <w:bookmarkStart w:id="1794" w:name="Tc_RTyWeplxKkKhz7AyC8GAeg_7_24"/>
      <w:bookmarkStart w:id="1795" w:name="Tc_Kxg5-4svKUS43p6KQ2CEbA_7_21"/>
      <w:bookmarkStart w:id="1796" w:name="Tc_NeBN9SkmhUKCOX35a9lW5w_7_18"/>
      <w:bookmarkStart w:id="1797" w:name="Tc__NZBqxhM-kmq5GL88JCUeQ_7_12"/>
      <w:bookmarkStart w:id="1798" w:name="Tc_QihoZADCAE-IFMXszPagTg_7_9"/>
      <w:bookmarkStart w:id="1799" w:name="Tc_C-2HOZzSIUSv3wrHkK59sQ_7_0"/>
      <w:bookmarkStart w:id="1800" w:name="Tc_7bnCvqctO0W399znOMR5RA_6_21"/>
      <w:bookmarkStart w:id="1801" w:name="Tc_ivL70Gdlv0CCjpUcjGnT1g_6_12"/>
      <w:bookmarkStart w:id="1802" w:name="Tc_MrHicLxVUUqBXe4zWyrUSA_6_6"/>
      <w:bookmarkStart w:id="1803" w:name="Tc_avJ5bt5cKkKQkxZDJl3xnQ_6_0"/>
      <w:bookmarkStart w:id="1804" w:name="Tc_38y1OjPWdEig-QXYa_kO8w_5_26"/>
      <w:bookmarkStart w:id="1805" w:name="Tc_TAk3yXcak0asuDmB65JbMg_5_23"/>
      <w:bookmarkStart w:id="1806" w:name="Tc_UI-eLX5T6EK_NomKdhbDhw_5_20"/>
      <w:bookmarkStart w:id="1807" w:name="Tc_y4WB1_MnxEeaLzEJvLLYCA_5_17"/>
      <w:bookmarkStart w:id="1808" w:name="Tc_aBiCPc7Kw0SZNIdqThAqSg_5_14"/>
      <w:bookmarkStart w:id="1809" w:name="Tc_gYkeQUQx-Eih9t82_iG0EA_5_11"/>
      <w:bookmarkStart w:id="1810" w:name="Tc_xysjSxya0k-iclhCyZjGLA_5_8"/>
      <w:bookmarkStart w:id="1811" w:name="Tc_AqttgPt1nkWkaY6tfncnig_5_5"/>
      <w:bookmarkStart w:id="1812" w:name="Tc_6oJNbzyUvUaXtYu1k4U_Hw_5_2"/>
      <w:bookmarkStart w:id="1813" w:name="Tc_Zaiq8hwIw0Gf4NtMPF9VDQ_5_0"/>
      <w:bookmarkStart w:id="1814" w:name="Tc_1ULUnORFGEiaIT6vAv6Ecw_4_0"/>
      <w:bookmarkStart w:id="1815" w:name="Tc_oJXlJ5kHP0-Lg12kuamQEQ_3_2"/>
      <w:bookmarkStart w:id="1816" w:name="Tc_TTWg94S_tkO5bX6iXpnt_g_2_26"/>
      <w:bookmarkStart w:id="1817" w:name="Tc_UjL6kfcDSUeY_5-_dPwdgQ_2_23"/>
      <w:bookmarkStart w:id="1818" w:name="Tc_mVhJH25Hb0GJTL-Z4dq3eg_2_20"/>
      <w:bookmarkStart w:id="1819" w:name="Tc_jR3fwBi4IUWUSCAmCM-RRA_2_17"/>
      <w:bookmarkStart w:id="1820" w:name="Tc_txnyLoKHfkSBAccHiTG6xw_2_14"/>
      <w:bookmarkStart w:id="1821" w:name="Tc_e5Id4ON6hEqcGp6KnDPi1Q_2_11"/>
      <w:bookmarkStart w:id="1822" w:name="Tc_akIlI_hvPk2_ezgCIMcSdQ_2_8"/>
      <w:bookmarkStart w:id="1823" w:name="Tc_LHzD7ETZX06_jv2ZeM-xww_2_5"/>
      <w:bookmarkStart w:id="1824" w:name="Tc_0MVEVq6mP0ib5yedU2y5hQ_2_2"/>
      <w:bookmarkStart w:id="1825" w:name="Tc_OKmHKhMRrEKk2K4lpItr9w_1_2"/>
      <w:bookmarkStart w:id="1826" w:name="_d219bfcb_a548_4f51_8a16_928ba46c8861"/>
      <w:bookmarkStart w:id="1827" w:name="Tc_X_YN4dwPf0aHshoL5eXgjQ_23_26"/>
      <w:bookmarkStart w:id="1828" w:name="Tc_--F8gTli-UK2hZvDKsB1GQ_23_23"/>
      <w:bookmarkStart w:id="1829" w:name="Tc_bRpNOQOJqE-ZOAQR5Yn_Gg_23_20"/>
      <w:bookmarkStart w:id="1830" w:name="Tc_uVUTwuMBAkmRbE_c-ndGDQ_23_17"/>
      <w:bookmarkStart w:id="1831" w:name="Tc_iLVfVV34NEKhYzYYLHqkfg_23_14"/>
      <w:bookmarkStart w:id="1832" w:name="Tc_iZSIYnCAa0m7iB14Qa2s3Q_23_11"/>
      <w:bookmarkStart w:id="1833" w:name="Tc_9wRHj0YGMEe6xaPAyc51LQ_23_8"/>
      <w:bookmarkStart w:id="1834" w:name="Tc_NJ7yds4r_UO5ELLUPZ1muA_23_5"/>
      <w:bookmarkStart w:id="1835" w:name="Tc_YjamIQ44ZkqvqznTySxqpg_23_2"/>
      <w:bookmarkStart w:id="1836" w:name="Tc_arZ4LXhQkUOMqf5TJmusqA_23_0"/>
      <w:bookmarkStart w:id="1837" w:name="Tc_qF6NuLuoZk6X8mJLgLo19A_22_0"/>
      <w:bookmarkStart w:id="1838" w:name="Tc_00zqKGSw90W8bsgUP3D1LA_21_24"/>
      <w:bookmarkStart w:id="1839" w:name="Tc_HlrVtr2ZLEOh9xT95tStAQ_21_21"/>
      <w:bookmarkStart w:id="1840" w:name="Tc_dhPG6QjUpEC53ZnwKnqwng_21_18"/>
      <w:bookmarkStart w:id="1841" w:name="Tc_Dm3KXgoB6E2QMhgRN4qeCg_21_15"/>
      <w:bookmarkStart w:id="1842" w:name="Tc_zeSGvbun30KNEpV3dDp_fw_21_9"/>
      <w:bookmarkStart w:id="1843" w:name="Tc_vEtHq1G9fkmePhRvZ8cWWw_21_0"/>
      <w:bookmarkStart w:id="1844" w:name="Tc__W2rUomOrkqnKtlzqUkqcQ_20_0"/>
      <w:bookmarkStart w:id="1845" w:name="Tc_BO-TQTvRi0i1u6KshSn18A_18_0"/>
      <w:bookmarkStart w:id="1846" w:name="Tc_fWy32mgQ6ECGqu6GYMvt4Q_17_21"/>
      <w:bookmarkStart w:id="1847" w:name="Tc_Z031xHRwqUiMc2Arfo4Kiw_17_3"/>
      <w:bookmarkStart w:id="1848" w:name="Tc_047mWskPz0Klgx-UKMosbA_17_0"/>
      <w:bookmarkStart w:id="1849" w:name="Tc_TfkzCp6SGUeAyS3y3Qu6hw_16_24"/>
      <w:bookmarkStart w:id="1850" w:name="Tc_FAEA2E0giUKByX-mE2rK3g_16_21"/>
      <w:bookmarkStart w:id="1851" w:name="Tc_4YPy95v8Y0ecDbj3PVR2KA_16_18"/>
      <w:bookmarkStart w:id="1852" w:name="Tc_kQ9xAx-lD0uLF0QJuHPVng_16_15"/>
      <w:bookmarkStart w:id="1853" w:name="Tc_plmATK76BEeclOxWmOBcmQ_16_12"/>
      <w:bookmarkStart w:id="1854" w:name="Tc_I_Sn0cvTWkK1UHfIQ8BGlw_16_9"/>
      <w:bookmarkStart w:id="1855" w:name="Tc_8AujSAZ6XkqiH-0YIP5v4g_16_6"/>
      <w:bookmarkStart w:id="1856" w:name="Tc_4xnvHEI5Eky3um-RPlfn-g_16_0"/>
      <w:bookmarkStart w:id="1857" w:name="Tc_56DsQJm-2UeFq6FDSgNv7w_15_26"/>
      <w:bookmarkStart w:id="1858" w:name="Tc_Ccp2jqI2fU-RAPVBeVcwKw_15_23"/>
      <w:bookmarkStart w:id="1859" w:name="Tc_Vf6mMFalFUWRqePwhpEXcw_15_20"/>
      <w:bookmarkStart w:id="1860" w:name="Tc_1UY_mx9J9UaMBNleKpnsjQ_15_17"/>
      <w:bookmarkStart w:id="1861" w:name="Tc_lQ42SLyDf0CkSVaR2JZVwg_15_14"/>
      <w:bookmarkStart w:id="1862" w:name="Tc_d5lSiMzfNEifaM5N2oH14w_15_11"/>
      <w:bookmarkStart w:id="1863" w:name="Tc_kxi_bdU9RkSzIGjkMgbebQ_15_8"/>
      <w:bookmarkStart w:id="1864" w:name="Tc_hhSkWJ_7XkWFiXbp8ashLg_15_5"/>
      <w:bookmarkStart w:id="1865" w:name="Tc_bm_bUd1A20qVYl0OSnTbvw_15_2"/>
      <w:bookmarkStart w:id="1866" w:name="Tc_bXSJdXPokkWsO4T2-MWeJg_15_0"/>
      <w:bookmarkStart w:id="1867" w:name="Tc_2OazHPvrxUGV6cMvEMTk_g_14_0"/>
      <w:bookmarkStart w:id="1868" w:name="Tc_d_a3ej2TP0-w6i4WG3HwQw_13_26"/>
      <w:bookmarkStart w:id="1869" w:name="Tc_9t-zILNbkEyV3oMWorhjuA_13_23"/>
      <w:bookmarkStart w:id="1870" w:name="Tc_a1NG32P6EUOFX7UfIyzSLw_13_20"/>
      <w:bookmarkStart w:id="1871" w:name="Tc_8sUwZaVeT0OLVcPRr7nv5A_13_17"/>
      <w:bookmarkStart w:id="1872" w:name="Tc_iCIs8osZPEKnTt9JavF0pA_13_14"/>
      <w:bookmarkStart w:id="1873" w:name="Tc_sk7TQe_vD0mKjjn8ZJllOg_13_11"/>
      <w:bookmarkStart w:id="1874" w:name="Tc_vHP93VumKE-qFdfmDg1CYQ_13_8"/>
      <w:bookmarkStart w:id="1875" w:name="Tc_phYxmyzdMUesgauPUVW0bA_13_5"/>
      <w:bookmarkStart w:id="1876" w:name="Tc_UyaEHn8nc0uw61xiXMqA_w_13_2"/>
      <w:bookmarkStart w:id="1877" w:name="Tc_jQMWNslAQkK8bWadyFJBFQ_13_0"/>
      <w:bookmarkStart w:id="1878" w:name="Tc_qHO3C3I-FkWadqfq_T7SXg_12_0"/>
      <w:bookmarkStart w:id="1879" w:name="Tc_fpCfPyXAQEGC-7rh5q82XQ_11_24"/>
      <w:bookmarkStart w:id="1880" w:name="Tc_5rfPnTLHVUWPFwXvcnqlmw_11_15"/>
      <w:bookmarkStart w:id="1881" w:name="Tc_JiSMz6xnmU2lCBoBv5a8nw_11_3"/>
      <w:bookmarkStart w:id="1882" w:name="Tc_8ReLFfxMs0O9uV7qkHKF_Q_11_0"/>
      <w:bookmarkStart w:id="1883" w:name="Tc_cV-sRqF6A02INEPMEJGkyQ_10_21"/>
      <w:bookmarkStart w:id="1884" w:name="Tc_l0aB_0JSzkO06_jwgNkTHQ_10_3"/>
      <w:bookmarkStart w:id="1885" w:name="Tc_UOJ9erRt9kioNDPNe3YLyw_10_0"/>
      <w:bookmarkStart w:id="1886" w:name="Tc_2aWs6Nsdwk--XKBmEhrlwA_9_24"/>
      <w:bookmarkStart w:id="1887" w:name="Tc_gNIDaQ6LX0-hFGXewYT8Eg_9_15"/>
      <w:bookmarkStart w:id="1888" w:name="Tc_jrLWtAGsxUyxPi2GvrJUgg_9_3"/>
      <w:bookmarkStart w:id="1889" w:name="Tc_4lIfTafBeE2Kx3uGI6Lb6w_9_0"/>
      <w:bookmarkStart w:id="1890" w:name="Tc_6hP_q3L54kC0QaaodxA36Q_8_24"/>
      <w:bookmarkStart w:id="1891" w:name="Tc_TcweJF4NWEWMHUbJKOvk2w_8_3"/>
      <w:bookmarkStart w:id="1892" w:name="Tc_tzy-cTqTBEWBXngSlhfxcA_8_0"/>
      <w:bookmarkStart w:id="1893" w:name="Tc_qur9Z5i7REy0hDh-sbnkYw_7_24"/>
      <w:bookmarkStart w:id="1894" w:name="Tc_erL1FyswAU6lnwbQI-3tNw_7_21"/>
      <w:bookmarkStart w:id="1895" w:name="Tc_rpJYD6dMUUWXyeyF9Vf-vA_7_18"/>
      <w:bookmarkStart w:id="1896" w:name="Tc_jUs4cvU5sEeMKfwE7pljog_7_12"/>
      <w:bookmarkStart w:id="1897" w:name="Tc_9ZixIDqeRUa5hF20vzXYww_7_9"/>
      <w:bookmarkStart w:id="1898" w:name="Tc_yzWaZhMSQU6fwHl-FQNC2w_7_0"/>
      <w:bookmarkStart w:id="1899" w:name="Tc_aFtUA7Y4nkSniNmAOX8tmA_6_21"/>
      <w:bookmarkStart w:id="1900" w:name="Tc_H5Fic7tkYU6MFB6LbyGNxA_6_15"/>
      <w:bookmarkStart w:id="1901" w:name="Tc_1_PLyFsqs0GhL8FcHoogDw_6_12"/>
      <w:bookmarkStart w:id="1902" w:name="Tc_NVX4bjGR3UGPA5tTjPvYQw_6_6"/>
      <w:bookmarkStart w:id="1903" w:name="Tc_UQSkIHEuyU-MsIicNg0bmA_6_0"/>
      <w:bookmarkStart w:id="1904" w:name="Tc_sn7MzrDVUUy70hTymuLMyw_5_26"/>
      <w:bookmarkStart w:id="1905" w:name="Tc_j827jCleCk-b52sLGD1IKg_5_23"/>
      <w:bookmarkStart w:id="1906" w:name="Tc_7byDCFS4kEm8dY6BxTUfmw_5_20"/>
      <w:bookmarkStart w:id="1907" w:name="Tc_vDDfq6TyyEW1qQw2nN0Dfw_5_17"/>
      <w:bookmarkStart w:id="1908" w:name="Tc_MRWqsdYSjUGcHoMISr0Jjw_5_14"/>
      <w:bookmarkStart w:id="1909" w:name="Tc_qhi1d3jL4U65hzfXwX2Rzw_5_11"/>
      <w:bookmarkStart w:id="1910" w:name="Tc_f-tfTFu0ikacHAx-Tzmugw_5_8"/>
      <w:bookmarkStart w:id="1911" w:name="Tc_3EJHHXaMeUKE1AX0PoPXsQ_5_5"/>
      <w:bookmarkStart w:id="1912" w:name="Tc_pA5sYdUsoU2PBuEuf8pWEA_5_2"/>
      <w:bookmarkStart w:id="1913" w:name="Tc_CZjznFwJMEaUREPJUKJsjw_5_0"/>
      <w:bookmarkStart w:id="1914" w:name="Tc_VcC9Loh2aU6p6DTzOH0FUA_4_0"/>
      <w:bookmarkStart w:id="1915" w:name="Tc_bsiTqZy-PEq219s7_fgZ6A_3_2"/>
      <w:bookmarkStart w:id="1916" w:name="Tc_Jzw2vz-RWEGj7lHAusx2mA_2_26"/>
      <w:bookmarkStart w:id="1917" w:name="Tc_yZNpCRgcoEKNtyxyUZdJtg_2_23"/>
      <w:bookmarkStart w:id="1918" w:name="Tc_XsMk5BS5HUKb1r3DyLYZBg_2_20"/>
      <w:bookmarkStart w:id="1919" w:name="Tc_PflXnl0YSEqdyfeYOel0pg_2_17"/>
      <w:bookmarkStart w:id="1920" w:name="Tc_vDaTOVxb20y0FurlS8vKEA_2_14"/>
      <w:bookmarkStart w:id="1921" w:name="Tc_6MZR1WdM40Gu-YuQGyLfAg_2_11"/>
      <w:bookmarkStart w:id="1922" w:name="Tc_U2nB9Z8rOkugeD-Wc5OqWQ_2_8"/>
      <w:bookmarkStart w:id="1923" w:name="Tc_NTEPmCyRtEG9Vj8p0mIE5A_2_5"/>
      <w:bookmarkStart w:id="1924" w:name="Tc_eclETFUzGkuSQJ-X_GUkWg_2_2"/>
      <w:bookmarkStart w:id="1925" w:name="Tc_iQCSlapbKkiu_2cUjRhKBQ_1_2"/>
      <w:bookmarkStart w:id="1926" w:name="_f3388f2b_b566_4a3b_ab49_698c295644ff"/>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r>
        <w:rPr>
          <w:rFonts w:ascii="Times New Roman;Times;serif" w:hAnsi="Times New Roman;Times;serif"/>
          <w:b/>
          <w:sz w:val="20"/>
        </w:rPr>
        <w:t>Condensed Balance Sheets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82"/>
        <w:gridCol w:w="109"/>
        <w:gridCol w:w="224"/>
        <w:gridCol w:w="542"/>
        <w:gridCol w:w="109"/>
        <w:gridCol w:w="181"/>
        <w:gridCol w:w="436"/>
        <w:gridCol w:w="109"/>
        <w:gridCol w:w="233"/>
        <w:gridCol w:w="563"/>
        <w:gridCol w:w="109"/>
        <w:gridCol w:w="252"/>
        <w:gridCol w:w="484"/>
        <w:gridCol w:w="109"/>
        <w:gridCol w:w="181"/>
        <w:gridCol w:w="346"/>
        <w:gridCol w:w="109"/>
        <w:gridCol w:w="201"/>
        <w:gridCol w:w="385"/>
        <w:gridCol w:w="109"/>
        <w:gridCol w:w="196"/>
        <w:gridCol w:w="375"/>
        <w:gridCol w:w="109"/>
        <w:gridCol w:w="181"/>
        <w:gridCol w:w="515"/>
        <w:gridCol w:w="109"/>
        <w:gridCol w:w="218"/>
        <w:gridCol w:w="729"/>
      </w:tblGrid>
      <w:tr>
        <w:trPr/>
        <w:tc>
          <w:tcPr>
            <w:tcW w:w="2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893570" cy="175260"/>
                      <wp:effectExtent l="0" t="0" r="0" b="0"/>
                      <wp:wrapNone/>
                      <wp:docPr id="376" name="Frame376"/>
                      <a:graphic xmlns:a="http://schemas.openxmlformats.org/drawingml/2006/main">
                        <a:graphicData uri="http://schemas.microsoft.com/office/word/2010/wordprocessingShape">
                          <wps:wsp>
                            <wps:cNvSpPr txBox="1"/>
                            <wps:spPr>
                              <a:xfrm>
                                <a:off x="0" y="0"/>
                                <a:ext cx="1893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9215" cy="175260"/>
                      <wp:effectExtent l="0" t="0" r="0" b="0"/>
                      <wp:wrapNone/>
                      <wp:docPr id="377" name="Frame3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42240" cy="175260"/>
                      <wp:effectExtent l="0" t="0" r="0" b="0"/>
                      <wp:wrapNone/>
                      <wp:docPr id="378" name="Frame378"/>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44170" cy="175260"/>
                      <wp:effectExtent l="0" t="0" r="0" b="0"/>
                      <wp:wrapNone/>
                      <wp:docPr id="379" name="Frame379"/>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9215" cy="175260"/>
                      <wp:effectExtent l="0" t="0" r="0" b="0"/>
                      <wp:wrapNone/>
                      <wp:docPr id="380" name="Frame3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14935" cy="175260"/>
                      <wp:effectExtent l="0" t="0" r="0" b="0"/>
                      <wp:wrapNone/>
                      <wp:docPr id="381" name="Frame38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76860" cy="175260"/>
                      <wp:effectExtent l="0" t="0" r="0" b="0"/>
                      <wp:wrapNone/>
                      <wp:docPr id="382" name="Frame38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9215" cy="175260"/>
                      <wp:effectExtent l="0" t="0" r="0" b="0"/>
                      <wp:wrapNone/>
                      <wp:docPr id="383" name="Frame3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47955" cy="175260"/>
                      <wp:effectExtent l="0" t="0" r="0" b="0"/>
                      <wp:wrapNone/>
                      <wp:docPr id="384" name="Frame384"/>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357505" cy="175260"/>
                      <wp:effectExtent l="0" t="0" r="0" b="0"/>
                      <wp:wrapNone/>
                      <wp:docPr id="385" name="Frame385"/>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9215" cy="175260"/>
                      <wp:effectExtent l="0" t="0" r="0" b="0"/>
                      <wp:wrapNone/>
                      <wp:docPr id="386" name="Frame3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60020" cy="175260"/>
                      <wp:effectExtent l="0" t="0" r="0" b="0"/>
                      <wp:wrapNone/>
                      <wp:docPr id="387" name="Frame38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307340" cy="175260"/>
                      <wp:effectExtent l="0" t="0" r="0" b="0"/>
                      <wp:wrapNone/>
                      <wp:docPr id="388" name="Frame388"/>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9215" cy="175260"/>
                      <wp:effectExtent l="0" t="0" r="0" b="0"/>
                      <wp:wrapNone/>
                      <wp:docPr id="389" name="Frame3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14935" cy="175260"/>
                      <wp:effectExtent l="0" t="0" r="0" b="0"/>
                      <wp:wrapNone/>
                      <wp:docPr id="390" name="Frame39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91" name="Frame3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9215" cy="175260"/>
                      <wp:effectExtent l="0" t="0" r="0" b="0"/>
                      <wp:wrapNone/>
                      <wp:docPr id="392" name="Frame3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27635" cy="175260"/>
                      <wp:effectExtent l="0" t="0" r="0" b="0"/>
                      <wp:wrapNone/>
                      <wp:docPr id="393" name="Frame393"/>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44475" cy="175260"/>
                      <wp:effectExtent l="0" t="0" r="0" b="0"/>
                      <wp:wrapNone/>
                      <wp:docPr id="394" name="Frame394"/>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9215" cy="175260"/>
                      <wp:effectExtent l="0" t="0" r="0" b="0"/>
                      <wp:wrapNone/>
                      <wp:docPr id="395" name="Frame3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24460" cy="175260"/>
                      <wp:effectExtent l="0" t="0" r="0" b="0"/>
                      <wp:wrapNone/>
                      <wp:docPr id="396" name="Frame3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38125" cy="175260"/>
                      <wp:effectExtent l="0" t="0" r="0" b="0"/>
                      <wp:wrapNone/>
                      <wp:docPr id="397" name="Frame397"/>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9215" cy="175260"/>
                      <wp:effectExtent l="0" t="0" r="0" b="0"/>
                      <wp:wrapNone/>
                      <wp:docPr id="398" name="Frame3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14935" cy="175260"/>
                      <wp:effectExtent l="0" t="0" r="0" b="0"/>
                      <wp:wrapNone/>
                      <wp:docPr id="399" name="Frame39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327025" cy="175260"/>
                      <wp:effectExtent l="0" t="0" r="0" b="0"/>
                      <wp:wrapNone/>
                      <wp:docPr id="400" name="Frame400"/>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9215" cy="175260"/>
                      <wp:effectExtent l="0" t="0" r="0" b="0"/>
                      <wp:wrapNone/>
                      <wp:docPr id="401" name="Frame4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8430" cy="175260"/>
                      <wp:effectExtent l="0" t="0" r="0" b="0"/>
                      <wp:wrapNone/>
                      <wp:docPr id="402" name="Frame402"/>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62915" cy="175260"/>
                      <wp:effectExtent l="0" t="0" r="0" b="0"/>
                      <wp:wrapNone/>
                      <wp:docPr id="403" name="Frame403"/>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4"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2025</w:t>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109" w:type="dxa"/>
            <w:tcBorders/>
            <w:vAlign w:val="center"/>
          </w:tcPr>
          <w:p>
            <w:pPr>
              <w:pStyle w:val="TableContents"/>
              <w:bidi w:val="0"/>
              <w:spacing w:before="0" w:after="0"/>
              <w:ind w:left="0" w:right="0" w:hanging="0"/>
              <w:jc w:val="center"/>
              <w:rPr/>
            </w:pPr>
            <w:r>
              <w:rPr/>
              <w:t>​</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109"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109" w:type="dxa"/>
            <w:tcBorders/>
            <w:vAlign w:val="center"/>
          </w:tcPr>
          <w:p>
            <w:pPr>
              <w:pStyle w:val="TableContents"/>
              <w:bidi w:val="0"/>
              <w:spacing w:before="0" w:after="0"/>
              <w:ind w:left="0" w:right="0" w:hanging="0"/>
              <w:jc w:val="center"/>
              <w:rPr/>
            </w:pPr>
            <w:r>
              <w:rPr/>
              <w:t>​</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Food </w:t>
              <w:br/>
              <w:t>Packaging</w:t>
            </w:r>
          </w:p>
        </w:tc>
        <w:tc>
          <w:tcPr>
            <w:tcW w:w="109" w:type="dxa"/>
            <w:tcBorders/>
            <w:vAlign w:val="center"/>
          </w:tcPr>
          <w:p>
            <w:pPr>
              <w:pStyle w:val="TableContents"/>
              <w:bidi w:val="0"/>
              <w:spacing w:before="0" w:after="0"/>
              <w:ind w:left="0" w:right="0" w:hanging="0"/>
              <w:jc w:val="center"/>
              <w:rPr/>
            </w:pPr>
            <w:r>
              <w:rPr/>
              <w:t>​</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Real </w:t>
              <w:br/>
              <w:t>Estate</w:t>
            </w:r>
          </w:p>
        </w:tc>
        <w:tc>
          <w:tcPr>
            <w:tcW w:w="109" w:type="dxa"/>
            <w:tcBorders/>
            <w:vAlign w:val="center"/>
          </w:tcPr>
          <w:p>
            <w:pPr>
              <w:pStyle w:val="TableContents"/>
              <w:bidi w:val="0"/>
              <w:spacing w:before="0" w:after="0"/>
              <w:ind w:left="0" w:right="0" w:hanging="0"/>
              <w:jc w:val="center"/>
              <w:rPr/>
            </w:pPr>
            <w:r>
              <w:rPr/>
              <w:t>​</w:t>
            </w:r>
          </w:p>
        </w:tc>
        <w:tc>
          <w:tcPr>
            <w:tcW w:w="5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Home </w:t>
              <w:br/>
              <w:t>Fashion</w:t>
            </w:r>
          </w:p>
        </w:tc>
        <w:tc>
          <w:tcPr>
            <w:tcW w:w="109" w:type="dxa"/>
            <w:tcBorders/>
            <w:vAlign w:val="center"/>
          </w:tcPr>
          <w:p>
            <w:pPr>
              <w:pStyle w:val="TableContents"/>
              <w:bidi w:val="0"/>
              <w:spacing w:before="0" w:after="0"/>
              <w:ind w:left="0" w:right="0" w:hanging="0"/>
              <w:jc w:val="center"/>
              <w:rPr/>
            </w:pPr>
            <w:r>
              <w:rPr/>
              <w:t>​</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109" w:type="dxa"/>
            <w:tcBorders/>
            <w:vAlign w:val="center"/>
          </w:tcPr>
          <w:p>
            <w:pPr>
              <w:pStyle w:val="TableContents"/>
              <w:bidi w:val="0"/>
              <w:spacing w:before="0" w:after="0"/>
              <w:ind w:left="0" w:right="0" w:hanging="0"/>
              <w:jc w:val="center"/>
              <w:rPr/>
            </w:pPr>
            <w:r>
              <w:rPr/>
              <w:t>​</w:t>
            </w:r>
          </w:p>
        </w:tc>
        <w:tc>
          <w:tcPr>
            <w:tcW w:w="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Holding </w:t>
              <w:br/>
              <w:t>Company</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5"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4" w:type="dxa"/>
            <w:gridSpan w:val="26"/>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2982"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center"/>
              <w:rPr/>
            </w:pPr>
            <w:r>
              <w:rPr/>
              <w:t>​</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596</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1,086</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1,804</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held at consolidated affiliated partnerships and 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176</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2,672</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Investments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1,939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1,972</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receivable, net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245</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420</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Inventories, net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503</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174</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905</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Property, plant and equipment, net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2,461</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806</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334</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3,786</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Goodwill and intangible assets, net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324</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671</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466</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459</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201</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2,609</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assets</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5,714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4,439</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1,829</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483</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224</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1,467</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14,839</w:t>
            </w:r>
          </w:p>
        </w:tc>
      </w:tr>
      <w:tr>
        <w:trPr/>
        <w:tc>
          <w:tcPr>
            <w:tcW w:w="2982"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LIABILITIES AND EQUITY</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pPr>
            <w:r>
              <w:rPr/>
              <w:t>​</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payable, accrued expenses and other liabilities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1,501</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772</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3,707</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Securities sold, not yet purchased, at fair value</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996</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Debt</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1,861</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4,664</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6,713</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2,112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3,362</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797</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4,737</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11,416</w:t>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left"/>
              <w:rPr/>
            </w:pPr>
            <w:r>
              <w:rPr/>
              <w:t>​</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 attributable to Icahn Enterprises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550</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1,032</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439</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(3,270)</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1,743</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 attributable to non-controlling interests</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1,138</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527</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1,680</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equity</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3,602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1,077</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1,032</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439</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(3,270)</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3,423</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 and equity</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5,714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4,439</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1,829</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483</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224</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1,467</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14,839</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82"/>
        <w:gridCol w:w="109"/>
        <w:gridCol w:w="224"/>
        <w:gridCol w:w="542"/>
        <w:gridCol w:w="109"/>
        <w:gridCol w:w="181"/>
        <w:gridCol w:w="436"/>
        <w:gridCol w:w="109"/>
        <w:gridCol w:w="233"/>
        <w:gridCol w:w="563"/>
        <w:gridCol w:w="109"/>
        <w:gridCol w:w="252"/>
        <w:gridCol w:w="484"/>
        <w:gridCol w:w="109"/>
        <w:gridCol w:w="181"/>
        <w:gridCol w:w="346"/>
        <w:gridCol w:w="109"/>
        <w:gridCol w:w="201"/>
        <w:gridCol w:w="385"/>
        <w:gridCol w:w="109"/>
        <w:gridCol w:w="196"/>
        <w:gridCol w:w="375"/>
        <w:gridCol w:w="109"/>
        <w:gridCol w:w="181"/>
        <w:gridCol w:w="515"/>
        <w:gridCol w:w="109"/>
        <w:gridCol w:w="218"/>
        <w:gridCol w:w="729"/>
      </w:tblGrid>
      <w:tr>
        <w:trPr/>
        <w:tc>
          <w:tcPr>
            <w:tcW w:w="2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893570" cy="175260"/>
                      <wp:effectExtent l="0" t="0" r="0" b="0"/>
                      <wp:wrapNone/>
                      <wp:docPr id="404" name="Frame404"/>
                      <a:graphic xmlns:a="http://schemas.openxmlformats.org/drawingml/2006/main">
                        <a:graphicData uri="http://schemas.microsoft.com/office/word/2010/wordprocessingShape">
                          <wps:wsp>
                            <wps:cNvSpPr txBox="1"/>
                            <wps:spPr>
                              <a:xfrm>
                                <a:off x="0" y="0"/>
                                <a:ext cx="1893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9215" cy="175260"/>
                      <wp:effectExtent l="0" t="0" r="0" b="0"/>
                      <wp:wrapNone/>
                      <wp:docPr id="405" name="Frame4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42240" cy="175260"/>
                      <wp:effectExtent l="0" t="0" r="0" b="0"/>
                      <wp:wrapNone/>
                      <wp:docPr id="406" name="Frame406"/>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344170" cy="175260"/>
                      <wp:effectExtent l="0" t="0" r="0" b="0"/>
                      <wp:wrapNone/>
                      <wp:docPr id="407" name="Frame407"/>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9215" cy="175260"/>
                      <wp:effectExtent l="0" t="0" r="0" b="0"/>
                      <wp:wrapNone/>
                      <wp:docPr id="408" name="Frame4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14935" cy="175260"/>
                      <wp:effectExtent l="0" t="0" r="0" b="0"/>
                      <wp:wrapNone/>
                      <wp:docPr id="409" name="Frame40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76860" cy="175260"/>
                      <wp:effectExtent l="0" t="0" r="0" b="0"/>
                      <wp:wrapNone/>
                      <wp:docPr id="410" name="Frame41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9215" cy="175260"/>
                      <wp:effectExtent l="0" t="0" r="0" b="0"/>
                      <wp:wrapNone/>
                      <wp:docPr id="411" name="Frame4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47955" cy="175260"/>
                      <wp:effectExtent l="0" t="0" r="0" b="0"/>
                      <wp:wrapNone/>
                      <wp:docPr id="412" name="Frame41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357505" cy="175260"/>
                      <wp:effectExtent l="0" t="0" r="0" b="0"/>
                      <wp:wrapNone/>
                      <wp:docPr id="413" name="Frame413"/>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9215" cy="175260"/>
                      <wp:effectExtent l="0" t="0" r="0" b="0"/>
                      <wp:wrapNone/>
                      <wp:docPr id="414" name="Frame4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60020" cy="175260"/>
                      <wp:effectExtent l="0" t="0" r="0" b="0"/>
                      <wp:wrapNone/>
                      <wp:docPr id="415" name="Frame41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307340" cy="175260"/>
                      <wp:effectExtent l="0" t="0" r="0" b="0"/>
                      <wp:wrapNone/>
                      <wp:docPr id="416" name="Frame416"/>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9215" cy="175260"/>
                      <wp:effectExtent l="0" t="0" r="0" b="0"/>
                      <wp:wrapNone/>
                      <wp:docPr id="417" name="Frame4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14935" cy="175260"/>
                      <wp:effectExtent l="0" t="0" r="0" b="0"/>
                      <wp:wrapNone/>
                      <wp:docPr id="418" name="Frame41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710" cy="175260"/>
                      <wp:effectExtent l="0" t="0" r="0" b="0"/>
                      <wp:wrapNone/>
                      <wp:docPr id="419"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9215" cy="175260"/>
                      <wp:effectExtent l="0" t="0" r="0" b="0"/>
                      <wp:wrapNone/>
                      <wp:docPr id="420" name="Frame4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27635" cy="175260"/>
                      <wp:effectExtent l="0" t="0" r="0" b="0"/>
                      <wp:wrapNone/>
                      <wp:docPr id="421" name="Frame421"/>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44475" cy="175260"/>
                      <wp:effectExtent l="0" t="0" r="0" b="0"/>
                      <wp:wrapNone/>
                      <wp:docPr id="422" name="Frame422"/>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9215" cy="175260"/>
                      <wp:effectExtent l="0" t="0" r="0" b="0"/>
                      <wp:wrapNone/>
                      <wp:docPr id="423" name="Frame4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24460" cy="175260"/>
                      <wp:effectExtent l="0" t="0" r="0" b="0"/>
                      <wp:wrapNone/>
                      <wp:docPr id="424" name="Frame4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38125" cy="175260"/>
                      <wp:effectExtent l="0" t="0" r="0" b="0"/>
                      <wp:wrapNone/>
                      <wp:docPr id="425" name="Frame425"/>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9215" cy="175260"/>
                      <wp:effectExtent l="0" t="0" r="0" b="0"/>
                      <wp:wrapNone/>
                      <wp:docPr id="426" name="Frame4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14935" cy="175260"/>
                      <wp:effectExtent l="0" t="0" r="0" b="0"/>
                      <wp:wrapNone/>
                      <wp:docPr id="427" name="Frame42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327025" cy="175260"/>
                      <wp:effectExtent l="0" t="0" r="0" b="0"/>
                      <wp:wrapNone/>
                      <wp:docPr id="428" name="Frame428"/>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9215" cy="175260"/>
                      <wp:effectExtent l="0" t="0" r="0" b="0"/>
                      <wp:wrapNone/>
                      <wp:docPr id="429" name="Frame4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8430" cy="175260"/>
                      <wp:effectExtent l="0" t="0" r="0" b="0"/>
                      <wp:wrapNone/>
                      <wp:docPr id="430" name="Frame430"/>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462915" cy="175260"/>
                      <wp:effectExtent l="0" t="0" r="0" b="0"/>
                      <wp:wrapNone/>
                      <wp:docPr id="431" name="Frame431"/>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4"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2024</w:t>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109" w:type="dxa"/>
            <w:tcBorders/>
            <w:vAlign w:val="center"/>
          </w:tcPr>
          <w:p>
            <w:pPr>
              <w:pStyle w:val="TableContents"/>
              <w:bidi w:val="0"/>
              <w:spacing w:before="0" w:after="0"/>
              <w:ind w:left="0" w:right="0" w:hanging="0"/>
              <w:jc w:val="center"/>
              <w:rPr/>
            </w:pPr>
            <w:r>
              <w:rPr/>
              <w:t>​</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109"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109" w:type="dxa"/>
            <w:tcBorders/>
            <w:vAlign w:val="center"/>
          </w:tcPr>
          <w:p>
            <w:pPr>
              <w:pStyle w:val="TableContents"/>
              <w:bidi w:val="0"/>
              <w:spacing w:before="0" w:after="0"/>
              <w:ind w:left="0" w:right="0" w:hanging="0"/>
              <w:jc w:val="center"/>
              <w:rPr/>
            </w:pPr>
            <w:r>
              <w:rPr/>
              <w:t>​</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Food </w:t>
              <w:br/>
              <w:t>Packaging</w:t>
            </w:r>
          </w:p>
        </w:tc>
        <w:tc>
          <w:tcPr>
            <w:tcW w:w="109" w:type="dxa"/>
            <w:tcBorders/>
            <w:vAlign w:val="center"/>
          </w:tcPr>
          <w:p>
            <w:pPr>
              <w:pStyle w:val="TableContents"/>
              <w:bidi w:val="0"/>
              <w:spacing w:before="0" w:after="0"/>
              <w:ind w:left="0" w:right="0" w:hanging="0"/>
              <w:jc w:val="center"/>
              <w:rPr/>
            </w:pPr>
            <w:r>
              <w:rPr/>
              <w:t>​</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Real </w:t>
              <w:br/>
              <w:t>Estate</w:t>
            </w:r>
          </w:p>
        </w:tc>
        <w:tc>
          <w:tcPr>
            <w:tcW w:w="109" w:type="dxa"/>
            <w:tcBorders/>
            <w:vAlign w:val="center"/>
          </w:tcPr>
          <w:p>
            <w:pPr>
              <w:pStyle w:val="TableContents"/>
              <w:bidi w:val="0"/>
              <w:spacing w:before="0" w:after="0"/>
              <w:ind w:left="0" w:right="0" w:hanging="0"/>
              <w:jc w:val="center"/>
              <w:rPr/>
            </w:pPr>
            <w:r>
              <w:rPr/>
              <w:t>​</w:t>
            </w:r>
          </w:p>
        </w:tc>
        <w:tc>
          <w:tcPr>
            <w:tcW w:w="5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Home </w:t>
              <w:br/>
              <w:t>Fashion</w:t>
            </w:r>
          </w:p>
        </w:tc>
        <w:tc>
          <w:tcPr>
            <w:tcW w:w="109" w:type="dxa"/>
            <w:tcBorders/>
            <w:vAlign w:val="center"/>
          </w:tcPr>
          <w:p>
            <w:pPr>
              <w:pStyle w:val="TableContents"/>
              <w:bidi w:val="0"/>
              <w:spacing w:before="0" w:after="0"/>
              <w:ind w:left="0" w:right="0" w:hanging="0"/>
              <w:jc w:val="center"/>
              <w:rPr/>
            </w:pPr>
            <w:r>
              <w:rPr/>
              <w:t>​</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109" w:type="dxa"/>
            <w:tcBorders/>
            <w:vAlign w:val="center"/>
          </w:tcPr>
          <w:p>
            <w:pPr>
              <w:pStyle w:val="TableContents"/>
              <w:bidi w:val="0"/>
              <w:spacing w:before="0" w:after="0"/>
              <w:ind w:left="0" w:right="0" w:hanging="0"/>
              <w:jc w:val="center"/>
              <w:rPr/>
            </w:pPr>
            <w:r>
              <w:rPr/>
              <w:t>​</w:t>
            </w:r>
          </w:p>
        </w:tc>
        <w:tc>
          <w:tcPr>
            <w:tcW w:w="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Holding </w:t>
              <w:br/>
              <w:t>Company</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5"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4" w:type="dxa"/>
            <w:gridSpan w:val="26"/>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2982"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center"/>
              <w:rPr/>
            </w:pPr>
            <w:r>
              <w:rPr/>
              <w:t>​</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987</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133</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1,397</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2,603</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held at consolidated affiliated partnerships and 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2,449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2,636</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Investments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2,272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2,310</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receivable, net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295</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479</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Inventories, net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502</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897</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Property, plant and equipment, net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2,504</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808</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3,843</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Goodwill and intangible assets, net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328</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697</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464</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204</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2,814</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assets</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6,390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4,751</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1,939</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495</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1,778</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16,279</w:t>
            </w:r>
          </w:p>
        </w:tc>
      </w:tr>
      <w:tr>
        <w:trPr/>
        <w:tc>
          <w:tcPr>
            <w:tcW w:w="2982"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LIABILITIES AND EQUITY</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pPr>
            <w:r>
              <w:rPr/>
              <w:t>​</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payable, accrued expenses and other liabilities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1,509</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809</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3,476</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Securities sold, not yet purchased, at fair value</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1,373</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Debt</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1,919</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4,699</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6,809</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2,190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3,428</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840</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4,776</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11,658</w:t>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left"/>
              <w:rPr/>
            </w:pPr>
            <w:r>
              <w:rPr/>
              <w:t>​</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 attributable to Icahn Enterprises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2,703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685</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1,099</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447</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(2,998)</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2,466</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 attributable to non-controlling interests</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1,497</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638</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2,155</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equity</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4,200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1,323</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1,099</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452</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(2,998)</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4,621</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 and equity</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6,390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4,751</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1,939</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495</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1,778</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16,279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three months ended June 30, 2025, we recorded an income tax benefit of $45 million on pre-tax loss of $246 million compared to an income tax expense of $4 million on pre-tax loss of $482 million for the three months ended June 30, 2024. Our effective income tax rate was 17.5% and (0.8%) for the three months ended June 30, 2025 and 2024, respectively.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the three months ended June 30, 2025, the effective tax rate was lower than the statutory federal rate of 21%, for corporations, primarily due to changes in the valuation allowance and from partnership loss for which there was no tax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benefit as such income is allocated to the partners. For the three months ended June 30, 2024, the effective tax rate was lower than the statutory federal rate of 21%, for corporations, primarily due to changes in the valuation allowance and from partnership losses for which there was no tax benefit as such losses are allocated to the partners.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the six months ended June 30, 2025, we recorded an income tax benefit of $119 million on pre-tax loss of $900 million compared to an income tax expense of $11 million on pre-tax loss of $501 million for the six months ended June 30, 2024. Our effective income tax rate was 13.0% and (2.2%) for the six months ended June 30, 2025 and 2024, respectively.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the six months ended June 30, 2025, the effective tax rate was lower than the statutory federal rate of 21%, for corporations, primarily due to changes in the valuation allowance and from partnership losses for which there was no tax benefit as such losses are allocated to the partners. For the six months ended June 30, 2024, the effective tax rate was lower than the statutory federal rate of 21%, for corporations, primarily due to changes in the valuation allowance and from partnership losses for which there was no tax benefit as such losses are allocated to the partners.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1927" w:name="Tc_UaQnEWQJsk6PzWmqLbKLPg_8_8"/>
      <w:bookmarkStart w:id="1928" w:name="Tc_69Jdu2TIbUmaPWfmrVNv7w_8_5"/>
      <w:bookmarkStart w:id="1929" w:name="Tc_9euM_tdSFUS_LI0kXSzevQ_8_2"/>
      <w:bookmarkStart w:id="1930" w:name="Tc_lv03_kdgXEmUnXKV3dQdzg_8_0"/>
      <w:bookmarkStart w:id="1931" w:name="Tc_qvllyXJoVE611SZqR5M31Q_7_6"/>
      <w:bookmarkStart w:id="1932" w:name="Tc_fDfXBwmb-UCB_rWTuUoNdw_7_0"/>
      <w:bookmarkStart w:id="1933" w:name="Tc_zaw_udz-c0KvgfT42bD8-w_6_6"/>
      <w:bookmarkStart w:id="1934" w:name="Tc_CEmqznlIEka1i90NSnGfFg_6_0"/>
      <w:bookmarkStart w:id="1935" w:name="Tc_EujN6N78VUi1_i8e7zpLig_5_8"/>
      <w:bookmarkStart w:id="1936" w:name="Tc_gqBc87cQjkioLapkrSowVQ_5_5"/>
      <w:bookmarkStart w:id="1937" w:name="Tc_c6ugM1fEw0OBrZfxbZ1Zag_5_2"/>
      <w:bookmarkStart w:id="1938" w:name="Tc_HCqvF-gD2EqhqbCN2uLQYw_5_0"/>
      <w:bookmarkStart w:id="1939" w:name="Tc_YRzwrA42VUmEwmLbVTk5_w_4_2"/>
      <w:bookmarkStart w:id="1940" w:name="Tc_x08ColLIX02GMAy5Tnu9Lw_3_8"/>
      <w:bookmarkStart w:id="1941" w:name="Tc_hw2VXy83w0G86JovhxK3RA_3_5"/>
      <w:bookmarkStart w:id="1942" w:name="Tc_TZv1vmqY0EOt__6kwDXhMQ_3_2"/>
      <w:bookmarkStart w:id="1943" w:name="Tc_A47T1khnLEKyfjoH4KZpqw_2_5"/>
      <w:bookmarkStart w:id="1944" w:name="Tc_4oRVeabzi025Z7IpOvQXwA_2_2"/>
      <w:bookmarkStart w:id="1945" w:name="Tc_SA2qIuBjkkCKTPyQ6MMR-Q_1_5"/>
      <w:bookmarkStart w:id="1946" w:name="Tc_rornR4TOzUWHWKlU93HTsQ_1_2"/>
      <w:bookmarkStart w:id="1947" w:name="_f553d881_d024_487e_8cc9_90ad0e8e791d"/>
      <w:bookmarkStart w:id="1948" w:name="Tc_IEI-pbH32UujsJozGLp8rg_8_8"/>
      <w:bookmarkStart w:id="1949" w:name="Tc_L6oe386t7USF8qKngvhhfQ_8_5"/>
      <w:bookmarkStart w:id="1950" w:name="Tc_0YFUy32T7kW6K4LWZozoQQ_8_2"/>
      <w:bookmarkStart w:id="1951" w:name="Tc_pKEL_rjtYUODm4ReT64Chg_8_0"/>
      <w:bookmarkStart w:id="1952" w:name="Tc_G2PoJDe9w0WHvEyTdCj7JA_7_0"/>
      <w:bookmarkStart w:id="1953" w:name="Tc_WCml24fb50OzOMGBXz3S3Q_6_0"/>
      <w:bookmarkStart w:id="1954" w:name="Tc_A4okBD0I20iThLt0LQByug_5_8"/>
      <w:bookmarkStart w:id="1955" w:name="Tc__PvMHHcttESszJsWETnaXQ_5_5"/>
      <w:bookmarkStart w:id="1956" w:name="Tc_56-V9HmNxEeUpFm1WWVR6g_5_2"/>
      <w:bookmarkStart w:id="1957" w:name="Tc_uSvh-pWkVk2qyOEuLRyxhw_5_0"/>
      <w:bookmarkStart w:id="1958" w:name="Tc_GdJEINioA0K51N2274qvoA_4_2"/>
      <w:bookmarkStart w:id="1959" w:name="Tc_rwq5BlZ900md9nTfq0OKQw_3_8"/>
      <w:bookmarkStart w:id="1960" w:name="Tc_ee7Gxy6FskKPaa_NozL_Mw_3_5"/>
      <w:bookmarkStart w:id="1961" w:name="Tc_g2c5HBvl_0G9__xs0HITmA_3_2"/>
      <w:bookmarkStart w:id="1962" w:name="Tc_nt9Al6D360imhdormqumFw_2_5"/>
      <w:bookmarkStart w:id="1963" w:name="Tc_fT9GcZSI4Eq36MYGohdGjg_2_2"/>
      <w:bookmarkStart w:id="1964" w:name="Tc_09wjW6z-C0uJaMaDn3lVLQ_1_5"/>
      <w:bookmarkStart w:id="1965" w:name="Tc_vZmlIOBdykee2v5OCsJO0g_1_2"/>
      <w:bookmarkStart w:id="1966" w:name="_b940a727_a659_41e4_917f_795385e7d7aa"/>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r>
        <w:rPr>
          <w:rFonts w:ascii="Times New Roman;Times;serif" w:hAnsi="Times New Roman;Times;serif"/>
          <w:b/>
          <w:sz w:val="20"/>
        </w:rPr>
        <w:t>14.  Changes in Accumulated Other Comprehensive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Changes in accumulated other comprehensive loss consists of the following:</w:t>
      </w:r>
    </w:p>
    <w:p>
      <w:pPr>
        <w:pStyle w:val="TextBody"/>
        <w:bidi w:val="0"/>
        <w:spacing w:before="0" w:after="0"/>
        <w:ind w:left="0" w:right="0" w:hanging="0"/>
        <w:jc w:val="left"/>
        <w:rPr/>
      </w:pPr>
      <w:r>
        <w:rPr/>
        <w:t>​</w:t>
      </w:r>
    </w:p>
    <w:tbl>
      <w:tblPr>
        <w:tblW w:w="9622" w:type="dxa"/>
        <w:jc w:val="left"/>
        <w:tblInd w:w="0" w:type="dxa"/>
        <w:tblLayout w:type="fixed"/>
        <w:tblCellMar>
          <w:top w:w="0" w:type="dxa"/>
          <w:left w:w="0" w:type="dxa"/>
          <w:bottom w:w="0" w:type="dxa"/>
          <w:right w:w="0" w:type="dxa"/>
        </w:tblCellMar>
      </w:tblPr>
      <w:tblGrid>
        <w:gridCol w:w="4966"/>
        <w:gridCol w:w="326"/>
        <w:gridCol w:w="543"/>
        <w:gridCol w:w="972"/>
        <w:gridCol w:w="326"/>
        <w:gridCol w:w="528"/>
        <w:gridCol w:w="943"/>
        <w:gridCol w:w="326"/>
        <w:gridCol w:w="211"/>
        <w:gridCol w:w="481"/>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3153410" cy="175260"/>
                      <wp:effectExtent l="0" t="0" r="0" b="0"/>
                      <wp:wrapNone/>
                      <wp:docPr id="432" name="Frame432"/>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344805" cy="175260"/>
                      <wp:effectExtent l="0" t="0" r="0" b="0"/>
                      <wp:wrapNone/>
                      <wp:docPr id="434" name="Frame434"/>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17220" cy="175260"/>
                      <wp:effectExtent l="0" t="0" r="0" b="0"/>
                      <wp:wrapNone/>
                      <wp:docPr id="435" name="Frame435"/>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6" name="Frame4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335280" cy="175260"/>
                      <wp:effectExtent l="0" t="0" r="0" b="0"/>
                      <wp:wrapNone/>
                      <wp:docPr id="437" name="Frame437"/>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598805" cy="175260"/>
                      <wp:effectExtent l="0" t="0" r="0" b="0"/>
                      <wp:wrapNone/>
                      <wp:docPr id="438" name="Frame438"/>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9"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33985" cy="175260"/>
                      <wp:effectExtent l="0" t="0" r="0" b="0"/>
                      <wp:wrapNone/>
                      <wp:docPr id="440" name="Frame4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305435" cy="175260"/>
                      <wp:effectExtent l="0" t="0" r="0" b="0"/>
                      <wp:wrapNone/>
                      <wp:docPr id="441" name="Frame441"/>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Translation</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Post-Retirement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pPr>
            <w:r>
              <w:rPr/>
              <w:t>​</w:t>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Adjustments, Net</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Benefits,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pPr>
            <w:r>
              <w:rPr/>
              <w:t>​</w:t>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of Tax</w:t>
            </w:r>
          </w:p>
        </w:tc>
        <w:tc>
          <w:tcPr>
            <w:tcW w:w="326" w:type="dxa"/>
            <w:tcBorders/>
            <w:vAlign w:val="center"/>
          </w:tcPr>
          <w:p>
            <w:pPr>
              <w:pStyle w:val="TableContents"/>
              <w:bidi w:val="0"/>
              <w:spacing w:before="0" w:after="1"/>
              <w:ind w:left="0" w:right="0" w:hanging="0"/>
              <w:jc w:val="left"/>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of Tax</w:t>
            </w:r>
          </w:p>
        </w:tc>
        <w:tc>
          <w:tcPr>
            <w:tcW w:w="326" w:type="dxa"/>
            <w:tcBorders/>
            <w:vAlign w:val="center"/>
          </w:tcPr>
          <w:p>
            <w:pPr>
              <w:pStyle w:val="TableContents"/>
              <w:bidi w:val="0"/>
              <w:spacing w:before="0" w:after="1"/>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962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30"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4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before reclassifications, net of tax</w:t>
            </w:r>
          </w:p>
        </w:tc>
        <w:tc>
          <w:tcPr>
            <w:tcW w:w="326" w:type="dxa"/>
            <w:tcBorders/>
            <w:vAlign w:val="center"/>
          </w:tcPr>
          <w:p>
            <w:pPr>
              <w:pStyle w:val="TableContents"/>
              <w:bidi w:val="0"/>
              <w:spacing w:before="0" w:after="1"/>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1"/>
              <w:ind w:left="0" w:right="0" w:hanging="0"/>
              <w:jc w:val="left"/>
              <w:rPr/>
            </w:pPr>
            <w:r>
              <w:rPr/>
              <w:t>​</w:t>
            </w:r>
          </w:p>
        </w:tc>
        <w:tc>
          <w:tcPr>
            <w:tcW w:w="5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5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2025</w:t>
            </w:r>
          </w:p>
        </w:tc>
        <w:tc>
          <w:tcPr>
            <w:tcW w:w="326" w:type="dxa"/>
            <w:tcBorders/>
            <w:vAlign w:val="center"/>
          </w:tcPr>
          <w:p>
            <w:pPr>
              <w:pStyle w:val="TableContents"/>
              <w:bidi w:val="0"/>
              <w:spacing w:before="0" w:after="1"/>
              <w:ind w:left="0" w:right="0" w:hanging="0"/>
              <w:jc w:val="left"/>
              <w:rPr/>
            </w:pPr>
            <w:r>
              <w:rPr/>
              <w:t>​</w:t>
            </w:r>
          </w:p>
        </w:tc>
        <w:tc>
          <w:tcPr>
            <w:tcW w:w="5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1"/>
              <w:ind w:left="0" w:right="0" w:hanging="0"/>
              <w:jc w:val="left"/>
              <w:rPr/>
            </w:pPr>
            <w:r>
              <w:rPr/>
              <w:t>​</w:t>
            </w:r>
          </w:p>
        </w:tc>
        <w:tc>
          <w:tcPr>
            <w:tcW w:w="5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bl>
    <w:p>
      <w:pPr>
        <w:pStyle w:val="TextBody"/>
        <w:bidi w:val="0"/>
        <w:spacing w:before="0" w:after="240"/>
        <w:ind w:left="0" w:right="0" w:firstLine="360"/>
        <w:jc w:val="left"/>
        <w:rPr/>
      </w:pPr>
      <w:r>
        <w:rPr/>
        <w:t>​</w:t>
      </w:r>
    </w:p>
    <w:tbl>
      <w:tblPr>
        <w:tblW w:w="9622" w:type="dxa"/>
        <w:jc w:val="left"/>
        <w:tblInd w:w="0" w:type="dxa"/>
        <w:tblLayout w:type="fixed"/>
        <w:tblCellMar>
          <w:top w:w="0" w:type="dxa"/>
          <w:left w:w="0" w:type="dxa"/>
          <w:bottom w:w="0" w:type="dxa"/>
          <w:right w:w="0" w:type="dxa"/>
        </w:tblCellMar>
      </w:tblPr>
      <w:tblGrid>
        <w:gridCol w:w="4966"/>
        <w:gridCol w:w="326"/>
        <w:gridCol w:w="543"/>
        <w:gridCol w:w="972"/>
        <w:gridCol w:w="326"/>
        <w:gridCol w:w="528"/>
        <w:gridCol w:w="943"/>
        <w:gridCol w:w="326"/>
        <w:gridCol w:w="211"/>
        <w:gridCol w:w="481"/>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3153410" cy="175260"/>
                      <wp:effectExtent l="0" t="0" r="0" b="0"/>
                      <wp:wrapNone/>
                      <wp:docPr id="442" name="Frame442"/>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3" name="Frame4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344805" cy="175260"/>
                      <wp:effectExtent l="0" t="0" r="0" b="0"/>
                      <wp:wrapNone/>
                      <wp:docPr id="444" name="Frame444"/>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17220" cy="175260"/>
                      <wp:effectExtent l="0" t="0" r="0" b="0"/>
                      <wp:wrapNone/>
                      <wp:docPr id="445" name="Frame445"/>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6"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335280" cy="175260"/>
                      <wp:effectExtent l="0" t="0" r="0" b="0"/>
                      <wp:wrapNone/>
                      <wp:docPr id="447" name="Frame447"/>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598805" cy="175260"/>
                      <wp:effectExtent l="0" t="0" r="0" b="0"/>
                      <wp:wrapNone/>
                      <wp:docPr id="448" name="Frame448"/>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7010" cy="175260"/>
                      <wp:effectExtent l="0" t="0" r="0" b="0"/>
                      <wp:wrapNone/>
                      <wp:docPr id="449" name="Frame4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3985" cy="175260"/>
                      <wp:effectExtent l="0" t="0" r="0" b="0"/>
                      <wp:wrapNone/>
                      <wp:docPr id="450" name="Frame4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305435" cy="175260"/>
                      <wp:effectExtent l="0" t="0" r="0" b="0"/>
                      <wp:wrapNone/>
                      <wp:docPr id="451" name="Frame451"/>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Translation</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Post-Retirement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pPr>
            <w:r>
              <w:rPr/>
              <w:t>​</w:t>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Adjustments, Net</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Benefits,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pPr>
            <w:r>
              <w:rPr/>
              <w:t>​</w:t>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of Tax</w:t>
            </w:r>
          </w:p>
        </w:tc>
        <w:tc>
          <w:tcPr>
            <w:tcW w:w="326" w:type="dxa"/>
            <w:tcBorders/>
            <w:vAlign w:val="center"/>
          </w:tcPr>
          <w:p>
            <w:pPr>
              <w:pStyle w:val="TableContents"/>
              <w:bidi w:val="0"/>
              <w:spacing w:before="0" w:after="1"/>
              <w:ind w:left="0" w:right="0" w:hanging="0"/>
              <w:jc w:val="left"/>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of Tax</w:t>
            </w:r>
          </w:p>
        </w:tc>
        <w:tc>
          <w:tcPr>
            <w:tcW w:w="326" w:type="dxa"/>
            <w:tcBorders/>
            <w:vAlign w:val="center"/>
          </w:tcPr>
          <w:p>
            <w:pPr>
              <w:pStyle w:val="TableContents"/>
              <w:bidi w:val="0"/>
              <w:spacing w:before="0" w:after="1"/>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962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30"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4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before reclassifications, net of tax</w:t>
            </w:r>
          </w:p>
        </w:tc>
        <w:tc>
          <w:tcPr>
            <w:tcW w:w="326"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left"/>
              <w:rPr/>
            </w:pPr>
            <w:r>
              <w:rPr/>
              <w:t> </w:t>
            </w:r>
          </w:p>
        </w:tc>
        <w:tc>
          <w:tcPr>
            <w:tcW w:w="9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5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2024</w:t>
            </w:r>
          </w:p>
        </w:tc>
        <w:tc>
          <w:tcPr>
            <w:tcW w:w="326" w:type="dxa"/>
            <w:tcBorders/>
            <w:vAlign w:val="center"/>
          </w:tcPr>
          <w:p>
            <w:pPr>
              <w:pStyle w:val="TableContents"/>
              <w:bidi w:val="0"/>
              <w:spacing w:before="0" w:after="1"/>
              <w:ind w:left="0" w:right="0" w:hanging="0"/>
              <w:jc w:val="left"/>
              <w:rPr/>
            </w:pPr>
            <w:r>
              <w:rPr/>
              <w:t>​</w:t>
            </w:r>
          </w:p>
        </w:tc>
        <w:tc>
          <w:tcPr>
            <w:tcW w:w="5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1"/>
              <w:ind w:left="0" w:right="0" w:hanging="0"/>
              <w:jc w:val="left"/>
              <w:rPr/>
            </w:pPr>
            <w:r>
              <w:rPr/>
              <w:t>​</w:t>
            </w:r>
          </w:p>
        </w:tc>
        <w:tc>
          <w:tcPr>
            <w:tcW w:w="5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967" w:name="Tc_oqEjfIzPn0Kfok-bt6zZTQ_8_11"/>
      <w:bookmarkStart w:id="1968" w:name="Tc_bzndMdXi7ki3S8Sdw6NE1A_8_8"/>
      <w:bookmarkStart w:id="1969" w:name="Tc_7vOWIsMyqkyR9w1VEMSXCA_8_5"/>
      <w:bookmarkStart w:id="1970" w:name="Tc_QtfQJyQ0eEaZJndQ0ajVlA_8_2"/>
      <w:bookmarkStart w:id="1971" w:name="Tc_qrbrlcIXJ0aqn2no-yemFA_7_0"/>
      <w:bookmarkStart w:id="1972" w:name="Tc_GHoGyPjatE27v_bpSb0Dxw_6_0"/>
      <w:bookmarkStart w:id="1973" w:name="Tc_ESuHI9rlRUCyWtybEANLew_5_0"/>
      <w:bookmarkStart w:id="1974" w:name="Tc_3f2SBzXoN0Wn-8V-8I5FIQ_4_11"/>
      <w:bookmarkStart w:id="1975" w:name="Tc_vKMIxdIpH02xhbzuVRq64w_4_8"/>
      <w:bookmarkStart w:id="1976" w:name="Tc_0gsqmq0mh025GvI7rIWEwA_4_5"/>
      <w:bookmarkStart w:id="1977" w:name="Tc_D8_NjTXJwkufqGOwnnIpnA_4_2"/>
      <w:bookmarkStart w:id="1978" w:name="Tc_Cxi0Uz2kv0KJIJt31JW5vA_4_0"/>
      <w:bookmarkStart w:id="1979" w:name="Tc_MiJb5cV540CaY_BKSwoMmw_3_2"/>
      <w:bookmarkStart w:id="1980" w:name="Tc_jkoXJkvsi06JgwIPW6JnCw_2_11"/>
      <w:bookmarkStart w:id="1981" w:name="Tc_q-SdxEtrek-CSVtdlbQd_Q_2_8"/>
      <w:bookmarkStart w:id="1982" w:name="Tc_6eRQjDm5wkaJyon01JY67w_2_5"/>
      <w:bookmarkStart w:id="1983" w:name="Tc_ZJwoETXXSkCXLPVd_O2H1A_2_2"/>
      <w:bookmarkStart w:id="1984" w:name="Tc_TlX9W0jN3U2lb5VKgOyEVA_1_8"/>
      <w:bookmarkStart w:id="1985" w:name="Tc_YpieQKeSzUCV-w3jxQ5jXA_1_2"/>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r>
        <w:rPr>
          <w:rFonts w:ascii="Times New Roman;Times;serif" w:hAnsi="Times New Roman;Times;serif"/>
          <w:b/>
          <w:sz w:val="20"/>
        </w:rPr>
        <w:t>15.  Other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income, net consists of the following:</w:t>
      </w:r>
    </w:p>
    <w:p>
      <w:pPr>
        <w:pStyle w:val="TextBody"/>
        <w:bidi w:val="0"/>
        <w:spacing w:before="0" w:after="0"/>
        <w:ind w:left="0" w:right="0" w:hanging="0"/>
        <w:jc w:val="left"/>
        <w:rPr/>
      </w:pPr>
      <w:r>
        <w:rPr/>
        <w:t>​</w:t>
      </w:r>
    </w:p>
    <w:tbl>
      <w:tblPr>
        <w:tblW w:w="9845" w:type="dxa"/>
        <w:jc w:val="left"/>
        <w:tblInd w:w="0" w:type="dxa"/>
        <w:tblLayout w:type="fixed"/>
        <w:tblCellMar>
          <w:top w:w="0" w:type="dxa"/>
          <w:left w:w="0" w:type="dxa"/>
          <w:bottom w:w="0" w:type="dxa"/>
          <w:right w:w="0" w:type="dxa"/>
        </w:tblCellMar>
      </w:tblPr>
      <w:tblGrid>
        <w:gridCol w:w="4051"/>
        <w:gridCol w:w="326"/>
        <w:gridCol w:w="399"/>
        <w:gridCol w:w="627"/>
        <w:gridCol w:w="617"/>
        <w:gridCol w:w="399"/>
        <w:gridCol w:w="627"/>
        <w:gridCol w:w="326"/>
        <w:gridCol w:w="362"/>
        <w:gridCol w:w="543"/>
        <w:gridCol w:w="560"/>
        <w:gridCol w:w="362"/>
        <w:gridCol w:w="646"/>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572385" cy="175260"/>
                      <wp:effectExtent l="0" t="0" r="0" b="0"/>
                      <wp:wrapNone/>
                      <wp:docPr id="452" name="Frame452"/>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3" name="Frame4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53365" cy="175260"/>
                      <wp:effectExtent l="0" t="0" r="0" b="0"/>
                      <wp:wrapNone/>
                      <wp:docPr id="454" name="Frame454"/>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398145" cy="175260"/>
                      <wp:effectExtent l="0" t="0" r="0" b="0"/>
                      <wp:wrapNone/>
                      <wp:docPr id="455" name="Frame455"/>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391795" cy="175260"/>
                      <wp:effectExtent l="0" t="0" r="0" b="0"/>
                      <wp:wrapNone/>
                      <wp:docPr id="456" name="Frame456"/>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53365" cy="175260"/>
                      <wp:effectExtent l="0" t="0" r="0" b="0"/>
                      <wp:wrapNone/>
                      <wp:docPr id="457" name="Frame457"/>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398145" cy="175260"/>
                      <wp:effectExtent l="0" t="0" r="0" b="0"/>
                      <wp:wrapNone/>
                      <wp:docPr id="458" name="Frame458"/>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9"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29870" cy="175260"/>
                      <wp:effectExtent l="0" t="0" r="0" b="0"/>
                      <wp:wrapNone/>
                      <wp:docPr id="460" name="Frame460"/>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344805" cy="175260"/>
                      <wp:effectExtent l="0" t="0" r="0" b="0"/>
                      <wp:wrapNone/>
                      <wp:docPr id="461" name="Frame461"/>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355600" cy="175260"/>
                      <wp:effectExtent l="0" t="0" r="0" b="0"/>
                      <wp:wrapNone/>
                      <wp:docPr id="462" name="Frame462"/>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29870" cy="175260"/>
                      <wp:effectExtent l="0" t="0" r="0" b="0"/>
                      <wp:wrapNone/>
                      <wp:docPr id="463" name="Frame463"/>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410210" cy="175260"/>
                      <wp:effectExtent l="0" t="0" r="0" b="0"/>
                      <wp:wrapNone/>
                      <wp:docPr id="464" name="Frame464"/>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4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17" w:type="dxa"/>
            <w:tcBorders/>
            <w:vAlign w:val="center"/>
          </w:tcPr>
          <w:p>
            <w:pPr>
              <w:pStyle w:val="TableContents"/>
              <w:bidi w:val="0"/>
              <w:spacing w:before="0" w:after="0"/>
              <w:ind w:left="0" w:right="0" w:hanging="0"/>
              <w:jc w:val="left"/>
              <w:rPr/>
            </w:pPr>
            <w:r>
              <w:rPr/>
              <w:t>    </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60" w:type="dxa"/>
            <w:tcBorders/>
            <w:vAlign w:val="center"/>
          </w:tcPr>
          <w:p>
            <w:pPr>
              <w:pStyle w:val="TableContents"/>
              <w:bidi w:val="0"/>
              <w:spacing w:before="0" w:after="0"/>
              <w:ind w:left="0" w:right="0" w:hanging="0"/>
              <w:jc w:val="left"/>
              <w:rPr/>
            </w:pPr>
            <w:r>
              <w:rPr/>
              <w:t>    </w:t>
            </w:r>
          </w:p>
        </w:tc>
        <w:tc>
          <w:tcPr>
            <w:tcW w:w="10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984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68"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earnings from non-consolidated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617"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560"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transaction (loss) gain</w:t>
            </w:r>
          </w:p>
        </w:tc>
        <w:tc>
          <w:tcPr>
            <w:tcW w:w="326"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617"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 </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560"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extinguishment of debt, net</w:t>
            </w:r>
          </w:p>
        </w:tc>
        <w:tc>
          <w:tcPr>
            <w:tcW w:w="32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 </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617"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 </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 </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560"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3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617" w:type="dxa"/>
            <w:tcBorders/>
            <w:vAlign w:val="center"/>
          </w:tcPr>
          <w:p>
            <w:pPr>
              <w:pStyle w:val="TableContents"/>
              <w:bidi w:val="0"/>
              <w:spacing w:before="0" w:after="0"/>
              <w:ind w:left="0" w:right="0" w:hanging="0"/>
              <w:jc w:val="left"/>
              <w:rPr/>
            </w:pPr>
            <w:r>
              <w:rPr/>
              <w:t>​</w:t>
            </w:r>
          </w:p>
        </w:tc>
        <w:tc>
          <w:tcPr>
            <w:tcW w:w="3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560"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0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617" w:type="dxa"/>
            <w:tcBorders/>
            <w:shd w:fill="CCEEFF" w:val="clear"/>
            <w:vAlign w:val="center"/>
          </w:tcPr>
          <w:p>
            <w:pPr>
              <w:pStyle w:val="TableContents"/>
              <w:bidi w:val="0"/>
              <w:spacing w:before="0" w:after="0"/>
              <w:ind w:left="0" w:right="0" w:hanging="0"/>
              <w:jc w:val="left"/>
              <w:rPr/>
            </w:pPr>
            <w:r>
              <w:rPr/>
              <w:t>​</w:t>
            </w:r>
          </w:p>
        </w:tc>
        <w:tc>
          <w:tcPr>
            <w:tcW w:w="3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560"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86" w:name="_Hlk180596926"/>
      <w:bookmarkEnd w:id="1986"/>
      <w:r>
        <w:rPr>
          <w:rFonts w:ascii="Times New Roman;Times;serif" w:hAnsi="Times New Roman;Times;serif"/>
          <w:b/>
          <w:sz w:val="20"/>
        </w:rPr>
        <w:t>16.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Environmental Matters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Due to the nature of our business, certain of our subsidiaries’ operations are subject to numerous existing and proposed laws and governmental regulations designed to protect human health and safety and the environment, particularly regarding plant wastes and emissions and solid waste disposal. Our consolidated environmental liabilities on an undiscounted basis were $3 million and $3 million as of June 30, 2025 and December 31, 2024, respectively, primarily within our Energy segment, which are included in accrued expenses and other liabilities in our condensed consolidated balance sheets. We do not believe that environmental matters will have a material adverse impact on our consolidated results of operations and financial condition.</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 xml:space="preserve">Energy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RFS Disputes</w:t>
      </w:r>
      <w:r>
        <w:rPr>
          <w:rFonts w:ascii="Times New Roman;Times;serif" w:hAnsi="Times New Roman;Times;serif"/>
          <w:sz w:val="20"/>
        </w:rPr>
        <w:t xml:space="preserve"> - CVR Energy’s obligated-party subsidiaries are subject to the Renewable Fuel Standard (“RFS”) implemented by the U.S. Environmental Protection Agency (“EPA”) which, absent any exemption or waiver, requires refiners to either blend renewable fuels into their transportation fuels or purchase renewable fuel credits, known as RINs, in lieu of blending, in an amount equal to the renewable volume obligation (“RVO”) for the applicable compliance year. CVR Energy’s obligated-party subsidiaries are not able to blend the substantial majority of their transportation fuels and, unless their obligations are waived or exempted by the EPA, must either purchase RINs on the open market or obtain waiver credits for cellulosic biofuels in order to comply with the RFS. CVR Energy’s obligated-party subsidiaries also purchase RINs generated from its renewable diesel operations to partially satisfy their RFS obligations.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One of CVR Energy’s obligated-party subsidiaries, Wynnewood Refining Company, LLC (“WRC”), qualifies as a “small refinery” defined under the RFS as a refinery with an average aggregate daily crude oil throughput for a calendar year no greater than 75,000 barrels, which enables WRC to seek small refinery exemptions (“SREs”) under the RFS should it be able to establish it suffered disproportionate economic hardship. WRC has submitted SRE petitions for the 2017 through 2025 compliance periods, which petitions are in various stages of review by the EPA and/or various courts.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June 2025, the Supreme Court of the United States (“SCOTUS”) held that venue for the challenges filed by WRC and other small refineries to the EPA’s denials (the “2022 Denials”) of certain petitions for small refinery hardship exemptions under the RFS lies exclusively in the United States Court of Appeals for the D.C. Circuit (“D.C. Circuit”). This ruling vacated the November 2023 opinion of the United States Court of Appeals for the Fifth Circuit that had vacated the 2022 Denials as to WRC and its co-petitioners and remanded for further proceedings. We expect WRC’s and its co-petitioners’ challenges will be transferred to the D.C. Circuit. Upon transfer, we expect that EPA’s denials of these petitions will once again be vacated in accordance with the July 2024 decision of the D.C. Circuit, in which that court (like the Fifth Circuit) vacated and remanded the 2022 Denials to the EPA, finding them to be contrary to law and arbitrary and capricious. We similarly expect that WRC’s and its co-petitioners’ challenges to the EPA’s separate 2023 denials (the “2023 Denials”) of additional petitions for small refinery hardship exemptions will be vacated consistent with the D.C. Circuit’s July 2024 decision, because the 2023 Denials were based on the same methodology as the 2022 Denials. WRC also filed a challenge in the Fifth Circuit to the EPA’s denial of a single exemption petition in early January 2025. This case currently is held in abeyance to allow the EPA to brief the current administration about the case and determine whether to revise the underlying denial of WRC’s exemption petition.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Also in June 2025, the D.C. Circuit issued a decision remanding the EPA’s renewable volume obligations for 2023 to 2025 (“Set Rule”) to EPA without vacatur based on specific grounds raised by environmental petitioners, while rejecting all other challenges, including those raised by refiners. Additionally, EPA issued its proposed renewable volume obligations for 2026 and 2027 (“Set 2 Rule”). Public comment on the proposal is due in August 2025. In July 2025, the EPA’s cellulosic waiver rule was published in the Federal Register, making the 2024 RFS compliance deadline for all obligated parties December 1, 2025. Also in July 2025, WRC submitted its petition for the 2025 compliance period, ruling on which is due in October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987" w:name="_Hlk172889507"/>
      <w:bookmarkEnd w:id="1987"/>
      <w:r>
        <w:rPr>
          <w:rFonts w:ascii="Times New Roman;Times;serif" w:hAnsi="Times New Roman;Times;serif"/>
          <w:sz w:val="20"/>
        </w:rPr>
        <w:t xml:space="preserve">Our Energy segment recognized, net of RINS sales, an expense of $123 million and $30 million for the three months ended June 30, 2025 and 2024, respectively, and an expense of $246 million and a benefit of $21 million for the six months ended June 30, 2025 and 2024, respectively, for CVR Energy’s obligated-party subsidiaries’ compliance with the RFS (based on the 2020 through 2025 annual RVO, excluding the impacts of any exemptions or waivers to which the obligated-party subsidiaries may be entitled). These recognized amounts are included in cost of goods sold in the consolidated statements of operations and represent costs to comply with the RFS obligation through purchasing of RINs not otherwise reduced by blending of ethanol, biodiesel, or renewable diesel. At each reporting period, to the extent RINs purchased or generated through blending are less than the RFS obligation (excluding the impact of exemptions or waivers to which CVR Energy’s obligated-party subsidiaries may be entitled), the remaining position is valued using RIN market prices at period end using each specific or closest vintage year. As of June 30, 2025 and December 31, 2024, CVR Energy’s obligated-party subsidiaries’ RFS position was $548 million and $323 million, respectively, and is included in accrued expenses and other liabilities in the condensed consolidated balance sheets.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45Q Transaction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January 2023, CVR Energy and its obligated-party subsidiaries entered into a joint venture and related agreements with unaffiliated third-party investors and others intended to qualify for certain tax credits available under Section 45Q of the Internal Revenue Code. Under the agreements entered into in connection with the 45Q Transactions, CVR Partners and certain of its subsidiaries are obligated to meet certain minimum quantities of carbon dioxide supply each year during the term of the agreement and is subject to fees of up to $15 million per year, with an overall cap at $45 million, should it fail to perform.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Litigation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From time to time, we and our subsidiaries are involved in various lawsuits arising in the normal course of business. We do not believe that such normal routine litigation will have a material effect on our financial condition or results of operations. See the matters described under the caption “Other” below. Recent developments since the last periodic report of the Company are discussed below. </w:t>
      </w:r>
    </w:p>
    <w:p>
      <w:pPr>
        <w:pStyle w:val="TextBody"/>
        <w:bidi w:val="0"/>
        <w:spacing w:lineRule="atLeast" w:line="220" w:before="0" w:after="18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Guaranty Dispute</w:t>
      </w:r>
      <w:r>
        <w:rPr>
          <w:rFonts w:ascii="Times New Roman;Times;serif" w:hAnsi="Times New Roman;Times;serif"/>
          <w:sz w:val="20"/>
        </w:rPr>
        <w:t xml:space="preserve"> – In May 2025, a subsidiary of CVR Energy entered into a stipulation with Exxon Mobil Corporation (“XOM”) in connection with the lawsuit it filed in the Superior Court of the State of Delaware disputing the validity of an alleged guaranty claimed by XOM to have been issued in its favor in 1993 extending all deadlines under the litigation until late July 2025. As this matter remains in its early stages, the Company cannot yet determine whether its outcome will have a material adverse impact on the Company’s financial position, results of operations, or cash flows.</w:t>
      </w:r>
    </w:p>
    <w:p>
      <w:pPr>
        <w:pStyle w:val="TextBody"/>
        <w:bidi w:val="0"/>
        <w:spacing w:before="0" w:after="0"/>
        <w:ind w:left="0" w:right="0" w:firstLine="360"/>
        <w:jc w:val="left"/>
        <w:rPr/>
      </w:pPr>
      <w:r>
        <w:rPr/>
        <w:t>​</w:t>
      </w:r>
    </w:p>
    <w:p>
      <w:pPr>
        <w:pStyle w:val="TextBody"/>
        <w:bidi w:val="0"/>
        <w:spacing w:lineRule="atLeast" w:line="220" w:before="0" w:after="160"/>
        <w:ind w:left="0" w:right="0" w:hanging="0"/>
        <w:jc w:val="left"/>
        <w:rPr>
          <w:rFonts w:ascii="Times New Roman;Times;serif" w:hAnsi="Times New Roman;Times;serif"/>
          <w:b/>
          <w:i/>
          <w:sz w:val="20"/>
        </w:rPr>
      </w:pPr>
      <w:r>
        <w:rPr>
          <w:rFonts w:ascii="Times New Roman;Times;serif" w:hAnsi="Times New Roman;Times;serif"/>
          <w:b/>
          <w:i/>
          <w:sz w:val="20"/>
        </w:rPr>
        <w:t>Other Matters</w:t>
      </w:r>
    </w:p>
    <w:p>
      <w:pPr>
        <w:pStyle w:val="TextBody"/>
        <w:bidi w:val="0"/>
        <w:spacing w:lineRule="atLeast" w:line="220" w:before="0" w:after="160"/>
        <w:ind w:left="0" w:right="0" w:hanging="0"/>
        <w:jc w:val="left"/>
        <w:rPr>
          <w:rFonts w:ascii="Times New Roman;Times;serif" w:hAnsi="Times New Roman;Times;serif"/>
          <w:i/>
          <w:sz w:val="20"/>
        </w:rPr>
      </w:pPr>
      <w:r>
        <w:rPr>
          <w:rFonts w:ascii="Times New Roman;Times;serif" w:hAnsi="Times New Roman;Times;serif"/>
          <w:i/>
          <w:sz w:val="20"/>
        </w:rPr>
        <w:t>Pension Obligations</w:t>
      </w:r>
    </w:p>
    <w:p>
      <w:pPr>
        <w:pStyle w:val="TextBody"/>
        <w:bidi w:val="0"/>
        <w:spacing w:lineRule="atLeast" w:line="220" w:before="0" w:after="160"/>
        <w:ind w:left="0" w:right="0" w:firstLine="360"/>
        <w:jc w:val="left"/>
        <w:rPr>
          <w:rFonts w:ascii="Times New Roman;Times;serif" w:hAnsi="Times New Roman;Times;serif"/>
          <w:sz w:val="20"/>
        </w:rPr>
      </w:pPr>
      <w:r>
        <w:rPr>
          <w:rFonts w:ascii="Times New Roman;Times;serif" w:hAnsi="Times New Roman;Times;serif"/>
          <w:sz w:val="20"/>
        </w:rPr>
        <w:t>Mr. Icahn, through certain affiliates, owns 100% of Icahn Enterprises GP and approximately 86% of Icahn Enterprises’ outstanding depositary units as of June 30, 2025.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pStyle w:val="TextBody"/>
        <w:bidi w:val="0"/>
        <w:spacing w:lineRule="atLeast" w:line="220"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a result of the more than 80% ownership interest in us by Mr. Icahn’s affiliates, we and our subsidiaries are subject to the pension liabilities of entities in which Mr. Icahn has a direct or indirect ownership interest of at least 80%, which include the liabilities of a pension plan sponsored by Viskase. All the minimum funding requirements of the Internal Revenue Code, as amended, and the Employee Retirement Income Security Act of 1974, as amended, for the Viskase plan have been met as of June 30, 2025. If the plan was voluntarily terminated, it would be underfunded by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160"/>
        <w:ind w:left="0" w:right="0" w:hanging="0"/>
        <w:jc w:val="left"/>
        <w:rPr>
          <w:rFonts w:ascii="Times New Roman;Times;serif" w:hAnsi="Times New Roman;Times;serif"/>
          <w:sz w:val="20"/>
        </w:rPr>
      </w:pPr>
      <w:r>
        <w:rPr>
          <w:rFonts w:ascii="Times New Roman;Times;serif" w:hAnsi="Times New Roman;Times;serif"/>
          <w:sz w:val="20"/>
        </w:rPr>
        <w:t>approximately $21 million as of June 30, 2025. These results are based on the most recent information provided by the plans’ actuary. This liability could increase or decrease, depending on a number of factors, including future changes in benefits, investment returns, and the assumptions used to calculate the liability. As members of the controlled group, we would be liable for any failure of Viskase to make ongoing pension contributions or to pay the unfunded liabilities upon a termination of the Viskase pension plan. In addition, other entities now or in the future within the controlled group in which we are included may have pension plan obligations that are, or may become, underfunded and we would be liable for any failure of such entity to make ongoing pension contributions or to pay the unfunded liabilities upon termination of such plan.</w:t>
      </w:r>
    </w:p>
    <w:p>
      <w:pPr>
        <w:pStyle w:val="TextBody"/>
        <w:bidi w:val="0"/>
        <w:spacing w:lineRule="atLeast" w:line="220" w:before="0" w:after="160"/>
        <w:ind w:left="0" w:right="0" w:firstLine="360"/>
        <w:jc w:val="left"/>
        <w:rPr>
          <w:rFonts w:ascii="Times New Roman;Times;serif" w:hAnsi="Times New Roman;Times;serif"/>
          <w:sz w:val="20"/>
        </w:rPr>
      </w:pPr>
      <w:r>
        <w:rPr>
          <w:rFonts w:ascii="Times New Roman;Times;serif" w:hAnsi="Times New Roman;Times;serif"/>
          <w:sz w:val="20"/>
        </w:rPr>
        <w:t>The current underfunded status of the Viskase pension plan requires them to notify the PBGC of certain “reportable events,” such as if we cease to be a member of the Viskase controlled group, or if we make certain extraordinary dividends or stock redemptions. The obligation to report could cause us to seek to delay or reconsider the occurrence of such reportable events.</w:t>
      </w:r>
    </w:p>
    <w:p>
      <w:pPr>
        <w:pStyle w:val="TextBody"/>
        <w:bidi w:val="0"/>
        <w:spacing w:lineRule="atLeast" w:line="220" w:before="0" w:after="160"/>
        <w:ind w:left="0" w:right="0" w:firstLine="360"/>
        <w:jc w:val="left"/>
        <w:rPr>
          <w:rFonts w:ascii="Times New Roman;Times;serif" w:hAnsi="Times New Roman;Times;serif"/>
          <w:sz w:val="20"/>
        </w:rPr>
      </w:pPr>
      <w:r>
        <w:rPr>
          <w:rFonts w:ascii="Times New Roman;Times;serif" w:hAnsi="Times New Roman;Times;serif"/>
          <w:sz w:val="20"/>
        </w:rPr>
        <w:t>Starfire Holding Corporation (“Starfire”), which is 99.6% owned by Mr. Icahn and his affiliates (excluding us and Brett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Other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Icahn Enterprises L.P. was contacted on May 3, 2023 by the U.S. Attorney’s office for the Southern District of New York, seeking production of information relating to the Company and certain of its affiliates’ corporate governance, capitalization, securities offerings, disclosure, dividends, valuation, marketing materials, due diligence and other materials. The Company produced documents in response to that inquiry and has had no substantive communication with the U.S. Attorney’s office since the initial inquiry on May 3, 2023.</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1988" w:name="Tc_vAh9xaLtYkWYaBy-_MUWDg_5_0"/>
      <w:bookmarkStart w:id="1989" w:name="Tc_JHFO-s4JC0iWm4OqQRDsrw_4_5"/>
      <w:bookmarkStart w:id="1990" w:name="Tc_Sni3DgWWhEqbYwKwrc66zA_4_2"/>
      <w:bookmarkStart w:id="1991" w:name="Tc_3OtIUhteX0GpYuUOzGgQvQ_4_0"/>
      <w:bookmarkStart w:id="1992" w:name="Tc_9eX79aeANEWcnA8AKmOxSg_3_2"/>
      <w:bookmarkStart w:id="1993" w:name="Tc_tQ-p8nG7BEGzttkLfIkPnA_2_5"/>
      <w:bookmarkStart w:id="1994" w:name="Tc_OgR5vaf0aEqdONUyEfzOtA_2_2"/>
      <w:bookmarkStart w:id="1995" w:name="Tc_fy4eqn2CL0GcZMtLlXzFlw_1_2"/>
      <w:bookmarkEnd w:id="1988"/>
      <w:bookmarkEnd w:id="1989"/>
      <w:bookmarkEnd w:id="1990"/>
      <w:bookmarkEnd w:id="1991"/>
      <w:bookmarkEnd w:id="1992"/>
      <w:bookmarkEnd w:id="1993"/>
      <w:bookmarkEnd w:id="1994"/>
      <w:bookmarkEnd w:id="1995"/>
      <w:r>
        <w:rPr>
          <w:rFonts w:ascii="Times New Roman;Times;serif" w:hAnsi="Times New Roman;Times;serif"/>
          <w:b/>
          <w:sz w:val="20"/>
        </w:rPr>
        <w:t>17.  Supplemental Cash Flow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Supplemental cash flow information consists of the following: </w:t>
      </w:r>
    </w:p>
    <w:p>
      <w:pPr>
        <w:pStyle w:val="TextBody"/>
        <w:bidi w:val="0"/>
        <w:spacing w:before="0" w:after="0"/>
        <w:ind w:left="0" w:right="0" w:hanging="0"/>
        <w:jc w:val="left"/>
        <w:rPr/>
      </w:pPr>
      <w:r>
        <w:rPr/>
        <w:t>​</w:t>
      </w:r>
    </w:p>
    <w:tbl>
      <w:tblPr>
        <w:tblW w:w="6910" w:type="dxa"/>
        <w:jc w:val="left"/>
        <w:tblInd w:w="0" w:type="dxa"/>
        <w:tblLayout w:type="fixed"/>
        <w:tblCellMar>
          <w:top w:w="0" w:type="dxa"/>
          <w:left w:w="0" w:type="dxa"/>
          <w:bottom w:w="0" w:type="dxa"/>
          <w:right w:w="0" w:type="dxa"/>
        </w:tblCellMar>
      </w:tblPr>
      <w:tblGrid>
        <w:gridCol w:w="4111"/>
        <w:gridCol w:w="326"/>
        <w:gridCol w:w="278"/>
        <w:gridCol w:w="714"/>
        <w:gridCol w:w="430"/>
        <w:gridCol w:w="278"/>
        <w:gridCol w:w="773"/>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610485" cy="175260"/>
                      <wp:effectExtent l="0" t="0" r="0" b="0"/>
                      <wp:wrapNone/>
                      <wp:docPr id="465" name="Frame465"/>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66" name="Frame4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76530" cy="175260"/>
                      <wp:effectExtent l="0" t="0" r="0" b="0"/>
                      <wp:wrapNone/>
                      <wp:docPr id="467" name="Frame467"/>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53390" cy="175260"/>
                      <wp:effectExtent l="0" t="0" r="0" b="0"/>
                      <wp:wrapNone/>
                      <wp:docPr id="468" name="Frame468"/>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73050" cy="175260"/>
                      <wp:effectExtent l="0" t="0" r="0" b="0"/>
                      <wp:wrapNone/>
                      <wp:docPr id="469" name="Frame469"/>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76530" cy="175260"/>
                      <wp:effectExtent l="0" t="0" r="0" b="0"/>
                      <wp:wrapNone/>
                      <wp:docPr id="470" name="Frame470"/>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490855" cy="175260"/>
                      <wp:effectExtent l="0" t="0" r="0" b="0"/>
                      <wp:wrapNone/>
                      <wp:docPr id="471" name="Frame471"/>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30"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691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3"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430"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 for income taxes, net of payments</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30"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18. Subsequent Events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Energy</w:t>
      </w:r>
    </w:p>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July 2025, the Term Loan Borrowers prepaid $20 million in principal amount of the Term Loan.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Icahn Enterprises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Debt Repurchase</w:t>
      </w:r>
    </w:p>
    <w:p>
      <w:pPr>
        <w:pStyle w:val="TextBody"/>
        <w:bidi w:val="0"/>
        <w:spacing w:before="0" w:after="240"/>
        <w:ind w:left="0" w:right="0" w:firstLine="360"/>
        <w:jc w:val="left"/>
        <w:rPr>
          <w:rFonts w:ascii="Times New Roman;Times;serif" w:hAnsi="Times New Roman;Times;serif"/>
          <w:sz w:val="20"/>
        </w:rPr>
      </w:pPr>
      <w:r>
        <w:rPr>
          <w:rFonts w:ascii="TimesNRMTPro" w:hAnsi="TimesNRMTPro"/>
          <w:sz w:val="20"/>
        </w:rPr>
        <w:t>In July 2025, we repurchased in the open market approximately $15</w:t>
      </w:r>
      <w:r>
        <w:rPr>
          <w:rFonts w:ascii="Times New Roman;Times;serif" w:hAnsi="Times New Roman;Times;serif"/>
          <w:sz w:val="20"/>
        </w:rPr>
        <w:t xml:space="preserve"> </w:t>
      </w:r>
      <w:r>
        <w:rPr>
          <w:rFonts w:ascii="TimesNRMTPro" w:hAnsi="TimesNRMTPro"/>
          <w:sz w:val="20"/>
        </w:rPr>
        <w:t>million aggregate principal amount of our 9.000%</w:t>
      </w:r>
      <w:r>
        <w:rPr>
          <w:rFonts w:ascii="Times New Roman;Times;serif" w:hAnsi="Times New Roman;Times;serif"/>
          <w:sz w:val="20"/>
        </w:rPr>
        <w:t xml:space="preserve"> </w:t>
      </w:r>
      <w:r>
        <w:rPr>
          <w:rFonts w:ascii="TimesNRMTPro" w:hAnsi="TimesNRMTPro"/>
          <w:sz w:val="20"/>
        </w:rPr>
        <w:t>senior notes due 2030 for total cash paid of $14</w:t>
      </w:r>
      <w:r>
        <w:rPr>
          <w:rFonts w:ascii="Times New Roman;Times;serif" w:hAnsi="Times New Roman;Times;serif"/>
          <w:sz w:val="20"/>
        </w:rPr>
        <w:t xml:space="preserve"> </w:t>
      </w:r>
      <w:r>
        <w:rPr>
          <w:rFonts w:ascii="TimesNRMTPro" w:hAnsi="TimesNRMTPro"/>
          <w:sz w:val="20"/>
        </w:rPr>
        <w:t>million. The repurchased notes were extinguished but were not retired and are held in treasury.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LP Unit Distribution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August 1, 2025, the Board of Directors of the general partner of Icahn Enterprises declared a quarterly distribution in the amount of $0.50 per depositary unit, which will be paid on or about September 24, 2025 to depositary unitholders of record at the close of business on August 18, 2025. Depositary unitholders will have until September 12, 2025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September 19, 2025. Icahn Enterprises will make a cash payment in lieu of issuing fractional depositary units to any unitholders electing to receive (or who are deemed to have elected to receive) depositary units.</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Tax Legislation Update</w:t>
      </w:r>
    </w:p>
    <w:p>
      <w:pPr>
        <w:pStyle w:val="TextBody"/>
        <w:bidi w:val="0"/>
        <w:spacing w:before="0" w:after="0"/>
        <w:ind w:left="0" w:right="0" w:firstLine="360"/>
        <w:jc w:val="left"/>
        <w:rPr>
          <w:rFonts w:ascii="TimesNRMTPro" w:hAnsi="TimesNRMTPro"/>
          <w:sz w:val="20"/>
        </w:rPr>
      </w:pPr>
      <w:r>
        <w:rPr>
          <w:rFonts w:ascii="TimesNRMTPro" w:hAnsi="TimesNRMTPro"/>
          <w:sz w:val="20"/>
        </w:rPr>
        <w:t xml:space="preserve">In July 2025, the One Big Beautiful Bill Act was signed into law, making significant amendments to federal tax law including permanently extending provisions of the 2017 Tax Cuts and Jobs Act (“TCJA”). The Company is currently assessing its impact on future income tax balances and related disclosures.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96" w:name="Item2ManagementsDiscussionandAnalysisofF"/>
      <w:bookmarkStart w:id="1997" w:name="_b3354c12_0e80_4261_a19a_6dc650d7dcb4"/>
      <w:bookmarkEnd w:id="1996"/>
      <w:bookmarkEnd w:id="1997"/>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June 30, 2025 (this “Report”), as well as our Annual Report on Form 10-K for the year ended December 31, 2024 filed with the Securities and Exchange Commission on February 26,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Overview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Introduction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References to “we,” “our,” “us” or “the Company” herein include Icahn Enterprises and its subsidiaries, unless the context otherwise requires.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June 30, 2025 representing an aggregate 1.99% general partner interest in Icahn Enterprises and Icahn Enterprises Holdings. Mr. Icahn and his affiliates owned approximately 86% of Icahn Enterprises’ outstanding depositary units as of June 30,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Developments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Viskase Private Placement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March 2025, Viskase Companies, Inc. (“Viskase”) completed an equity private placement whereby we acquired an additional 7,142,858 shares of Viskase common stock for a purchase price $15 million. As of June 30, 2025, we owned approximately 91% of the total outstanding common stock of Viskase.</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Viskase Merger Agreement</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June 20, 2025, Viskase, our majority owned subsidiary, entered into an Agreement and Plan of Merger (the “Merger Agreement”) with Enzon Pharmaceuticals, Inc. (“Enzon”), of which we own 36,056,636 shares of common stock, which represents approximately 49% of the outstanding common stock of Enzon, and 39,277 shares of Enzon’s Series C Non-Convertible Redeemable Preferred Stock, which represents approximately 98% of the outstanding shares of such preferred stock. Pursuant to the Merger Agreement and certain agreements entered into in connection therewith, each share of Viskase common stock and each share of Enzon’s Series C Non-Convertible Redeemable Preferred Stock held by us will be converted into shares of Enzon common stock. Following the consummation of the merger, it is anticipated that the combined company will operate under the name "Viskase Holdings, Inc." and will trade on the OTCQX tier of the OTC market. The merger is expected to close in the fourth quarter of 2025, subject to approval by Enzon’s stockholders and other customary closing conditions. Following the completion of the merger, we anticipate that we will own approximately 91% of the combined company.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Potential Strategic Transactions</w:t>
      </w:r>
    </w:p>
    <w:p>
      <w:pPr>
        <w:pStyle w:val="TextBody"/>
        <w:bidi w:val="0"/>
        <w:spacing w:before="0" w:after="0"/>
        <w:ind w:left="0" w:right="0" w:firstLine="360"/>
        <w:jc w:val="left"/>
        <w:rPr>
          <w:rFonts w:ascii="Times New Roman;Times;serif" w:hAnsi="Times New Roman;Times;serif"/>
          <w:sz w:val="20"/>
        </w:rPr>
      </w:pPr>
      <w:bookmarkStart w:id="1998" w:name="_Hlk196311725"/>
      <w:bookmarkEnd w:id="1998"/>
      <w:r>
        <w:rPr>
          <w:rFonts w:ascii="Times New Roman;Times;serif" w:hAnsi="Times New Roman;Times;serif"/>
          <w:sz w:val="20"/>
        </w:rPr>
        <w:t xml:space="preserve">As previously disclosed, we are considering, with CVR Energy, Inc. (“CVR Energy”), potential strategic transactions available to CVR Energy and its subsidiaries, which may include the acquisition of additional entities, assets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 businesses, including the acquisition of material amounts of refining assets through negotiated mergers and/or stock or asset purchase agreements by CVR Energy or its subsidiaries, and/or strategic options involving CVR Partners, LP, a controlled subsidiary of CVR Energy (“CVR Partners”). There is no assurance that any of the aforementioned or previously disclosed or other transactions will develop or materialize, or if they do, as to their timing. As of June 30, 2025 we own approximately 70% of the total outstanding common stock of CVR Energy and approximately 3% of the total outstanding common units of CVR Partners.</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Fund Redemption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See “Investment Funds Redemptions” below under “Liquidity and Capital Resources.”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Financial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In addition to the summarized financial results below, refer to Note 12, “Segment Reporting,” to the condensed consolidated financial statements for a reconciliation of each of our reporting segment’s results of continuing operations to our consolidated results.</w:t>
      </w:r>
    </w:p>
    <w:p>
      <w:pPr>
        <w:pStyle w:val="TextBody"/>
        <w:bidi w:val="0"/>
        <w:spacing w:before="0" w:after="0"/>
        <w:ind w:left="0" w:right="0" w:firstLine="360"/>
        <w:jc w:val="left"/>
        <w:rPr>
          <w:rFonts w:ascii="TimesNewRoman" w:hAnsi="TimesNewRoman"/>
          <w:sz w:val="20"/>
        </w:rPr>
      </w:pPr>
      <w:r>
        <w:rPr>
          <w:rFonts w:ascii="TimesNewRoman" w:hAnsi="TimesNewRoman"/>
          <w:sz w:val="20"/>
        </w:rPr>
        <w:t>Potential supply chain disruptions, geopolitical and economic instability, volatility in energy prices, the impacts of</w:t>
      </w:r>
    </w:p>
    <w:p>
      <w:pPr>
        <w:pStyle w:val="TextBody"/>
        <w:bidi w:val="0"/>
        <w:spacing w:before="0" w:after="0"/>
        <w:ind w:left="0" w:right="0" w:hanging="0"/>
        <w:jc w:val="left"/>
        <w:rPr>
          <w:rFonts w:ascii="Times New Roman;Times;serif" w:hAnsi="Times New Roman;Times;serif"/>
          <w:sz w:val="20"/>
        </w:rPr>
      </w:pPr>
      <w:r>
        <w:rPr>
          <w:rFonts w:ascii="TimesNewRoman" w:hAnsi="TimesNewRoman"/>
          <w:sz w:val="20"/>
        </w:rPr>
        <w:t xml:space="preserve">increasing electric vehicles and liquid natural gas and other improvements in fuel efficiencies and changes in regulatory policies could adversely affect operations, in particular in our Energy segment. Our ability to generate sufficient cash from our operating activities in the current commodity price environment, sell non-core assets, access capital markets, incur additional debt or take any other action to improve our liquidity is subject to the risks discussed in this Quarterly Report on Form 10-Q and elsewhere in our periodic reports and the other risks and uncertainties that exist in our industry, and depends on our future operational performance, which is subject to general economic, political, financial, competitive, and other factors, some of which may be beyond our control. Furthermore, shifts in demand and tightening credit market conditions could impact our financial stability. </w:t>
      </w:r>
      <w:r>
        <w:rPr>
          <w:rFonts w:ascii="Times New Roman;Times;serif" w:hAnsi="Times New Roman;Times;serif"/>
          <w:sz w:val="20"/>
        </w:rPr>
        <w:t>Increased tariffs, both by the U.S. and globally, ongoing and future trade conflicts and changes in U.S. economic trade policy, and economic uncertainly has led to increased volatility. The impact of tariffs and associated impacts on global trade has not been significant as of June 30,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comparability of our summarized consolidated financial results presented below is affected primarily by the performance of the Investment Funds and the results of operations of our Energy segment, impacted by the demand and pricing for its products. Refer to our respective segment discussions and “Other Consolidated Results of Operations,” below for further discussion.</w:t>
      </w:r>
    </w:p>
    <w:p>
      <w:pPr>
        <w:pStyle w:val="TextBody"/>
        <w:bidi w:val="0"/>
        <w:spacing w:before="0" w:after="0"/>
        <w:ind w:left="0" w:right="0" w:firstLine="360"/>
        <w:jc w:val="left"/>
        <w:rPr/>
      </w:pPr>
      <w:r>
        <w:rPr/>
        <w:t>​</w:t>
      </w:r>
    </w:p>
    <w:tbl>
      <w:tblPr>
        <w:tblW w:w="9839" w:type="dxa"/>
        <w:jc w:val="left"/>
        <w:tblInd w:w="0" w:type="dxa"/>
        <w:tblLayout w:type="fixed"/>
        <w:tblCellMar>
          <w:top w:w="0" w:type="dxa"/>
          <w:left w:w="0" w:type="dxa"/>
          <w:bottom w:w="0" w:type="dxa"/>
          <w:right w:w="0" w:type="dxa"/>
        </w:tblCellMar>
      </w:tblPr>
      <w:tblGrid>
        <w:gridCol w:w="1996"/>
        <w:gridCol w:w="326"/>
        <w:gridCol w:w="238"/>
        <w:gridCol w:w="621"/>
        <w:gridCol w:w="396"/>
        <w:gridCol w:w="238"/>
        <w:gridCol w:w="621"/>
        <w:gridCol w:w="326"/>
        <w:gridCol w:w="242"/>
        <w:gridCol w:w="613"/>
        <w:gridCol w:w="403"/>
        <w:gridCol w:w="242"/>
        <w:gridCol w:w="613"/>
        <w:gridCol w:w="326"/>
        <w:gridCol w:w="294"/>
        <w:gridCol w:w="746"/>
        <w:gridCol w:w="490"/>
        <w:gridCol w:w="294"/>
        <w:gridCol w:w="814"/>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267460" cy="175260"/>
                      <wp:effectExtent l="0" t="0" r="0" b="0"/>
                      <wp:wrapNone/>
                      <wp:docPr id="472" name="Frame472"/>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51130" cy="175260"/>
                      <wp:effectExtent l="0" t="0" r="0" b="0"/>
                      <wp:wrapNone/>
                      <wp:docPr id="474" name="Frame474"/>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394335" cy="175260"/>
                      <wp:effectExtent l="0" t="0" r="0" b="0"/>
                      <wp:wrapNone/>
                      <wp:docPr id="475" name="Frame475"/>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51460" cy="175260"/>
                      <wp:effectExtent l="0" t="0" r="0" b="0"/>
                      <wp:wrapNone/>
                      <wp:docPr id="476" name="Frame476"/>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51130" cy="175260"/>
                      <wp:effectExtent l="0" t="0" r="0" b="0"/>
                      <wp:wrapNone/>
                      <wp:docPr id="477" name="Frame477"/>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394335" cy="175260"/>
                      <wp:effectExtent l="0" t="0" r="0" b="0"/>
                      <wp:wrapNone/>
                      <wp:docPr id="478" name="Frame478"/>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9" name="Frame4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53670" cy="175260"/>
                      <wp:effectExtent l="0" t="0" r="0" b="0"/>
                      <wp:wrapNone/>
                      <wp:docPr id="480" name="Frame48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389255" cy="175260"/>
                      <wp:effectExtent l="0" t="0" r="0" b="0"/>
                      <wp:wrapNone/>
                      <wp:docPr id="481" name="Frame481"/>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55905" cy="175260"/>
                      <wp:effectExtent l="0" t="0" r="0" b="0"/>
                      <wp:wrapNone/>
                      <wp:docPr id="482" name="Frame482"/>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53670" cy="175260"/>
                      <wp:effectExtent l="0" t="0" r="0" b="0"/>
                      <wp:wrapNone/>
                      <wp:docPr id="483" name="Frame48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389255" cy="175260"/>
                      <wp:effectExtent l="0" t="0" r="0" b="0"/>
                      <wp:wrapNone/>
                      <wp:docPr id="484" name="Frame484"/>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07010" cy="175260"/>
                      <wp:effectExtent l="0" t="0" r="0" b="0"/>
                      <wp:wrapNone/>
                      <wp:docPr id="485" name="Frame4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86690" cy="175260"/>
                      <wp:effectExtent l="0" t="0" r="0" b="0"/>
                      <wp:wrapNone/>
                      <wp:docPr id="486" name="Frame486"/>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473710" cy="175260"/>
                      <wp:effectExtent l="0" t="0" r="0" b="0"/>
                      <wp:wrapNone/>
                      <wp:docPr id="487" name="Frame487"/>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311150" cy="175260"/>
                      <wp:effectExtent l="0" t="0" r="0" b="0"/>
                      <wp:wrapNone/>
                      <wp:docPr id="488" name="Frame488"/>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86690" cy="175260"/>
                      <wp:effectExtent l="0" t="0" r="0" b="0"/>
                      <wp:wrapNone/>
                      <wp:docPr id="489" name="Frame489"/>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516890" cy="175260"/>
                      <wp:effectExtent l="0" t="0" r="0" b="0"/>
                      <wp:wrapNone/>
                      <wp:docPr id="490" name="Frame490"/>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center"/>
              <w:rPr/>
            </w:pPr>
            <w:r>
              <w:rPr/>
              <w:t>​</w:t>
            </w:r>
          </w:p>
        </w:tc>
        <w:tc>
          <w:tcPr>
            <w:tcW w:w="39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center"/>
              <w:rPr/>
            </w:pPr>
            <w:r>
              <w:rPr/>
              <w:t>​</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3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Income (Loss)</w: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Income (Loss)</w:t>
            </w:r>
          </w:p>
        </w:tc>
        <w:tc>
          <w:tcPr>
            <w:tcW w:w="326" w:type="dxa"/>
            <w:tcBorders/>
            <w:vAlign w:val="center"/>
          </w:tcPr>
          <w:p>
            <w:pPr>
              <w:pStyle w:val="TableContents"/>
              <w:bidi w:val="0"/>
              <w:spacing w:before="0" w:after="0"/>
              <w:ind w:left="0" w:right="0" w:hanging="0"/>
              <w:jc w:val="left"/>
              <w:rPr/>
            </w:pPr>
            <w:r>
              <w:rPr/>
              <w:t>​</w:t>
            </w:r>
          </w:p>
        </w:tc>
        <w:tc>
          <w:tcPr>
            <w:tcW w:w="26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Attributable to Icahn Enterprises</w:t>
            </w:r>
            <w:r>
              <w:rPr>
                <w:rFonts w:ascii="Times New Roman;Times;serif" w:hAnsi="Times New Roman;Times;serif"/>
                <w:sz w:val="16"/>
              </w:rPr>
              <w:t>  </w: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before="0" w:after="0"/>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before="0" w:after="0"/>
              <w:ind w:left="0" w:right="0" w:hanging="0"/>
              <w:jc w:val="left"/>
              <w:rPr/>
            </w:pPr>
            <w:r>
              <w:rPr/>
              <w:t>​</w:t>
            </w:r>
          </w:p>
        </w:tc>
        <w:tc>
          <w:tcPr>
            <w:tcW w:w="26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6" w:type="dxa"/>
            <w:tcBorders/>
            <w:vAlign w:val="center"/>
          </w:tcPr>
          <w:p>
            <w:pPr>
              <w:pStyle w:val="TableContents"/>
              <w:bidi w:val="0"/>
              <w:spacing w:before="0" w:after="0"/>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3" w:type="dxa"/>
            <w:tcBorders/>
            <w:vAlign w:val="center"/>
          </w:tcPr>
          <w:p>
            <w:pPr>
              <w:pStyle w:val="TableContents"/>
              <w:bidi w:val="0"/>
              <w:spacing w:before="0" w:after="0"/>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90" w:type="dxa"/>
            <w:tcBorders/>
            <w:vAlign w:val="center"/>
          </w:tcPr>
          <w:p>
            <w:pPr>
              <w:pStyle w:val="TableContents"/>
              <w:bidi w:val="0"/>
              <w:spacing w:before="0" w:after="0"/>
              <w:ind w:left="0" w:right="0" w:hanging="0"/>
              <w:jc w:val="left"/>
              <w:rPr/>
            </w:pPr>
            <w:r>
              <w:rPr/>
              <w:t>    </w:t>
            </w:r>
          </w:p>
        </w:tc>
        <w:tc>
          <w:tcPr>
            <w:tcW w:w="11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9839"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517" w:type="dxa"/>
            <w:gridSpan w:val="17"/>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w:t>
            </w:r>
          </w:p>
        </w:tc>
        <w:tc>
          <w:tcPr>
            <w:tcW w:w="39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w:t>
            </w:r>
          </w:p>
        </w:tc>
        <w:tc>
          <w:tcPr>
            <w:tcW w:w="3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w:t>
            </w:r>
          </w:p>
        </w:tc>
        <w:tc>
          <w:tcPr>
            <w:tcW w:w="490"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Holding Company</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w:t>
            </w:r>
          </w:p>
        </w:tc>
        <w:tc>
          <w:tcPr>
            <w:tcW w:w="39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w:t>
            </w:r>
          </w:p>
        </w:tc>
        <w:tc>
          <w:tcPr>
            <w:tcW w:w="3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w:t>
            </w:r>
          </w:p>
        </w:tc>
        <w:tc>
          <w:tcPr>
            <w:tcW w:w="490"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w:t>
            </w:r>
          </w:p>
        </w:tc>
      </w:tr>
      <w:tr>
        <w:trPr/>
        <w:tc>
          <w:tcPr>
            <w:tcW w:w="19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Operating Segments:</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pPr>
            <w:r>
              <w:rPr/>
              <w:t>​</w:t>
            </w:r>
          </w:p>
        </w:tc>
        <w:tc>
          <w:tcPr>
            <w:tcW w:w="39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pPr>
            <w:r>
              <w:rPr/>
              <w:t>​</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pPr>
            <w:r>
              <w:rPr/>
              <w:t>​</w:t>
            </w:r>
          </w:p>
        </w:tc>
        <w:tc>
          <w:tcPr>
            <w:tcW w:w="490"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Energy</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3,426</w:t>
            </w:r>
          </w:p>
        </w:tc>
        <w:tc>
          <w:tcPr>
            <w:tcW w:w="39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3,856</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w:t>
            </w:r>
          </w:p>
        </w:tc>
        <w:tc>
          <w:tcPr>
            <w:tcW w:w="3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w:t>
            </w:r>
          </w:p>
        </w:tc>
        <w:tc>
          <w:tcPr>
            <w:tcW w:w="490"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 </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Automotive</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710</w:t>
            </w:r>
          </w:p>
        </w:tc>
        <w:tc>
          <w:tcPr>
            <w:tcW w:w="39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765</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c>
          <w:tcPr>
            <w:tcW w:w="490"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Food Packaging</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w:t>
            </w:r>
          </w:p>
        </w:tc>
        <w:tc>
          <w:tcPr>
            <w:tcW w:w="39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490"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 </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Real Estate</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w:t>
            </w:r>
          </w:p>
        </w:tc>
        <w:tc>
          <w:tcPr>
            <w:tcW w:w="39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490"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Fashion</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39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490"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 </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Pharma</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w:t>
            </w:r>
          </w:p>
        </w:tc>
        <w:tc>
          <w:tcPr>
            <w:tcW w:w="39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403"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490"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operating segments</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4,553</w:t>
            </w:r>
          </w:p>
        </w:tc>
        <w:tc>
          <w:tcPr>
            <w:tcW w:w="39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5,004</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w:t>
            </w:r>
          </w:p>
        </w:tc>
        <w:tc>
          <w:tcPr>
            <w:tcW w:w="326"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w:t>
            </w:r>
          </w:p>
        </w:tc>
        <w:tc>
          <w:tcPr>
            <w:tcW w:w="490"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Consolidated</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4,236</w:t>
            </w:r>
          </w:p>
        </w:tc>
        <w:tc>
          <w:tcPr>
            <w:tcW w:w="39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4,671</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(781)</w:t>
            </w:r>
          </w:p>
        </w:tc>
        <w:tc>
          <w:tcPr>
            <w:tcW w:w="403"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w:t>
            </w:r>
          </w:p>
        </w:tc>
        <w:tc>
          <w:tcPr>
            <w:tcW w:w="326" w:type="dxa"/>
            <w:tcBorders/>
            <w:vAlign w:val="center"/>
          </w:tcPr>
          <w:p>
            <w:pPr>
              <w:pStyle w:val="TableContents"/>
              <w:bidi w:val="0"/>
              <w:spacing w:before="0" w:after="0"/>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w:t>
            </w:r>
          </w:p>
        </w:tc>
        <w:tc>
          <w:tcPr>
            <w:tcW w:w="490" w:type="dxa"/>
            <w:tcBorders/>
            <w:vAlign w:val="center"/>
          </w:tcPr>
          <w:p>
            <w:pPr>
              <w:pStyle w:val="TableContents"/>
              <w:bidi w:val="0"/>
              <w:spacing w:before="0" w:after="0"/>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w:t>
            </w:r>
          </w:p>
        </w:tc>
      </w:tr>
    </w:tbl>
    <w:p>
      <w:pPr>
        <w:pStyle w:val="TextBody"/>
        <w:bidi w:val="0"/>
        <w:spacing w:before="0" w:after="0"/>
        <w:ind w:left="0" w:right="0" w:firstLine="360"/>
        <w:jc w:val="left"/>
        <w:rPr/>
      </w:pPr>
      <w:r>
        <w:rPr/>
        <w:t>​</w:t>
      </w:r>
    </w:p>
    <w:p>
      <w:pPr>
        <w:pStyle w:val="TextBody"/>
        <w:bidi w:val="0"/>
        <w:spacing w:lineRule="atLeast" w:line="220" w:before="0" w:after="200"/>
        <w:ind w:left="0" w:right="0" w:hanging="0"/>
        <w:jc w:val="left"/>
        <w:rPr>
          <w:rFonts w:ascii="Times New Roman;Times;serif" w:hAnsi="Times New Roman;Times;serif"/>
          <w:b/>
          <w:i/>
          <w:sz w:val="20"/>
        </w:rPr>
      </w:pPr>
      <w:r>
        <w:rPr>
          <w:rFonts w:ascii="Times New Roman;Times;serif" w:hAnsi="Times New Roman;Times;serif"/>
          <w:b/>
          <w:i/>
          <w:sz w:val="20"/>
        </w:rPr>
        <w:t>Investment</w:t>
      </w:r>
    </w:p>
    <w:p>
      <w:pPr>
        <w:pStyle w:val="TextBody"/>
        <w:bidi w:val="0"/>
        <w:spacing w:lineRule="atLeast" w:line="220"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invest our proprietary capital through various private investment funds (“Investment Funds”). As of June 30, 2025 and December 31, 2024, we had investments with a fair market value of approximately $2.4 billion and $2.7 billion, respectively in the Investment Funds. As of June 30, 2025 and December 31, 2024, the total fair market value of investments in the Investment Funds made by Mr. Icahn and his affiliates (excluding us and Brett Icahn) was approximately $1.1 billion and $1.5 billion, respectively. As of June 30, 2025, Mr. Icahn and his affiliates have pledged approximately $798 million of interests in the Investment Funds. </w:t>
      </w:r>
    </w:p>
    <w:p>
      <w:pPr>
        <w:pStyle w:val="TextBody"/>
        <w:bidi w:val="0"/>
        <w:spacing w:lineRule="atLeast" w:line="220" w:before="0" w:after="200"/>
        <w:ind w:left="0" w:right="0" w:firstLine="360"/>
        <w:jc w:val="left"/>
        <w:rPr>
          <w:rFonts w:ascii="Times New Roman;Times;serif" w:hAnsi="Times New Roman;Times;serif"/>
          <w:sz w:val="20"/>
        </w:rPr>
      </w:pPr>
      <w:r>
        <w:rPr>
          <w:rFonts w:ascii="Times New Roman;Times;serif" w:hAnsi="Times New Roman;Times;serif"/>
          <w:sz w:val="20"/>
        </w:rPr>
        <w:t>Our Investment segment’s results of operations are reflected in net income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Mr. Icahn’s son.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June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three months ended June 30, 2025 and 2024, our Investment Funds’ returns were (0.5)% and (8.1)%, respectively. For the six months ended June 30, 2025 and 2024, our Investment Funds’ returns were (8.9)% and (8.8)%, respectively. Our Investment Funds’ returns represent a weighted-average composite of the average returns, net of expenses. The Other category is primarily comprised of interest income earned on cash balances, collateral posted to counterparties and short rebates.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tables set forth the performance attribution and net income (loss) for the Investment Funds’ returns for the three and six months ended June 30, 2025 and 2024, respectively, and includes performance of all investment and derivative position types including the impact of the use of leverage through options, short sales, swaps, forwards and other derivative instruments.</w:t>
      </w:r>
    </w:p>
    <w:tbl>
      <w:tblPr>
        <w:tblW w:w="7868" w:type="dxa"/>
        <w:jc w:val="left"/>
        <w:tblInd w:w="0" w:type="dxa"/>
        <w:tblLayout w:type="fixed"/>
        <w:tblCellMar>
          <w:top w:w="0" w:type="dxa"/>
          <w:left w:w="0" w:type="dxa"/>
          <w:bottom w:w="0" w:type="dxa"/>
          <w:right w:w="0" w:type="dxa"/>
        </w:tblCellMar>
      </w:tblPr>
      <w:tblGrid>
        <w:gridCol w:w="1351"/>
        <w:gridCol w:w="326"/>
        <w:gridCol w:w="953"/>
        <w:gridCol w:w="654"/>
        <w:gridCol w:w="1062"/>
        <w:gridCol w:w="361"/>
        <w:gridCol w:w="326"/>
        <w:gridCol w:w="904"/>
        <w:gridCol w:w="621"/>
        <w:gridCol w:w="904"/>
        <w:gridCol w:w="40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857885" cy="175260"/>
                      <wp:effectExtent l="0" t="0" r="0" b="0"/>
                      <wp:wrapNone/>
                      <wp:docPr id="491" name="Frame491"/>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92" name="Frame4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05155" cy="175260"/>
                      <wp:effectExtent l="0" t="0" r="0" b="0"/>
                      <wp:wrapNone/>
                      <wp:docPr id="493" name="Frame493"/>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415290" cy="175260"/>
                      <wp:effectExtent l="0" t="0" r="0" b="0"/>
                      <wp:wrapNone/>
                      <wp:docPr id="494" name="Frame494"/>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74370" cy="175260"/>
                      <wp:effectExtent l="0" t="0" r="0" b="0"/>
                      <wp:wrapNone/>
                      <wp:docPr id="495" name="Frame495"/>
                      <a:graphic xmlns:a="http://schemas.openxmlformats.org/drawingml/2006/main">
                        <a:graphicData uri="http://schemas.microsoft.com/office/word/2010/wordprocessingShape">
                          <wps:wsp>
                            <wps:cNvSpPr txBox="1"/>
                            <wps:spPr>
                              <a:xfrm>
                                <a:off x="0" y="0"/>
                                <a:ext cx="674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29235" cy="175260"/>
                      <wp:effectExtent l="0" t="0" r="0" b="0"/>
                      <wp:wrapNone/>
                      <wp:docPr id="496" name="Frame49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7010" cy="175260"/>
                      <wp:effectExtent l="0" t="0" r="0" b="0"/>
                      <wp:wrapNone/>
                      <wp:docPr id="497" name="Frame4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574040" cy="175260"/>
                      <wp:effectExtent l="0" t="0" r="0" b="0"/>
                      <wp:wrapNone/>
                      <wp:docPr id="498" name="Frame498"/>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394335" cy="175260"/>
                      <wp:effectExtent l="0" t="0" r="0" b="0"/>
                      <wp:wrapNone/>
                      <wp:docPr id="499" name="Frame499"/>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574040" cy="175260"/>
                      <wp:effectExtent l="0" t="0" r="0" b="0"/>
                      <wp:wrapNone/>
                      <wp:docPr id="500" name="Frame500"/>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57810" cy="175260"/>
                      <wp:effectExtent l="0" t="0" r="0" b="0"/>
                      <wp:wrapNone/>
                      <wp:docPr id="501" name="Frame50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6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c>
          <w:tcPr>
            <w:tcW w:w="406"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54" w:type="dxa"/>
            <w:tcBorders/>
            <w:vAlign w:val="center"/>
          </w:tcPr>
          <w:p>
            <w:pPr>
              <w:pStyle w:val="TableContents"/>
              <w:bidi w:val="0"/>
              <w:spacing w:before="0" w:after="0"/>
              <w:ind w:left="0" w:right="0" w:hanging="0"/>
              <w:jc w:val="left"/>
              <w:rPr/>
            </w:pPr>
            <w:r>
              <w:rPr/>
              <w:t>    </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21" w:type="dxa"/>
            <w:tcBorders/>
            <w:vAlign w:val="center"/>
          </w:tcPr>
          <w:p>
            <w:pPr>
              <w:pStyle w:val="TableContents"/>
              <w:bidi w:val="0"/>
              <w:spacing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406" w:type="dxa"/>
            <w:tcBorders/>
            <w:vAlign w:val="center"/>
          </w:tcPr>
          <w:p>
            <w:pPr>
              <w:pStyle w:val="TableContents"/>
              <w:bidi w:val="0"/>
              <w:spacing w:before="0" w:after="0"/>
              <w:ind w:left="0" w:right="0" w:hanging="0"/>
              <w:jc w:val="left"/>
              <w:rPr/>
            </w:pPr>
            <w:r>
              <w:rPr/>
              <w:t>    </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positions</w:t>
            </w:r>
          </w:p>
        </w:tc>
        <w:tc>
          <w:tcPr>
            <w:tcW w:w="326"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6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positions</w:t>
            </w:r>
          </w:p>
        </w:tc>
        <w:tc>
          <w:tcPr>
            <w:tcW w:w="326" w:type="dxa"/>
            <w:tcBorders/>
            <w:vAlign w:val="center"/>
          </w:tcPr>
          <w:p>
            <w:pPr>
              <w:pStyle w:val="TableContents"/>
              <w:bidi w:val="0"/>
              <w:spacing w:before="0" w:after="0"/>
              <w:ind w:left="0" w:right="0" w:hanging="0"/>
              <w:jc w:val="left"/>
              <w:rPr/>
            </w:pPr>
            <w:r>
              <w:rPr/>
              <w:t> </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6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left"/>
              <w:rPr/>
            </w:pPr>
            <w:r>
              <w:rPr/>
              <w:t> </w:t>
            </w:r>
          </w:p>
        </w:tc>
        <w:tc>
          <w:tcPr>
            <w:tcW w:w="9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720" w:right="0" w:hanging="0"/>
        <w:jc w:val="left"/>
        <w:rPr/>
      </w:pPr>
      <w:r>
        <w:rPr/>
        <w:t>​</w:t>
      </w:r>
    </w:p>
    <w:p>
      <w:pPr>
        <w:pStyle w:val="TextBody"/>
        <w:bidi w:val="0"/>
        <w:spacing w:before="0" w:after="240"/>
        <w:ind w:left="0" w:right="0" w:firstLine="360"/>
        <w:jc w:val="left"/>
        <w:rPr/>
      </w:pPr>
      <w:r>
        <w:rPr/>
        <w:t>​</w:t>
      </w:r>
    </w:p>
    <w:tbl>
      <w:tblPr>
        <w:tblW w:w="7143" w:type="dxa"/>
        <w:jc w:val="left"/>
        <w:tblInd w:w="0" w:type="dxa"/>
        <w:tblLayout w:type="fixed"/>
        <w:tblCellMar>
          <w:top w:w="0" w:type="dxa"/>
          <w:left w:w="0" w:type="dxa"/>
          <w:bottom w:w="0" w:type="dxa"/>
          <w:right w:w="0" w:type="dxa"/>
        </w:tblCellMar>
      </w:tblPr>
      <w:tblGrid>
        <w:gridCol w:w="1351"/>
        <w:gridCol w:w="326"/>
        <w:gridCol w:w="307"/>
        <w:gridCol w:w="789"/>
        <w:gridCol w:w="475"/>
        <w:gridCol w:w="307"/>
        <w:gridCol w:w="789"/>
        <w:gridCol w:w="326"/>
        <w:gridCol w:w="278"/>
        <w:gridCol w:w="714"/>
        <w:gridCol w:w="430"/>
        <w:gridCol w:w="278"/>
        <w:gridCol w:w="773"/>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857885" cy="175260"/>
                      <wp:effectExtent l="0" t="0" r="0" b="0"/>
                      <wp:wrapNone/>
                      <wp:docPr id="502" name="Frame502"/>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07010" cy="175260"/>
                      <wp:effectExtent l="0" t="0" r="0" b="0"/>
                      <wp:wrapNone/>
                      <wp:docPr id="503" name="Frame5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94945" cy="175260"/>
                      <wp:effectExtent l="0" t="0" r="0" b="0"/>
                      <wp:wrapNone/>
                      <wp:docPr id="504" name="Frame504"/>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501015" cy="175260"/>
                      <wp:effectExtent l="0" t="0" r="0" b="0"/>
                      <wp:wrapNone/>
                      <wp:docPr id="505" name="Frame505"/>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301625" cy="175260"/>
                      <wp:effectExtent l="0" t="0" r="0" b="0"/>
                      <wp:wrapNone/>
                      <wp:docPr id="506" name="Frame506"/>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94945" cy="175260"/>
                      <wp:effectExtent l="0" t="0" r="0" b="0"/>
                      <wp:wrapNone/>
                      <wp:docPr id="507" name="Frame507"/>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501015" cy="175260"/>
                      <wp:effectExtent l="0" t="0" r="0" b="0"/>
                      <wp:wrapNone/>
                      <wp:docPr id="508" name="Frame508"/>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07010" cy="175260"/>
                      <wp:effectExtent l="0" t="0" r="0" b="0"/>
                      <wp:wrapNone/>
                      <wp:docPr id="509" name="Frame5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76530" cy="175260"/>
                      <wp:effectExtent l="0" t="0" r="0" b="0"/>
                      <wp:wrapNone/>
                      <wp:docPr id="510" name="Frame510"/>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453390" cy="175260"/>
                      <wp:effectExtent l="0" t="0" r="0" b="0"/>
                      <wp:wrapNone/>
                      <wp:docPr id="511" name="Frame511"/>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73050" cy="175260"/>
                      <wp:effectExtent l="0" t="0" r="0" b="0"/>
                      <wp:wrapNone/>
                      <wp:docPr id="512" name="Frame512"/>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76530" cy="175260"/>
                      <wp:effectExtent l="0" t="0" r="0" b="0"/>
                      <wp:wrapNone/>
                      <wp:docPr id="513" name="Frame513"/>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490855" cy="175260"/>
                      <wp:effectExtent l="0" t="0" r="0" b="0"/>
                      <wp:wrapNone/>
                      <wp:docPr id="514" name="Frame514"/>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6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4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75"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30"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714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66"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positions</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475"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430"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positions</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475"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430"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75"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430"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475"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26"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430"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the three months ended June 30, 2025, the Investment Funds’ negative performance was primarily driven by net losses in short positions, offset in part by net gains in long positions. The negative performance of our Investment segment’s short positions was driven primarily by net losses from broad market hedges of $147 million and net losses in the energy sector of $81 million. The positive performance of our Investment segment’s long positions was primarily driven by net gains from the consumer cyclical sector of $144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the three months ended June 30, 2024, the Investment Funds’ negative performance was primarily driven by net losses in long positions, which includes the impact of derivatives, offset in part by net gains in short positions. The negative performance of our Investment segment’s long positions was driven primarily by net losses from the healthcare and energy sectors of $861 million. The positive performance of our Investment segment’s short positions was driven by net gains in the energy sector of $485 million.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six months ended June 30, 2025, the Investment Funds’ negative performance was primarily driven by net losses in long and short positions. The negative performance of our Investment segment’s long positions was driven primarily by net losses from the healthcare and industrials sectors of $376 million, offset in part by net gains from the utilities sector of $116 million. The negative performance of our Investment segment’s short positions was primarily driven by net losses from the energy and utilities sectors of $144 million and net losses from broad market hedges of $63 million.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the six months ended June 30, 2024, the Investment Funds’ negative performance was primarily driven by net losses in long and short positions. The negative performance of our Investment segment’s long positions was driven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primarily by net losses from the healthcare and energy sectors of $482 million, offset in part by gains in the utilities sector of $134 million. The negative performance of our Investment segment’s short positions was driven primarily by net losses in broad market hedges of $163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Energy segment is primarily engaged in the petroleum refining, renewable fuels and nitrogen fertilizer manufacturing businesses. The petroleum business accounted for approximately 89% and 92% of our Energy segment’s net sales for the six months ended June 30, 2025 and 2024,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distillate, and other refined products, which, in turn, depend on, among other factors, changes in domestic and foreign economies, driving habits, weather conditions, domestic and foreign political affairs, production levels, the availability or permissibility of imports and exports, the marketing of competitive fuels and the extent of government regulations. Because the petroleum business applies first-in, first-out accounting to value its inventory, crude oil price movements may impact gross margin as a result of changes in the value of its unhedged inventory. The effect of changes in crude oil prices on the petroleum business’ results of operations is also influenced by the rate at which the processing of Refined Products adjusts to reflect these changes.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geopolitical conditions, such as the ongoing conflict in the Middle East and the impact of the Russia/Ukraine conflict, there are long-term factors such as increased tariffs, ongoing and future trade conflicts and changes in U.S. economic trade policy that may impact the demand for and inventory of refined products. These factors include mandated renewable fuels standards, proposed and enacted climate change laws and regulations, and increased mileage and emissions standards for vehicles. The petroleum business is also subject to the EPA’s Renewable Fuel Standard (“RFS”), which, each year, absent exemptions or waivers, requires the operating companies in our Energy segment to blend “renewable fuels” with their transportation fuels, purchase renewable identification numbers (“RINs”), to the extent available, in lieu of blending, or face liability. The price of RINs has been extremely volatile and the future cost of RINs for the petroleum business is difficult to estimate. Additionally, the cost of RINs is dependent upon a variety of factors, which include but are not limited to the availability of RINs for purchase, the actions of RINs market participants including non-obligated parties, transportation fuel and renewable diesel production levels and pricing, the availability of alternative or supporting credits for renewable fuel producers, the mix of the petroleum business’ petroleum products, the refining margin of the petroleum business and other factors, all of which can vary significantly from period to period, as well as certain waivers or exemptions to which the petroleum business’ obligated-party subsidiaries may be entitled. The costs to comply with the RFS are also impacted by, and dependent upon the outcome of, the numerous lawsuits filed by multiple refiners including the petroleum business’ obligated-party subsidiaries, biofuels groups and others. Refer to Note 16, “Commitments and Contingencies,” to the consolidated financial statements for further discussion of RINs.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Ongoing and recently proposed changes to the U.S. global trade policy, along with actual and potential international retaliatory measures, have continued to cause volatility in global markets and uncertainty around short and long-term economic impacts in the U.S. and around the globe, including concerns over inflation, recession and slowing growth. In addition, the ongoing Russian/Ukraine war and Middle East conflicts and tensions continue to present significant geopolitical risks with direct implications to the global oil, fertilizer, and agriculture markets. Such conflicts pose significant geopolitical risks to global markets, raise concerns of major implications, such as enforcement of sanctions, can contribute to further oil price and inventory volatility, and can disrupt the production and trade of fertilizer, grains, and feedstock supply through several means, including trade restrictions and supply chain disruptions. The ultimate outcome of these conflicts and any associated market disruptions are difficult to predict and may affect our business, operations, and cash flows in unforeseen ways.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our Energy segment’s net sales, cost of goods sold and gross profit:</w:t>
      </w:r>
    </w:p>
    <w:tbl>
      <w:tblPr>
        <w:tblW w:w="7429" w:type="dxa"/>
        <w:jc w:val="left"/>
        <w:tblInd w:w="0" w:type="dxa"/>
        <w:tblLayout w:type="fixed"/>
        <w:tblCellMar>
          <w:top w:w="0" w:type="dxa"/>
          <w:left w:w="0" w:type="dxa"/>
          <w:bottom w:w="0" w:type="dxa"/>
          <w:right w:w="0" w:type="dxa"/>
        </w:tblCellMar>
      </w:tblPr>
      <w:tblGrid>
        <w:gridCol w:w="1636"/>
        <w:gridCol w:w="326"/>
        <w:gridCol w:w="298"/>
        <w:gridCol w:w="806"/>
        <w:gridCol w:w="460"/>
        <w:gridCol w:w="298"/>
        <w:gridCol w:w="806"/>
        <w:gridCol w:w="326"/>
        <w:gridCol w:w="269"/>
        <w:gridCol w:w="730"/>
        <w:gridCol w:w="417"/>
        <w:gridCol w:w="269"/>
        <w:gridCol w:w="788"/>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038860" cy="175260"/>
                      <wp:effectExtent l="0" t="0" r="0" b="0"/>
                      <wp:wrapNone/>
                      <wp:docPr id="515" name="Frame515"/>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7010" cy="175260"/>
                      <wp:effectExtent l="0" t="0" r="0" b="0"/>
                      <wp:wrapNone/>
                      <wp:docPr id="516" name="Frame5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89230" cy="175260"/>
                      <wp:effectExtent l="0" t="0" r="0" b="0"/>
                      <wp:wrapNone/>
                      <wp:docPr id="517" name="Frame517"/>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511810" cy="175260"/>
                      <wp:effectExtent l="0" t="0" r="0" b="0"/>
                      <wp:wrapNone/>
                      <wp:docPr id="518" name="Frame518"/>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92100" cy="175260"/>
                      <wp:effectExtent l="0" t="0" r="0" b="0"/>
                      <wp:wrapNone/>
                      <wp:docPr id="519" name="Frame519"/>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89230" cy="175260"/>
                      <wp:effectExtent l="0" t="0" r="0" b="0"/>
                      <wp:wrapNone/>
                      <wp:docPr id="520" name="Frame520"/>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511810" cy="175260"/>
                      <wp:effectExtent l="0" t="0" r="0" b="0"/>
                      <wp:wrapNone/>
                      <wp:docPr id="521" name="Frame521"/>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07010" cy="175260"/>
                      <wp:effectExtent l="0" t="0" r="0" b="0"/>
                      <wp:wrapNone/>
                      <wp:docPr id="522" name="Frame5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70815" cy="175260"/>
                      <wp:effectExtent l="0" t="0" r="0" b="0"/>
                      <wp:wrapNone/>
                      <wp:docPr id="523" name="Frame523"/>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463550" cy="175260"/>
                      <wp:effectExtent l="0" t="0" r="0" b="0"/>
                      <wp:wrapNone/>
                      <wp:docPr id="524" name="Frame524"/>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64795" cy="175260"/>
                      <wp:effectExtent l="0" t="0" r="0" b="0"/>
                      <wp:wrapNone/>
                      <wp:docPr id="525" name="Frame525"/>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70815" cy="175260"/>
                      <wp:effectExtent l="0" t="0" r="0" b="0"/>
                      <wp:wrapNone/>
                      <wp:docPr id="526" name="Frame526"/>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500380" cy="175260"/>
                      <wp:effectExtent l="0" t="0" r="0" b="0"/>
                      <wp:wrapNone/>
                      <wp:docPr id="527" name="Frame527"/>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26" w:type="dxa"/>
            <w:tcBorders/>
            <w:vAlign w:val="center"/>
          </w:tcPr>
          <w:p>
            <w:pPr>
              <w:pStyle w:val="TableContents"/>
              <w:bidi w:val="0"/>
              <w:spacing w:before="0" w:after="1"/>
              <w:ind w:left="0" w:right="0" w:hanging="0"/>
              <w:jc w:val="left"/>
              <w:rPr/>
            </w:pPr>
            <w:r>
              <w:rPr/>
              <w:t>​</w:t>
            </w:r>
          </w:p>
        </w:tc>
        <w:tc>
          <w:tcPr>
            <w:tcW w:w="24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1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60" w:type="dxa"/>
            <w:tcBorders/>
            <w:vAlign w:val="center"/>
          </w:tcPr>
          <w:p>
            <w:pPr>
              <w:pStyle w:val="TableContents"/>
              <w:bidi w:val="0"/>
              <w:spacing w:before="0" w:after="1"/>
              <w:ind w:left="0" w:right="0" w:hanging="0"/>
              <w:jc w:val="left"/>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17" w:type="dxa"/>
            <w:tcBorders/>
            <w:vAlign w:val="center"/>
          </w:tcPr>
          <w:p>
            <w:pPr>
              <w:pStyle w:val="TableContents"/>
              <w:bidi w:val="0"/>
              <w:spacing w:before="0" w:after="1"/>
              <w:ind w:left="0" w:right="0" w:hanging="0"/>
              <w:jc w:val="left"/>
              <w:rPr/>
            </w:pPr>
            <w:r>
              <w:rPr/>
              <w:t>    </w:t>
            </w:r>
          </w:p>
        </w:tc>
        <w:tc>
          <w:tcPr>
            <w:tcW w:w="10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742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467" w:type="dxa"/>
            <w:gridSpan w:val="11"/>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1,761</w:t>
            </w:r>
          </w:p>
        </w:tc>
        <w:tc>
          <w:tcPr>
            <w:tcW w:w="460"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1,966</w:t>
            </w:r>
          </w:p>
        </w:tc>
        <w:tc>
          <w:tcPr>
            <w:tcW w:w="32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3,407</w:t>
            </w:r>
          </w:p>
        </w:tc>
        <w:tc>
          <w:tcPr>
            <w:tcW w:w="417"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3,829</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1"/>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1,839</w:t>
            </w:r>
          </w:p>
        </w:tc>
        <w:tc>
          <w:tcPr>
            <w:tcW w:w="460" w:type="dxa"/>
            <w:tcBorders/>
            <w:vAlign w:val="center"/>
          </w:tcPr>
          <w:p>
            <w:pPr>
              <w:pStyle w:val="TableContents"/>
              <w:bidi w:val="0"/>
              <w:spacing w:before="0" w:after="1"/>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1,922</w:t>
            </w:r>
          </w:p>
        </w:tc>
        <w:tc>
          <w:tcPr>
            <w:tcW w:w="326" w:type="dxa"/>
            <w:tcBorders/>
            <w:vAlign w:val="center"/>
          </w:tcPr>
          <w:p>
            <w:pPr>
              <w:pStyle w:val="TableContents"/>
              <w:bidi w:val="0"/>
              <w:spacing w:before="0" w:after="1"/>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3,587</w:t>
            </w:r>
          </w:p>
        </w:tc>
        <w:tc>
          <w:tcPr>
            <w:tcW w:w="417" w:type="dxa"/>
            <w:tcBorders/>
            <w:vAlign w:val="center"/>
          </w:tcPr>
          <w:p>
            <w:pPr>
              <w:pStyle w:val="TableContents"/>
              <w:bidi w:val="0"/>
              <w:spacing w:before="0" w:after="1"/>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3,635</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(loss)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460" w:type="dxa"/>
            <w:tcBorders/>
            <w:shd w:fill="CCEEFF" w:val="clear"/>
            <w:vAlign w:val="center"/>
          </w:tcPr>
          <w:p>
            <w:pPr>
              <w:pStyle w:val="TableContents"/>
              <w:bidi w:val="0"/>
              <w:spacing w:before="0" w:after="1"/>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bidi w:val="0"/>
              <w:spacing w:before="0" w:after="1"/>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417" w:type="dxa"/>
            <w:tcBorders/>
            <w:shd w:fill="CCEEFF" w:val="clear"/>
            <w:vAlign w:val="center"/>
          </w:tcPr>
          <w:p>
            <w:pPr>
              <w:pStyle w:val="TableContents"/>
              <w:bidi w:val="0"/>
              <w:spacing w:before="0" w:after="1"/>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60" w:type="dxa"/>
            <w:tcBorders/>
            <w:vAlign w:val="center"/>
          </w:tcPr>
          <w:p>
            <w:pPr>
              <w:pStyle w:val="TableContents"/>
              <w:bidi w:val="0"/>
              <w:spacing w:before="0" w:after="1"/>
              <w:ind w:left="0" w:right="0" w:hanging="0"/>
              <w:jc w:val="right"/>
              <w:rPr/>
            </w:pPr>
            <w:r>
              <w:rPr/>
              <w:t>​</w:t>
            </w:r>
          </w:p>
        </w:tc>
        <w:tc>
          <w:tcPr>
            <w:tcW w:w="298" w:type="dxa"/>
            <w:tcBorders/>
            <w:vAlign w:val="center"/>
          </w:tcPr>
          <w:p>
            <w:pPr>
              <w:pStyle w:val="TableContents"/>
              <w:bidi w:val="0"/>
              <w:spacing w:before="0" w:after="1"/>
              <w:ind w:left="0" w:right="0" w:hanging="0"/>
              <w:jc w:val="right"/>
              <w:rPr/>
            </w:pPr>
            <w:r>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right"/>
              <w:rPr/>
            </w:pPr>
            <w:r>
              <w:rPr/>
              <w:t>​</w:t>
            </w:r>
          </w:p>
        </w:tc>
        <w:tc>
          <w:tcPr>
            <w:tcW w:w="269" w:type="dxa"/>
            <w:tcBorders/>
            <w:vAlign w:val="center"/>
          </w:tcPr>
          <w:p>
            <w:pPr>
              <w:pStyle w:val="TableContents"/>
              <w:bidi w:val="0"/>
              <w:spacing w:before="0" w:after="1"/>
              <w:ind w:left="0" w:right="0" w:hanging="0"/>
              <w:jc w:val="right"/>
              <w:rPr/>
            </w:pPr>
            <w:r>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417" w:type="dxa"/>
            <w:tcBorders/>
            <w:vAlign w:val="center"/>
          </w:tcPr>
          <w:p>
            <w:pPr>
              <w:pStyle w:val="TableContents"/>
              <w:bidi w:val="0"/>
              <w:spacing w:before="0" w:after="1"/>
              <w:ind w:left="0" w:right="0" w:hanging="0"/>
              <w:jc w:val="right"/>
              <w:rPr/>
            </w:pPr>
            <w:r>
              <w:rPr/>
              <w:t>​</w:t>
            </w:r>
          </w:p>
        </w:tc>
        <w:tc>
          <w:tcPr>
            <w:tcW w:w="269" w:type="dxa"/>
            <w:tcBorders/>
            <w:vAlign w:val="center"/>
          </w:tcPr>
          <w:p>
            <w:pPr>
              <w:pStyle w:val="TableContents"/>
              <w:bidi w:val="0"/>
              <w:spacing w:before="0" w:after="1"/>
              <w:ind w:left="0" w:right="0" w:hanging="0"/>
              <w:jc w:val="right"/>
              <w:rPr/>
            </w:pPr>
            <w:r>
              <w:rPr/>
              <w:t>​</w:t>
            </w:r>
          </w:p>
        </w:tc>
        <w:tc>
          <w:tcPr>
            <w:tcW w:w="788"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2025 and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sales for our Energy segment decreased by $205 million (10%) for the three months ended June 30, 2025 as compared to the comparable prior year period due to a decrease in our petroleum business’ net sales of $234 million and a decrease in our renewable business’ net sales of $5 million, offset in part by an increase in our nitrogen fertilizer business’ net sales by $34 million over the comparable period. The decrease in the petroleum business’ net sales was driven by lower sales volumes as a result of planned maintenance at the Coffeyville Refinery. Our renewables business’ net sales decreased due to the expiration of the blenders tax credit, partially offset by higher production and sales volumes and increased biodiesel RIN prices. Our nitrogen fertilizer business’ net sales increased primarily due to favorable urea ammonium nitrate (“UAN”) sales volumes, higher pricing, and favorable ammonia sales volumes and prices.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Cost of goods sold for our Energy segment decreased by $83 million (4%) for the three months ended June 30, 2025 as compared to the comparable prior year period. The decrease was primarily from our petroleum business, mainly due to planned maintenance at the Coffeyville Refinery. Gross profit for our Energy segment decreased by $122 million for the three months ended June 30, 2025 as compared to the comparable prior year period. Gross margin was (4%) and 2% for the three months ended June 30, 2025 and 2024, respectively. The decrease in gross margin was primarily attributable to the petroleum business, as a result of lower refining margins driven by increased RFS expenses of $122 million in the current year, unfavorable sales volume impacts related to the Coffeyville Refinery 2025 planned maintenance and unfavorable derivative impacts of $18 million as compared to the prior year period, offset in part by increased crack spreads.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2025 and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sales for our Energy segment decreased by $422 million (11%) for the six months ended June 30, 2025 as compared to the comparable prior year period due to a decrease in our petroleum business’ net sales of $477 million, offset in part by an increase in our renewable business’ net sales of $6 million and an increase in our nitrogen fertilizer business’ net sales by $49 million over the comparable period. The decrease in the petroleum business’ net sales was driven by lower sales volumes as a result of planned maintenance at the Coffeyville Refinery, resulting in lower production. Our renewables business’ net sales increased due to higher production and sales volumes coupled with increased biodiesel RIN prices partially offset by the expiration of the blenders tax credit. Our nitrogen fertilizer business’ net sales increased primarily due to favorable urea ammonium nitrate (“UAN”) and ammonia sales volumes and higher pricing.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Cost of goods sold for our Energy segment decreased by $48 million (1%) for the six months ended June 30, 2025 as compared to the comparable prior year period. The decrease was primarily from our petroleum business, mainly due to lower production as a result of planned maintenance at the Coffeyville Refinery. Gross profit for our Energy segment decreased by $374 million for the six months ended June 30, 2025 as compared to the comparable prior year period. Gross margin was (5%) and 5% for the six months ended June 30, 2025 and 2024, respectively. The decrease in gross margin was primarily attributable to the petroleum business, as a result of lower refining margins driven by increased RFS expenses of $309 million in the current year, unfavorable sales volume impacts related to the Coffeyville Refinery 2025 planned maintenance, offset in part by increased crack spreads and favorable derivative impacts of $13 million as compared to the prior year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segment’s results of operations are generally driven by the demand for automotive service and maintenance, which is impacted by general economic factors, vehicle miles traveled, and the average age of vehicles on the road, among other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 has been in the process of a multi-year transformation plan. As part of this plan, our Automotive segment completed the separation of certain of its Automotive Services and Aftermarket Parts businesses into two separate operating companies. Auto Plus, which operated the majority of our Aftermarket Parts business, began operating in locations owned and leased by the Automotive Services business from 2021 until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January 2023, Auto Plus filed a voluntary bankruptcy petition seeking relief under Chapter 11 of the Bankruptcy Code, resulting in its cessation of operations and deconsolidation, which reduced our Automotive segment’s assets. Following the bankruptcy, Auto Plus exited the Automotive Services locations within which it operated.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its transformation plan, the Automotive segment leases available and excess real estate in certain locations under long-term operating leases previously utilized by the Aftermarket Parts business. During this multi-year transformation plan, the Automotive segment has continued investing capital to repurpose these locations for future multi-tenant use. During the fourth quarter of 2024, the Automotive segment entered into an agreement with a tenant to terminate a group of leases, effective March 31, 2025. As a result of this termination, the segment has additional excess real estate available to lease. This change has delayed certain aspects of the ongoing transformation plan and has resulted in reduced cash flows during the anticipated lease-up period. We anticipate in the next phase of the transformation plan, the Real Estate segment will take control of the owned Automotive segment real estate. We believe this will reduce the Automotive Services business’s focus on real estate activities. The Automotive Services business will enter into fair market value lease agreements with the Real Estate segment, which will not impact consolidated cash flows but will result in increased cash outflows from the Automotive segment.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segment’s priorities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Positioning the Automotive Services broad offerings to take advantage of opportunities in the do-it-for-me market and vehicle fleets;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Evolving our current store footprint to keep pace with shifting market dynamics, with strategic investment in opening new locations with attractive growth potential and simultaneously closing our lowest and underperforming locations;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and strategic review of, capital projects within Icahn Automotive’s owned and leased locations to increase leasing revenue, restructure lease liabilities, and reduce occupancy costs;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Optimization of Store and Distribution Center network while improving inventory and cost position;</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to improve the overall customer experience through process, facilities and automation;</w:t>
            </w:r>
          </w:p>
        </w:tc>
      </w:tr>
    </w:tbl>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employees with focus on training and career development;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process improvements and sharing best practices through investments in people, technology, and our overall supply chain.</w:t>
            </w:r>
          </w:p>
        </w:tc>
      </w:tr>
    </w:tbl>
    <w:p>
      <w:pPr>
        <w:pStyle w:val="TextBody"/>
        <w:bidi w:val="0"/>
        <w:spacing w:before="0" w:after="0"/>
        <w:ind w:left="90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presents our Automotive segment’s net sales and other revenue from operations, cost of goods sold and other expenses from operations and gross profit. Our Automotive segment’s results of operations include Automotive Services labor along with the sale of any installed parts or materials related to Automotive Services. Automotive Services labor revenues are included in other revenues from operations in our consolidated statements of operations, however, the sales of any installed parts or materials related to Automotive Services are included in net sales. Rental revenues and related expenses for properties leased to third parties, which are included in other revenues from operations and related expenses which are included in other expenses in our consolidated statements of operations, are excluded from the table below. Therefore, we discuss the combined results of our Automotive net sales and Automotive Services labor revenues below.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458"/>
        <w:gridCol w:w="326"/>
        <w:gridCol w:w="326"/>
        <w:gridCol w:w="742"/>
        <w:gridCol w:w="504"/>
        <w:gridCol w:w="326"/>
        <w:gridCol w:w="742"/>
        <w:gridCol w:w="326"/>
        <w:gridCol w:w="285"/>
        <w:gridCol w:w="650"/>
        <w:gridCol w:w="441"/>
        <w:gridCol w:w="285"/>
        <w:gridCol w:w="794"/>
      </w:tblGrid>
      <w:tr>
        <w:trPr/>
        <w:tc>
          <w:tcPr>
            <w:tcW w:w="4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830830" cy="175260"/>
                      <wp:effectExtent l="0" t="0" r="0" b="0"/>
                      <wp:wrapNone/>
                      <wp:docPr id="528" name="Frame528"/>
                      <a:graphic xmlns:a="http://schemas.openxmlformats.org/drawingml/2006/main">
                        <a:graphicData uri="http://schemas.microsoft.com/office/word/2010/wordprocessingShape">
                          <wps:wsp>
                            <wps:cNvSpPr txBox="1"/>
                            <wps:spPr>
                              <a:xfrm>
                                <a:off x="0" y="0"/>
                                <a:ext cx="283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07010" cy="175260"/>
                      <wp:effectExtent l="0" t="0" r="0" b="0"/>
                      <wp:wrapNone/>
                      <wp:docPr id="529" name="Frame5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07010" cy="175260"/>
                      <wp:effectExtent l="0" t="0" r="0" b="0"/>
                      <wp:wrapNone/>
                      <wp:docPr id="530" name="Frame5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471170" cy="175260"/>
                      <wp:effectExtent l="0" t="0" r="0" b="0"/>
                      <wp:wrapNone/>
                      <wp:docPr id="531" name="Frame531"/>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320040" cy="175260"/>
                      <wp:effectExtent l="0" t="0" r="0" b="0"/>
                      <wp:wrapNone/>
                      <wp:docPr id="532" name="Frame532"/>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7010" cy="175260"/>
                      <wp:effectExtent l="0" t="0" r="0" b="0"/>
                      <wp:wrapNone/>
                      <wp:docPr id="533" name="Frame5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471170" cy="175260"/>
                      <wp:effectExtent l="0" t="0" r="0" b="0"/>
                      <wp:wrapNone/>
                      <wp:docPr id="534" name="Frame534"/>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7010" cy="175260"/>
                      <wp:effectExtent l="0" t="0" r="0" b="0"/>
                      <wp:wrapNone/>
                      <wp:docPr id="535" name="Frame5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80975" cy="175260"/>
                      <wp:effectExtent l="0" t="0" r="0" b="0"/>
                      <wp:wrapNone/>
                      <wp:docPr id="536" name="Frame536"/>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412750" cy="175260"/>
                      <wp:effectExtent l="0" t="0" r="0" b="0"/>
                      <wp:wrapNone/>
                      <wp:docPr id="537" name="Frame537"/>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80035" cy="175260"/>
                      <wp:effectExtent l="0" t="0" r="0" b="0"/>
                      <wp:wrapNone/>
                      <wp:docPr id="538" name="Frame538"/>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80975" cy="175260"/>
                      <wp:effectExtent l="0" t="0" r="0" b="0"/>
                      <wp:wrapNone/>
                      <wp:docPr id="539" name="Frame539"/>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504190" cy="175260"/>
                      <wp:effectExtent l="0" t="0" r="0" b="0"/>
                      <wp:wrapNone/>
                      <wp:docPr id="540" name="Frame540"/>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4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44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04" w:type="dxa"/>
            <w:tcBorders/>
            <w:vAlign w:val="center"/>
          </w:tcPr>
          <w:p>
            <w:pPr>
              <w:pStyle w:val="TableContents"/>
              <w:bidi w:val="0"/>
              <w:spacing w:before="0" w:after="0"/>
              <w:ind w:left="0" w:right="0" w:hanging="0"/>
              <w:jc w:val="left"/>
              <w:rPr/>
            </w:pPr>
            <w:r>
              <w:rPr/>
              <w:t>    </w:t>
            </w:r>
          </w:p>
        </w:tc>
        <w:tc>
          <w:tcPr>
            <w:tcW w:w="10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41" w:type="dxa"/>
            <w:tcBorders/>
            <w:vAlign w:val="center"/>
          </w:tcPr>
          <w:p>
            <w:pPr>
              <w:pStyle w:val="TableContents"/>
              <w:bidi w:val="0"/>
              <w:spacing w:before="0" w:after="0"/>
              <w:ind w:left="0" w:right="0" w:hanging="0"/>
              <w:jc w:val="left"/>
              <w:rPr/>
            </w:pPr>
            <w:r>
              <w:rPr/>
              <w:t>    </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4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21"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 and other revenues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5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441"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r>
      <w:tr>
        <w:trPr/>
        <w:tc>
          <w:tcPr>
            <w:tcW w:w="4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and other expenses from operations</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504"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441"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r>
      <w:tr>
        <w:trPr/>
        <w:tc>
          <w:tcPr>
            <w:tcW w:w="4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504"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441"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4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5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right"/>
              <w:rPr/>
            </w:pPr>
            <w:r>
              <w:rPr/>
              <w:t>​</w:t>
            </w:r>
          </w:p>
        </w:tc>
        <w:tc>
          <w:tcPr>
            <w:tcW w:w="285" w:type="dxa"/>
            <w:tcBorders/>
            <w:vAlign w:val="center"/>
          </w:tcPr>
          <w:p>
            <w:pPr>
              <w:pStyle w:val="TableContents"/>
              <w:bidi w:val="0"/>
              <w:spacing w:before="0" w:after="0"/>
              <w:ind w:left="0" w:right="0" w:hanging="0"/>
              <w:jc w:val="righ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41" w:type="dxa"/>
            <w:tcBorders/>
            <w:vAlign w:val="center"/>
          </w:tcPr>
          <w:p>
            <w:pPr>
              <w:pStyle w:val="TableContents"/>
              <w:bidi w:val="0"/>
              <w:spacing w:before="0" w:after="0"/>
              <w:ind w:left="0" w:right="0" w:hanging="0"/>
              <w:jc w:val="right"/>
              <w:rPr/>
            </w:pPr>
            <w:r>
              <w:rPr/>
              <w:t>​</w:t>
            </w:r>
          </w:p>
        </w:tc>
        <w:tc>
          <w:tcPr>
            <w:tcW w:w="285"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bookmarkStart w:id="1999" w:name="_Hlk149058774"/>
      <w:bookmarkStart w:id="2000" w:name="_Hlk149058874"/>
      <w:bookmarkEnd w:id="1999"/>
      <w:bookmarkEnd w:id="2000"/>
      <w:r>
        <w:rPr>
          <w:rFonts w:ascii="Times New Roman;Times;serif" w:hAnsi="Times New Roman;Times;serif"/>
          <w:i/>
          <w:sz w:val="20"/>
        </w:rPr>
        <w:t>Three Months Ended June 30, 2025 and 2024</w:t>
      </w:r>
    </w:p>
    <w:p>
      <w:pPr>
        <w:pStyle w:val="TextBody"/>
        <w:bidi w:val="0"/>
        <w:spacing w:before="0" w:after="240"/>
        <w:ind w:left="0" w:right="0" w:firstLine="360"/>
        <w:jc w:val="left"/>
        <w:rPr>
          <w:rFonts w:ascii="Times New Roman;Times;serif" w:hAnsi="Times New Roman;Times;serif"/>
          <w:sz w:val="20"/>
        </w:rPr>
      </w:pPr>
      <w:bookmarkStart w:id="2001" w:name="_Hlk109386898"/>
      <w:bookmarkEnd w:id="2001"/>
      <w:r>
        <w:rPr>
          <w:rFonts w:ascii="Times New Roman;Times;serif" w:hAnsi="Times New Roman;Times;serif"/>
          <w:sz w:val="20"/>
        </w:rPr>
        <w:t xml:space="preserve">Net sales and other revenues from operations for our Automotive segment for the three months ended June 30, 2025 decreased by $13 million (4%) as compared to the comparable prior year period. The decrease was attributable to a decrease in Automotive Services revenues of $8 million (2%) and a decrease in Aftermarket Parts revenues of $5 million (100%), due to the exit of the Aftermarket Parts business. The decrease in Automotive Services revenue was primarily attributable to the strategic closure of select underperforming domestic locations.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Cost of goods sold and other expenses from operations for the three months ended June 30, 2025 increased by $5 million (2%) as compared to the comparable prior year period. The increase was primarily attributable to higher parts cost and a management decision to invest in labor. Gross profit for the three months ended June 30, 2025 decreased by $18 million (16%) from the comparable prior year period. Gross margin was 27% and 31% for the three months ended June 30, 2025 and 2024, respectively. The decline in gross margin was primarily due to strategic investments in labor.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and other revenues from operations for our Automotive segment for the six months ended June 30, 2025 decreased by $47 million (6%) as compared to the comparable prior year period. The decrease was attributable to a decrease in Automotive Services revenues of $31 million (4%) and a decrease in Aftermarket Parts revenues of $16 million (89%), due to the exit of the Aftermarket Parts business. The decrease in Automotive Services revenue was primarily attributable to industry headwinds, as well as the strategic closure of select underperforming domestic locations.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Cost of goods sold and other expenses from operations for the six months ended June 30, 2025 decreased by $7 million (1%) as compared to the comparable prior year period. The decrease was primarily attributable to lower revenues in Automotive Services. Gross profit for the six months ended June 30, 2025 decreased by $40 million (19%) from the comparable prior year period. Gross margin was 26% and 29% for the six months ended June 30, 2025 and 2024, respectively. The decline in gross margin was primarily due to strategic investments in labor.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Food Packaging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first quarter of 2025, the segment commenced implementation of a restructuring plan designed to enhance operational efficiency and margin performance. The plan includes the consolidation of our North American facilities into a single, centralized location, along with investments in upgraded equipment at that facility. These actions are intended to support increased production volumes while reducing costs and waste. Implementation of the plan may create some interim disruption, but its objective is to maintain global production capability while achieving improved cost structure. The restructuring activities are expected to be substantially completed during the second half of 2025. During the six months ended June 30, 2025, the segment has recognized $5 million of restructuring expenses, which include employee severance costs and facility consolidation expenses, as well as $12 million of asset impairment charges.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three months ended June 30, 2025 decreased $8 million (8%) as compared to the comparable prior year period. The decrease was primarily due to lower volumes of $7 million, a decrease in price and product mix of $3 million, offset in part by favorable effects of foreign exchange of $2 million. Cost of goods sold for the three months ended June 30, 2025 decreased $1 million (1%) as compared to the comparable prior year period, primarily due to effects of lower manufacturing performance. Gross margin as a percentage of net sales was 12% and 18% for the three months ended June 30, 2025 and 2024,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six months ended June 30, 2025 decreased $15 million (7%) as compared to the comparable prior year period. The decrease was primarily due to lower volumes of $6 million and a decrease in price of $9 million. offset in party by favorable effects of foreign exchange of $2 million and an increase in price and product mix of $1 million. Cost of goods sold for the six months ended June 30, 2025 decreased $1 million (1%) as compared to the comparable prior year period, primarily due to effects of lower manufacturing performance. Gross margin as a percentage of net sales was 14% and 19% for the three months ended June 30, 2025 and 2024,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Real Estate segment consists of investment properties which includes land, retail, office and industrial properties leased to corporate tenants, the development and sale of single-family homes, and the operations of a resort and a country club. Sales of single-family homes and investment properties are included in net sales in our consolidated statements of operations. Results from operations at investment properties and our country clubs are included in other revenues from operations in our consolidated statements of operations. Revenue from our real estate operations for the three and six months ended June 30, 2025 and 2024 was primarily derived from the sale of single-family homes and country club operations.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Real Estate segment is actively marketing certain properties for sale. In November 2024, we entered into an agreement to sell certain leased properties, which is expected to close in the third quarter of 2025. These leased properties generated approximately $3 million in annual revenue. Additionally, in June 2025, we closed on the sale of a country club which resulted in a gain of $47 million. The country club generated approximately $33 million of revenue in the full year of 2024. As a result of this sale, we expect a corresponding reduction in future other revenues from operations on an annualized basis.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three months ended June 30, 2025 decreased $9 million (90%) as compared to the comparable prior year period due to the decrease in single-family home sales. Cost of goods sold for the three months ended June 30, 2025 decreased $6 million (86%) as compared to the prior year period. Gross margin as a percentage of net sales was 0% and 30% for the three months ended June 30, 2025 and 2024,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revenues from operations for the three months ended June 30, 2025 decreased $2 million (11%) as compared to the comparable prior year period due to the sale of a country club in the second quarter of 2025. Other expenses from operations for the three months ended June 30, 2025 decreased by $1 million (6%) as compared to the comparable prior year period.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six months ended June 30, 2025 decreased $10 million (91%) as compared to the comparable prior year period due to the decrease in single-family home sales. Cost of goods sold for the three months ended June 30, 2025 decreased $7 million (88%) as compared to the prior year period. Gross margin as a percentage of net sales was 0% and 27% for the six months ended June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revenues from operations for the six months ended June 30, 2025 decreased $2 million (6%) as compared to the comparable prior year period due to the sale of a country club in the second quarter of 2025. Other expenses from operations for the six months ended June 30, 2025 increased $1 million (3%) as compared to the comparable prior year period.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Home Fashion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Home Fashion segment is significantly influenced by the overall economic environment, including consumer spending, at the retail level, for home textile products.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2025 and 2024</w:t>
      </w:r>
    </w:p>
    <w:p>
      <w:pPr>
        <w:pStyle w:val="TextBody"/>
        <w:bidi w:val="0"/>
        <w:spacing w:before="0" w:after="240"/>
        <w:ind w:left="0" w:right="0" w:firstLine="360"/>
        <w:jc w:val="left"/>
        <w:rPr>
          <w:rFonts w:ascii="Times New Roman;Times;serif" w:hAnsi="Times New Roman;Times;serif"/>
          <w:sz w:val="20"/>
        </w:rPr>
      </w:pPr>
      <w:bookmarkStart w:id="2002" w:name="_Hlk165651022"/>
      <w:bookmarkStart w:id="2003" w:name="_Hlk165650935"/>
      <w:bookmarkEnd w:id="2002"/>
      <w:bookmarkEnd w:id="2003"/>
      <w:r>
        <w:rPr>
          <w:rFonts w:ascii="Times New Roman;Times;serif" w:hAnsi="Times New Roman;Times;serif"/>
          <w:sz w:val="20"/>
        </w:rPr>
        <w:t xml:space="preserve">Net sales for the three months ended June 30, 2025 decreased by $2 million (5%) as compared to the comparable prior year period mostly due to lower demand from our US retail business. Cost of goods sold for the three months ended June 30, 2025 was flat compared to the comparable prior year period. Gross margin as a percentage of net sales was 21% and 25% for the three months ended June 30, 2025 and 2024,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six months ended June 30, 2025 increased by $3 million (4%) as compared to the comparable prior year period mostly due to higher demand from our UK hospitality and international business. Cost of goods sold for the six months ended June 30, 2025 increased by $4 million (7%) compared to the comparable prior year period mostly due to customer mix. Gross margin as a percentage of net sales was 23% and 25% for the six months ended June 30, 2025 and 2024,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Pharma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Pharma segment derives revenues primarily from the sale of its products directly to customers, wholesalers and pharmacies. Drugs in active clinical development may generate positive cash flow if successful, but there is also the risk that these drugs may not progress through clinical trials, resulting in no return. Additionally, we incur research and development costs associated with these drugs.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Pursuant to previously announced settlement agreements, in 2025, two competitors launched competing generic products to the patent protected weight loss treatment sold within our Pharma segment in the United States, which we anticipate will cause a moderate reduction of prescription volume in the retail pharmacy market in the United States. The Pharma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segment has launched its weight loss treatment in the UAE and in several EU countries including Poland, Denmark, Finland, Sweden and Iceland. Additionally, launches in twelve other European countries and six additional countries in the Middle East are planned. Our Pharma segment anticipates these new launches will eventually offset the lost revenue in the US. </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three months ended June 30, 2025 was up $8 million (32%) as compared to the comparable prior year period primarily due to higher prescription growth resulting in increased sales. Cost of goods sold for the three months ended June 30, 2025 increased $2 million (14%) as compared to the comparable prior year period. Gross margin as a percentage of net sales was 52% and 44% for the three months ended June 30, 2025 and 2024,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Net sales for the six months ended June 30, 2025 was up $7 million (14%) as compared to the comparable prior year period primarily due to higher prescription growth resulting in increased sales. Cost of goods sold for the six months ended June 30, 2025 increased $1 million (4%) as compared to the comparable prior year period. Gross margin as a percentage of net sales was 48% and 43% for the three months ended June 30, 2025 and 2024, respectively.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Holding Company’s results of operations primarily reflect the interest expense on its senior notes for each of the three and six months ended June 30, 2025 and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Consolidated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Selling, General and Administrative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consolidated selling, general and administrative costs during the three months ended June 30, 2025 increased by $24 million (13%) as compared to the comparable prior year period. The increase was primarily due to higher costs in the Automotive segment of $14 million mostly related to increased marketing and payroll expenses and the Energy segment of $7 million.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selling, general and administrative costs during the six months ended June 30, 2025 increased by $32 million (9%) as compared to the comparable prior year period. The increase was primarily due to higher costs in the Automotive segment of $17 million mostly related to increased marketing and payroll expenses and the Energy segment of $9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consolidated interest expense during the three months ended June 30, 2025 increased by $1 million (1%) as compared to the comparable prior year period. The increase was primarily due to higher interest expense for our Energy segment of $10 million and in our Holding Company segment of $5 million, offset in part by lower interest expense in our Investment segment of $15 million attributable to changes in short exposure composition.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interest expense during the six months ended June 30, 2025 increased by $7 million (3%) as compared to the comparable prior year period. The increase was primarily due to higher interest expense for our Holding Company segment of $13 million and our Energy segment of $12 million, offset in part by lower interest expense in our Investment segment of $34 million attributable to changes in short exposure composition.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of our subsidiaries are partnerships not subject to taxation in our condensed consolidated financial statements and certain other subsidiaries are corporations, or subsidiaries of corporations, subject to taxation in our condensed consolidated financial statements. Therefore, our consolidated effective tax rate generally differs from the statutory federal tax rate. Refer to Note 13, “Income Taxes,” to the condensed consolidated financial statements for a discussion of income taxes.</w:t>
      </w:r>
    </w:p>
    <w:p>
      <w:pPr>
        <w:pStyle w:val="TextBody"/>
        <w:bidi w:val="0"/>
        <w:spacing w:before="0" w:after="240"/>
        <w:ind w:left="0" w:right="0" w:hanging="0"/>
        <w:jc w:val="left"/>
        <w:rPr>
          <w:rFonts w:ascii="Times New Roman;Times;serif" w:hAnsi="Times New Roman;Times;serif"/>
          <w:b/>
          <w:sz w:val="20"/>
        </w:rPr>
      </w:pPr>
      <w:bookmarkStart w:id="2004" w:name="_b69855e7_a9ab_493f_99f8_bd228ced43da"/>
      <w:bookmarkEnd w:id="2004"/>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Holding Company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holding company. Our cash flow and our ability to meet our debt service obligations and make distributions with respect to depositary units depends on the cash flow resulting from divestitures, equity offerings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October 2024, CVR Energy, our subsidiary in our Energy segment, elected to suspend payment of its cash dividend, and continued not to pay dividends in the first and second quarters of 2025, which reduced our cash flow for the relevant periods. In addition, our subsidiaries are not obligated to make funds available to us and distributions and intercompany transfers from our subsidiaries to us may be restricted by applicable law or covenants contained in debt agreements and other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2025, our Holding Company had cash and cash equivalents of approximately $1.1 billion and total debt of approximately $4.7 billion. As of June 30, 2025, our Holding Company had investments in the Investment Funds with a total fair market value of approximately $2.4 billion. We may redeem our direct investment in the Investment Funds upon notice. See “Investment Segment Liquidity,” including under “Investment Funds Redemptions,” below for additional information with respect to our Investment segment liquidity. See “Consolidated Cash Flows” below for additional information with respect to our Holding Company liquidity.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Holding Company Borrowings and Availability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Holding Company aggregate outstanding face amount of senior notes consist of the following:</w:t>
      </w:r>
    </w:p>
    <w:tbl>
      <w:tblPr>
        <w:tblW w:w="7857" w:type="dxa"/>
        <w:jc w:val="left"/>
        <w:tblInd w:w="0" w:type="dxa"/>
        <w:tblLayout w:type="fixed"/>
        <w:tblCellMar>
          <w:top w:w="0" w:type="dxa"/>
          <w:left w:w="0" w:type="dxa"/>
          <w:bottom w:w="0" w:type="dxa"/>
          <w:right w:w="0" w:type="dxa"/>
        </w:tblCellMar>
      </w:tblPr>
      <w:tblGrid>
        <w:gridCol w:w="5326"/>
        <w:gridCol w:w="230"/>
        <w:gridCol w:w="625"/>
        <w:gridCol w:w="326"/>
        <w:gridCol w:w="320"/>
        <w:gridCol w:w="1030"/>
      </w:tblGrid>
      <w:tr>
        <w:trPr/>
        <w:tc>
          <w:tcPr>
            <w:tcW w:w="5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3382010" cy="175260"/>
                      <wp:effectExtent l="0" t="0" r="0" b="0"/>
                      <wp:wrapNone/>
                      <wp:docPr id="541" name="Frame541"/>
                      <a:graphic xmlns:a="http://schemas.openxmlformats.org/drawingml/2006/main">
                        <a:graphicData uri="http://schemas.microsoft.com/office/word/2010/wordprocessingShape">
                          <wps:wsp>
                            <wps:cNvSpPr txBox="1"/>
                            <wps:spPr>
                              <a:xfrm>
                                <a:off x="0" y="0"/>
                                <a:ext cx="3382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46050" cy="175260"/>
                      <wp:effectExtent l="0" t="0" r="0" b="0"/>
                      <wp:wrapNone/>
                      <wp:docPr id="542" name="Frame54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396875" cy="175260"/>
                      <wp:effectExtent l="0" t="0" r="0" b="0"/>
                      <wp:wrapNone/>
                      <wp:docPr id="543" name="Frame543"/>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07010" cy="175260"/>
                      <wp:effectExtent l="0" t="0" r="0" b="0"/>
                      <wp:wrapNone/>
                      <wp:docPr id="544" name="Frame5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03200" cy="175260"/>
                      <wp:effectExtent l="0" t="0" r="0" b="0"/>
                      <wp:wrapNone/>
                      <wp:docPr id="545" name="Frame545"/>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54050" cy="175260"/>
                      <wp:effectExtent l="0" t="0" r="0" b="0"/>
                      <wp:wrapNone/>
                      <wp:docPr id="546" name="Frame546"/>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June 30, </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5326" w:type="dxa"/>
            <w:tcBorders/>
            <w:vAlign w:val="center"/>
          </w:tcPr>
          <w:p>
            <w:pPr>
              <w:pStyle w:val="TableContents"/>
              <w:bidi w:val="0"/>
              <w:spacing w:before="0" w:after="0"/>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2025</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7857"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5326" w:type="dxa"/>
            <w:tcBorders/>
            <w:vAlign w:val="center"/>
          </w:tcPr>
          <w:p>
            <w:pPr>
              <w:pStyle w:val="TableContents"/>
              <w:bidi w:val="0"/>
              <w:spacing w:before="0" w:after="0"/>
              <w:ind w:left="0" w:right="0" w:hanging="0"/>
              <w:jc w:val="left"/>
              <w:rPr/>
            </w:pPr>
            <w:r>
              <w:rPr/>
              <w:t>​</w:t>
            </w:r>
          </w:p>
        </w:tc>
        <w:tc>
          <w:tcPr>
            <w:tcW w:w="2531"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6.250% senior notes due 2026</w:t>
            </w:r>
          </w:p>
        </w:tc>
        <w:tc>
          <w:tcPr>
            <w:tcW w:w="230"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5.250% senior notes due 2027</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4.375% senior notes due 2029</w:t>
            </w:r>
          </w:p>
        </w:tc>
        <w:tc>
          <w:tcPr>
            <w:tcW w:w="230"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9.750% senior notes due 2029</w:t>
            </w:r>
          </w:p>
        </w:tc>
        <w:tc>
          <w:tcPr>
            <w:tcW w:w="23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10.000% senior notes due 2029</w:t>
            </w:r>
          </w:p>
        </w:tc>
        <w:tc>
          <w:tcPr>
            <w:tcW w:w="230"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9.000% senior notes due 2030</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5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4,905</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4,905</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discounts, premiums, and debt issuance costs</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53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Less: Notes held in treasury </w:t>
            </w:r>
            <w:r>
              <w:rPr>
                <w:rFonts w:ascii="Times New Roman;Times;serif" w:hAnsi="Times New Roman;Times;serif"/>
                <w:sz w:val="15"/>
              </w:rPr>
              <w:t>(1)</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4,664</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4,699</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At June 30, 2025 total debt is net of notes held in treasury of $31 million aggregate principal amount of our 6.250% senior notes due 2026, $73 million aggregate principal amount of our 5.250% senior notes due 2027, $92 million aggregate principal amount of our 4.375% senior notes due 2029, and $35 million aggregate principal amount of our 9.000% senior notes due 2030. At December 31, 2024 total debt is net of notes held in treasury of $31 million aggregate principal amount of our 6.250% senior notes due 2026, $73 million aggregate principal amount of our 5.250% senior notes due 2027, and $92 million aggregate principal amount of our 4.375% senior notes due 2029.</w:t>
            </w:r>
          </w:p>
        </w:tc>
      </w:tr>
    </w:tbl>
    <w:p>
      <w:pPr>
        <w:pStyle w:val="TextBody"/>
        <w:bidi w:val="0"/>
        <w:spacing w:before="0" w:after="0"/>
        <w:ind w:left="36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Holding Company debt consists of various issues of fixed-rate senior notes issued by Icahn Enterprises and Icahn Enterprises Finance Corp. (together, the “Issuers”) and guaranteed by Icahn Enterprises Holdings (the “Guarantor”). Interest on each tranche of senior notes is payable semi-annually.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Each of our senior notes and the related guarantees are the senior obligations of the Issuers and rank equally with all of the Issuers’ and the Guarantor’s existing and future senior indebtedness and senior to all of the Issuers’ and the Guarantor’s existing and future subordinated indebtedness. Each of our senior notes and the related guarantees are effectively subordinated to the Issuers’ and the Guarantor’s existing and future secured indebtedness to the extent of the collateral securing such indebtedness. Each of our senior notes and the related guarantees are also effectively subordinated to all indebtedness and other liabilities of the Issuers’ subsidiaries other than the Guarantor.</w:t>
      </w:r>
    </w:p>
    <w:p>
      <w:pPr>
        <w:pStyle w:val="TextBody"/>
        <w:bidi w:val="0"/>
        <w:spacing w:before="0" w:after="240"/>
        <w:ind w:left="0" w:right="0" w:firstLine="360"/>
        <w:jc w:val="left"/>
        <w:rPr>
          <w:rFonts w:ascii="Times New Roman;Times;serif" w:hAnsi="Times New Roman;Times;serif"/>
          <w:sz w:val="20"/>
        </w:rPr>
      </w:pPr>
      <w:bookmarkStart w:id="2005" w:name="_Hlk191140442"/>
      <w:bookmarkEnd w:id="2005"/>
      <w:r>
        <w:rPr>
          <w:rFonts w:ascii="Times New Roman;Times;serif" w:hAnsi="Times New Roman;Times;serif"/>
          <w:sz w:val="20"/>
        </w:rPr>
        <w:t>The indentures governing our senior notes described above restrict the payment of cash distributions, the purchase of equity interests or the purchase, redemption, defeasance or acquisition of debt subordinated to the senior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Upon the closing of our secured debt offering in November of 2024, all of our notes are now secured and, as a result, will be excluded from the calculation of the ratio test under these covenants. As a result, we no longer have a material amount of unsecured indebtedness, and we and our subsidiaries have substantially more capacity under these covenants to incur additional unsecured indebtedness (but subject to the other covenants in the indentures governing our senior notes that restrict the ability of the Issuers and the Guarantors, as well as the ability of our non-guarantor subsidiaries, to incur incremental indebtedness). The indentures also restrict the creation of liens, mergers, consolidations and sales of substantially all of our assets, and transactions with affiliates. Additionally, each of the 5.250% senior notes due 2027, the 4.375% senior notes due 2029, the 10.000% senior notes due 2029 and the 9.000% senior notes due 2030 are subject to optional redemption premiums in the event we redeem any of the notes prior to six months before maturity. The 9.750% senior notes due 2029 are subject to optional redemption premiums in the event we redeem these notes prior to three months before maturity.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of June 30, 2025 and December 31, 2024, we were in compliance with all covenants, including maintaining certain minimum financial ratios, as defined in the indentures. Additionally, as of March 31, 2025, based on covenants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indentures governing our senior notes, we are not permitted to incur additional indebtedness; however, we are permitted to issue new notes in connection with debt refinancings of existing notes.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Debt Repurchase</w:t>
      </w:r>
    </w:p>
    <w:p>
      <w:pPr>
        <w:pStyle w:val="TextBody"/>
        <w:bidi w:val="0"/>
        <w:spacing w:before="0" w:after="240"/>
        <w:ind w:left="0" w:right="0" w:firstLine="360"/>
        <w:jc w:val="left"/>
        <w:rPr>
          <w:rFonts w:ascii="TimesNRMTPro" w:hAnsi="TimesNRMTPro"/>
          <w:sz w:val="20"/>
        </w:rPr>
      </w:pPr>
      <w:r>
        <w:rPr>
          <w:rFonts w:ascii="TimesNRMTPro" w:hAnsi="TimesNRMTPro"/>
          <w:sz w:val="20"/>
        </w:rPr>
        <w:t>In June 2025, we repurchased in the open market approximately $35 million aggregate principal amount of our 9.000% senior notes due 2030 for total cash paid of $32 million. The repurchased notes were extinguished but were not retired and are held in treasury.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At-The-Market Offerings</w:t>
      </w:r>
    </w:p>
    <w:p>
      <w:pPr>
        <w:pStyle w:val="TextBody"/>
        <w:bidi w:val="0"/>
        <w:spacing w:before="0" w:after="240"/>
        <w:ind w:left="0" w:right="0" w:firstLine="360"/>
        <w:jc w:val="left"/>
        <w:rPr>
          <w:rFonts w:ascii="Times New Roman;Times;serif" w:hAnsi="Times New Roman;Times;serif"/>
          <w:sz w:val="20"/>
        </w:rPr>
      </w:pPr>
      <w:r>
        <w:rPr>
          <w:rFonts w:ascii="TimesNRMTPro" w:hAnsi="TimesNRMTPro"/>
          <w:sz w:val="20"/>
        </w:rPr>
        <w:t xml:space="preserve">In May 2019, Icahn Enterprises entered into an Open Market Sale Agreement for the sale of depositary units, from time to time, for up to $400 million in aggregate sale proceeds, under its ongoing “at-the-market” offering. This agreement has been subsequently terminated and superseded by subsequent agreements with substantially the same terms. </w:t>
      </w:r>
      <w:r>
        <w:rPr>
          <w:rFonts w:ascii="Times New Roman;Times;serif" w:hAnsi="Times New Roman;Times;serif"/>
          <w:sz w:val="20"/>
        </w:rPr>
        <w:t xml:space="preserve">During the six months ended June 30, 2025, we sold 3,811,992 depositary units pursuant to the Open Market Sale Agreement entered into November 21, 2022. As of June 30, 2025, we continue to have effective Open Market Sale Agreements, and Icahn Enterprises may sell its depositary units for up to an additional $13 million in aggregate gross sale proceeds pursuant to its Open Market Sale Agreement entered into November 21, 2022 and up to $400 million in aggregate gross sales proceeds pursuant to its Open Market Sales Agreement entered into August 26, 2024, subject to the effectiveness of a shelf registration statement on Form S-3 filed with the Securities and Exchange Commission. </w:t>
      </w:r>
      <w:r>
        <w:rPr>
          <w:rFonts w:ascii="TimesNRMTPro" w:hAnsi="TimesNRMTPro"/>
          <w:sz w:val="20"/>
        </w:rPr>
        <w:t>No assurance can be made that any or all amounts will be sold during the term of the agreements, and we have no obligation to sell additional depositary units under these Open Market Sale Agreements. Depending on market conditions, we may continue to sell depositary units under the Open Market Sale Agreements, and, if appropriate, enter into a new Open Market Sale Agreement to continue our “at-the-market” sales program once we have sold the full amount of our existing Open Market Sale Agreements. Our ability to access remaining capital under our “at-the-market” program may be limited by market conditions at the time of any future potential sale. While we were able to sell depositary units during the six months ended June 30, 2025, there can be no assurance that any future capital will be available on acceptable terms or at all under this program.</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LP Unit Distributions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2025, Icahn Enterprises declared two quarterly distributions, each distribution in the amount of $0.50 per depositary unit in which each depositary unitholder had the option to make an election to receive either cash or additional depositary units. In connection with these distributions, aggregate cash distributions to all depositary unitholders that made a timely election to receive cash was $151 million, of which $100 million was distributed to Mr. Icahn and his affiliates.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August 1, 2025, the Board of Directors of the general partner of Icahn Enterprises declared a quarterly distribution in the amount of $0.50 per depositary unit, which will be paid on or about September 24, 2025 to depositary unitholders of record at the close of business on August 18, 2025. Depositary unitholders will have until September 12, 2025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September 19, 2025. Icahn Enterprises will make a cash payment in lieu of issuing fractional depositary units to any unitholders electing to receive (or who are deemed to have elected to receive) depositary units.</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Repurchase Authorization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May 9, 2023, the Board of Directors of the General Partner approved a repurchase program which authorizes Icahn Enterprises or affiliates of Icahn Enterprises to repurchase up to an aggregate of $500 million worth of any of our outstanding fixed-rate senior notes issued by Icahn Enterprises and Icahn Enterprises Finance Corp. and up to an aggregate of $500 million worth of the depositary units issued by Icahn Enterprises (the “Repurchase Program”), in each case subject to restrictions on use of our cash contained in the indentures governing our indebtedness.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On November 6, 2024, the Board re-approved the Repurchase Program, and, pursuant to the reapproved Program, we were reauthorized to repurchase up to $500 million worth of our outstanding fixed-rate senior notes, in addition to the $269 million we repurchased prior to the Board’s reapproval of the Repurchase Program. During the six months ended June 30, 2025, the Company did not repurchase any of the Company’s depositary units under the Repurchase Program and has repurchased $35 million worth of our outstanding fixed-rate senior notes. In July 2025, we repurchased in the open market approximately $15 million aggregate principal amount of our 9.000% senior notes due 2030 for cash paid of $14 million. The repurchased notes were extinguished but were not retired and held in treasury. We remain authorized to repurchase up to $450 million of our senior notes and up to $500 million of our outstanding depositary units, in each case subject to restrictions on use of our cash contained in the indentures governing our indebtedness.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Segment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addition to investments by us and Mr. Icahn, the Investment Funds historically have access to significant amounts of cash available from prime brokerage lines of credit, subject to customary terms and market conditions.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cash held at consolidated affiliated partnerships balance was $691 million and $915 million as of June 30, 2025 and December 31, 2024, respectively. Cash held at consolidated affiliated partnerships relates to our Investment segment and consists of cash and cash equivalents held by the Investment Funds that, although not legally restricted, are not used for the general operating needs of Icahn Enterprises.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our Investment segment liquidity is driven by the investment activities and performance of the Investment Funds. As of June 30, 2025, the Investment Funds had a net long notional exposure of 2%. The Investment Funds’ long exposure was 102% (102% long equity) and its short exposure was 100% (90% short equity, 1% short credit and 9% short commodity). The notional exposure represents the ratio of the notional exposure of the Investment Funds’ invested capital to the net asset value of the Investment Funds at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Of the Investment Funds’ 102% long exposure, 54% was comprised of the fair value of its long positions and 48% was comprised mostly of single name equity forward and swap contracts. Of the Investment Funds’ 100% short exposure, 28% was comprised of the fair value of its short positions and 72% was comprised mostly of short broad market index swap derivative contracts, short credit default swap contracts and short commodity contracts.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With respect to both our long positions that are not notionalized (54% long exposure) and our short positions that are not notionalized (28%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With respect to the notional value of our other long positions (48% long exposure) and short positions (72%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100% of the mark to market on adverse changes in fair value. For our counterparties who do not require cash collateral, funds available from lines of credit would decrease.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Funds Redemption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Mr. Icahn and his affiliates (excluding us and Brett Icahn) redeemed $208 million from his personal interest in the Investment Funds included in the Investment segment, which was paid to Mr. Icahn and his affiliates on April 16, 2025.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Segment Liquidity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Segment Cash and Cash Equivalents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Segment cash and cash equivalents (excluding our Investment segment) consists of the following:</w:t>
      </w:r>
    </w:p>
    <w:tbl>
      <w:tblPr>
        <w:tblW w:w="4298" w:type="dxa"/>
        <w:jc w:val="left"/>
        <w:tblInd w:w="0" w:type="dxa"/>
        <w:tblLayout w:type="fixed"/>
        <w:tblCellMar>
          <w:top w:w="0" w:type="dxa"/>
          <w:left w:w="0" w:type="dxa"/>
          <w:bottom w:w="0" w:type="dxa"/>
          <w:right w:w="0" w:type="dxa"/>
        </w:tblCellMar>
      </w:tblPr>
      <w:tblGrid>
        <w:gridCol w:w="1441"/>
        <w:gridCol w:w="326"/>
        <w:gridCol w:w="284"/>
        <w:gridCol w:w="571"/>
        <w:gridCol w:w="326"/>
        <w:gridCol w:w="320"/>
        <w:gridCol w:w="1030"/>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915035" cy="175260"/>
                      <wp:effectExtent l="0" t="0" r="0" b="0"/>
                      <wp:wrapNone/>
                      <wp:docPr id="547" name="Frame547"/>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07010" cy="175260"/>
                      <wp:effectExtent l="0" t="0" r="0" b="0"/>
                      <wp:wrapNone/>
                      <wp:docPr id="548" name="Frame5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80340" cy="175260"/>
                      <wp:effectExtent l="0" t="0" r="0" b="0"/>
                      <wp:wrapNone/>
                      <wp:docPr id="549" name="Frame549"/>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362585" cy="175260"/>
                      <wp:effectExtent l="0" t="0" r="0" b="0"/>
                      <wp:wrapNone/>
                      <wp:docPr id="550" name="Frame55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7010" cy="175260"/>
                      <wp:effectExtent l="0" t="0" r="0" b="0"/>
                      <wp:wrapNone/>
                      <wp:docPr id="551" name="Frame5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03200" cy="175260"/>
                      <wp:effectExtent l="0" t="0" r="0" b="0"/>
                      <wp:wrapNone/>
                      <wp:docPr id="552" name="Frame552"/>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54050" cy="175260"/>
                      <wp:effectExtent l="0" t="0" r="0" b="0"/>
                      <wp:wrapNone/>
                      <wp:docPr id="553" name="Frame553"/>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429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31"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Pharma</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14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1,197</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Segment Borrowings and Availability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Segment debt consists of the following:</w:t>
      </w:r>
    </w:p>
    <w:tbl>
      <w:tblPr>
        <w:tblW w:w="4298" w:type="dxa"/>
        <w:jc w:val="left"/>
        <w:tblInd w:w="0" w:type="dxa"/>
        <w:tblLayout w:type="fixed"/>
        <w:tblCellMar>
          <w:top w:w="0" w:type="dxa"/>
          <w:left w:w="0" w:type="dxa"/>
          <w:bottom w:w="0" w:type="dxa"/>
          <w:right w:w="0" w:type="dxa"/>
        </w:tblCellMar>
      </w:tblPr>
      <w:tblGrid>
        <w:gridCol w:w="1441"/>
        <w:gridCol w:w="326"/>
        <w:gridCol w:w="230"/>
        <w:gridCol w:w="625"/>
        <w:gridCol w:w="326"/>
        <w:gridCol w:w="320"/>
        <w:gridCol w:w="1030"/>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915035" cy="175260"/>
                      <wp:effectExtent l="0" t="0" r="0" b="0"/>
                      <wp:wrapNone/>
                      <wp:docPr id="554" name="Frame554"/>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7010" cy="175260"/>
                      <wp:effectExtent l="0" t="0" r="0" b="0"/>
                      <wp:wrapNone/>
                      <wp:docPr id="555" name="Frame5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46050" cy="175260"/>
                      <wp:effectExtent l="0" t="0" r="0" b="0"/>
                      <wp:wrapNone/>
                      <wp:docPr id="556" name="Frame55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396875" cy="175260"/>
                      <wp:effectExtent l="0" t="0" r="0" b="0"/>
                      <wp:wrapNone/>
                      <wp:docPr id="557" name="Frame557"/>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07010" cy="175260"/>
                      <wp:effectExtent l="0" t="0" r="0" b="0"/>
                      <wp:wrapNone/>
                      <wp:docPr id="558" name="Frame5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03200" cy="175260"/>
                      <wp:effectExtent l="0" t="0" r="0" b="0"/>
                      <wp:wrapNone/>
                      <wp:docPr id="559" name="Frame559"/>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54050" cy="175260"/>
                      <wp:effectExtent l="0" t="0" r="0" b="0"/>
                      <wp:wrapNone/>
                      <wp:docPr id="560" name="Frame560"/>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center"/>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429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531"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1,861</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2,049</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2,110</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June 2025, certain of our Energy segment’s subsidiaries (the “Term Loan Borrowers”) prepaid $70 million in principal amount of the senior secured term loan facility (the “Term Loan”). As a result of this transaction, CVR Energy recognized a $1 million loss on extinguishment of debt for the six months ended June 30, 2025. Further, on July 25, 2025, the Term Loan Borrowers prepaid an additional $20 million in principal of the Term Loan.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Covenants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Refer to our Annual Report on Form 10-K for the year ended December 31, 2024 for information concerning terms, restrictions and covenants pertaining to our subsidiaries’ debt. As of June 30, 2025, all of our subsidiaries were in compliance with all debt covenants. In July 2025, Viskase entered into an amendment to its credit agreement providing for, among other things, a waiver of any events of default relating to financial covenants under the credit agreement for the measurement period ended June 30, 2025, and consenting to the merger of Viskase with Enzon Pharmaceuticals, Inc.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segments have additional borrowing availability under certain revolving credit facilities as summarized below:</w:t>
      </w:r>
    </w:p>
    <w:tbl>
      <w:tblPr>
        <w:tblW w:w="2772" w:type="dxa"/>
        <w:jc w:val="left"/>
        <w:tblInd w:w="0" w:type="dxa"/>
        <w:tblLayout w:type="fixed"/>
        <w:tblCellMar>
          <w:top w:w="0" w:type="dxa"/>
          <w:left w:w="0" w:type="dxa"/>
          <w:bottom w:w="0" w:type="dxa"/>
          <w:right w:w="0" w:type="dxa"/>
        </w:tblCellMar>
      </w:tblPr>
      <w:tblGrid>
        <w:gridCol w:w="1441"/>
        <w:gridCol w:w="326"/>
        <w:gridCol w:w="287"/>
        <w:gridCol w:w="718"/>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915035" cy="175260"/>
                      <wp:effectExtent l="0" t="0" r="0" b="0"/>
                      <wp:wrapNone/>
                      <wp:docPr id="561" name="Frame561"/>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07010" cy="175260"/>
                      <wp:effectExtent l="0" t="0" r="0" b="0"/>
                      <wp:wrapNone/>
                      <wp:docPr id="562" name="Frame5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182245" cy="175260"/>
                      <wp:effectExtent l="0" t="0" r="0" b="0"/>
                      <wp:wrapNone/>
                      <wp:docPr id="563" name="Frame563"/>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455930" cy="175260"/>
                      <wp:effectExtent l="0" t="0" r="0" b="0"/>
                      <wp:wrapNone/>
                      <wp:docPr id="564" name="Frame564"/>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vAlign w:val="center"/>
          </w:tcPr>
          <w:p>
            <w:pPr>
              <w:pStyle w:val="TableContents"/>
              <w:bidi w:val="0"/>
              <w:spacing w:before="0" w:after="1"/>
              <w:ind w:left="0" w:right="0" w:hanging="0"/>
              <w:jc w:val="left"/>
              <w:rPr/>
            </w:pPr>
            <w:r>
              <w:rPr/>
              <w:t> </w:t>
            </w:r>
          </w:p>
        </w:tc>
        <w:tc>
          <w:tcPr>
            <w:tcW w:w="287"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shd w:fill="CCEEFF" w:val="clear"/>
            <w:vAlign w:val="center"/>
          </w:tcPr>
          <w:p>
            <w:pPr>
              <w:pStyle w:val="TableContents"/>
              <w:bidi w:val="0"/>
              <w:spacing w:before="0" w:after="1"/>
              <w:ind w:left="0" w:right="0" w:hanging="0"/>
              <w:jc w:val="left"/>
              <w:rPr/>
            </w:pPr>
            <w:r>
              <w:rPr/>
              <w:t> </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334</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above outstanding debt and additional borrowing availability with respect to each of our continued operating segments reflects third-party obligations.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cash flows are composed of the activities within our Holding Company, Investment segment and other operating segments. Our Holding Company’s cash flows are generally driven by cash flows resulting from our subsidiaries loans, dividends, distributions and contributions, as well as divestitures and acquisitions, equity offerings and debt financings, interest income and expense.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summarizes cash flow information for Icahn Enterprises’ reporting segments and our Holding Company: </w:t>
      </w:r>
    </w:p>
    <w:tbl>
      <w:tblPr>
        <w:tblW w:w="9238" w:type="dxa"/>
        <w:jc w:val="left"/>
        <w:tblInd w:w="0" w:type="dxa"/>
        <w:tblLayout w:type="fixed"/>
        <w:tblCellMar>
          <w:top w:w="0" w:type="dxa"/>
          <w:left w:w="0" w:type="dxa"/>
          <w:bottom w:w="0" w:type="dxa"/>
          <w:right w:w="0" w:type="dxa"/>
        </w:tblCellMar>
      </w:tblPr>
      <w:tblGrid>
        <w:gridCol w:w="2311"/>
        <w:gridCol w:w="326"/>
        <w:gridCol w:w="261"/>
        <w:gridCol w:w="595"/>
        <w:gridCol w:w="326"/>
        <w:gridCol w:w="237"/>
        <w:gridCol w:w="544"/>
        <w:gridCol w:w="326"/>
        <w:gridCol w:w="251"/>
        <w:gridCol w:w="575"/>
        <w:gridCol w:w="326"/>
        <w:gridCol w:w="285"/>
        <w:gridCol w:w="571"/>
        <w:gridCol w:w="326"/>
        <w:gridCol w:w="237"/>
        <w:gridCol w:w="544"/>
        <w:gridCol w:w="326"/>
        <w:gridCol w:w="249"/>
        <w:gridCol w:w="622"/>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467485" cy="175260"/>
                      <wp:effectExtent l="0" t="0" r="0" b="0"/>
                      <wp:wrapNone/>
                      <wp:docPr id="565" name="Frame565"/>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07010" cy="175260"/>
                      <wp:effectExtent l="0" t="0" r="0" b="0"/>
                      <wp:wrapNone/>
                      <wp:docPr id="566" name="Frame5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165735" cy="175260"/>
                      <wp:effectExtent l="0" t="0" r="0" b="0"/>
                      <wp:wrapNone/>
                      <wp:docPr id="567" name="Frame567"/>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377825" cy="175260"/>
                      <wp:effectExtent l="0" t="0" r="0" b="0"/>
                      <wp:wrapNone/>
                      <wp:docPr id="568" name="Frame568"/>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07010" cy="175260"/>
                      <wp:effectExtent l="0" t="0" r="0" b="0"/>
                      <wp:wrapNone/>
                      <wp:docPr id="569" name="Frame5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50495" cy="175260"/>
                      <wp:effectExtent l="0" t="0" r="0" b="0"/>
                      <wp:wrapNone/>
                      <wp:docPr id="570" name="Frame570"/>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345440" cy="175260"/>
                      <wp:effectExtent l="0" t="0" r="0" b="0"/>
                      <wp:wrapNone/>
                      <wp:docPr id="571" name="Frame571"/>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07010" cy="175260"/>
                      <wp:effectExtent l="0" t="0" r="0" b="0"/>
                      <wp:wrapNone/>
                      <wp:docPr id="572" name="Frame5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59385" cy="175260"/>
                      <wp:effectExtent l="0" t="0" r="0" b="0"/>
                      <wp:wrapNone/>
                      <wp:docPr id="573" name="Frame573"/>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365125" cy="175260"/>
                      <wp:effectExtent l="0" t="0" r="0" b="0"/>
                      <wp:wrapNone/>
                      <wp:docPr id="574" name="Frame574"/>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07010" cy="175260"/>
                      <wp:effectExtent l="0" t="0" r="0" b="0"/>
                      <wp:wrapNone/>
                      <wp:docPr id="575" name="Frame5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80975" cy="175260"/>
                      <wp:effectExtent l="0" t="0" r="0" b="0"/>
                      <wp:wrapNone/>
                      <wp:docPr id="576" name="Frame576"/>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362585" cy="175260"/>
                      <wp:effectExtent l="0" t="0" r="0" b="0"/>
                      <wp:wrapNone/>
                      <wp:docPr id="577" name="Frame5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07010" cy="175260"/>
                      <wp:effectExtent l="0" t="0" r="0" b="0"/>
                      <wp:wrapNone/>
                      <wp:docPr id="578" name="Frame5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50495" cy="175260"/>
                      <wp:effectExtent l="0" t="0" r="0" b="0"/>
                      <wp:wrapNone/>
                      <wp:docPr id="579" name="Frame57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345440" cy="175260"/>
                      <wp:effectExtent l="0" t="0" r="0" b="0"/>
                      <wp:wrapNone/>
                      <wp:docPr id="580" name="Frame580"/>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07010" cy="175260"/>
                      <wp:effectExtent l="0" t="0" r="0" b="0"/>
                      <wp:wrapNone/>
                      <wp:docPr id="581" name="Frame5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158115" cy="175260"/>
                      <wp:effectExtent l="0" t="0" r="0" b="0"/>
                      <wp:wrapNone/>
                      <wp:docPr id="582" name="Frame58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394970" cy="175260"/>
                      <wp:effectExtent l="0" t="0" r="0" b="0"/>
                      <wp:wrapNone/>
                      <wp:docPr id="583" name="Frame583"/>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1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c>
          <w:tcPr>
            <w:tcW w:w="326" w:type="dxa"/>
            <w:tcBorders/>
            <w:vAlign w:val="center"/>
          </w:tcPr>
          <w:p>
            <w:pPr>
              <w:pStyle w:val="TableContents"/>
              <w:bidi w:val="0"/>
              <w:spacing w:before="0" w:after="1"/>
              <w:ind w:left="0" w:right="0" w:hanging="0"/>
              <w:jc w:val="left"/>
              <w:rPr/>
            </w:pPr>
            <w:r>
              <w:rPr/>
              <w:t>​</w:t>
            </w:r>
          </w:p>
        </w:tc>
        <w:tc>
          <w:tcPr>
            <w:tcW w:w="316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2024</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1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Cash Used In</w:t>
            </w:r>
          </w:p>
        </w:tc>
        <w:tc>
          <w:tcPr>
            <w:tcW w:w="326" w:type="dxa"/>
            <w:tcBorders/>
            <w:vAlign w:val="center"/>
          </w:tcPr>
          <w:p>
            <w:pPr>
              <w:pStyle w:val="TableContents"/>
              <w:bidi w:val="0"/>
              <w:spacing w:before="0" w:after="1"/>
              <w:ind w:left="0" w:right="0" w:hanging="0"/>
              <w:jc w:val="left"/>
              <w:rPr/>
            </w:pPr>
            <w:r>
              <w:rPr/>
              <w:t>​</w:t>
            </w:r>
          </w:p>
        </w:tc>
        <w:tc>
          <w:tcPr>
            <w:tcW w:w="316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Cash Provided By (Used In)</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Investing</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Financing</w:t>
            </w:r>
          </w:p>
        </w:tc>
        <w:tc>
          <w:tcPr>
            <w:tcW w:w="32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Investing</w:t>
            </w:r>
          </w:p>
        </w:tc>
        <w:tc>
          <w:tcPr>
            <w:tcW w:w="32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Financing</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r>
      <w:tr>
        <w:trPr/>
        <w:tc>
          <w:tcPr>
            <w:tcW w:w="9238"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601" w:type="dxa"/>
            <w:gridSpan w:val="17"/>
            <w:tcBorders/>
            <w:vAlign w:val="center"/>
          </w:tcPr>
          <w:p>
            <w:pPr>
              <w:pStyle w:val="TableContents"/>
              <w:bidi w:val="0"/>
              <w:spacing w:before="0" w:after="1"/>
              <w:ind w:left="0" w:right="0" w:hanging="0"/>
              <w:jc w:val="center"/>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Holding Company</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6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23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59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4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57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4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lef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Segments:</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622" w:type="dxa"/>
            <w:tcBorders/>
            <w:vAlign w:val="center"/>
          </w:tcPr>
          <w:p>
            <w:pPr>
              <w:pStyle w:val="TableContents"/>
              <w:bidi w:val="0"/>
              <w:spacing w:before="0" w:after="1"/>
              <w:ind w:left="0" w:right="0" w:hanging="0"/>
              <w:jc w:val="right"/>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6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6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6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6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6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Pharma</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segments</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before eliminations</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Eliminations</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Eliminations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Eliminations in the table above relate to certain of our Holding Company’s transactions with our Investment and other operating segments. Our Holding Company’s net (investments in) distributions from the Investments Funds, when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Holding Company</w:t>
      </w:r>
    </w:p>
    <w:tbl>
      <w:tblPr>
        <w:tblW w:w="10205" w:type="dxa"/>
        <w:jc w:val="left"/>
        <w:tblInd w:w="0" w:type="dxa"/>
        <w:tblLayout w:type="fixed"/>
        <w:tblCellMar>
          <w:top w:w="0" w:type="dxa"/>
          <w:left w:w="0" w:type="dxa"/>
          <w:bottom w:w="0" w:type="dxa"/>
          <w:right w:w="0" w:type="dxa"/>
        </w:tblCellMar>
      </w:tblPr>
      <w:tblGrid>
        <w:gridCol w:w="7354"/>
        <w:gridCol w:w="326"/>
        <w:gridCol w:w="211"/>
        <w:gridCol w:w="842"/>
        <w:gridCol w:w="228"/>
        <w:gridCol w:w="330"/>
        <w:gridCol w:w="914"/>
      </w:tblGrid>
      <w:tr>
        <w:trPr/>
        <w:tc>
          <w:tcPr>
            <w:tcW w:w="7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4669790" cy="175260"/>
                      <wp:effectExtent l="0" t="0" r="0" b="0"/>
                      <wp:wrapNone/>
                      <wp:docPr id="584" name="Frame584"/>
                      <a:graphic xmlns:a="http://schemas.openxmlformats.org/drawingml/2006/main">
                        <a:graphicData uri="http://schemas.microsoft.com/office/word/2010/wordprocessingShape">
                          <wps:wsp>
                            <wps:cNvSpPr txBox="1"/>
                            <wps:spPr>
                              <a:xfrm>
                                <a:off x="0" y="0"/>
                                <a:ext cx="4669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07010" cy="175260"/>
                      <wp:effectExtent l="0" t="0" r="0" b="0"/>
                      <wp:wrapNone/>
                      <wp:docPr id="585" name="Frame5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33985" cy="175260"/>
                      <wp:effectExtent l="0" t="0" r="0" b="0"/>
                      <wp:wrapNone/>
                      <wp:docPr id="586" name="Frame5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534670" cy="175260"/>
                      <wp:effectExtent l="0" t="0" r="0" b="0"/>
                      <wp:wrapNone/>
                      <wp:docPr id="587" name="Frame587"/>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44780" cy="175260"/>
                      <wp:effectExtent l="0" t="0" r="0" b="0"/>
                      <wp:wrapNone/>
                      <wp:docPr id="588" name="Frame58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09550" cy="175260"/>
                      <wp:effectExtent l="0" t="0" r="0" b="0"/>
                      <wp:wrapNone/>
                      <wp:docPr id="589" name="Frame589"/>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580390" cy="175260"/>
                      <wp:effectExtent l="0" t="0" r="0" b="0"/>
                      <wp:wrapNone/>
                      <wp:docPr id="590" name="Frame590"/>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left"/>
              <w:rPr/>
            </w:pPr>
            <w:r>
              <w:rPr/>
              <w:t>​</w:t>
            </w:r>
          </w:p>
        </w:tc>
      </w:tr>
      <w:tr>
        <w:trPr/>
        <w:tc>
          <w:tcPr>
            <w:tcW w:w="73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3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Six Months Ended June 30,</w:t>
            </w:r>
          </w:p>
        </w:tc>
      </w:tr>
      <w:tr>
        <w:trPr/>
        <w:tc>
          <w:tcPr>
            <w:tcW w:w="73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2025</w:t>
            </w:r>
          </w:p>
        </w:tc>
        <w:tc>
          <w:tcPr>
            <w:tcW w:w="12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2024</w:t>
            </w:r>
          </w:p>
        </w:tc>
      </w:tr>
      <w:tr>
        <w:trPr/>
        <w:tc>
          <w:tcPr>
            <w:tcW w:w="73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25" w:type="dxa"/>
            <w:gridSpan w:val="5"/>
            <w:tcBorders/>
            <w:vAlign w:val="center"/>
          </w:tcPr>
          <w:p>
            <w:pPr>
              <w:pStyle w:val="TableContents"/>
              <w:bidi w:val="0"/>
              <w:spacing w:before="0" w:after="1"/>
              <w:ind w:left="0" w:right="0" w:hanging="0"/>
              <w:jc w:val="center"/>
              <w:rPr/>
            </w:pPr>
            <w:r>
              <w:rPr/>
              <w:t>​</w:t>
            </w:r>
          </w:p>
        </w:tc>
      </w:tr>
      <w:tr>
        <w:trPr/>
        <w:tc>
          <w:tcPr>
            <w:tcW w:w="735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pPr>
            <w:r>
              <w:rPr/>
              <w:t>  </w:t>
            </w:r>
          </w:p>
        </w:tc>
        <w:tc>
          <w:tcPr>
            <w:tcW w:w="228" w:type="dxa"/>
            <w:tcBorders/>
            <w:vAlign w:val="center"/>
          </w:tcPr>
          <w:p>
            <w:pPr>
              <w:pStyle w:val="TableContents"/>
              <w:bidi w:val="0"/>
              <w:spacing w:before="0" w:after="1"/>
              <w:ind w:left="0" w:right="0" w:hanging="0"/>
              <w:jc w:val="left"/>
              <w:rPr/>
            </w:pPr>
            <w:r>
              <w:rPr/>
              <w:t> </w:t>
            </w:r>
          </w:p>
        </w:tc>
        <w:tc>
          <w:tcPr>
            <w:tcW w:w="330"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pPr>
            <w:r>
              <w:rPr/>
              <w:t>  </w:t>
            </w:r>
          </w:p>
        </w:tc>
      </w:tr>
      <w:tr>
        <w:trPr/>
        <w:tc>
          <w:tcPr>
            <w:tcW w:w="7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payments for interest on senior unsecured notes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228"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7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228"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7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receipts for income taxes, net of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228" w:type="dxa"/>
            <w:tcBorders/>
            <w:vAlign w:val="center"/>
          </w:tcPr>
          <w:p>
            <w:pPr>
              <w:pStyle w:val="TableContents"/>
              <w:bidi w:val="0"/>
              <w:spacing w:before="0" w:after="1"/>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735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228" w:type="dxa"/>
            <w:tcBorders/>
            <w:shd w:fill="CCEEFF" w:val="clear"/>
            <w:vAlign w:val="center"/>
          </w:tcPr>
          <w:p>
            <w:pPr>
              <w:pStyle w:val="TableContents"/>
              <w:bidi w:val="0"/>
              <w:spacing w:before="0" w:after="1"/>
              <w:ind w:left="0" w:right="0" w:hanging="0"/>
              <w:jc w:val="left"/>
              <w:rPr/>
            </w:pPr>
            <w:r>
              <w:rPr/>
              <w:t>​</w:t>
            </w:r>
          </w:p>
        </w:tc>
        <w:tc>
          <w:tcPr>
            <w:tcW w:w="3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735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2" w:type="dxa"/>
            <w:tcBorders/>
            <w:vAlign w:val="center"/>
          </w:tcPr>
          <w:p>
            <w:pPr>
              <w:pStyle w:val="TableContents"/>
              <w:bidi w:val="0"/>
              <w:spacing w:before="0" w:after="1"/>
              <w:ind w:left="0" w:right="0" w:hanging="0"/>
              <w:jc w:val="right"/>
              <w:rPr/>
            </w:pPr>
            <w:r>
              <w:rPr/>
              <w:t>  </w:t>
            </w:r>
          </w:p>
        </w:tc>
        <w:tc>
          <w:tcPr>
            <w:tcW w:w="228"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pPr>
            <w:r>
              <w:rPr/>
              <w:t>  </w:t>
            </w:r>
          </w:p>
        </w:tc>
      </w:tr>
      <w:tr>
        <w:trPr/>
        <w:tc>
          <w:tcPr>
            <w:tcW w:w="7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from operating segments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228"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7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to operating segments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228"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7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228" w:type="dxa"/>
            <w:tcBorders/>
            <w:shd w:fill="CCEEFF" w:val="clear"/>
            <w:vAlign w:val="center"/>
          </w:tcPr>
          <w:p>
            <w:pPr>
              <w:pStyle w:val="TableContents"/>
              <w:bidi w:val="0"/>
              <w:spacing w:before="0" w:after="1"/>
              <w:ind w:left="0" w:right="0" w:hanging="0"/>
              <w:jc w:val="left"/>
              <w:rPr/>
            </w:pPr>
            <w:r>
              <w:rPr/>
              <w:t>​</w:t>
            </w:r>
          </w:p>
        </w:tc>
        <w:tc>
          <w:tcPr>
            <w:tcW w:w="3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3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228" w:type="dxa"/>
            <w:tcBorders/>
            <w:vAlign w:val="center"/>
          </w:tcPr>
          <w:p>
            <w:pPr>
              <w:pStyle w:val="TableContents"/>
              <w:bidi w:val="0"/>
              <w:spacing w:before="0" w:after="1"/>
              <w:ind w:left="0" w:right="0" w:hanging="0"/>
              <w:jc w:val="left"/>
              <w:rPr/>
            </w:pPr>
            <w:r>
              <w:rPr/>
              <w:t>​</w:t>
            </w:r>
          </w:p>
        </w:tc>
        <w:tc>
          <w:tcPr>
            <w:tcW w:w="3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735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pPr>
            <w:r>
              <w:rPr/>
              <w:t>  </w:t>
            </w:r>
          </w:p>
        </w:tc>
        <w:tc>
          <w:tcPr>
            <w:tcW w:w="228"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pPr>
            <w:r>
              <w:rPr/>
              <w:t>  </w:t>
            </w:r>
          </w:p>
        </w:tc>
      </w:tr>
      <w:tr>
        <w:trPr/>
        <w:tc>
          <w:tcPr>
            <w:tcW w:w="7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228"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7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228"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7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Holding Company senior unsecured notes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2" w:type="dxa"/>
            <w:tcBorders/>
            <w:vAlign w:val="center"/>
          </w:tcPr>
          <w:p>
            <w:pPr>
              <w:pStyle w:val="TableContents"/>
              <w:bidi w:val="0"/>
              <w:spacing w:before="0" w:after="1"/>
              <w:ind w:left="0" w:right="0" w:hanging="0"/>
              <w:jc w:val="right"/>
              <w:rPr/>
            </w:pPr>
            <w:r>
              <w:rPr/>
              <w:t>—</w:t>
            </w:r>
          </w:p>
        </w:tc>
        <w:tc>
          <w:tcPr>
            <w:tcW w:w="228"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w:t>
            </w:r>
          </w:p>
        </w:tc>
      </w:tr>
      <w:tr>
        <w:trPr/>
        <w:tc>
          <w:tcPr>
            <w:tcW w:w="7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 and repurchases of Holding Company senior unsecured notes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228"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73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to acquire additional interests in subsidiaries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228"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financing activities,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3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3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228" w:type="dxa"/>
            <w:tcBorders/>
            <w:vAlign w:val="center"/>
          </w:tcPr>
          <w:p>
            <w:pPr>
              <w:pStyle w:val="TableContents"/>
              <w:bidi w:val="0"/>
              <w:spacing w:before="0" w:after="1"/>
              <w:ind w:left="0" w:right="0" w:hanging="0"/>
              <w:jc w:val="left"/>
              <w:rPr/>
            </w:pPr>
            <w:r>
              <w:rPr/>
              <w:t>​</w:t>
            </w:r>
          </w:p>
        </w:tc>
        <w:tc>
          <w:tcPr>
            <w:tcW w:w="3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7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increase in cash and cash equivalents and restricted cash and restricted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w:t>
            </w:r>
          </w:p>
        </w:tc>
        <w:tc>
          <w:tcPr>
            <w:tcW w:w="228" w:type="dxa"/>
            <w:tcBorders/>
            <w:shd w:fill="CCEEFF" w:val="clear"/>
            <w:vAlign w:val="center"/>
          </w:tcPr>
          <w:p>
            <w:pPr>
              <w:pStyle w:val="TableContents"/>
              <w:bidi w:val="0"/>
              <w:spacing w:before="0" w:after="1"/>
              <w:ind w:left="0" w:right="0" w:hanging="0"/>
              <w:jc w:val="left"/>
              <w:rPr/>
            </w:pPr>
            <w:r>
              <w:rPr/>
              <w:t>​</w:t>
            </w:r>
          </w:p>
        </w:tc>
        <w:tc>
          <w:tcPr>
            <w:tcW w:w="3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r>
    </w:tbl>
    <w:p>
      <w:pPr>
        <w:pStyle w:val="TextBody"/>
        <w:bidi w:val="0"/>
        <w:spacing w:before="0" w:after="240"/>
        <w:ind w:left="0" w:right="0" w:firstLine="360"/>
        <w:jc w:val="left"/>
        <w:rPr/>
      </w:pPr>
      <w:r>
        <w:rPr/>
        <w:t>​</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Operating transactions with subsidiaries includes the reimbursement of operating expenses to our Investment segment based on an expense-sharing agreement. </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Cash from operating segments is made up of dividends, distributions, and repayments of intercompany loans that are eliminated in consolidation. During the six months ended June 30, 2025, this includes cash distributions received from our Real Estate segment of $79 million, cash distributions from our Automotive segment of $28 million, repayments of intercompany loans from our Pharma segment of $23 million and a $1 million cash dividend received from CVR Partners. During the six months ended June 30, 2024, this includes cash dividends received from our Energy segment of $67 million, cash distributions from our Real Estate and Investment segments totaling $16 million, cash distributions from our Automotive segment of $6 million and Investment segment of $1 million, and repayments of intercompany loans from our Pharma segment of $15 million.   </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Cash to operating segments is made up of intercompany loans and contributions to operating segments that are eliminated in consolidation. During the six months ended June 30, 2025, changes in cash to operating segments was mainly attributable to cash paid to our Real Estate segment of $22 million, Automotive segment of $25 million and Home Fashion segment of $5 million. During the six months ended June 30, 2024, this includes cash paid to our Automotive segment of $37 million, Real Estate segment of $11 million and Home Fashion segment of $9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Partnership contributions represent sales in connection with our At-The-Market offerings pursuant to our Open Market Sale Agreements, as discussed above.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Payments to acquire additional interests in subsidiaries represent payments to acquire additional interests in CVR Energy and CVR Partners of $65 million and $7 million, respectively, and the private placement of Viskase of $15 million. </w:t>
      </w:r>
    </w:p>
    <w:p>
      <w:pPr>
        <w:pStyle w:val="TextBody"/>
        <w:bidi w:val="0"/>
        <w:spacing w:before="0" w:after="240"/>
        <w:ind w:left="0" w:right="0" w:hanging="0"/>
        <w:jc w:val="both"/>
        <w:rPr/>
      </w:pPr>
      <w:r>
        <w:rPr>
          <w:shd w:fill="FFFFFF" w:val="clear"/>
        </w:rPr>
        <w:t> </w:t>
      </w:r>
      <w:r>
        <w:rPr>
          <w:rFonts w:ascii="Times New Roman;Times;serif" w:hAnsi="Times New Roman;Times;serif"/>
          <w:i/>
          <w:sz w:val="20"/>
        </w:rPr>
        <w:t>Investment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Investment segment’s cash flows from operating activities for the comparable periods were attributable to its net investment transactions.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Other Operating Segments </w:t>
      </w:r>
    </w:p>
    <w:tbl>
      <w:tblPr>
        <w:tblW w:w="10205" w:type="dxa"/>
        <w:jc w:val="left"/>
        <w:tblInd w:w="0" w:type="dxa"/>
        <w:tblLayout w:type="fixed"/>
        <w:tblCellMar>
          <w:top w:w="0" w:type="dxa"/>
          <w:left w:w="0" w:type="dxa"/>
          <w:bottom w:w="0" w:type="dxa"/>
          <w:right w:w="0" w:type="dxa"/>
        </w:tblCellMar>
      </w:tblPr>
      <w:tblGrid>
        <w:gridCol w:w="7435"/>
        <w:gridCol w:w="326"/>
        <w:gridCol w:w="211"/>
        <w:gridCol w:w="721"/>
        <w:gridCol w:w="442"/>
        <w:gridCol w:w="286"/>
        <w:gridCol w:w="784"/>
      </w:tblGrid>
      <w:tr>
        <w:trPr/>
        <w:tc>
          <w:tcPr>
            <w:tcW w:w="7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4721225" cy="175260"/>
                      <wp:effectExtent l="0" t="0" r="0" b="0"/>
                      <wp:wrapNone/>
                      <wp:docPr id="591" name="Frame591"/>
                      <a:graphic xmlns:a="http://schemas.openxmlformats.org/drawingml/2006/main">
                        <a:graphicData uri="http://schemas.microsoft.com/office/word/2010/wordprocessingShape">
                          <wps:wsp>
                            <wps:cNvSpPr txBox="1"/>
                            <wps:spPr>
                              <a:xfrm>
                                <a:off x="0" y="0"/>
                                <a:ext cx="4721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07010" cy="175260"/>
                      <wp:effectExtent l="0" t="0" r="0" b="0"/>
                      <wp:wrapNone/>
                      <wp:docPr id="592" name="Frame5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133985" cy="175260"/>
                      <wp:effectExtent l="0" t="0" r="0" b="0"/>
                      <wp:wrapNone/>
                      <wp:docPr id="593" name="Frame5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457835" cy="175260"/>
                      <wp:effectExtent l="0" t="0" r="0" b="0"/>
                      <wp:wrapNone/>
                      <wp:docPr id="594" name="Frame59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80670" cy="175260"/>
                      <wp:effectExtent l="0" t="0" r="0" b="0"/>
                      <wp:wrapNone/>
                      <wp:docPr id="595" name="Frame595"/>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181610" cy="175260"/>
                      <wp:effectExtent l="0" t="0" r="0" b="0"/>
                      <wp:wrapNone/>
                      <wp:docPr id="596" name="Frame59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497840" cy="175260"/>
                      <wp:effectExtent l="0" t="0" r="0" b="0"/>
                      <wp:wrapNone/>
                      <wp:docPr id="597" name="Frame597"/>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2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Six Months Ended June 30,</w:t>
            </w:r>
          </w:p>
        </w:tc>
      </w:tr>
      <w:tr>
        <w:trPr/>
        <w:tc>
          <w:tcPr>
            <w:tcW w:w="74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42" w:type="dxa"/>
            <w:tcBorders/>
            <w:vAlign w:val="center"/>
          </w:tcPr>
          <w:p>
            <w:pPr>
              <w:pStyle w:val="TableContents"/>
              <w:bidi w:val="0"/>
              <w:spacing w:before="0" w:after="1"/>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4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44" w:type="dxa"/>
            <w:gridSpan w:val="5"/>
            <w:tcBorders/>
            <w:vAlign w:val="center"/>
          </w:tcPr>
          <w:p>
            <w:pPr>
              <w:pStyle w:val="TableContents"/>
              <w:bidi w:val="0"/>
              <w:spacing w:before="0" w:after="1"/>
              <w:ind w:left="0" w:right="0" w:hanging="0"/>
              <w:jc w:val="center"/>
              <w:rPr/>
            </w:pPr>
            <w:r>
              <w:rPr/>
              <w:t>​</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  </w:t>
            </w:r>
          </w:p>
        </w:tc>
        <w:tc>
          <w:tcPr>
            <w:tcW w:w="442" w:type="dxa"/>
            <w:tcBorders/>
            <w:vAlign w:val="center"/>
          </w:tcPr>
          <w:p>
            <w:pPr>
              <w:pStyle w:val="TableContents"/>
              <w:bidi w:val="0"/>
              <w:spacing w:before="0" w:after="1"/>
              <w:ind w:left="0" w:right="0" w:hanging="0"/>
              <w:jc w:val="left"/>
              <w:rPr/>
            </w:pPr>
            <w:r>
              <w:rPr/>
              <w:t> </w:t>
            </w:r>
          </w:p>
        </w:tc>
        <w:tc>
          <w:tcPr>
            <w:tcW w:w="28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pPr>
            <w:r>
              <w:rPr/>
              <w:t>  </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flow from operating activities before changes in operating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442" w:type="dxa"/>
            <w:tcBorders/>
            <w:vAlign w:val="center"/>
          </w:tcPr>
          <w:p>
            <w:pPr>
              <w:pStyle w:val="TableContents"/>
              <w:bidi w:val="0"/>
              <w:spacing w:before="0" w:after="1"/>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743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442"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pPr>
            <w:r>
              <w:rPr/>
              <w:t>  </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Turnaround expenditures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442"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of businesses, net of cash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442"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equity method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pPr>
            <w:r>
              <w:rPr/>
              <w:t>—</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Return of equity method investment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442"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4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442" w:type="dxa"/>
            <w:tcBorders/>
            <w:vAlign w:val="center"/>
          </w:tcPr>
          <w:p>
            <w:pPr>
              <w:pStyle w:val="TableContents"/>
              <w:bidi w:val="0"/>
              <w:spacing w:before="0" w:after="1"/>
              <w:ind w:left="0" w:right="0" w:hanging="0"/>
              <w:jc w:val="left"/>
              <w:rPr/>
            </w:pPr>
            <w:r>
              <w:rPr/>
              <w:t>​</w:t>
            </w:r>
          </w:p>
        </w:tc>
        <w:tc>
          <w:tcPr>
            <w:tcW w:w="28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pPr>
            <w:r>
              <w:rPr/>
              <w:t>  </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other borrowings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442"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 of other borrowings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442"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from Holding Company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to Holding Company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442"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to acquire additional interests in consolidated subsidiaries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pPr>
            <w:r>
              <w:rPr/>
              <w:t>—</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42" w:type="dxa"/>
            <w:tcBorders/>
            <w:vAlign w:val="center"/>
          </w:tcPr>
          <w:p>
            <w:pPr>
              <w:pStyle w:val="TableContents"/>
              <w:bidi w:val="0"/>
              <w:spacing w:before="0" w:after="1"/>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43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 and restricted cash and restricted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42" w:type="dxa"/>
            <w:tcBorders/>
            <w:vAlign w:val="center"/>
          </w:tcPr>
          <w:p>
            <w:pPr>
              <w:pStyle w:val="TableContents"/>
              <w:bidi w:val="0"/>
              <w:spacing w:before="0" w:after="1"/>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(increase) in cash and cash equivalents and restricted cash and restricted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other operating segments’ cash flows from operating activities before changes in operating assets and liabilities were primarily attributable to the results of our Energy segment during both periods. The change in cash flows from operating activities for the six months ended June 30, 2025 as compared to the comparable prior year was primarily due to a decrease in the operating results of our Energy segment primarily associated with a decrease in our petroleum business’ sales volumes margin driven by unfavorable sales volume impacts related to the Coffeyville Refinery 2025 planned turnaround. In addition, operating cash flow at our Energy segment decreased from changes in working capital driven by the Coffeyville Refinery 2025 planned turnaround.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Capital expenditures and turnaround expenditures are primarily from our Energy and Automotive segments and are primarily for maintenance and growth, including the planned maintenance of one of the Energy segment’s refineries in both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Repayments of other borrowings are related to our Energy segment’s redemption of $600 million principal amount of its 5.25% senior notes due February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Distributions to non-controlling interests were from our Energy segment related to its regular quarterly dividends and distributions, excluding payments made to us.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from Holding Company is made up of intercompany loans and contributions between our Holding Company and subsidiaries that are eliminated in consolidation.</w:t>
      </w:r>
      <w:r>
        <w:rPr>
          <w:rFonts w:ascii="Times New Roman;Times;serif" w:hAnsi="Times New Roman;Times;serif"/>
          <w:sz w:val="20"/>
          <w:shd w:fill="FFFFFF" w:val="clear"/>
        </w:rPr>
        <w:t xml:space="preserve"> During the six months ended June 30, 2025, changes in cash to operating segments was mainly attributable to cash paid to our Real Estate segment of $22 million, Automotive segment of $25 million and Home Fashion segment of $5 million. During the six months ended June 30, 2024, this includes cash paid to our Automotive segment of $37 million, Real Estate segment of $11 million and our Home Fashion segment of $9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Cash to Holding Company </w:t>
      </w:r>
      <w:r>
        <w:rPr>
          <w:rFonts w:ascii="Times New Roman;Times;serif" w:hAnsi="Times New Roman;Times;serif"/>
          <w:sz w:val="20"/>
          <w:shd w:fill="FFFFFF" w:val="clear"/>
        </w:rPr>
        <w:t>is made up of dividends, distributions, and repayments of intercompany loans that are eliminated in consolidation. During the six months ended June 30, 2025, this includes cash distributions paid from our Real Estate segment of $79 million, cash distributions from our Automotive segment of $28 million and repayments of intercompany loans from our Pharma segment of $23 million and a $1 million cash dividend received from CVR Partners. During the six months ended June 30, 2024, this includes cash dividends received from our Energy segment of $67 million, cash distributions from our Real Estate segment totaling $16 million, cash distributions from our Automotive segment of $6 million, and repayments of intercompany loans from our Pharma segment of $15 million.</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Payments to acquire additional interests in consolidated subsidiaries are related to the Food Packaging private placement of $15 million.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Consolidated Capital Expenditures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no material changes to our planned capital expenditures as compared to the estimated capital expenditures for 2025 reported in our Annual Report on Form 10-K for the year ended December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critical accounting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Standards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Refer to Note 2, “Basis of Presentation and Summary of Significant Accounting Policies,” to the condensed consolidated financial statements for a discussion of recent accounting pronouncements applicable to us.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06" w:name="Item3QuantitativeandQualitativeDisclosur"/>
      <w:bookmarkStart w:id="2007" w:name="_7f6902ab_36f2_415c_9b27_23cdb02266be"/>
      <w:bookmarkEnd w:id="2006"/>
      <w:bookmarkEnd w:id="2007"/>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as discussed below, information about our quantitative and qualitative disclosures about market risk did not differ materially from those disclosed in our Annual Report on Form 10-K for the year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predominant exposure to market risk is related to our Investment segment and the sensitivities to movements in the fair value of the Investment Funds’ investments.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June 30, 2025, we estimate that in the event of a 10% adverse change in the fair value of these investments, the fair values of securities owned, securities sold, not yet purchased and derivatives would be negatively impacted by approximately $194 million, $100 million and $445 million, respectively. However, as of June 30, 2025, we estimate that the impact to our share of the net gain (loss) from investment activities reported in our condensed consolidated statement of operations would be less than the change in fair value since we have an interest of approximately 68% in the Investment Funds.</w:t>
      </w:r>
    </w:p>
    <w:p>
      <w:pPr>
        <w:pStyle w:val="TextBody"/>
        <w:bidi w:val="0"/>
        <w:spacing w:before="0" w:after="240"/>
        <w:ind w:left="0" w:right="0" w:hanging="0"/>
        <w:jc w:val="left"/>
        <w:rPr>
          <w:rFonts w:ascii="Times New Roman;Times;serif" w:hAnsi="Times New Roman;Times;serif"/>
          <w:b/>
          <w:sz w:val="20"/>
        </w:rPr>
      </w:pPr>
      <w:bookmarkStart w:id="2008" w:name="Item4ControlsandProcedures_867240"/>
      <w:bookmarkStart w:id="2009" w:name="_a1a3e959_f9b5_4186_a945_941c718eab8f"/>
      <w:bookmarkEnd w:id="2008"/>
      <w:bookmarkEnd w:id="2009"/>
      <w:r>
        <w:rPr>
          <w:rFonts w:ascii="Times New Roman;Times;serif" w:hAnsi="Times New Roman;Times;serif"/>
          <w:b/>
          <w:sz w:val="20"/>
        </w:rPr>
        <w:t>Item 4.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2025, our management, including our Chief Executive Officer and Chief Financial Officer, evaluated the effectiveness of the design and operation of Icahn Enterprises’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have been no changes in our internal control over financial reporting during the quarter ended June 30, 2025 that have materially affected, or are reasonably likely to materially affect, our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010" w:name="_dd067ba8_7cc8_4ec9_9a27_49a8f79cd349"/>
      <w:bookmarkEnd w:id="2010"/>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2011" w:name="Item1LegalProceedings_984640"/>
      <w:bookmarkEnd w:id="2011"/>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and will continue to be, subject to litigation from time to time in the ordinary course of business. Refer to Note 16, “Commitments and. Contingencies” to the condensed consolidated financial statements, which is incorporated by reference into this Part II, Item 1 of this Report, for information regarding our lawsuits and proceedings. Except for the lawsuits and proceedings disclosed in Note 18, there were no material changes to our lawsuits and proceedings as compared to those reported in our Annual Report on Form 10-K for the year ended December 31, 2024.</w:t>
      </w:r>
    </w:p>
    <w:p>
      <w:pPr>
        <w:pStyle w:val="TextBody"/>
        <w:bidi w:val="0"/>
        <w:spacing w:before="0" w:after="240"/>
        <w:ind w:left="0" w:right="0" w:hanging="0"/>
        <w:jc w:val="left"/>
        <w:rPr>
          <w:rFonts w:ascii="Times New Roman;Times;serif" w:hAnsi="Times New Roman;Times;serif"/>
          <w:b/>
          <w:sz w:val="20"/>
        </w:rPr>
      </w:pPr>
      <w:bookmarkStart w:id="2012" w:name="Item1ARiskFactors_993647"/>
      <w:bookmarkStart w:id="2013" w:name="_92a7e776_a5b1_4a8f_8dc8_f6a65aa5f242"/>
      <w:bookmarkEnd w:id="2012"/>
      <w:bookmarkEnd w:id="2013"/>
      <w:r>
        <w:rPr>
          <w:rFonts w:ascii="Times New Roman;Times;serif" w:hAnsi="Times New Roman;Times;serif"/>
          <w:b/>
          <w:sz w:val="20"/>
        </w:rPr>
        <w:t xml:space="preserve">Item 1A. Risk Factors </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There were no material changes to our risk factors during the three months ended June 30, 2025 as compared to those reported in our Annual Report on Form 10-K for the year ended December 31,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sz w:val="20"/>
        </w:rPr>
      </w:pPr>
      <w:bookmarkStart w:id="2014" w:name="Item2UnregisteredSales_554313"/>
      <w:bookmarkStart w:id="2015" w:name="_fde51649_bd11_4200_9a5e_4dda0bef434c"/>
      <w:bookmarkEnd w:id="2014"/>
      <w:bookmarkEnd w:id="2015"/>
      <w:r>
        <w:rPr>
          <w:rFonts w:ascii="Times New Roman;Times;serif" w:hAnsi="Times New Roman;Times;serif"/>
          <w:b/>
          <w:sz w:val="20"/>
        </w:rPr>
        <w:t>Item 2. Unregistered Sales of Equity Securities and Use or Proceeds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Purchases of Equity Securities by the Issuer and Affiliated Purchasers</w:t>
      </w:r>
    </w:p>
    <w:p>
      <w:pPr>
        <w:pStyle w:val="TextBody"/>
        <w:shd w:fill="FFFFFF" w:val="clear"/>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did not repurchase any depositary units pursuant to our approved repurchase program discussed above.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16" w:name="_c142034c_add9_494a_af4f_f7282fe6a2d7"/>
      <w:bookmarkStart w:id="2017" w:name="Item5OtherInformation"/>
      <w:bookmarkEnd w:id="2016"/>
      <w:bookmarkEnd w:id="2017"/>
      <w:r>
        <w:rPr>
          <w:rFonts w:ascii="Times New Roman;Times;serif" w:hAnsi="Times New Roman;Times;serif"/>
          <w:b/>
          <w:sz w:val="20"/>
        </w:rPr>
        <w:t>Item 5. Other Information</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Updates to the Board of Directors</w:t>
      </w:r>
    </w:p>
    <w:p>
      <w:pPr>
        <w:pStyle w:val="TextBody"/>
        <w:bidi w:val="0"/>
        <w:spacing w:before="0" w:after="0"/>
        <w:ind w:left="72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August 1, 2025, Brett Icahn, a member of the board of directors (the “Board”) of Icahn Enterprises’ general partner, informed the Board that he is resigning as a member of the Board, effective August 4, 2025. As previously announced, on August 1, 2025, Brett Icahn joined the boards of directors of SandRidge Energy, Inc. and CVR Energy, Inc., and he continues to serve on the boards of directors of Bausch Health Companies Inc. and Bausch + Lomb. He will also continue to serve as a Portfolio Manager for Icahn Capital LP pursuant to the terms of the manager agreement between the Company and Brett Icahn, dated October 1, 2020, as subsequently amended.  Brett Icahn’s resignation from the Board is intended to provide him additional time to focus on these roles and on the Company’s other portfolio investments and subsidiaries, and was not the result of any disagreement with the Company on any matter relating to the Company’s operations, policies or practices.</w:t>
      </w:r>
    </w:p>
    <w:p>
      <w:pPr>
        <w:pStyle w:val="TextBody"/>
        <w:bidi w:val="0"/>
        <w:spacing w:before="0" w:after="0"/>
        <w:ind w:left="72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Also on August 1, 2025,  Alvin B. Krongard, a member of the Board since 2019, informed the Board that he is resigning as a member of the Board and all committees of the Board on which he serves, including the Board’s audit committee (the “Audit Committee”), effective immediately. Mr. Krongard’s resignation was not the result of any disagreement with the Company on any matter relating to its operations, policies, or practices.</w:t>
      </w:r>
    </w:p>
    <w:p>
      <w:pPr>
        <w:pStyle w:val="TextBody"/>
        <w:bidi w:val="0"/>
        <w:spacing w:before="0" w:after="0"/>
        <w:ind w:left="72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Following Mr. Krongard’s resignation, the Board, following a determination that Denise Barton, a member of the Board since 2019, qualifies as an “audit committee financial expert,” within the meaning of Item 407(d)(5) of Regulation S-K, and is “independent” within the meaning of Rule 5605(a)(2) of the Nasdaq Stock Market’s Listing Rules, appointed Ms. Barton as a member of the Board’s Audit Committee, effective immediately, replacing the vacancy on the committee resulting from Mr. Krongard’s resignation.  Ms. Barton previously served as a member of the Audit Committee from September 2019 until April of 2021. Following Mr. Krongard’s resignation and Ms. Barton’s appointment, the Audit Committee now consists of Ms. Barton, Stephen A. Mongillo, and Nancy Dunlap. </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Rule 10b5-1 Trading Arrangements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our last fiscal quarter, no director or officer, as defined in Rule 16a-f(1), adopted or terminated a “Rule 10b5-1 trading arrangement” or a “non-Rule 10b5-1 trading arrangement,” each as defined in Regulation S-K Item 408.</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2018" w:name="Item6Exhibits_832790"/>
      <w:bookmarkStart w:id="2019" w:name="_62d76f4a_71e0_4507_a53a_c8ec7212c20e"/>
      <w:bookmarkEnd w:id="2018"/>
      <w:bookmarkEnd w:id="2019"/>
      <w:r>
        <w:rPr>
          <w:rFonts w:ascii="Times New Roman;Times;serif" w:hAnsi="Times New Roman;Times;serif"/>
          <w:b/>
          <w:sz w:val="20"/>
        </w:rPr>
        <w:t xml:space="preserve">Item 6. Exhibits </w:t>
      </w:r>
    </w:p>
    <w:tbl>
      <w:tblPr>
        <w:tblW w:w="10205" w:type="dxa"/>
        <w:jc w:val="left"/>
        <w:tblInd w:w="0" w:type="dxa"/>
        <w:tblLayout w:type="fixed"/>
        <w:tblCellMar>
          <w:top w:w="0" w:type="dxa"/>
          <w:left w:w="0" w:type="dxa"/>
          <w:bottom w:w="0" w:type="dxa"/>
          <w:right w:w="0" w:type="dxa"/>
        </w:tblCellMar>
      </w:tblPr>
      <w:tblGrid>
        <w:gridCol w:w="1081"/>
        <w:gridCol w:w="326"/>
        <w:gridCol w:w="8798"/>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8798" w:type="dxa"/>
            <w:tcBorders/>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326" w:type="dxa"/>
            <w:tcBorders/>
            <w:vAlign w:val="center"/>
          </w:tcPr>
          <w:p>
            <w:pPr>
              <w:pStyle w:val="TableContents"/>
              <w:bidi w:val="0"/>
              <w:spacing w:before="0" w:after="0"/>
              <w:ind w:left="0" w:right="0" w:hanging="0"/>
              <w:jc w:val="left"/>
              <w:rPr/>
            </w:pPr>
            <w:r>
              <w:rPr/>
              <w:t>    </w:t>
            </w:r>
          </w:p>
        </w:tc>
        <w:tc>
          <w:tcPr>
            <w:tcW w:w="8798"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8798" w:type="dxa"/>
            <w:tcBorders/>
            <w:vAlign w:val="center"/>
          </w:tcPr>
          <w:p>
            <w:pPr>
              <w:pStyle w:val="TableContents"/>
              <w:bidi w:val="0"/>
              <w:spacing w:before="0" w:after="30"/>
              <w:ind w:left="0" w:right="0" w:hanging="0"/>
              <w:jc w:val="left"/>
              <w:rPr/>
            </w:pPr>
            <w:hyperlink r:id="rId2">
              <w:r>
                <w:rPr>
                  <w:rStyle w:val="InternetLink"/>
                  <w:rFonts w:ascii="Times New Roman;Times;serif" w:hAnsi="Times New Roman;Times;serif"/>
                  <w:b w:val="false"/>
                  <w:i w:val="false"/>
                  <w:caps w:val="false"/>
                  <w:smallCaps w:val="false"/>
                  <w:sz w:val="20"/>
                </w:rPr>
                <w:t>Third Amended and Restated Agreement of Limited Partnership of Icahn Enterprises L.P., dated February 24, 2025 (incorporated by reference to Exhibit 3.3 to the Company’s Annual Report on Form 10-K filed on February 26, 2025).</w:t>
              </w:r>
            </w:hyperlink>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8798"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Agreement of Limited Partnership of Icahn Enterprises Holdings, dated as of February 24, 2025 (incorporated by reference to Exhibit 3.4 to the Company’s Annual Report on Form 10-K filed on February 26, 2025).</w:t>
              </w:r>
            </w:hyperlink>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8798" w:type="dxa"/>
            <w:tcBorders/>
            <w:vAlign w:val="center"/>
          </w:tcPr>
          <w:p>
            <w:pPr>
              <w:pStyle w:val="TableContents"/>
              <w:bidi w:val="0"/>
              <w:spacing w:before="0" w:after="0"/>
              <w:ind w:left="0" w:right="0" w:hanging="0"/>
              <w:jc w:val="left"/>
              <w:rPr/>
            </w:pPr>
            <w:hyperlink w:anchor="tmb-20250630xex31d1.htm">
              <w:r>
                <w:rPr>
                  <w:rStyle w:val="InternetLink"/>
                  <w:rFonts w:ascii="Times New Roman;Times;serif" w:hAnsi="Times New Roman;Times;serif"/>
                  <w:b w:val="false"/>
                  <w:i w:val="false"/>
                  <w:caps w:val="false"/>
                  <w:smallCaps w:val="false"/>
                  <w:sz w:val="20"/>
                </w:rPr>
                <w:t>Certification of Chief Executive Officer pursuant to Section 302(a) of the Sarbanes-Oxley Act of 2002 and Rule 13a 14(a) of the Securities Exchange Act of 1934.</w:t>
              </w:r>
            </w:hyperlink>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8798" w:type="dxa"/>
            <w:tcBorders/>
            <w:vAlign w:val="center"/>
          </w:tcPr>
          <w:p>
            <w:pPr>
              <w:pStyle w:val="TableContents"/>
              <w:bidi w:val="0"/>
              <w:spacing w:before="0" w:after="30"/>
              <w:ind w:left="0" w:right="0" w:hanging="0"/>
              <w:jc w:val="left"/>
              <w:rPr/>
            </w:pPr>
            <w:hyperlink w:anchor="tmb-20250630xex31d2.htm">
              <w:r>
                <w:rPr>
                  <w:rStyle w:val="InternetLink"/>
                  <w:rFonts w:ascii="Times New Roman;Times;serif" w:hAnsi="Times New Roman;Times;serif"/>
                  <w:b w:val="false"/>
                  <w:i w:val="false"/>
                  <w:caps w:val="false"/>
                  <w:smallCaps w:val="false"/>
                  <w:sz w:val="20"/>
                </w:rPr>
                <w:t>Certification of Chief Financial Officer pursuant to Section 302(a) of the Sarbanes-Oxley Act of 2002 and Rule 13a-14(a) of the Securities Exchange Act of 1934.</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98"/>
        <w:gridCol w:w="109"/>
        <w:gridCol w:w="9398"/>
      </w:tblGrid>
      <w:tr>
        <w:trPr/>
        <w:tc>
          <w:tcPr>
            <w:tcW w:w="698"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9398" w:type="dxa"/>
            <w:tcBorders/>
            <w:vAlign w:val="center"/>
          </w:tcPr>
          <w:p>
            <w:pPr>
              <w:pStyle w:val="TableContents"/>
              <w:bidi w:val="0"/>
              <w:spacing w:before="0" w:after="30"/>
              <w:ind w:left="0" w:right="0" w:hanging="0"/>
              <w:jc w:val="left"/>
              <w:rPr/>
            </w:pPr>
            <w:hyperlink w:anchor="tmb-20250630xex32d1.htm">
              <w:r>
                <w:rPr>
                  <w:rStyle w:val="InternetLink"/>
                  <w:rFonts w:ascii="Times New Roman;Times;serif" w:hAnsi="Times New Roman;Times;serif"/>
                  <w:b w:val="false"/>
                  <w:i w:val="false"/>
                  <w:caps w:val="false"/>
                  <w:smallCaps w:val="false"/>
                  <w:sz w:val="20"/>
                </w:rPr>
                <w:t>Certification of Chief Executive Officer and Chief Financial Officer pursuant to Section 906 of the Sarbanes-Oxley Act of 2002 (18 U.S.C. 1350) and Rule 13a-14(b) of the Securities Exchange Act of 1934.</w:t>
              </w:r>
            </w:hyperlink>
          </w:p>
        </w:tc>
      </w:tr>
      <w:tr>
        <w:trPr/>
        <w:tc>
          <w:tcPr>
            <w:tcW w:w="698"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39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98"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939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98"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939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98"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39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98"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939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98"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39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020" w:name="SIGNATURES_87486"/>
      <w:bookmarkStart w:id="2021" w:name="_6b5711d6_0e05_4296_b7d7_17f421af6f32"/>
      <w:bookmarkEnd w:id="2020"/>
      <w:bookmarkEnd w:id="2021"/>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6861" w:type="dxa"/>
        <w:jc w:val="left"/>
        <w:tblInd w:w="0" w:type="dxa"/>
        <w:tblLayout w:type="fixed"/>
        <w:tblCellMar>
          <w:top w:w="0" w:type="dxa"/>
          <w:left w:w="0" w:type="dxa"/>
          <w:bottom w:w="0" w:type="dxa"/>
          <w:right w:w="0" w:type="dxa"/>
        </w:tblCellMar>
      </w:tblPr>
      <w:tblGrid>
        <w:gridCol w:w="124"/>
        <w:gridCol w:w="406"/>
        <w:gridCol w:w="6331"/>
      </w:tblGrid>
      <w:tr>
        <w:trPr/>
        <w:tc>
          <w:tcPr>
            <w:tcW w:w="124" w:type="dxa"/>
            <w:tcBorders/>
            <w:vAlign w:val="center"/>
          </w:tcPr>
          <w:p>
            <w:pPr>
              <w:pStyle w:val="TableContents"/>
              <w:bidi w:val="0"/>
              <w:spacing w:before="0" w:after="0"/>
              <w:ind w:left="0" w:right="0" w:hanging="0"/>
              <w:jc w:val="left"/>
              <w:rPr/>
            </w:pPr>
            <w:r>
              <w:rPr/>
              <w:t>​</w:t>
            </w:r>
          </w:p>
        </w:tc>
        <w:tc>
          <w:tcPr>
            <w:tcW w:w="67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Icahn Enterprises L.P.</w:t>
            </w:r>
          </w:p>
        </w:tc>
      </w:tr>
      <w:tr>
        <w:trPr/>
        <w:tc>
          <w:tcPr>
            <w:tcW w:w="124" w:type="dxa"/>
            <w:tcBorders/>
            <w:vAlign w:val="center"/>
          </w:tcPr>
          <w:p>
            <w:pPr>
              <w:pStyle w:val="TableContents"/>
              <w:bidi w:val="0"/>
              <w:spacing w:before="0" w:after="0"/>
              <w:ind w:left="0" w:right="0" w:hanging="0"/>
              <w:jc w:val="left"/>
              <w:rPr/>
            </w:pPr>
            <w:r>
              <w:rPr/>
              <w:t>​</w:t>
            </w:r>
          </w:p>
        </w:tc>
        <w:tc>
          <w:tcPr>
            <w:tcW w:w="673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3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Icahn Enterprises G.P. Inc., its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partner </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Andrew Teno</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Teno</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 (Principal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Ted Papapostolou</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Ted Papapostolou</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Director (Principal Financial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Flint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Flint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Accounting Officer (Principal Accounting Officer)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August 4,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0"/>
        <w:ind w:left="0" w:right="0" w:hanging="0"/>
        <w:jc w:val="right"/>
        <w:rPr>
          <w:rFonts w:ascii="Times New Roman;Times;serif" w:hAnsi="Times New Roman;Times;serif"/>
          <w:b/>
          <w:sz w:val="20"/>
        </w:rPr>
      </w:pPr>
      <w:bookmarkStart w:id="2022" w:name="Section1"/>
      <w:bookmarkStart w:id="2023" w:name="tmb-20250630xex31d1.htm"/>
      <w:bookmarkStart w:id="2024" w:name="kstmb20250630xex31d1"/>
      <w:bookmarkEnd w:id="2022"/>
      <w:bookmarkEnd w:id="2023"/>
      <w:bookmarkEnd w:id="2024"/>
      <w:r>
        <w:rPr>
          <w:rFonts w:ascii="Times New Roman;Times;serif" w:hAnsi="Times New Roman;Times;serif"/>
          <w:b/>
          <w:sz w:val="20"/>
        </w:rPr>
        <w:t>EXHIBIT 31.1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302(a) of the Sarbanes Oxley Act of 2002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 13a-14(a)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Andrew Teno,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of Icahn Enterprises L.P. for the period ended June 30, 2025;</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360" w:right="0" w:firstLine="360"/>
        <w:jc w:val="left"/>
        <w:rPr/>
      </w:pPr>
      <w:r>
        <w:rPr/>
        <w:t>​</w:t>
      </w:r>
    </w:p>
    <w:p>
      <w:pPr>
        <w:pStyle w:val="TextBody"/>
        <w:bidi w:val="0"/>
        <w:spacing w:before="0" w:after="0"/>
        <w:ind w:left="360" w:right="0" w:firstLine="360"/>
        <w:jc w:val="left"/>
        <w:rPr/>
      </w:pPr>
      <w:r>
        <w:rPr/>
        <w:t>​</w:t>
      </w:r>
    </w:p>
    <w:p>
      <w:pPr>
        <w:pStyle w:val="TextBody"/>
        <w:bidi w:val="0"/>
        <w:spacing w:before="0" w:after="0"/>
        <w:ind w:left="360" w:right="0" w:firstLine="360"/>
        <w:jc w:val="left"/>
        <w:rPr/>
      </w:pPr>
      <w:r>
        <w:rPr/>
        <w:t>​</w:t>
      </w:r>
    </w:p>
    <w:tbl>
      <w:tblPr>
        <w:tblW w:w="9211" w:type="dxa"/>
        <w:jc w:val="right"/>
        <w:tblInd w:w="0" w:type="dxa"/>
        <w:tblLayout w:type="fixed"/>
        <w:tblCellMar>
          <w:top w:w="0" w:type="dxa"/>
          <w:left w:w="0" w:type="dxa"/>
          <w:bottom w:w="0" w:type="dxa"/>
          <w:right w:w="0" w:type="dxa"/>
        </w:tblCellMar>
      </w:tblPr>
      <w:tblGrid>
        <w:gridCol w:w="9211"/>
      </w:tblGrid>
      <w:tr>
        <w:trPr/>
        <w:tc>
          <w:tcPr>
            <w:tcW w:w="9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5848985" cy="175260"/>
                      <wp:effectExtent l="0" t="0" r="0" b="0"/>
                      <wp:wrapNone/>
                      <wp:docPr id="598" name="Frame598"/>
                      <a:graphic xmlns:a="http://schemas.openxmlformats.org/drawingml/2006/main">
                        <a:graphicData uri="http://schemas.microsoft.com/office/word/2010/wordprocessingShape">
                          <wps:wsp>
                            <wps:cNvSpPr txBox="1"/>
                            <wps:spPr>
                              <a:xfrm>
                                <a:off x="0" y="0"/>
                                <a:ext cx="584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211" w:type="dxa"/>
            <w:tcBorders>
              <w:bottom w:val="single" w:sz="1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5848985" cy="167005"/>
                      <wp:effectExtent l="0" t="0" r="0" b="0"/>
                      <wp:wrapNone/>
                      <wp:docPr id="599" name="Frame599"/>
                      <a:graphic xmlns:a="http://schemas.openxmlformats.org/drawingml/2006/main">
                        <a:graphicData uri="http://schemas.microsoft.com/office/word/2010/wordprocessingShape">
                          <wps:wsp>
                            <wps:cNvSpPr txBox="1"/>
                            <wps:spPr>
                              <a:xfrm>
                                <a:off x="0" y="0"/>
                                <a:ext cx="5848985"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Andrew Teno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5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Andrew Teno</w:t>
                            </w:r>
                          </w:p>
                        </w:txbxContent>
                      </v:textbox>
                      <w10:wrap type="none"/>
                    </v:rect>
                  </w:pict>
                </mc:Fallback>
              </mc:AlternateContent>
            </w:r>
          </w:p>
        </w:tc>
      </w:tr>
      <w:tr>
        <w:trPr/>
        <w:tc>
          <w:tcPr>
            <w:tcW w:w="9211" w:type="dxa"/>
            <w:tcBorders>
              <w:top w:val="single" w:sz="1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5848985" cy="167005"/>
                      <wp:effectExtent l="0" t="0" r="0" b="0"/>
                      <wp:wrapNone/>
                      <wp:docPr id="600" name="Frame600"/>
                      <a:graphic xmlns:a="http://schemas.openxmlformats.org/drawingml/2006/main">
                        <a:graphicData uri="http://schemas.microsoft.com/office/word/2010/wordprocessingShape">
                          <wps:wsp>
                            <wps:cNvSpPr txBox="1"/>
                            <wps:spPr>
                              <a:xfrm>
                                <a:off x="0" y="0"/>
                                <a:ext cx="5848985"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Andrew Teno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5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Andrew Teno</w:t>
                            </w:r>
                          </w:p>
                        </w:txbxContent>
                      </v:textbox>
                      <w10:wrap type="none"/>
                    </v:rect>
                  </w:pict>
                </mc:Fallback>
              </mc:AlternateContent>
            </w:r>
          </w:p>
        </w:tc>
      </w:tr>
      <w:tr>
        <w:trPr/>
        <w:tc>
          <w:tcPr>
            <w:tcW w:w="92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President and Chief Executive Officer of Icahn Enterprises G.P. Inc., the general partner of Icahn Enterprises L.P.</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August 4, 2025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25" w:name="Section11"/>
      <w:bookmarkStart w:id="2026" w:name="tmb-20250630xex31d2.htm"/>
      <w:bookmarkStart w:id="2027" w:name="kstmb20250630xex31d2"/>
      <w:bookmarkEnd w:id="2025"/>
      <w:bookmarkEnd w:id="2026"/>
      <w:bookmarkEnd w:id="2027"/>
      <w:r>
        <w:rPr>
          <w:rFonts w:ascii="Times New Roman;Times;serif" w:hAnsi="Times New Roman;Times;serif"/>
          <w:b/>
          <w:sz w:val="20"/>
        </w:rPr>
        <w:t>EXHIBIT 31.2</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302(a) of the Sarbanes Oxley Act of 2002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 13a-14(a)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Ted Papapostolou,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of Icahn Enterprises L.P. for the period ended June 30, 2025;</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360"/>
        <w:jc w:val="left"/>
        <w:rPr/>
      </w:pPr>
      <w:r>
        <w:rPr/>
        <w:t>  </w:t>
      </w:r>
    </w:p>
    <w:tbl>
      <w:tblPr>
        <w:tblW w:w="169" w:type="dxa"/>
        <w:jc w:val="righ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107315" cy="175260"/>
                      <wp:effectExtent l="0" t="0" r="0" b="0"/>
                      <wp:wrapNone/>
                      <wp:docPr id="601" name="Frame601"/>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07315" cy="2146935"/>
                      <wp:effectExtent l="0" t="0" r="0" b="0"/>
                      <wp:wrapNone/>
                      <wp:docPr id="602" name="Frame602"/>
                      <a:graphic xmlns:a="http://schemas.openxmlformats.org/drawingml/2006/main">
                        <a:graphicData uri="http://schemas.microsoft.com/office/word/2010/wordprocessingShape">
                          <wps:wsp>
                            <wps:cNvSpPr txBox="1"/>
                            <wps:spPr>
                              <a:xfrm>
                                <a:off x="0" y="0"/>
                                <a:ext cx="107315" cy="214693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 Ted Papapostolou</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69.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 Ted Papapostolou</w:t>
                            </w:r>
                          </w:p>
                        </w:txbxContent>
                      </v:textbox>
                      <w10:wrap type="none"/>
                    </v:rect>
                  </w:pict>
                </mc:Fallback>
              </mc:AlternateContent>
            </w:r>
          </w:p>
        </w:tc>
      </w:tr>
      <w:tr>
        <w:trPr/>
        <w:tc>
          <w:tcPr>
            <w:tcW w:w="169" w:type="dxa"/>
            <w:tcBorders>
              <w:top w:val="single" w:sz="16"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107315" cy="1894840"/>
                      <wp:effectExtent l="0" t="0" r="0" b="0"/>
                      <wp:wrapNone/>
                      <wp:docPr id="603" name="Frame603"/>
                      <a:graphic xmlns:a="http://schemas.openxmlformats.org/drawingml/2006/main">
                        <a:graphicData uri="http://schemas.microsoft.com/office/word/2010/wordprocessingShape">
                          <wps:wsp>
                            <wps:cNvSpPr txBox="1"/>
                            <wps:spPr>
                              <a:xfrm>
                                <a:off x="0" y="0"/>
                                <a:ext cx="107315" cy="1894840"/>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4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xbxContent>
                      </v:textbox>
                      <w10:wrap type="none"/>
                    </v:rect>
                  </w:pict>
                </mc:Fallback>
              </mc:AlternateContent>
            </w:r>
          </w:p>
        </w:tc>
      </w:tr>
      <w:tr>
        <w:trPr/>
        <w:tc>
          <w:tcPr>
            <w:tcW w:w="169"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07315" cy="1685925"/>
                      <wp:effectExtent l="0" t="0" r="0" b="0"/>
                      <wp:wrapNone/>
                      <wp:docPr id="604" name="Frame604"/>
                      <a:graphic xmlns:a="http://schemas.openxmlformats.org/drawingml/2006/main">
                        <a:graphicData uri="http://schemas.microsoft.com/office/word/2010/wordprocessingShape">
                          <wps:wsp>
                            <wps:cNvSpPr txBox="1"/>
                            <wps:spPr>
                              <a:xfrm>
                                <a:off x="0" y="0"/>
                                <a:ext cx="107315" cy="168592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of Icahn Enterprises G.P. Inc., the general partner of Icahn Enterprises L.P.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2.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of Icahn Enterprises G.P. Inc., the general partner of Icahn Enterprises L.P. </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4, 2025</w:t>
      </w:r>
    </w:p>
    <w:p>
      <w:pPr>
        <w:pStyle w:val="HorizontalLine"/>
        <w:pBdr>
          <w:bottom w:val="double" w:sz="2" w:space="0" w:color="808080"/>
        </w:pBdr>
        <w:bidi w:val="0"/>
        <w:spacing w:before="0" w:after="283"/>
        <w:jc w:val="left"/>
        <w:rPr/>
      </w:pPr>
      <w:r>
        <w:rPr/>
      </w:r>
    </w:p>
    <w:p>
      <w:pPr>
        <w:pStyle w:val="TextBody"/>
        <w:bidi w:val="0"/>
        <w:spacing w:before="0" w:after="0"/>
        <w:ind w:left="0" w:right="0" w:firstLine="360"/>
        <w:jc w:val="right"/>
        <w:rPr>
          <w:rFonts w:ascii="Times New Roman;Times;serif" w:hAnsi="Times New Roman;Times;serif"/>
          <w:b/>
          <w:sz w:val="20"/>
        </w:rPr>
      </w:pPr>
      <w:bookmarkStart w:id="2028" w:name="Section12"/>
      <w:bookmarkStart w:id="2029" w:name="tmb-20250630xex32d1.htm"/>
      <w:bookmarkStart w:id="2030" w:name="kstmb20250630xex32d1"/>
      <w:bookmarkEnd w:id="2028"/>
      <w:bookmarkEnd w:id="2029"/>
      <w:bookmarkEnd w:id="2030"/>
      <w:r>
        <w:rPr>
          <w:rFonts w:ascii="Times New Roman;Times;serif" w:hAnsi="Times New Roman;Times;serif"/>
          <w:b/>
          <w:sz w:val="20"/>
        </w:rPr>
        <w:t>EXHIBIT 32.1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 Oxley Act of 2002 (18 U.S.C. 1350)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13a-14(b) of the Securities Exchange Act of 1934</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Icahn Enterprises L.P., for the period ended June 30, 2025, the undersigned certify that, to the best of his knowledge, based upon a review of the Icahn Enterprises L.P. quarterly report on Form 10-Q for the period ended June 30, 2025:</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registrant.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211" w:type="dxa"/>
        <w:jc w:val="right"/>
        <w:tblInd w:w="0" w:type="dxa"/>
        <w:tblLayout w:type="fixed"/>
        <w:tblCellMar>
          <w:top w:w="0" w:type="dxa"/>
          <w:left w:w="0" w:type="dxa"/>
          <w:bottom w:w="0" w:type="dxa"/>
          <w:right w:w="0" w:type="dxa"/>
        </w:tblCellMar>
      </w:tblPr>
      <w:tblGrid>
        <w:gridCol w:w="9211"/>
      </w:tblGrid>
      <w:tr>
        <w:trPr/>
        <w:tc>
          <w:tcPr>
            <w:tcW w:w="9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5848985" cy="175260"/>
                      <wp:effectExtent l="0" t="0" r="0" b="0"/>
                      <wp:wrapNone/>
                      <wp:docPr id="605" name="Frame605"/>
                      <a:graphic xmlns:a="http://schemas.openxmlformats.org/drawingml/2006/main">
                        <a:graphicData uri="http://schemas.microsoft.com/office/word/2010/wordprocessingShape">
                          <wps:wsp>
                            <wps:cNvSpPr txBox="1"/>
                            <wps:spPr>
                              <a:xfrm>
                                <a:off x="0" y="0"/>
                                <a:ext cx="584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211" w:type="dxa"/>
            <w:tcBorders>
              <w:bottom w:val="single" w:sz="1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5848985" cy="167005"/>
                      <wp:effectExtent l="0" t="0" r="0" b="0"/>
                      <wp:wrapNone/>
                      <wp:docPr id="606" name="Frame606"/>
                      <a:graphic xmlns:a="http://schemas.openxmlformats.org/drawingml/2006/main">
                        <a:graphicData uri="http://schemas.microsoft.com/office/word/2010/wordprocessingShape">
                          <wps:wsp>
                            <wps:cNvSpPr txBox="1"/>
                            <wps:spPr>
                              <a:xfrm>
                                <a:off x="0" y="0"/>
                                <a:ext cx="5848985"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Andrew Teno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5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Andrew Teno</w:t>
                            </w:r>
                          </w:p>
                        </w:txbxContent>
                      </v:textbox>
                      <w10:wrap type="none"/>
                    </v:rect>
                  </w:pict>
                </mc:Fallback>
              </mc:AlternateContent>
            </w:r>
          </w:p>
        </w:tc>
      </w:tr>
      <w:tr>
        <w:trPr/>
        <w:tc>
          <w:tcPr>
            <w:tcW w:w="9211" w:type="dxa"/>
            <w:tcBorders>
              <w:top w:val="single" w:sz="1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5848985" cy="167005"/>
                      <wp:effectExtent l="0" t="0" r="0" b="0"/>
                      <wp:wrapNone/>
                      <wp:docPr id="607" name="Frame607"/>
                      <a:graphic xmlns:a="http://schemas.openxmlformats.org/drawingml/2006/main">
                        <a:graphicData uri="http://schemas.microsoft.com/office/word/2010/wordprocessingShape">
                          <wps:wsp>
                            <wps:cNvSpPr txBox="1"/>
                            <wps:spPr>
                              <a:xfrm>
                                <a:off x="0" y="0"/>
                                <a:ext cx="5848985"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Andrew Teno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5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Andrew Teno</w:t>
                            </w:r>
                          </w:p>
                        </w:txbxContent>
                      </v:textbox>
                      <w10:wrap type="none"/>
                    </v:rect>
                  </w:pict>
                </mc:Fallback>
              </mc:AlternateContent>
            </w:r>
          </w:p>
        </w:tc>
      </w:tr>
      <w:tr>
        <w:trPr/>
        <w:tc>
          <w:tcPr>
            <w:tcW w:w="92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President and Chief Executive Officer of Icahn Enterprises G.P. Inc., the general partner of Icahn Enterprises L.P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4, 2025</w:t>
      </w:r>
    </w:p>
    <w:p>
      <w:pPr>
        <w:pStyle w:val="TextBody"/>
        <w:bidi w:val="0"/>
        <w:spacing w:before="0" w:after="0"/>
        <w:ind w:left="0" w:right="0" w:hanging="0"/>
        <w:jc w:val="left"/>
        <w:rPr/>
      </w:pPr>
      <w:r>
        <w:rPr/>
        <w:t>​</w:t>
      </w:r>
    </w:p>
    <w:tbl>
      <w:tblPr>
        <w:tblW w:w="7966" w:type="dxa"/>
        <w:jc w:val="right"/>
        <w:tblInd w:w="0" w:type="dxa"/>
        <w:tblLayout w:type="fixed"/>
        <w:tblCellMar>
          <w:top w:w="0" w:type="dxa"/>
          <w:left w:w="0" w:type="dxa"/>
          <w:bottom w:w="0" w:type="dxa"/>
          <w:right w:w="0" w:type="dxa"/>
        </w:tblCellMar>
      </w:tblPr>
      <w:tblGrid>
        <w:gridCol w:w="7966"/>
      </w:tblGrid>
      <w:tr>
        <w:trPr/>
        <w:tc>
          <w:tcPr>
            <w:tcW w:w="7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5058410" cy="175260"/>
                      <wp:effectExtent l="0" t="0" r="0" b="0"/>
                      <wp:wrapNone/>
                      <wp:docPr id="608" name="Frame608"/>
                      <a:graphic xmlns:a="http://schemas.openxmlformats.org/drawingml/2006/main">
                        <a:graphicData uri="http://schemas.microsoft.com/office/word/2010/wordprocessingShape">
                          <wps:wsp>
                            <wps:cNvSpPr txBox="1"/>
                            <wps:spPr>
                              <a:xfrm>
                                <a:off x="0" y="0"/>
                                <a:ext cx="505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66" w:type="dxa"/>
            <w:tcBorders>
              <w:bottom w:val="single" w:sz="1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5058410" cy="167005"/>
                      <wp:effectExtent l="0" t="0" r="0" b="0"/>
                      <wp:wrapNone/>
                      <wp:docPr id="609" name="Frame609"/>
                      <a:graphic xmlns:a="http://schemas.openxmlformats.org/drawingml/2006/main">
                        <a:graphicData uri="http://schemas.microsoft.com/office/word/2010/wordprocessingShape">
                          <wps:wsp>
                            <wps:cNvSpPr txBox="1"/>
                            <wps:spPr>
                              <a:xfrm>
                                <a:off x="0" y="0"/>
                                <a:ext cx="5058410"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Ted Papapostolou</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3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Ted Papapostolou</w:t>
                            </w:r>
                          </w:p>
                        </w:txbxContent>
                      </v:textbox>
                      <w10:wrap type="none"/>
                    </v:rect>
                  </w:pict>
                </mc:Fallback>
              </mc:AlternateContent>
            </w:r>
          </w:p>
        </w:tc>
      </w:tr>
      <w:tr>
        <w:trPr/>
        <w:tc>
          <w:tcPr>
            <w:tcW w:w="7966" w:type="dxa"/>
            <w:tcBorders>
              <w:top w:val="single" w:sz="1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5058410" cy="167005"/>
                      <wp:effectExtent l="0" t="0" r="0" b="0"/>
                      <wp:wrapNone/>
                      <wp:docPr id="610" name="Frame610"/>
                      <a:graphic xmlns:a="http://schemas.openxmlformats.org/drawingml/2006/main">
                        <a:graphicData uri="http://schemas.microsoft.com/office/word/2010/wordprocessingShape">
                          <wps:wsp>
                            <wps:cNvSpPr txBox="1"/>
                            <wps:spPr>
                              <a:xfrm>
                                <a:off x="0" y="0"/>
                                <a:ext cx="5058410"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3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xbxContent>
                      </v:textbox>
                      <w10:wrap type="none"/>
                    </v:rect>
                  </w:pict>
                </mc:Fallback>
              </mc:AlternateContent>
            </w:r>
          </w:p>
        </w:tc>
      </w:tr>
      <w:tr>
        <w:trPr/>
        <w:tc>
          <w:tcPr>
            <w:tcW w:w="796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Chief Financial Officer of Icahn Enterprises G.P. Inc., the general partner of Icahn Enterprises L.P</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4, 2025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
    <w:charset w:val="01"/>
    <w:family w:val="auto"/>
    <w:pitch w:val="default"/>
  </w:font>
  <w:font w:name="Times">
    <w:altName w:val="Times New Roman"/>
    <w:charset w:val="01"/>
    <w:family w:val="auto"/>
    <w:pitch w:val="default"/>
  </w:font>
  <w:font w:name="TimesNRMTPro">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3762/000155837025001612/tmb-20241231xex3d3.htm" TargetMode="External"/><Relationship Id="rId3" Type="http://schemas.openxmlformats.org/officeDocument/2006/relationships/hyperlink" Target="https://www.sec.gov/Archives/edgar/data/813762/000155837025001612/tmb-20241231xex3d4.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29393</Words>
  <Characters>157072</Characters>
  <CharactersWithSpaces>189865</CharactersWithSpaces>
  <Paragraphs>10910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