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408940</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UNITED STATES 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 10-Q</w:t>
      </w:r>
    </w:p>
    <w:p>
      <w:pPr>
        <w:spacing w:after="0" w:line="100" w:lineRule="exact"/>
        <w:rPr>
          <w:sz w:val="24"/>
          <w:szCs w:val="24"/>
          <w:color w:val="auto"/>
        </w:rPr>
      </w:pPr>
    </w:p>
    <w:p>
      <w:pPr>
        <w:ind w:left="20"/>
        <w:spacing w:after="0"/>
        <w:rPr>
          <w:sz w:val="20"/>
          <w:szCs w:val="20"/>
          <w:color w:val="auto"/>
        </w:rPr>
      </w:pPr>
      <w:r>
        <w:rPr>
          <w:rFonts w:ascii="Arial" w:cs="Arial" w:eastAsia="Arial" w:hAnsi="Arial"/>
          <w:sz w:val="14"/>
          <w:szCs w:val="14"/>
          <w:color w:val="auto"/>
        </w:rPr>
        <w:t>(Mark one)</w:t>
      </w:r>
    </w:p>
    <w:p>
      <w:pPr>
        <w:spacing w:after="0" w:line="8" w:lineRule="exact"/>
        <w:rPr>
          <w:sz w:val="24"/>
          <w:szCs w:val="24"/>
          <w:color w:val="auto"/>
        </w:rPr>
      </w:pPr>
    </w:p>
    <w:p>
      <w:pPr>
        <w:ind w:left="3520" w:right="2720" w:hanging="3510"/>
        <w:spacing w:after="0" w:line="424" w:lineRule="auto"/>
        <w:tabs>
          <w:tab w:leader="none" w:pos="187"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September 30, 2023</w:t>
      </w:r>
    </w:p>
    <w:p>
      <w:pPr>
        <w:spacing w:after="0" w:line="217" w:lineRule="exact"/>
        <w:rPr>
          <w:sz w:val="24"/>
          <w:szCs w:val="24"/>
          <w:color w:val="auto"/>
        </w:rPr>
      </w:pPr>
    </w:p>
    <w:p>
      <w:pPr>
        <w:ind w:left="180" w:hanging="170"/>
        <w:spacing w:after="0"/>
        <w:tabs>
          <w:tab w:leader="none" w:pos="1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3020" w:type="dxa"/>
            <w:vAlign w:val="bottom"/>
            <w:gridSpan w:val="4"/>
          </w:tcPr>
          <w:p>
            <w:pPr>
              <w:ind w:left="400"/>
              <w:spacing w:after="0"/>
              <w:rPr>
                <w:sz w:val="20"/>
                <w:szCs w:val="20"/>
                <w:color w:val="auto"/>
              </w:rPr>
            </w:pPr>
            <w:r>
              <w:rPr>
                <w:rFonts w:ascii="Arial" w:cs="Arial" w:eastAsia="Arial" w:hAnsi="Arial"/>
                <w:sz w:val="14"/>
                <w:szCs w:val="14"/>
                <w:b w:val="1"/>
                <w:bCs w:val="1"/>
                <w:color w:val="auto"/>
              </w:rPr>
              <w:t>For the Transition Period from</w:t>
            </w:r>
          </w:p>
        </w:tc>
        <w:tc>
          <w:tcPr>
            <w:tcW w:w="500" w:type="dxa"/>
            <w:vAlign w:val="bottom"/>
          </w:tcPr>
          <w:p>
            <w:pPr>
              <w:ind w:left="120"/>
              <w:spacing w:after="0"/>
              <w:rPr>
                <w:sz w:val="20"/>
                <w:szCs w:val="20"/>
                <w:color w:val="auto"/>
              </w:rPr>
            </w:pPr>
            <w:r>
              <w:rPr>
                <w:rFonts w:ascii="Arial" w:cs="Arial" w:eastAsia="Arial" w:hAnsi="Arial"/>
                <w:sz w:val="14"/>
                <w:szCs w:val="14"/>
                <w:b w:val="1"/>
                <w:bCs w:val="1"/>
                <w:color w:val="auto"/>
              </w:rPr>
              <w:t>to</w:t>
            </w: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87"/>
        </w:trPr>
        <w:tc>
          <w:tcPr>
            <w:tcW w:w="3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00" w:type="dxa"/>
            <w:vAlign w:val="bottom"/>
          </w:tcPr>
          <w:p>
            <w:pPr>
              <w:jc w:val="center"/>
              <w:ind w:left="808"/>
              <w:spacing w:after="0"/>
              <w:rPr>
                <w:sz w:val="20"/>
                <w:szCs w:val="20"/>
                <w:color w:val="auto"/>
              </w:rPr>
            </w:pPr>
            <w:r>
              <w:rPr>
                <w:rFonts w:ascii="Arial" w:cs="Arial" w:eastAsia="Arial" w:hAnsi="Arial"/>
                <w:sz w:val="14"/>
                <w:szCs w:val="14"/>
                <w:color w:val="auto"/>
                <w:w w:val="92"/>
              </w:rPr>
              <w:t>(State or Other</w:t>
            </w:r>
          </w:p>
        </w:tc>
        <w:tc>
          <w:tcPr>
            <w:tcW w:w="1300" w:type="dxa"/>
            <w:vAlign w:val="bottom"/>
          </w:tcPr>
          <w:p>
            <w:pPr>
              <w:spacing w:after="0"/>
              <w:rPr>
                <w:sz w:val="24"/>
                <w:szCs w:val="24"/>
                <w:color w:val="auto"/>
              </w:rPr>
            </w:pPr>
          </w:p>
        </w:tc>
      </w:tr>
      <w:tr>
        <w:trPr>
          <w:trHeight w:val="148"/>
        </w:trPr>
        <w:tc>
          <w:tcPr>
            <w:tcW w:w="3300" w:type="dxa"/>
            <w:vAlign w:val="bottom"/>
          </w:tcPr>
          <w:p>
            <w:pPr>
              <w:spacing w:after="0"/>
              <w:rPr>
                <w:sz w:val="12"/>
                <w:szCs w:val="12"/>
                <w:color w:val="auto"/>
              </w:rPr>
            </w:pPr>
          </w:p>
        </w:tc>
        <w:tc>
          <w:tcPr>
            <w:tcW w:w="3520" w:type="dxa"/>
            <w:vAlign w:val="bottom"/>
            <w:gridSpan w:val="5"/>
          </w:tcPr>
          <w:p>
            <w:pPr>
              <w:jc w:val="center"/>
              <w:ind w:left="88"/>
              <w:spacing w:after="0" w:line="149" w:lineRule="exact"/>
              <w:rPr>
                <w:sz w:val="20"/>
                <w:szCs w:val="20"/>
                <w:color w:val="auto"/>
              </w:rPr>
            </w:pPr>
            <w:r>
              <w:rPr>
                <w:rFonts w:ascii="Arial" w:cs="Arial" w:eastAsia="Arial" w:hAnsi="Arial"/>
                <w:sz w:val="14"/>
                <w:szCs w:val="14"/>
                <w:color w:val="auto"/>
                <w:w w:val="93"/>
              </w:rPr>
              <w:t>(Exact Name of Registrant as Specified in Its Charter)</w:t>
            </w:r>
          </w:p>
        </w:tc>
        <w:tc>
          <w:tcPr>
            <w:tcW w:w="2100" w:type="dxa"/>
            <w:vAlign w:val="bottom"/>
          </w:tcPr>
          <w:p>
            <w:pPr>
              <w:jc w:val="center"/>
              <w:ind w:left="808"/>
              <w:spacing w:after="0" w:line="149" w:lineRule="exact"/>
              <w:rPr>
                <w:sz w:val="20"/>
                <w:szCs w:val="20"/>
                <w:color w:val="auto"/>
              </w:rPr>
            </w:pPr>
            <w:r>
              <w:rPr>
                <w:rFonts w:ascii="Arial" w:cs="Arial" w:eastAsia="Arial" w:hAnsi="Arial"/>
                <w:sz w:val="14"/>
                <w:szCs w:val="14"/>
                <w:color w:val="auto"/>
                <w:w w:val="95"/>
              </w:rPr>
              <w:t>Jurisdiction of</w:t>
            </w:r>
          </w:p>
        </w:tc>
        <w:tc>
          <w:tcPr>
            <w:tcW w:w="1300" w:type="dxa"/>
            <w:vAlign w:val="bottom"/>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3520" w:type="dxa"/>
            <w:vAlign w:val="bottom"/>
            <w:gridSpan w:val="5"/>
          </w:tcPr>
          <w:p>
            <w:pPr>
              <w:jc w:val="center"/>
              <w:ind w:left="68"/>
              <w:spacing w:after="0" w:line="149" w:lineRule="exact"/>
              <w:rPr>
                <w:sz w:val="20"/>
                <w:szCs w:val="20"/>
                <w:color w:val="auto"/>
              </w:rPr>
            </w:pPr>
            <w:r>
              <w:rPr>
                <w:rFonts w:ascii="Arial" w:cs="Arial" w:eastAsia="Arial" w:hAnsi="Arial"/>
                <w:sz w:val="14"/>
                <w:szCs w:val="14"/>
                <w:color w:val="auto"/>
                <w:w w:val="95"/>
              </w:rPr>
              <w:t>(Address of Principal Executive Offices) (Zip Code)</w:t>
            </w:r>
          </w:p>
        </w:tc>
        <w:tc>
          <w:tcPr>
            <w:tcW w:w="2100" w:type="dxa"/>
            <w:vAlign w:val="bottom"/>
          </w:tcPr>
          <w:p>
            <w:pPr>
              <w:jc w:val="center"/>
              <w:ind w:left="808"/>
              <w:spacing w:after="0" w:line="149" w:lineRule="exact"/>
              <w:rPr>
                <w:sz w:val="20"/>
                <w:szCs w:val="20"/>
                <w:color w:val="auto"/>
              </w:rPr>
            </w:pPr>
            <w:r>
              <w:rPr>
                <w:rFonts w:ascii="Arial" w:cs="Arial" w:eastAsia="Arial" w:hAnsi="Arial"/>
                <w:sz w:val="14"/>
                <w:szCs w:val="14"/>
                <w:color w:val="auto"/>
                <w:w w:val="95"/>
              </w:rPr>
              <w:t>Incorporation or</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4"/>
              </w:rPr>
              <w:t>(IRS Employer</w:t>
            </w:r>
          </w:p>
        </w:tc>
      </w:tr>
      <w:tr>
        <w:trPr>
          <w:trHeight w:val="182"/>
        </w:trPr>
        <w:tc>
          <w:tcPr>
            <w:tcW w:w="3300" w:type="dxa"/>
            <w:vAlign w:val="bottom"/>
          </w:tcPr>
          <w:p>
            <w:pPr>
              <w:jc w:val="center"/>
              <w:ind w:right="608"/>
              <w:spacing w:after="0"/>
              <w:rPr>
                <w:sz w:val="20"/>
                <w:szCs w:val="20"/>
                <w:color w:val="auto"/>
              </w:rPr>
            </w:pPr>
            <w:r>
              <w:rPr>
                <w:rFonts w:ascii="Arial" w:cs="Arial" w:eastAsia="Arial" w:hAnsi="Arial"/>
                <w:sz w:val="14"/>
                <w:szCs w:val="14"/>
                <w:color w:val="auto"/>
                <w:w w:val="94"/>
              </w:rPr>
              <w:t>(Commission File Number)</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(Telephone Number)</w:t>
            </w:r>
          </w:p>
        </w:tc>
        <w:tc>
          <w:tcPr>
            <w:tcW w:w="500" w:type="dxa"/>
            <w:vAlign w:val="bottom"/>
          </w:tcPr>
          <w:p>
            <w:pPr>
              <w:spacing w:after="0"/>
              <w:rPr>
                <w:sz w:val="15"/>
                <w:szCs w:val="15"/>
                <w:color w:val="auto"/>
              </w:rPr>
            </w:pPr>
          </w:p>
        </w:tc>
        <w:tc>
          <w:tcPr>
            <w:tcW w:w="2100" w:type="dxa"/>
            <w:vAlign w:val="bottom"/>
          </w:tcPr>
          <w:p>
            <w:pPr>
              <w:jc w:val="center"/>
              <w:ind w:left="788"/>
              <w:spacing w:after="0"/>
              <w:rPr>
                <w:sz w:val="20"/>
                <w:szCs w:val="20"/>
                <w:color w:val="auto"/>
              </w:rPr>
            </w:pPr>
            <w:r>
              <w:rPr>
                <w:rFonts w:ascii="Arial" w:cs="Arial" w:eastAsia="Arial" w:hAnsi="Arial"/>
                <w:sz w:val="14"/>
                <w:szCs w:val="14"/>
                <w:color w:val="auto"/>
                <w:w w:val="95"/>
              </w:rPr>
              <w:t>Organization)</w:t>
            </w:r>
          </w:p>
        </w:tc>
        <w:tc>
          <w:tcPr>
            <w:tcW w:w="1300" w:type="dxa"/>
            <w:vAlign w:val="bottom"/>
          </w:tcPr>
          <w:p>
            <w:pPr>
              <w:jc w:val="center"/>
              <w:spacing w:after="0"/>
              <w:rPr>
                <w:sz w:val="20"/>
                <w:szCs w:val="20"/>
                <w:color w:val="auto"/>
              </w:rPr>
            </w:pPr>
            <w:r>
              <w:rPr>
                <w:rFonts w:ascii="Arial" w:cs="Arial" w:eastAsia="Arial" w:hAnsi="Arial"/>
                <w:sz w:val="14"/>
                <w:szCs w:val="14"/>
                <w:color w:val="auto"/>
                <w:w w:val="97"/>
              </w:rPr>
              <w:t>Identification No.)</w:t>
            </w:r>
          </w:p>
        </w:tc>
      </w:tr>
      <w:tr>
        <w:trPr>
          <w:trHeight w:val="311"/>
        </w:trPr>
        <w:tc>
          <w:tcPr>
            <w:tcW w:w="3300" w:type="dxa"/>
            <w:vAlign w:val="bottom"/>
          </w:tcPr>
          <w:p>
            <w:pPr>
              <w:jc w:val="right"/>
              <w:ind w:right="1728"/>
              <w:spacing w:after="0"/>
              <w:rPr>
                <w:sz w:val="20"/>
                <w:szCs w:val="20"/>
                <w:color w:val="auto"/>
              </w:rPr>
            </w:pPr>
            <w:r>
              <w:rPr>
                <w:rFonts w:ascii="Arial" w:cs="Arial" w:eastAsia="Arial" w:hAnsi="Arial"/>
                <w:sz w:val="14"/>
                <w:szCs w:val="14"/>
                <w:b w:val="1"/>
                <w:bCs w:val="1"/>
                <w:color w:val="auto"/>
              </w:rPr>
              <w:t>1-9516</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ICAHN ENTERPRISES L.P.</w:t>
            </w:r>
          </w:p>
        </w:tc>
        <w:tc>
          <w:tcPr>
            <w:tcW w:w="500" w:type="dxa"/>
            <w:vAlign w:val="bottom"/>
          </w:tcPr>
          <w:p>
            <w:pPr>
              <w:spacing w:after="0"/>
              <w:rPr>
                <w:sz w:val="24"/>
                <w:szCs w:val="24"/>
                <w:color w:val="auto"/>
              </w:rPr>
            </w:pPr>
          </w:p>
        </w:tc>
        <w:tc>
          <w:tcPr>
            <w:tcW w:w="2100" w:type="dxa"/>
            <w:vAlign w:val="bottom"/>
          </w:tcPr>
          <w:p>
            <w:pPr>
              <w:jc w:val="center"/>
              <w:ind w:left="808"/>
              <w:spacing w:after="0"/>
              <w:rPr>
                <w:sz w:val="20"/>
                <w:szCs w:val="20"/>
                <w:color w:val="auto"/>
              </w:rPr>
            </w:pPr>
            <w:r>
              <w:rPr>
                <w:rFonts w:ascii="Arial" w:cs="Arial" w:eastAsia="Arial" w:hAnsi="Arial"/>
                <w:sz w:val="14"/>
                <w:szCs w:val="14"/>
                <w:b w:val="1"/>
                <w:bCs w:val="1"/>
                <w:color w:val="auto"/>
                <w:w w:val="94"/>
              </w:rPr>
              <w:t>Delaware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13-3398766</w:t>
            </w:r>
          </w:p>
        </w:tc>
      </w:tr>
      <w:tr>
        <w:trPr>
          <w:trHeight w:val="246"/>
        </w:trPr>
        <w:tc>
          <w:tcPr>
            <w:tcW w:w="3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16690 Collins Avenue, PH-1</w:t>
            </w:r>
          </w:p>
        </w:tc>
        <w:tc>
          <w:tcPr>
            <w:tcW w:w="5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148"/>
        </w:trPr>
        <w:tc>
          <w:tcPr>
            <w:tcW w:w="3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Sunny Isles Beach, FL 33160</w:t>
            </w:r>
          </w:p>
        </w:tc>
        <w:tc>
          <w:tcPr>
            <w:tcW w:w="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86"/>
        </w:trPr>
        <w:tc>
          <w:tcPr>
            <w:tcW w:w="3300" w:type="dxa"/>
            <w:vAlign w:val="bottom"/>
          </w:tcPr>
          <w:p>
            <w:pPr>
              <w:spacing w:after="0"/>
              <w:rPr>
                <w:sz w:val="16"/>
                <w:szCs w:val="16"/>
                <w:color w:val="auto"/>
              </w:rPr>
            </w:pPr>
          </w:p>
        </w:tc>
        <w:tc>
          <w:tcPr>
            <w:tcW w:w="2780" w:type="dxa"/>
            <w:vAlign w:val="bottom"/>
            <w:gridSpan w:val="3"/>
          </w:tcPr>
          <w:p>
            <w:pPr>
              <w:jc w:val="center"/>
              <w:ind w:left="808"/>
              <w:spacing w:after="0"/>
              <w:rPr>
                <w:sz w:val="20"/>
                <w:szCs w:val="20"/>
                <w:color w:val="auto"/>
              </w:rPr>
            </w:pPr>
            <w:r>
              <w:rPr>
                <w:rFonts w:ascii="Arial" w:cs="Arial" w:eastAsia="Arial" w:hAnsi="Arial"/>
                <w:sz w:val="14"/>
                <w:szCs w:val="14"/>
                <w:b w:val="1"/>
                <w:bCs w:val="1"/>
                <w:color w:val="auto"/>
                <w:w w:val="93"/>
              </w:rPr>
              <w:t>(305) 422-4100</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70"/>
        </w:trPr>
        <w:tc>
          <w:tcPr>
            <w:tcW w:w="3300" w:type="dxa"/>
            <w:vAlign w:val="bottom"/>
          </w:tcPr>
          <w:p>
            <w:pPr>
              <w:spacing w:after="0"/>
              <w:rPr>
                <w:sz w:val="23"/>
                <w:szCs w:val="23"/>
                <w:color w:val="auto"/>
              </w:rPr>
            </w:pPr>
          </w:p>
        </w:tc>
        <w:tc>
          <w:tcPr>
            <w:tcW w:w="3520" w:type="dxa"/>
            <w:vAlign w:val="bottom"/>
            <w:gridSpan w:val="5"/>
          </w:tcPr>
          <w:p>
            <w:pPr>
              <w:jc w:val="center"/>
              <w:ind w:left="48"/>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21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51"/>
        </w:trPr>
        <w:tc>
          <w:tcPr>
            <w:tcW w:w="3300" w:type="dxa"/>
            <w:vAlign w:val="bottom"/>
          </w:tcPr>
          <w:p>
            <w:pPr>
              <w:jc w:val="center"/>
              <w:ind w:left="528"/>
              <w:spacing w:after="0"/>
              <w:rPr>
                <w:sz w:val="20"/>
                <w:szCs w:val="20"/>
                <w:color w:val="auto"/>
              </w:rPr>
            </w:pPr>
            <w:r>
              <w:rPr>
                <w:rFonts w:ascii="Arial" w:cs="Arial" w:eastAsia="Arial" w:hAnsi="Arial"/>
                <w:sz w:val="14"/>
                <w:szCs w:val="14"/>
                <w:b w:val="1"/>
                <w:bCs w:val="1"/>
                <w:color w:val="auto"/>
                <w:w w:val="91"/>
              </w:rPr>
              <w:t>Title of Each Class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Trading Symbol(s)</w:t>
            </w:r>
          </w:p>
        </w:tc>
        <w:tc>
          <w:tcPr>
            <w:tcW w:w="500" w:type="dxa"/>
            <w:vAlign w:val="bottom"/>
          </w:tcPr>
          <w:p>
            <w:pPr>
              <w:spacing w:after="0"/>
              <w:rPr>
                <w:sz w:val="24"/>
                <w:szCs w:val="24"/>
                <w:color w:val="auto"/>
              </w:rPr>
            </w:pPr>
          </w:p>
        </w:tc>
        <w:tc>
          <w:tcPr>
            <w:tcW w:w="3400" w:type="dxa"/>
            <w:vAlign w:val="bottom"/>
            <w:gridSpan w:val="2"/>
          </w:tcPr>
          <w:p>
            <w:pPr>
              <w:jc w:val="center"/>
              <w:ind w:right="428"/>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6"/>
        </w:trPr>
        <w:tc>
          <w:tcPr>
            <w:tcW w:w="3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2"/>
          </w:tcPr>
          <w:p>
            <w:pPr>
              <w:spacing w:after="0"/>
              <w:rPr>
                <w:sz w:val="2"/>
                <w:szCs w:val="2"/>
                <w:color w:val="auto"/>
              </w:rPr>
            </w:pPr>
          </w:p>
        </w:tc>
      </w:tr>
      <w:tr>
        <w:trPr>
          <w:trHeight w:val="225"/>
        </w:trPr>
        <w:tc>
          <w:tcPr>
            <w:tcW w:w="3300" w:type="dxa"/>
            <w:vAlign w:val="bottom"/>
          </w:tcPr>
          <w:p>
            <w:pPr>
              <w:jc w:val="center"/>
              <w:ind w:left="488"/>
              <w:spacing w:after="0"/>
              <w:rPr>
                <w:sz w:val="20"/>
                <w:szCs w:val="20"/>
                <w:color w:val="auto"/>
              </w:rPr>
            </w:pPr>
            <w:r>
              <w:rPr>
                <w:rFonts w:ascii="Arial" w:cs="Arial" w:eastAsia="Arial" w:hAnsi="Arial"/>
                <w:sz w:val="14"/>
                <w:szCs w:val="14"/>
                <w:color w:val="auto"/>
                <w:w w:val="93"/>
              </w:rPr>
              <w:t>Depositary Units of Icahn Enterprises L.P.</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80" w:type="dxa"/>
            <w:vAlign w:val="bottom"/>
            <w:gridSpan w:val="2"/>
          </w:tcPr>
          <w:p>
            <w:pPr>
              <w:jc w:val="center"/>
              <w:ind w:right="240"/>
              <w:spacing w:after="0"/>
              <w:rPr>
                <w:sz w:val="20"/>
                <w:szCs w:val="20"/>
                <w:color w:val="auto"/>
              </w:rPr>
            </w:pPr>
            <w:r>
              <w:rPr>
                <w:rFonts w:ascii="Arial" w:cs="Arial" w:eastAsia="Arial" w:hAnsi="Arial"/>
                <w:sz w:val="14"/>
                <w:szCs w:val="14"/>
                <w:color w:val="auto"/>
                <w:w w:val="88"/>
              </w:rPr>
              <w:t>IEP</w:t>
            </w:r>
          </w:p>
        </w:tc>
        <w:tc>
          <w:tcPr>
            <w:tcW w:w="500" w:type="dxa"/>
            <w:vAlign w:val="bottom"/>
          </w:tcPr>
          <w:p>
            <w:pPr>
              <w:spacing w:after="0"/>
              <w:rPr>
                <w:sz w:val="19"/>
                <w:szCs w:val="19"/>
                <w:color w:val="auto"/>
              </w:rPr>
            </w:pPr>
          </w:p>
        </w:tc>
        <w:tc>
          <w:tcPr>
            <w:tcW w:w="3400" w:type="dxa"/>
            <w:vAlign w:val="bottom"/>
            <w:gridSpan w:val="2"/>
          </w:tcPr>
          <w:p>
            <w:pPr>
              <w:jc w:val="center"/>
              <w:ind w:right="408"/>
              <w:spacing w:after="0"/>
              <w:rPr>
                <w:sz w:val="20"/>
                <w:szCs w:val="20"/>
                <w:color w:val="auto"/>
              </w:rPr>
            </w:pPr>
            <w:r>
              <w:rPr>
                <w:rFonts w:ascii="Arial" w:cs="Arial" w:eastAsia="Arial" w:hAnsi="Arial"/>
                <w:sz w:val="14"/>
                <w:szCs w:val="14"/>
                <w:color w:val="auto"/>
                <w:w w:val="92"/>
              </w:rPr>
              <w:t>Nasdaq Global Select Market</w:t>
            </w:r>
          </w:p>
        </w:tc>
      </w:tr>
      <w:tr>
        <w:trPr>
          <w:trHeight w:val="182"/>
        </w:trPr>
        <w:tc>
          <w:tcPr>
            <w:tcW w:w="3300" w:type="dxa"/>
            <w:vAlign w:val="bottom"/>
          </w:tcPr>
          <w:p>
            <w:pPr>
              <w:jc w:val="center"/>
              <w:ind w:left="528"/>
              <w:spacing w:after="0"/>
              <w:rPr>
                <w:sz w:val="20"/>
                <w:szCs w:val="20"/>
                <w:color w:val="auto"/>
              </w:rPr>
            </w:pPr>
            <w:r>
              <w:rPr>
                <w:rFonts w:ascii="Arial" w:cs="Arial" w:eastAsia="Arial" w:hAnsi="Arial"/>
                <w:sz w:val="14"/>
                <w:szCs w:val="14"/>
                <w:color w:val="auto"/>
                <w:w w:val="92"/>
              </w:rPr>
              <w:t>Representing Limited Partner Interests</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300" w:type="dxa"/>
            <w:vAlign w:val="bottom"/>
          </w:tcPr>
          <w:p>
            <w:pPr>
              <w:spacing w:after="0"/>
              <w:rPr>
                <w:sz w:val="15"/>
                <w:szCs w:val="15"/>
                <w:color w:val="auto"/>
              </w:rPr>
            </w:pPr>
          </w:p>
        </w:tc>
      </w:tr>
    </w:tbl>
    <w:p>
      <w:pPr>
        <w:spacing w:after="0" w:line="193" w:lineRule="exact"/>
        <w:rPr>
          <w:sz w:val="24"/>
          <w:szCs w:val="24"/>
          <w:color w:val="auto"/>
        </w:rPr>
      </w:pPr>
    </w:p>
    <w:p>
      <w:pPr>
        <w:ind w:left="20" w:right="8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71" w:lineRule="exact"/>
        <w:rPr>
          <w:sz w:val="24"/>
          <w:szCs w:val="24"/>
          <w:color w:val="auto"/>
        </w:rPr>
      </w:pPr>
    </w:p>
    <w:p>
      <w:pPr>
        <w:ind w:left="20" w:right="24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30" w:lineRule="exact"/>
        <w:rPr>
          <w:sz w:val="24"/>
          <w:szCs w:val="24"/>
          <w:color w:val="auto"/>
        </w:rPr>
      </w:pPr>
    </w:p>
    <w:p>
      <w:pPr>
        <w:ind w:left="20"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44" w:lineRule="exact"/>
        <w:rPr>
          <w:sz w:val="24"/>
          <w:szCs w:val="24"/>
          <w:color w:val="auto"/>
        </w:rPr>
      </w:pPr>
    </w:p>
    <w:tbl>
      <w:tblPr>
        <w:tblLayout w:type="fixed"/>
        <w:tblInd w:w="940" w:type="dxa"/>
        <w:tblCellMar>
          <w:top w:w="0" w:type="dxa"/>
          <w:left w:w="0" w:type="dxa"/>
          <w:bottom w:w="0" w:type="dxa"/>
          <w:right w:w="0" w:type="dxa"/>
        </w:tblCellMar>
      </w:tblPr>
      <w:tr>
        <w:trPr>
          <w:trHeight w:val="324"/>
        </w:trPr>
        <w:tc>
          <w:tcPr>
            <w:tcW w:w="1800" w:type="dxa"/>
            <w:vAlign w:val="bottom"/>
          </w:tcPr>
          <w:p>
            <w:pPr>
              <w:jc w:val="right"/>
              <w:ind w:right="10"/>
              <w:spacing w:after="0"/>
              <w:rPr>
                <w:sz w:val="20"/>
                <w:szCs w:val="20"/>
                <w:color w:val="auto"/>
              </w:rPr>
            </w:pPr>
            <w:r>
              <w:rPr>
                <w:rFonts w:ascii="Arial" w:cs="Arial" w:eastAsia="Arial" w:hAnsi="Arial"/>
                <w:sz w:val="18"/>
                <w:szCs w:val="18"/>
                <w:color w:val="auto"/>
                <w:w w:val="90"/>
              </w:rPr>
              <w:t>Large Accelerated Filer</w:t>
            </w:r>
          </w:p>
        </w:tc>
        <w:tc>
          <w:tcPr>
            <w:tcW w:w="6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420" w:type="dxa"/>
            <w:vAlign w:val="bottom"/>
          </w:tcPr>
          <w:p>
            <w:pPr>
              <w:ind w:left="220"/>
              <w:spacing w:after="0"/>
              <w:rPr>
                <w:sz w:val="20"/>
                <w:szCs w:val="20"/>
                <w:color w:val="auto"/>
              </w:rPr>
            </w:pPr>
            <w:r>
              <w:rPr>
                <w:rFonts w:ascii="Arial" w:cs="Arial" w:eastAsia="Arial" w:hAnsi="Arial"/>
                <w:sz w:val="18"/>
                <w:szCs w:val="18"/>
                <w:color w:val="auto"/>
                <w:w w:val="98"/>
              </w:rPr>
              <w:t>Emerging Growth Company</w:t>
            </w:r>
          </w:p>
        </w:tc>
        <w:tc>
          <w:tcPr>
            <w:tcW w:w="340" w:type="dxa"/>
            <w:vAlign w:val="bottom"/>
          </w:tcPr>
          <w:p>
            <w:pPr>
              <w:ind w:left="18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303"/>
        </w:trPr>
        <w:tc>
          <w:tcPr>
            <w:tcW w:w="1800" w:type="dxa"/>
            <w:vAlign w:val="bottom"/>
          </w:tcPr>
          <w:p>
            <w:pPr>
              <w:jc w:val="right"/>
              <w:ind w:right="10"/>
              <w:spacing w:after="0"/>
              <w:rPr>
                <w:sz w:val="20"/>
                <w:szCs w:val="20"/>
                <w:color w:val="auto"/>
              </w:rPr>
            </w:pPr>
            <w:r>
              <w:rPr>
                <w:rFonts w:ascii="Arial" w:cs="Arial" w:eastAsia="Arial" w:hAnsi="Arial"/>
                <w:sz w:val="18"/>
                <w:szCs w:val="18"/>
                <w:color w:val="auto"/>
                <w:w w:val="97"/>
              </w:rPr>
              <w:t>Non-accelerated Filer</w:t>
            </w:r>
          </w:p>
        </w:tc>
        <w:tc>
          <w:tcPr>
            <w:tcW w:w="6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282" w:lineRule="exact"/>
        <w:rPr>
          <w:sz w:val="24"/>
          <w:szCs w:val="24"/>
          <w:color w:val="auto"/>
        </w:rPr>
      </w:pPr>
    </w:p>
    <w:p>
      <w:pPr>
        <w:ind w:left="20" w:right="160"/>
        <w:spacing w:after="0" w:line="237"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7"/>
          <w:szCs w:val="17"/>
          <w:color w:val="auto"/>
        </w:rPr>
        <w:t>☐</w:t>
      </w:r>
    </w:p>
    <w:p>
      <w:pPr>
        <w:spacing w:after="0" w:line="23" w:lineRule="exact"/>
        <w:rPr>
          <w:sz w:val="24"/>
          <w:szCs w:val="24"/>
          <w:color w:val="auto"/>
        </w:rPr>
      </w:pPr>
    </w:p>
    <w:p>
      <w:pPr>
        <w:ind w:left="20"/>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highlight w:val="black"/>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3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November 2, 2023, there were 410,802,959 of Icahn Enterprises’ depositary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64979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126365</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20" w:top="665" w:right="8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97" w:lineRule="exact"/>
        <w:rPr>
          <w:sz w:val="20"/>
          <w:szCs w:val="20"/>
          <w:color w:val="auto"/>
        </w:rPr>
      </w:pPr>
    </w:p>
    <w:tbl>
      <w:tblPr>
        <w:tblLayout w:type="fixed"/>
        <w:tblInd w:w="100" w:type="dxa"/>
        <w:tblCellMar>
          <w:top w:w="0" w:type="dxa"/>
          <w:left w:w="0" w:type="dxa"/>
          <w:bottom w:w="0" w:type="dxa"/>
          <w:right w:w="0" w:type="dxa"/>
        </w:tblCellMar>
      </w:tblPr>
      <w:tr>
        <w:trPr>
          <w:trHeight w:val="171"/>
        </w:trPr>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100" w:type="dxa"/>
            <w:vAlign w:val="bottom"/>
            <w:gridSpan w:val="10"/>
            <w:vMerge w:val="restart"/>
          </w:tcPr>
          <w:p>
            <w:pPr>
              <w:ind w:left="200"/>
              <w:spacing w:after="0"/>
              <w:rPr>
                <w:sz w:val="20"/>
                <w:szCs w:val="20"/>
                <w:color w:val="auto"/>
              </w:rPr>
            </w:pPr>
            <w:r>
              <w:rPr>
                <w:rFonts w:ascii="Arial" w:cs="Arial" w:eastAsia="Arial" w:hAnsi="Arial"/>
                <w:sz w:val="18"/>
                <w:szCs w:val="18"/>
                <w:color w:val="0000EE"/>
              </w:rPr>
              <w:t>Forward-Looking Statements</w:t>
            </w: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Page No</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100" w:type="dxa"/>
            <w:vAlign w:val="bottom"/>
            <w:gridSpan w:val="10"/>
            <w:vMerge w:val="continue"/>
          </w:tcPr>
          <w:p>
            <w:pPr>
              <w:spacing w:after="0"/>
              <w:rPr>
                <w:sz w:val="15"/>
                <w:szCs w:val="15"/>
                <w:color w:val="auto"/>
              </w:rPr>
            </w:pPr>
          </w:p>
        </w:tc>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gridSpan w:val="5"/>
          </w:tcPr>
          <w:p>
            <w:pPr>
              <w:jc w:val="center"/>
              <w:ind w:right="1800"/>
              <w:spacing w:after="0"/>
              <w:rPr>
                <w:sz w:val="20"/>
                <w:szCs w:val="20"/>
                <w:color w:val="auto"/>
              </w:rPr>
            </w:pPr>
            <w:r>
              <w:rPr>
                <w:rFonts w:ascii="Arial" w:cs="Arial" w:eastAsia="Arial" w:hAnsi="Arial"/>
                <w:sz w:val="18"/>
                <w:szCs w:val="18"/>
                <w:b w:val="1"/>
                <w:bCs w:val="1"/>
                <w:color w:val="auto"/>
              </w:rPr>
              <w:t>PART I. FINANCIAL INFORMATION</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00" w:type="dxa"/>
            <w:vAlign w:val="bottom"/>
          </w:tcPr>
          <w:p>
            <w:pPr>
              <w:spacing w:after="0" w:line="190" w:lineRule="exact"/>
              <w:rPr>
                <w:sz w:val="20"/>
                <w:szCs w:val="20"/>
                <w:color w:val="auto"/>
              </w:rPr>
            </w:pPr>
            <w:r>
              <w:rPr>
                <w:rFonts w:ascii="Arial" w:cs="Arial" w:eastAsia="Arial" w:hAnsi="Arial"/>
                <w:sz w:val="18"/>
                <w:szCs w:val="18"/>
                <w:color w:val="0000EE"/>
                <w:w w:val="83"/>
              </w:rPr>
              <w:t>Item 1.</w:t>
            </w:r>
          </w:p>
        </w:tc>
        <w:tc>
          <w:tcPr>
            <w:tcW w:w="320" w:type="dxa"/>
            <w:vAlign w:val="bottom"/>
            <w:gridSpan w:val="2"/>
          </w:tcPr>
          <w:p>
            <w:pPr>
              <w:spacing w:after="0"/>
              <w:rPr>
                <w:sz w:val="16"/>
                <w:szCs w:val="16"/>
                <w:color w:val="auto"/>
              </w:rPr>
            </w:pPr>
          </w:p>
        </w:tc>
        <w:tc>
          <w:tcPr>
            <w:tcW w:w="7100" w:type="dxa"/>
            <w:vAlign w:val="bottom"/>
            <w:gridSpan w:val="10"/>
          </w:tcPr>
          <w:p>
            <w:pPr>
              <w:ind w:left="200"/>
              <w:spacing w:after="0" w:line="190" w:lineRule="exact"/>
              <w:rPr>
                <w:sz w:val="20"/>
                <w:szCs w:val="20"/>
                <w:color w:val="auto"/>
              </w:rPr>
            </w:pPr>
            <w:r>
              <w:rPr>
                <w:rFonts w:ascii="Arial" w:cs="Arial" w:eastAsia="Arial" w:hAnsi="Arial"/>
                <w:sz w:val="18"/>
                <w:szCs w:val="18"/>
                <w:color w:val="0000EE"/>
              </w:rPr>
              <w:t>Financial Statements (Unaudited)</w:t>
            </w:r>
          </w:p>
        </w:tc>
        <w:tc>
          <w:tcPr>
            <w:tcW w:w="920" w:type="dxa"/>
            <w:vAlign w:val="bottom"/>
          </w:tcPr>
          <w:p>
            <w:pPr>
              <w:jc w:val="center"/>
              <w:spacing w:after="0" w:line="190"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Arial" w:cs="Arial" w:eastAsia="Arial" w:hAnsi="Arial"/>
                <w:sz w:val="18"/>
                <w:szCs w:val="18"/>
                <w:color w:val="0000EE"/>
                <w:w w:val="83"/>
              </w:rPr>
              <w:t>Item 2.</w:t>
            </w:r>
          </w:p>
        </w:tc>
        <w:tc>
          <w:tcPr>
            <w:tcW w:w="320" w:type="dxa"/>
            <w:vAlign w:val="bottom"/>
            <w:gridSpan w:val="2"/>
          </w:tcPr>
          <w:p>
            <w:pPr>
              <w:spacing w:after="0"/>
              <w:rPr>
                <w:sz w:val="17"/>
                <w:szCs w:val="17"/>
                <w:color w:val="auto"/>
              </w:rPr>
            </w:pPr>
          </w:p>
        </w:tc>
        <w:tc>
          <w:tcPr>
            <w:tcW w:w="7100" w:type="dxa"/>
            <w:vAlign w:val="bottom"/>
            <w:gridSpan w:val="10"/>
          </w:tcPr>
          <w:p>
            <w:pPr>
              <w:ind w:left="200"/>
              <w:spacing w:after="0" w:line="196" w:lineRule="exact"/>
              <w:rPr>
                <w:sz w:val="20"/>
                <w:szCs w:val="20"/>
                <w:color w:val="auto"/>
              </w:rPr>
            </w:pPr>
            <w:r>
              <w:rPr>
                <w:rFonts w:ascii="Arial" w:cs="Arial" w:eastAsia="Arial" w:hAnsi="Arial"/>
                <w:sz w:val="18"/>
                <w:szCs w:val="18"/>
                <w:color w:val="0000EE"/>
                <w:w w:val="97"/>
              </w:rPr>
              <w:t>Management’s Discussion and Analysis of Financial Condition and Results of Operations</w:t>
            </w: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Arial" w:cs="Arial" w:eastAsia="Arial" w:hAnsi="Arial"/>
                <w:sz w:val="18"/>
                <w:szCs w:val="18"/>
                <w:color w:val="0000EE"/>
                <w:w w:val="83"/>
              </w:rPr>
              <w:t>Item 3.</w:t>
            </w:r>
          </w:p>
        </w:tc>
        <w:tc>
          <w:tcPr>
            <w:tcW w:w="320" w:type="dxa"/>
            <w:vAlign w:val="bottom"/>
            <w:gridSpan w:val="2"/>
          </w:tcPr>
          <w:p>
            <w:pPr>
              <w:spacing w:after="0"/>
              <w:rPr>
                <w:sz w:val="17"/>
                <w:szCs w:val="17"/>
                <w:color w:val="auto"/>
              </w:rPr>
            </w:pPr>
          </w:p>
        </w:tc>
        <w:tc>
          <w:tcPr>
            <w:tcW w:w="7100" w:type="dxa"/>
            <w:vAlign w:val="bottom"/>
            <w:gridSpan w:val="10"/>
          </w:tcPr>
          <w:p>
            <w:pPr>
              <w:ind w:left="200"/>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3"/>
          </w:tcPr>
          <w:p>
            <w:pPr>
              <w:spacing w:after="0" w:line="196" w:lineRule="exact"/>
              <w:rPr>
                <w:sz w:val="20"/>
                <w:szCs w:val="20"/>
                <w:color w:val="auto"/>
              </w:rPr>
            </w:pPr>
            <w:r>
              <w:rPr>
                <w:rFonts w:ascii="Arial" w:cs="Arial" w:eastAsia="Arial" w:hAnsi="Arial"/>
                <w:sz w:val="18"/>
                <w:szCs w:val="18"/>
                <w:color w:val="0000EE"/>
              </w:rPr>
              <w:t>Item 4</w:t>
            </w:r>
            <w:r>
              <w:rPr>
                <w:rFonts w:ascii="Arial" w:cs="Arial" w:eastAsia="Arial" w:hAnsi="Arial"/>
                <w:sz w:val="18"/>
                <w:szCs w:val="18"/>
                <w:color w:val="000000"/>
              </w:rPr>
              <w:t>.</w:t>
            </w:r>
          </w:p>
        </w:tc>
        <w:tc>
          <w:tcPr>
            <w:tcW w:w="7100" w:type="dxa"/>
            <w:vAlign w:val="bottom"/>
            <w:gridSpan w:val="10"/>
          </w:tcPr>
          <w:p>
            <w:pPr>
              <w:ind w:left="200"/>
              <w:spacing w:after="0" w:line="196" w:lineRule="exact"/>
              <w:rPr>
                <w:sz w:val="20"/>
                <w:szCs w:val="20"/>
                <w:color w:val="auto"/>
              </w:rPr>
            </w:pPr>
            <w:r>
              <w:rPr>
                <w:rFonts w:ascii="Arial" w:cs="Arial" w:eastAsia="Arial" w:hAnsi="Arial"/>
                <w:sz w:val="18"/>
                <w:szCs w:val="18"/>
                <w:color w:val="0000EE"/>
              </w:rPr>
              <w:t>Controls and Procedures</w:t>
            </w: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492"/>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140" w:type="dxa"/>
            <w:vAlign w:val="bottom"/>
            <w:gridSpan w:val="5"/>
          </w:tcPr>
          <w:p>
            <w:pPr>
              <w:jc w:val="center"/>
              <w:ind w:right="1820"/>
              <w:spacing w:after="0"/>
              <w:rPr>
                <w:sz w:val="20"/>
                <w:szCs w:val="20"/>
                <w:color w:val="auto"/>
              </w:rPr>
            </w:pPr>
            <w:r>
              <w:rPr>
                <w:rFonts w:ascii="Arial" w:cs="Arial" w:eastAsia="Arial" w:hAnsi="Arial"/>
                <w:sz w:val="18"/>
                <w:szCs w:val="18"/>
                <w:b w:val="1"/>
                <w:bCs w:val="1"/>
                <w:color w:val="auto"/>
              </w:rPr>
              <w:t>PART II. OTHER INFORMATION</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00" w:type="dxa"/>
            <w:vAlign w:val="bottom"/>
          </w:tcPr>
          <w:p>
            <w:pPr>
              <w:spacing w:after="0" w:line="190" w:lineRule="exact"/>
              <w:rPr>
                <w:sz w:val="20"/>
                <w:szCs w:val="20"/>
                <w:color w:val="auto"/>
              </w:rPr>
            </w:pPr>
            <w:r>
              <w:rPr>
                <w:rFonts w:ascii="Arial" w:cs="Arial" w:eastAsia="Arial" w:hAnsi="Arial"/>
                <w:sz w:val="18"/>
                <w:szCs w:val="18"/>
                <w:color w:val="0000EE"/>
                <w:w w:val="83"/>
              </w:rPr>
              <w:t>Item 1.</w:t>
            </w:r>
          </w:p>
        </w:tc>
        <w:tc>
          <w:tcPr>
            <w:tcW w:w="320" w:type="dxa"/>
            <w:vAlign w:val="bottom"/>
            <w:gridSpan w:val="2"/>
          </w:tcPr>
          <w:p>
            <w:pPr>
              <w:spacing w:after="0"/>
              <w:rPr>
                <w:sz w:val="16"/>
                <w:szCs w:val="16"/>
                <w:color w:val="auto"/>
              </w:rPr>
            </w:pPr>
          </w:p>
        </w:tc>
        <w:tc>
          <w:tcPr>
            <w:tcW w:w="7100" w:type="dxa"/>
            <w:vAlign w:val="bottom"/>
            <w:gridSpan w:val="10"/>
          </w:tcPr>
          <w:p>
            <w:pPr>
              <w:ind w:left="200"/>
              <w:spacing w:after="0" w:line="190" w:lineRule="exact"/>
              <w:rPr>
                <w:sz w:val="20"/>
                <w:szCs w:val="20"/>
                <w:color w:val="auto"/>
              </w:rPr>
            </w:pPr>
            <w:r>
              <w:rPr>
                <w:rFonts w:ascii="Arial" w:cs="Arial" w:eastAsia="Arial" w:hAnsi="Arial"/>
                <w:sz w:val="18"/>
                <w:szCs w:val="18"/>
                <w:color w:val="0000EE"/>
              </w:rPr>
              <w:t>Legal Proceedings</w:t>
            </w:r>
          </w:p>
        </w:tc>
        <w:tc>
          <w:tcPr>
            <w:tcW w:w="920" w:type="dxa"/>
            <w:vAlign w:val="bottom"/>
          </w:tcPr>
          <w:p>
            <w:pPr>
              <w:jc w:val="center"/>
              <w:spacing w:after="0" w:line="190" w:lineRule="exact"/>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0" w:type="dxa"/>
            <w:vAlign w:val="bottom"/>
            <w:tcBorders>
              <w:left w:val="single" w:sz="8" w:color="0000EE"/>
            </w:tcBorders>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Arial" w:cs="Arial" w:eastAsia="Arial" w:hAnsi="Arial"/>
                <w:sz w:val="18"/>
                <w:szCs w:val="18"/>
                <w:color w:val="0000EE"/>
                <w:w w:val="92"/>
              </w:rPr>
              <w:t>Item 1A.</w:t>
            </w:r>
          </w:p>
        </w:tc>
        <w:tc>
          <w:tcPr>
            <w:tcW w:w="180" w:type="dxa"/>
            <w:vAlign w:val="bottom"/>
          </w:tcPr>
          <w:p>
            <w:pPr>
              <w:spacing w:after="0"/>
              <w:rPr>
                <w:sz w:val="17"/>
                <w:szCs w:val="17"/>
                <w:color w:val="auto"/>
              </w:rPr>
            </w:pPr>
          </w:p>
        </w:tc>
        <w:tc>
          <w:tcPr>
            <w:tcW w:w="7100" w:type="dxa"/>
            <w:vAlign w:val="bottom"/>
            <w:gridSpan w:val="10"/>
          </w:tcPr>
          <w:p>
            <w:pPr>
              <w:ind w:left="200"/>
              <w:spacing w:after="0" w:line="196" w:lineRule="exact"/>
              <w:rPr>
                <w:sz w:val="20"/>
                <w:szCs w:val="20"/>
                <w:color w:val="auto"/>
              </w:rPr>
            </w:pPr>
            <w:r>
              <w:rPr>
                <w:rFonts w:ascii="Arial" w:cs="Arial" w:eastAsia="Arial" w:hAnsi="Arial"/>
                <w:sz w:val="18"/>
                <w:szCs w:val="18"/>
                <w:color w:val="0000EE"/>
              </w:rPr>
              <w:t>Risk Factors</w:t>
            </w: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Arial" w:cs="Arial" w:eastAsia="Arial" w:hAnsi="Arial"/>
                <w:sz w:val="18"/>
                <w:szCs w:val="18"/>
                <w:color w:val="0000EE"/>
                <w:w w:val="83"/>
              </w:rPr>
              <w:t>Item 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100" w:type="dxa"/>
            <w:vAlign w:val="bottom"/>
            <w:gridSpan w:val="10"/>
          </w:tcPr>
          <w:p>
            <w:pPr>
              <w:ind w:left="200"/>
              <w:spacing w:after="0" w:line="196" w:lineRule="exact"/>
              <w:rPr>
                <w:sz w:val="20"/>
                <w:szCs w:val="20"/>
                <w:color w:val="auto"/>
              </w:rPr>
            </w:pPr>
            <w:r>
              <w:rPr>
                <w:rFonts w:ascii="Arial" w:cs="Arial" w:eastAsia="Arial" w:hAnsi="Arial"/>
                <w:sz w:val="18"/>
                <w:szCs w:val="18"/>
                <w:color w:val="0000EE"/>
              </w:rPr>
              <w:t>Other Information</w:t>
            </w: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Arial" w:cs="Arial" w:eastAsia="Arial" w:hAnsi="Arial"/>
                <w:sz w:val="18"/>
                <w:szCs w:val="18"/>
                <w:color w:val="0000EE"/>
                <w:w w:val="83"/>
              </w:rPr>
              <w:t>Item 6.</w:t>
            </w:r>
          </w:p>
        </w:tc>
        <w:tc>
          <w:tcPr>
            <w:tcW w:w="320" w:type="dxa"/>
            <w:vAlign w:val="bottom"/>
            <w:gridSpan w:val="2"/>
          </w:tcPr>
          <w:p>
            <w:pPr>
              <w:spacing w:after="0"/>
              <w:rPr>
                <w:sz w:val="17"/>
                <w:szCs w:val="17"/>
                <w:color w:val="auto"/>
              </w:rPr>
            </w:pPr>
          </w:p>
        </w:tc>
        <w:tc>
          <w:tcPr>
            <w:tcW w:w="7100" w:type="dxa"/>
            <w:vAlign w:val="bottom"/>
            <w:gridSpan w:val="10"/>
          </w:tcPr>
          <w:p>
            <w:pPr>
              <w:ind w:left="200"/>
              <w:spacing w:after="0" w:line="196" w:lineRule="exact"/>
              <w:rPr>
                <w:sz w:val="20"/>
                <w:szCs w:val="20"/>
                <w:color w:val="auto"/>
              </w:rPr>
            </w:pPr>
            <w:r>
              <w:rPr>
                <w:rFonts w:ascii="Arial" w:cs="Arial" w:eastAsia="Arial" w:hAnsi="Arial"/>
                <w:sz w:val="18"/>
                <w:szCs w:val="18"/>
                <w:color w:val="0000EE"/>
              </w:rPr>
              <w:t>Exhibits</w:t>
            </w: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99" w:firstLine="324"/>
        <w:spacing w:after="0" w:line="287" w:lineRule="auto"/>
        <w:rPr>
          <w:sz w:val="20"/>
          <w:szCs w:val="20"/>
          <w:color w:val="auto"/>
        </w:rPr>
      </w:pPr>
      <w:r>
        <w:rPr>
          <w:rFonts w:ascii="Arial" w:cs="Arial" w:eastAsia="Arial" w:hAnsi="Arial"/>
          <w:sz w:val="16"/>
          <w:szCs w:val="16"/>
          <w:color w:val="auto"/>
        </w:rPr>
        <w:t>This Report contains certain statements that are, or may be deemed to be, “forward-looking statements” within the meaning of Section 27A of the Securities Act of 1933, as amended, and Section 21E of the Securities Exchange Act of 1934, as amended (the “Exchange Act”), or by the Private Securities Litigation Reform Act. All statements included in this Report, other than statements that relate solely to historical fact, are “forward-looking statements.” Such statements include, but are not limited to, any statement that may predict, forecast, indicate or imply future results, performance, achievements or events, or any statement that may relate to strategies, plans or objectives for, or potential results of, future operations, financial results, financial condition, business prospects, growth strategy or liquidity, and are based upon management’s current plans and beliefs or current estimates of future results or trends. Forward-looking statements can generally be identified by phrases such as “believes,” “expects,” “potential,” “continues,” “may,” “should,” “seeks,” “predicts,” “anticipates,” “intends,” “projects,” “estimates,” “plans,” “could,” “designed,” “should be” and other similar expressions that denote expectations of future or conditional events rather than statements of fact.</w:t>
      </w:r>
    </w:p>
    <w:p>
      <w:pPr>
        <w:spacing w:after="0" w:line="172" w:lineRule="exact"/>
        <w:rPr>
          <w:sz w:val="20"/>
          <w:szCs w:val="20"/>
          <w:color w:val="auto"/>
        </w:rPr>
      </w:pPr>
    </w:p>
    <w:p>
      <w:pPr>
        <w:ind w:left="60" w:right="59" w:firstLine="324"/>
        <w:spacing w:after="0" w:line="284" w:lineRule="auto"/>
        <w:rPr>
          <w:sz w:val="20"/>
          <w:szCs w:val="20"/>
          <w:color w:val="auto"/>
        </w:rPr>
      </w:pPr>
      <w:r>
        <w:rPr>
          <w:rFonts w:ascii="Arial" w:cs="Arial" w:eastAsia="Arial" w:hAnsi="Arial"/>
          <w:sz w:val="16"/>
          <w:szCs w:val="16"/>
          <w:color w:val="auto"/>
        </w:rPr>
        <w:t>Forward-looking statements include certain statements made under the caption, “Management’s Discussion and Analysis of Financial Condition and Results of Operations,” under Part I, Item 2 of this Report, but also forward-looking statements that appear in other parts of this Report. Forward-looking statements reflect our current views with respect to future events and are based on certain assumptions and are subject to risks and uncertainties that could cause our actual results to differ materially from trends, plans, or expectations set forth in the forward-looking statements. These include risks related to economic downturns, substantial competition and rising operating costs; the impacts from the Russia/Ukraine conflict and conflict in the Middle East, including economic volatility and the impacts of export controls and other economic sanctions; risks related to our investment activities, including the nature of the investments made by the private funds in which we invest, declines in the fair value of our investments, losses in the private funds and loss of key employees; risks related to our ability to continue to conduct our activities in a manner so as to not be deemed an investment company under the Investment Company Act of 1940, as amended, or be taxed as a corporation; risks relating to short sellers and associated litigation and regulatory inquires; risks related to our general partner and controlling unitholder; risks related to our energy business, including the volatility and availability of crude oil, other feed stocks and refined products, declines in global demand for crude oil, refined products and liquid transportation fuels, unfavorable refining margin (crack spread), interrupted access to pipelines, significant fluctuations in nitrogen fertilizer demand in the agricultural industry and seasonality of results; the success of a spin-off of the fertilizer business including risks related to any decision to cease exploration of a spin-off; risks related to our automotive activities and exposure to adverse conditions in the automotive industry, including as a result of the Chapter 11 filing of our automotive parts subsidiary; risks related to our food packaging activities, including competition from better capitalized competitors, inability of our suppliers to timely deliver raw materials, and the failure to effectively respond to industry changes in casings technology; supply chain issues; inflation, including increased costs of raw materials and shipping, including as a result of the Russia/Ukraine conflict and conflict in the Middle East; interest rate increases; labor shortages and workforce availability; risks related to our real estate activities, including the extent of any tenant bankruptcies and insolvencies; risks related to our home fashion operations, including changes in the availability and price of raw materials, manufacturing disruptions, and changes in transportation costs and delivery times. These risks and uncertainties also include the risks and uncertainties described in our Annual Report on Form 10-K for the year ended December 31, 2022 and below in Item 1A. Risk Factors, of Part II of this Quarterly Report on Form 10-Q. Additionally, there may be other factors not presently known to us or which we currently consider to be immaterial that may cause our actual results to differ materially from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6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6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4"/>
                <w:szCs w:val="14"/>
                <w:color w:val="auto"/>
                <w:w w:val="92"/>
              </w:rPr>
              <w:t>(in millions, except</w:t>
            </w:r>
          </w:p>
        </w:tc>
        <w:tc>
          <w:tcPr>
            <w:tcW w:w="1120" w:type="dxa"/>
            <w:vAlign w:val="bottom"/>
            <w:gridSpan w:val="2"/>
          </w:tcPr>
          <w:p>
            <w:pPr>
              <w:jc w:val="right"/>
              <w:ind w:right="170"/>
              <w:spacing w:after="0" w:line="129" w:lineRule="exact"/>
              <w:rPr>
                <w:sz w:val="20"/>
                <w:szCs w:val="20"/>
                <w:color w:val="auto"/>
              </w:rPr>
            </w:pPr>
            <w:r>
              <w:rPr>
                <w:rFonts w:ascii="Arial" w:cs="Arial" w:eastAsia="Arial" w:hAnsi="Arial"/>
                <w:sz w:val="14"/>
                <w:szCs w:val="14"/>
                <w:color w:val="auto"/>
                <w:w w:val="98"/>
              </w:rPr>
              <w:t>unit amounts)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8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2,890</w:t>
            </w:r>
          </w:p>
        </w:tc>
        <w:tc>
          <w:tcPr>
            <w:tcW w:w="1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brokers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notes receivable, net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assets, net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21,757</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ind w:left="200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Derivative liabilities, net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Due to brokers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7,075</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15,129</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Commitments and contingencies (Note 18)</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9"/>
              </w:rPr>
              <w:t>Limited partners: Depositary units: 410,802,959 units issued and outstanding at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September 30, 2023 and 353,572,182 units issued and outstanding at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31, 2022</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(756)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attributable to Icahn Enterprises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3,175</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6,628</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21,757</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120" w:type="dxa"/>
            <w:vAlign w:val="bottom"/>
            <w:gridSpan w:val="7"/>
          </w:tcPr>
          <w:p>
            <w:pPr>
              <w:ind w:left="2460"/>
              <w:spacing w:after="0"/>
              <w:rPr>
                <w:sz w:val="20"/>
                <w:szCs w:val="20"/>
                <w:color w:val="auto"/>
              </w:rPr>
            </w:pPr>
            <w:r>
              <w:rPr>
                <w:rFonts w:ascii="Arial" w:cs="Arial" w:eastAsia="Arial" w:hAnsi="Arial"/>
                <w:sz w:val="18"/>
                <w:szCs w:val="18"/>
                <w:b w:val="1"/>
                <w:bCs w:val="1"/>
                <w:color w:val="auto"/>
              </w:rPr>
              <w:t>ICAHN ENTERPRISES L.P. AND SUBSIDIARIES</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00" w:type="dxa"/>
            <w:vAlign w:val="bottom"/>
            <w:gridSpan w:val="10"/>
          </w:tcPr>
          <w:p>
            <w:pPr>
              <w:ind w:left="1140"/>
              <w:spacing w:after="0"/>
              <w:rPr>
                <w:sz w:val="20"/>
                <w:szCs w:val="20"/>
                <w:color w:val="auto"/>
              </w:rPr>
            </w:pPr>
            <w:r>
              <w:rPr>
                <w:rFonts w:ascii="Arial" w:cs="Arial" w:eastAsia="Arial" w:hAnsi="Arial"/>
                <w:sz w:val="18"/>
                <w:szCs w:val="18"/>
                <w:b w:val="1"/>
                <w:bCs w:val="1"/>
                <w:color w:val="auto"/>
              </w:rPr>
              <w:t>CONDENSED CONSOLIDATED STATEMENTS OF OPERATIONS (UNAUDITED)</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220" w:type="dxa"/>
            <w:vAlign w:val="bottom"/>
          </w:tcPr>
          <w:p>
            <w:pPr>
              <w:spacing w:after="0"/>
              <w:rPr>
                <w:sz w:val="24"/>
                <w:szCs w:val="24"/>
                <w:color w:val="auto"/>
              </w:rPr>
            </w:pPr>
          </w:p>
        </w:tc>
        <w:tc>
          <w:tcPr>
            <w:tcW w:w="190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24"/>
                <w:szCs w:val="24"/>
                <w:color w:val="auto"/>
              </w:rPr>
            </w:pPr>
          </w:p>
        </w:tc>
        <w:tc>
          <w:tcPr>
            <w:tcW w:w="166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0"/>
              </w:rPr>
              <w:t>Nine Months Ended</w:t>
            </w: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16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09"/>
        </w:trPr>
        <w:tc>
          <w:tcPr>
            <w:tcW w:w="5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2023</w:t>
            </w:r>
          </w:p>
        </w:tc>
        <w:tc>
          <w:tcPr>
            <w:tcW w:w="2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(in</w:t>
            </w: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2022</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2022</w:t>
            </w:r>
          </w:p>
        </w:tc>
        <w:tc>
          <w:tcPr>
            <w:tcW w:w="0" w:type="dxa"/>
            <w:vAlign w:val="bottom"/>
          </w:tcPr>
          <w:p>
            <w:pPr>
              <w:spacing w:after="0"/>
              <w:rPr>
                <w:sz w:val="1"/>
                <w:szCs w:val="1"/>
                <w:color w:val="auto"/>
              </w:rPr>
            </w:pPr>
          </w:p>
        </w:tc>
      </w:tr>
      <w:tr>
        <w:trPr>
          <w:trHeight w:val="128"/>
        </w:trPr>
        <w:tc>
          <w:tcPr>
            <w:tcW w:w="5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920" w:type="dxa"/>
            <w:vAlign w:val="bottom"/>
            <w:gridSpan w:val="3"/>
          </w:tcPr>
          <w:p>
            <w:pPr>
              <w:spacing w:after="0" w:line="129" w:lineRule="exact"/>
              <w:rPr>
                <w:sz w:val="20"/>
                <w:szCs w:val="20"/>
                <w:color w:val="auto"/>
              </w:rPr>
            </w:pPr>
            <w:r>
              <w:rPr>
                <w:rFonts w:ascii="Arial" w:cs="Arial" w:eastAsia="Arial" w:hAnsi="Arial"/>
                <w:sz w:val="14"/>
                <w:szCs w:val="14"/>
                <w:color w:val="auto"/>
                <w:w w:val="94"/>
              </w:rPr>
              <w:t>millions, except</w:t>
            </w:r>
          </w:p>
        </w:tc>
        <w:tc>
          <w:tcPr>
            <w:tcW w:w="980" w:type="dxa"/>
            <w:vAlign w:val="bottom"/>
            <w:gridSpan w:val="3"/>
          </w:tcPr>
          <w:p>
            <w:pPr>
              <w:ind w:left="20"/>
              <w:spacing w:after="0" w:line="129" w:lineRule="exact"/>
              <w:rPr>
                <w:sz w:val="20"/>
                <w:szCs w:val="20"/>
                <w:color w:val="auto"/>
              </w:rPr>
            </w:pPr>
            <w:r>
              <w:rPr>
                <w:rFonts w:ascii="Arial" w:cs="Arial" w:eastAsia="Arial" w:hAnsi="Arial"/>
                <w:sz w:val="14"/>
                <w:szCs w:val="14"/>
                <w:color w:val="auto"/>
                <w:w w:val="86"/>
              </w:rPr>
              <w:t>per unit amounts)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2,991</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3,334</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8,433</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10,098</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revenues from operations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rPr>
                <w:sz w:val="20"/>
                <w:szCs w:val="20"/>
                <w:color w:val="auto"/>
              </w:rPr>
            </w:pPr>
            <w:r>
              <w:rPr>
                <w:rFonts w:ascii="Arial" w:cs="Arial" w:eastAsia="Arial" w:hAnsi="Arial"/>
                <w:sz w:val="18"/>
                <w:szCs w:val="18"/>
                <w:color w:val="auto"/>
              </w:rPr>
              <w:t>Net (loss) gain from investment activities</w:t>
            </w:r>
          </w:p>
        </w:tc>
        <w:tc>
          <w:tcPr>
            <w:tcW w:w="160" w:type="dxa"/>
            <w:vAlign w:val="bottom"/>
          </w:tcPr>
          <w:p>
            <w:pPr>
              <w:spacing w:after="0"/>
              <w:rPr>
                <w:sz w:val="18"/>
                <w:szCs w:val="18"/>
                <w:color w:val="auto"/>
              </w:rPr>
            </w:pPr>
          </w:p>
        </w:tc>
        <w:tc>
          <w:tcPr>
            <w:tcW w:w="820" w:type="dxa"/>
            <w:vAlign w:val="bottom"/>
            <w:gridSpan w:val="2"/>
          </w:tcPr>
          <w:p>
            <w:pPr>
              <w:jc w:val="right"/>
              <w:ind w:right="128"/>
              <w:spacing w:after="0"/>
              <w:rPr>
                <w:sz w:val="20"/>
                <w:szCs w:val="20"/>
                <w:color w:val="auto"/>
              </w:rPr>
            </w:pPr>
            <w:r>
              <w:rPr>
                <w:rFonts w:ascii="Arial" w:cs="Arial" w:eastAsia="Arial" w:hAnsi="Arial"/>
                <w:sz w:val="18"/>
                <w:szCs w:val="18"/>
                <w:color w:val="auto"/>
              </w:rPr>
              <w:t>(332)</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(1,275)</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and dividend income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rPr>
                <w:sz w:val="20"/>
                <w:szCs w:val="20"/>
                <w:color w:val="auto"/>
              </w:rPr>
            </w:pPr>
            <w:r>
              <w:rPr>
                <w:rFonts w:ascii="Arial" w:cs="Arial" w:eastAsia="Arial" w:hAnsi="Arial"/>
                <w:sz w:val="18"/>
                <w:szCs w:val="18"/>
                <w:color w:val="auto"/>
              </w:rPr>
              <w:t>Other loss, net</w:t>
            </w:r>
          </w:p>
        </w:tc>
        <w:tc>
          <w:tcPr>
            <w:tcW w:w="160" w:type="dxa"/>
            <w:vAlign w:val="bottom"/>
          </w:tcPr>
          <w:p>
            <w:pPr>
              <w:spacing w:after="0"/>
              <w:rPr>
                <w:sz w:val="18"/>
                <w:szCs w:val="18"/>
                <w:color w:val="auto"/>
              </w:rPr>
            </w:pPr>
          </w:p>
        </w:tc>
        <w:tc>
          <w:tcPr>
            <w:tcW w:w="820" w:type="dxa"/>
            <w:vAlign w:val="bottom"/>
            <w:gridSpan w:val="2"/>
          </w:tcPr>
          <w:p>
            <w:pPr>
              <w:jc w:val="right"/>
              <w:ind w:right="128"/>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09"/>
        </w:trPr>
        <w:tc>
          <w:tcPr>
            <w:tcW w:w="5220" w:type="dxa"/>
            <w:vAlign w:val="bottom"/>
          </w:tcPr>
          <w:p>
            <w:pPr>
              <w:ind w:left="20"/>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goods sold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8,738</w:t>
            </w: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rPr>
                <w:sz w:val="20"/>
                <w:szCs w:val="20"/>
                <w:color w:val="auto"/>
              </w:rPr>
            </w:pPr>
            <w:r>
              <w:rPr>
                <w:rFonts w:ascii="Arial" w:cs="Arial" w:eastAsia="Arial" w:hAnsi="Arial"/>
                <w:sz w:val="18"/>
                <w:szCs w:val="18"/>
                <w:color w:val="auto"/>
              </w:rPr>
              <w:t>Other expenses from operations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rPr>
                <w:sz w:val="20"/>
                <w:szCs w:val="20"/>
                <w:color w:val="auto"/>
              </w:rPr>
            </w:pPr>
            <w:r>
              <w:rPr>
                <w:rFonts w:ascii="Arial" w:cs="Arial" w:eastAsia="Arial" w:hAnsi="Arial"/>
                <w:sz w:val="18"/>
                <w:szCs w:val="18"/>
                <w:color w:val="auto"/>
              </w:rPr>
              <w:t>Restructuring, net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Credit loss on related party note receivable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rPr>
                <w:sz w:val="20"/>
                <w:szCs w:val="20"/>
                <w:color w:val="auto"/>
              </w:rPr>
            </w:pPr>
            <w:r>
              <w:rPr>
                <w:rFonts w:ascii="Arial" w:cs="Arial" w:eastAsia="Arial" w:hAnsi="Arial"/>
                <w:sz w:val="18"/>
                <w:szCs w:val="18"/>
                <w:color w:val="auto"/>
              </w:rPr>
              <w:t>Loss on deconsolidation of subsidiary</w:t>
            </w:r>
          </w:p>
        </w:tc>
        <w:tc>
          <w:tcPr>
            <w:tcW w:w="160" w:type="dxa"/>
            <w:vAlign w:val="bottom"/>
          </w:tcPr>
          <w:p>
            <w:pPr>
              <w:spacing w:after="0"/>
              <w:rPr>
                <w:sz w:val="18"/>
                <w:szCs w:val="18"/>
                <w:color w:val="auto"/>
              </w:rPr>
            </w:pPr>
          </w:p>
        </w:tc>
        <w:tc>
          <w:tcPr>
            <w:tcW w:w="82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9"/>
        </w:trPr>
        <w:tc>
          <w:tcPr>
            <w:tcW w:w="5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10,524</w:t>
            </w: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 (expense) benefit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522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18"/>
                <w:szCs w:val="18"/>
                <w:color w:val="auto"/>
              </w:rPr>
            </w:pPr>
          </w:p>
        </w:tc>
        <w:tc>
          <w:tcPr>
            <w:tcW w:w="820" w:type="dxa"/>
            <w:vAlign w:val="bottom"/>
            <w:gridSpan w:val="2"/>
          </w:tcPr>
          <w:p>
            <w:pPr>
              <w:jc w:val="right"/>
              <w:ind w:right="128"/>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9"/>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5220" w:type="dxa"/>
            <w:vAlign w:val="bottom"/>
          </w:tcPr>
          <w:p>
            <w:pPr>
              <w:ind w:left="20"/>
              <w:spacing w:after="0"/>
              <w:rPr>
                <w:sz w:val="20"/>
                <w:szCs w:val="20"/>
                <w:color w:val="auto"/>
              </w:rPr>
            </w:pPr>
            <w:r>
              <w:rPr>
                <w:rFonts w:ascii="Arial" w:cs="Arial" w:eastAsia="Arial" w:hAnsi="Arial"/>
                <w:sz w:val="18"/>
                <w:szCs w:val="18"/>
                <w:color w:val="auto"/>
              </w:rPr>
              <w:t>Less: net (loss) income attributable to non-controlling interests</w:t>
            </w:r>
          </w:p>
        </w:tc>
        <w:tc>
          <w:tcPr>
            <w:tcW w:w="160" w:type="dxa"/>
            <w:vAlign w:val="bottom"/>
          </w:tcPr>
          <w:p>
            <w:pPr>
              <w:spacing w:after="0"/>
              <w:rPr>
                <w:sz w:val="18"/>
                <w:szCs w:val="18"/>
                <w:color w:val="auto"/>
              </w:rPr>
            </w:pPr>
          </w:p>
        </w:tc>
        <w:tc>
          <w:tcPr>
            <w:tcW w:w="820" w:type="dxa"/>
            <w:vAlign w:val="bottom"/>
            <w:gridSpan w:val="2"/>
          </w:tcPr>
          <w:p>
            <w:pPr>
              <w:jc w:val="right"/>
              <w:ind w:right="128"/>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(262)</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9"/>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Icahn Enterprises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Icahn Enterprises allocated to:</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rPr>
                <w:sz w:val="20"/>
                <w:szCs w:val="20"/>
                <w:color w:val="auto"/>
              </w:rPr>
            </w:pPr>
            <w:r>
              <w:rPr>
                <w:rFonts w:ascii="Arial" w:cs="Arial" w:eastAsia="Arial" w:hAnsi="Arial"/>
                <w:sz w:val="18"/>
                <w:szCs w:val="18"/>
                <w:color w:val="auto"/>
              </w:rPr>
              <w:t>Limited partners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8"/>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(534)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partner</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5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5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220" w:type="dxa"/>
            <w:vAlign w:val="bottom"/>
          </w:tcPr>
          <w:p>
            <w:pPr>
              <w:ind w:left="20"/>
              <w:spacing w:after="0"/>
              <w:rPr>
                <w:sz w:val="20"/>
                <w:szCs w:val="20"/>
                <w:color w:val="auto"/>
              </w:rPr>
            </w:pPr>
            <w:r>
              <w:rPr>
                <w:rFonts w:ascii="Arial" w:cs="Arial" w:eastAsia="Arial" w:hAnsi="Arial"/>
                <w:sz w:val="18"/>
                <w:szCs w:val="18"/>
                <w:color w:val="auto"/>
              </w:rPr>
              <w:t>Basic and Diluted (loss) income per LP unit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8"/>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(1.47)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196"/>
        </w:trPr>
        <w:tc>
          <w:tcPr>
            <w:tcW w:w="52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Basic and Diluted weighted average LP units outstanding</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
        </w:trPr>
        <w:tc>
          <w:tcPr>
            <w:tcW w:w="5220" w:type="dxa"/>
            <w:vAlign w:val="bottom"/>
            <w:vMerge w:val="restart"/>
          </w:tcPr>
          <w:p>
            <w:pPr>
              <w:ind w:left="20"/>
              <w:spacing w:after="0"/>
              <w:rPr>
                <w:sz w:val="20"/>
                <w:szCs w:val="20"/>
                <w:color w:val="auto"/>
              </w:rPr>
            </w:pPr>
            <w:r>
              <w:rPr>
                <w:rFonts w:ascii="Arial" w:cs="Arial" w:eastAsia="Arial" w:hAnsi="Arial"/>
                <w:sz w:val="18"/>
                <w:szCs w:val="18"/>
                <w:color w:val="auto"/>
              </w:rPr>
              <w:t>Distributions declared per LP unit</w:t>
            </w: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2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2.00</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5.00</w:t>
            </w:r>
          </w:p>
        </w:tc>
        <w:tc>
          <w:tcPr>
            <w:tcW w:w="1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(LOSS) INCOME (UNAUDITED)</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188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3"/>
              </w:rPr>
              <w:t>Three Months Ended</w:t>
            </w:r>
          </w:p>
        </w:tc>
        <w:tc>
          <w:tcPr>
            <w:tcW w:w="100" w:type="dxa"/>
            <w:vAlign w:val="bottom"/>
          </w:tcPr>
          <w:p>
            <w:pPr>
              <w:spacing w:after="0"/>
              <w:rPr>
                <w:sz w:val="18"/>
                <w:szCs w:val="18"/>
                <w:color w:val="auto"/>
              </w:rPr>
            </w:pPr>
          </w:p>
        </w:tc>
        <w:tc>
          <w:tcPr>
            <w:tcW w:w="16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0"/>
              </w:rPr>
              <w:t>Nine Months Ended</w:t>
            </w:r>
          </w:p>
        </w:tc>
      </w:tr>
      <w:tr>
        <w:trPr>
          <w:trHeight w:val="234"/>
        </w:trPr>
        <w:tc>
          <w:tcPr>
            <w:tcW w:w="5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9"/>
              </w:rPr>
              <w:t>September 30,</w:t>
            </w:r>
          </w:p>
        </w:tc>
        <w:tc>
          <w:tcPr>
            <w:tcW w:w="100" w:type="dxa"/>
            <w:vAlign w:val="bottom"/>
          </w:tcPr>
          <w:p>
            <w:pPr>
              <w:spacing w:after="0"/>
              <w:rPr>
                <w:sz w:val="20"/>
                <w:szCs w:val="20"/>
                <w:color w:val="auto"/>
              </w:rPr>
            </w:pPr>
          </w:p>
        </w:tc>
        <w:tc>
          <w:tcPr>
            <w:tcW w:w="164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52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2023</w:t>
            </w: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9"/>
              </w:rPr>
              <w:t>2022</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2022</w:t>
            </w:r>
          </w:p>
        </w:tc>
      </w:tr>
      <w:tr>
        <w:trPr>
          <w:trHeight w:val="128"/>
        </w:trPr>
        <w:tc>
          <w:tcPr>
            <w:tcW w:w="5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4"/>
          </w:tcPr>
          <w:p>
            <w:pPr>
              <w:jc w:val="right"/>
              <w:ind w:right="410"/>
              <w:spacing w:after="0" w:line="129" w:lineRule="exact"/>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16"/>
        </w:trPr>
        <w:tc>
          <w:tcPr>
            <w:tcW w:w="528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Translation adjustments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Post-retirement benefits and other</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9"/>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09"/>
        </w:trPr>
        <w:tc>
          <w:tcPr>
            <w:tcW w:w="5280" w:type="dxa"/>
            <w:vAlign w:val="bottom"/>
          </w:tcPr>
          <w:p>
            <w:pPr>
              <w:ind w:left="20"/>
              <w:spacing w:after="0"/>
              <w:rPr>
                <w:sz w:val="20"/>
                <w:szCs w:val="20"/>
                <w:color w:val="auto"/>
              </w:rPr>
            </w:pPr>
            <w:r>
              <w:rPr>
                <w:rFonts w:ascii="Arial" w:cs="Arial" w:eastAsia="Arial" w:hAnsi="Arial"/>
                <w:sz w:val="18"/>
                <w:szCs w:val="18"/>
                <w:color w:val="auto"/>
              </w:rPr>
              <w:t>Comprehensive (loss) income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202"/>
        </w:trPr>
        <w:tc>
          <w:tcPr>
            <w:tcW w:w="52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Less: Comprehensive (loss) income attributable to non-controlling</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interests</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(262)</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49"/>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Comprehensive (loss) income attributable to Icahn Enterprises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197"/>
        </w:trPr>
        <w:tc>
          <w:tcPr>
            <w:tcW w:w="5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02"/>
        </w:trPr>
        <w:tc>
          <w:tcPr>
            <w:tcW w:w="5280" w:type="dxa"/>
            <w:vAlign w:val="bottom"/>
          </w:tcPr>
          <w:p>
            <w:pPr>
              <w:ind w:left="20"/>
              <w:spacing w:after="0" w:line="201" w:lineRule="exact"/>
              <w:rPr>
                <w:sz w:val="20"/>
                <w:szCs w:val="20"/>
                <w:color w:val="auto"/>
              </w:rPr>
            </w:pPr>
            <w:r>
              <w:rPr>
                <w:rFonts w:ascii="Arial" w:cs="Arial" w:eastAsia="Arial" w:hAnsi="Arial"/>
                <w:sz w:val="18"/>
                <w:szCs w:val="18"/>
                <w:color w:val="auto"/>
              </w:rPr>
              <w:t>Comprehensive (loss) income attributable to Icahn Enterprises</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allocated to:</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Limited partners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5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5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780" w:type="dxa"/>
            <w:vAlign w:val="bottom"/>
            <w:gridSpan w:val="10"/>
          </w:tcPr>
          <w:p>
            <w:pPr>
              <w:ind w:left="2520"/>
              <w:spacing w:after="0"/>
              <w:rPr>
                <w:sz w:val="20"/>
                <w:szCs w:val="20"/>
                <w:color w:val="auto"/>
              </w:rPr>
            </w:pPr>
            <w:r>
              <w:rPr>
                <w:rFonts w:ascii="Arial" w:cs="Arial" w:eastAsia="Arial" w:hAnsi="Arial"/>
                <w:sz w:val="18"/>
                <w:szCs w:val="18"/>
                <w:b w:val="1"/>
                <w:bCs w:val="1"/>
                <w:color w:val="auto"/>
              </w:rPr>
              <w:t>ICAHN ENTERPRISES L.P. AND SUBSIDIARIES</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60" w:type="dxa"/>
            <w:vAlign w:val="bottom"/>
            <w:gridSpan w:val="14"/>
          </w:tcPr>
          <w:p>
            <w:pPr>
              <w:ind w:left="780"/>
              <w:spacing w:after="0"/>
              <w:rPr>
                <w:sz w:val="20"/>
                <w:szCs w:val="20"/>
                <w:color w:val="auto"/>
              </w:rPr>
            </w:pPr>
            <w:r>
              <w:rPr>
                <w:rFonts w:ascii="Arial" w:cs="Arial" w:eastAsia="Arial" w:hAnsi="Arial"/>
                <w:sz w:val="18"/>
                <w:szCs w:val="18"/>
                <w:b w:val="1"/>
                <w:bCs w:val="1"/>
                <w:color w:val="auto"/>
              </w:rPr>
              <w:t>CONDENSED CONSOLIDATED STATEMENTS OF CHANGES IN EQUITY (UNAUDITED)</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gridSpan w:val="8"/>
          </w:tcPr>
          <w:p>
            <w:pPr>
              <w:ind w:left="60"/>
              <w:spacing w:after="0"/>
              <w:rPr>
                <w:sz w:val="20"/>
                <w:szCs w:val="20"/>
                <w:color w:val="auto"/>
              </w:rPr>
            </w:pPr>
            <w:r>
              <w:rPr>
                <w:rFonts w:ascii="Arial" w:cs="Arial" w:eastAsia="Arial" w:hAnsi="Arial"/>
                <w:sz w:val="18"/>
                <w:szCs w:val="18"/>
                <w:b w:val="1"/>
                <w:bCs w:val="1"/>
                <w:color w:val="auto"/>
              </w:rPr>
              <w:t>Equity Attributable to Icahn Enterprises</w:t>
            </w:r>
          </w:p>
        </w:tc>
        <w:tc>
          <w:tcPr>
            <w:tcW w:w="120" w:type="dxa"/>
            <w:vAlign w:val="bottom"/>
          </w:tcPr>
          <w:p>
            <w:pPr>
              <w:spacing w:after="0"/>
              <w:rPr>
                <w:sz w:val="24"/>
                <w:szCs w:val="24"/>
                <w:color w:val="auto"/>
              </w:rPr>
            </w:pPr>
          </w:p>
        </w:tc>
        <w:tc>
          <w:tcPr>
            <w:tcW w:w="9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2"/>
              </w:rPr>
              <w:t>Non-</w:t>
            </w: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2"/>
              </w:rPr>
              <w:t>General</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3"/>
              </w:rPr>
              <w:t>Limited</w:t>
            </w: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Partner’s</w:t>
            </w: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Partners’</w:t>
            </w:r>
          </w:p>
        </w:tc>
        <w:tc>
          <w:tcPr>
            <w:tcW w:w="142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Partners’</w:t>
            </w:r>
          </w:p>
        </w:tc>
        <w:tc>
          <w:tcPr>
            <w:tcW w:w="1100" w:type="dxa"/>
            <w:vAlign w:val="bottom"/>
            <w:gridSpan w:val="3"/>
          </w:tcPr>
          <w:p>
            <w:pPr>
              <w:ind w:left="20"/>
              <w:spacing w:after="0"/>
              <w:rPr>
                <w:sz w:val="20"/>
                <w:szCs w:val="20"/>
                <w:color w:val="auto"/>
              </w:rPr>
            </w:pPr>
            <w:r>
              <w:rPr>
                <w:rFonts w:ascii="Arial" w:cs="Arial" w:eastAsia="Arial" w:hAnsi="Arial"/>
                <w:sz w:val="18"/>
                <w:szCs w:val="18"/>
                <w:b w:val="1"/>
                <w:bCs w:val="1"/>
                <w:color w:val="auto"/>
              </w:rPr>
              <w:t>controlling</w:t>
            </w: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6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Equity</w:t>
            </w:r>
          </w:p>
        </w:tc>
        <w:tc>
          <w:tcPr>
            <w:tcW w:w="12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Interests</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5"/>
              </w:rPr>
              <w:t>Total Equity</w:t>
            </w: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(88)</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Arial" w:cs="Arial" w:eastAsia="Arial" w:hAnsi="Arial"/>
                <w:sz w:val="18"/>
                <w:szCs w:val="18"/>
                <w:color w:val="auto"/>
              </w:rPr>
              <w:t>Partnership distributions payable</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(709)</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 contributions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40" w:type="dxa"/>
            <w:vAlign w:val="bottom"/>
          </w:tcPr>
          <w:p>
            <w:pPr>
              <w:ind w:left="20"/>
              <w:spacing w:after="0" w:line="201" w:lineRule="exact"/>
              <w:rPr>
                <w:sz w:val="20"/>
                <w:szCs w:val="20"/>
                <w:color w:val="auto"/>
              </w:rPr>
            </w:pPr>
            <w:r>
              <w:rPr>
                <w:rFonts w:ascii="Arial" w:cs="Arial" w:eastAsia="Arial" w:hAnsi="Arial"/>
                <w:sz w:val="18"/>
                <w:szCs w:val="18"/>
                <w:color w:val="auto"/>
              </w:rPr>
              <w:t>Investment segment distributions to</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(80)</w:t>
            </w:r>
          </w:p>
        </w:tc>
        <w:tc>
          <w:tcPr>
            <w:tcW w:w="3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2"/>
        </w:trPr>
        <w:tc>
          <w:tcPr>
            <w:tcW w:w="31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Dividends and distributions to non-</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interests in subsidiaries</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w:t>
            </w:r>
          </w:p>
        </w:tc>
        <w:tc>
          <w:tcPr>
            <w:tcW w:w="3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Arial" w:cs="Arial" w:eastAsia="Arial" w:hAnsi="Arial"/>
                <w:sz w:val="18"/>
                <w:szCs w:val="18"/>
                <w:color w:val="auto"/>
                <w:w w:val="99"/>
              </w:rPr>
              <w:t>Changes in subsidiary equity and other</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2023</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5,405</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40" w:type="dxa"/>
            <w:vAlign w:val="bottom"/>
          </w:tcPr>
          <w:p>
            <w:pPr>
              <w:ind w:left="20"/>
              <w:spacing w:after="0" w:line="201" w:lineRule="exact"/>
              <w:rPr>
                <w:sz w:val="20"/>
                <w:szCs w:val="20"/>
                <w:color w:val="auto"/>
              </w:rPr>
            </w:pPr>
            <w:r>
              <w:rPr>
                <w:rFonts w:ascii="Arial" w:cs="Arial" w:eastAsia="Arial" w:hAnsi="Arial"/>
                <w:sz w:val="18"/>
                <w:szCs w:val="18"/>
                <w:color w:val="auto"/>
              </w:rPr>
              <w:t>Partnership distributions payable</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reversal</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 distributions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40" w:type="dxa"/>
            <w:vAlign w:val="bottom"/>
          </w:tcPr>
          <w:p>
            <w:pPr>
              <w:ind w:left="20"/>
              <w:spacing w:after="0" w:line="201" w:lineRule="exact"/>
              <w:rPr>
                <w:sz w:val="20"/>
                <w:szCs w:val="20"/>
                <w:color w:val="auto"/>
              </w:rPr>
            </w:pPr>
            <w:r>
              <w:rPr>
                <w:rFonts w:ascii="Arial" w:cs="Arial" w:eastAsia="Arial" w:hAnsi="Arial"/>
                <w:sz w:val="18"/>
                <w:szCs w:val="18"/>
                <w:color w:val="auto"/>
              </w:rPr>
              <w:t>Investment segment distributions to</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(1,380)</w:t>
            </w:r>
          </w:p>
        </w:tc>
        <w:tc>
          <w:tcPr>
            <w:tcW w:w="3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02"/>
        </w:trPr>
        <w:tc>
          <w:tcPr>
            <w:tcW w:w="31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Dividends and distributions to non-</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interests in subsidiaries</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w:t>
            </w:r>
          </w:p>
        </w:tc>
        <w:tc>
          <w:tcPr>
            <w:tcW w:w="3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Arial" w:cs="Arial" w:eastAsia="Arial" w:hAnsi="Arial"/>
                <w:sz w:val="18"/>
                <w:szCs w:val="18"/>
                <w:color w:val="auto"/>
                <w:w w:val="99"/>
              </w:rPr>
              <w:t>Changes in subsidiary equity and other</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30, 2023</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4,153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3,396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3,791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 distributions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40" w:type="dxa"/>
            <w:vAlign w:val="bottom"/>
          </w:tcPr>
          <w:p>
            <w:pPr>
              <w:ind w:left="20"/>
              <w:spacing w:after="0" w:line="201" w:lineRule="exact"/>
              <w:rPr>
                <w:sz w:val="20"/>
                <w:szCs w:val="20"/>
                <w:color w:val="auto"/>
              </w:rPr>
            </w:pPr>
            <w:r>
              <w:rPr>
                <w:rFonts w:ascii="Arial" w:cs="Arial" w:eastAsia="Arial" w:hAnsi="Arial"/>
                <w:sz w:val="18"/>
                <w:szCs w:val="18"/>
                <w:color w:val="auto"/>
              </w:rPr>
              <w:t>Investment segment distributions to</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(571)</w:t>
            </w:r>
          </w:p>
        </w:tc>
        <w:tc>
          <w:tcPr>
            <w:tcW w:w="3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02"/>
        </w:trPr>
        <w:tc>
          <w:tcPr>
            <w:tcW w:w="31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Dividends and distributions to non-</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interests in subsidiaries</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w:t>
            </w:r>
          </w:p>
        </w:tc>
        <w:tc>
          <w:tcPr>
            <w:tcW w:w="3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9"/>
              </w:rPr>
              <w:t>Changes in subsidiary equity and other</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September 30, 2023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(756)</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4,209</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3,453</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3,175</w:t>
            </w:r>
          </w:p>
        </w:tc>
        <w:tc>
          <w:tcPr>
            <w:tcW w:w="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gridSpan w:val="8"/>
          </w:tcPr>
          <w:p>
            <w:pPr>
              <w:ind w:left="60"/>
              <w:spacing w:after="0"/>
              <w:rPr>
                <w:sz w:val="20"/>
                <w:szCs w:val="20"/>
                <w:color w:val="auto"/>
              </w:rPr>
            </w:pPr>
            <w:r>
              <w:rPr>
                <w:rFonts w:ascii="Arial" w:cs="Arial" w:eastAsia="Arial" w:hAnsi="Arial"/>
                <w:sz w:val="18"/>
                <w:szCs w:val="18"/>
                <w:b w:val="1"/>
                <w:bCs w:val="1"/>
                <w:color w:val="auto"/>
              </w:rPr>
              <w:t>Equity Attributable to Icahn Enterprises</w:t>
            </w:r>
          </w:p>
        </w:tc>
        <w:tc>
          <w:tcPr>
            <w:tcW w:w="120" w:type="dxa"/>
            <w:vAlign w:val="bottom"/>
          </w:tcPr>
          <w:p>
            <w:pPr>
              <w:spacing w:after="0"/>
              <w:rPr>
                <w:sz w:val="20"/>
                <w:szCs w:val="20"/>
                <w:color w:val="auto"/>
              </w:rPr>
            </w:pPr>
          </w:p>
        </w:tc>
        <w:tc>
          <w:tcPr>
            <w:tcW w:w="9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2"/>
              </w:rPr>
              <w:t>Non-</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2"/>
              </w:rPr>
              <w:t>General</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w w:val="93"/>
              </w:rPr>
              <w:t>Limited</w:t>
            </w: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Partner’s</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Partners’</w:t>
            </w:r>
          </w:p>
        </w:tc>
        <w:tc>
          <w:tcPr>
            <w:tcW w:w="142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Partners’</w:t>
            </w:r>
          </w:p>
        </w:tc>
        <w:tc>
          <w:tcPr>
            <w:tcW w:w="1100" w:type="dxa"/>
            <w:vAlign w:val="bottom"/>
            <w:gridSpan w:val="3"/>
          </w:tcPr>
          <w:p>
            <w:pPr>
              <w:ind w:left="20"/>
              <w:spacing w:after="0"/>
              <w:rPr>
                <w:sz w:val="20"/>
                <w:szCs w:val="20"/>
                <w:color w:val="auto"/>
              </w:rPr>
            </w:pPr>
            <w:r>
              <w:rPr>
                <w:rFonts w:ascii="Arial" w:cs="Arial" w:eastAsia="Arial" w:hAnsi="Arial"/>
                <w:sz w:val="18"/>
                <w:szCs w:val="18"/>
                <w:b w:val="1"/>
                <w:bCs w:val="1"/>
                <w:color w:val="auto"/>
              </w:rPr>
              <w:t>controlling</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Equity</w:t>
            </w:r>
          </w:p>
        </w:tc>
        <w:tc>
          <w:tcPr>
            <w:tcW w:w="16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Equity</w:t>
            </w:r>
          </w:p>
        </w:tc>
        <w:tc>
          <w:tcPr>
            <w:tcW w:w="12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Interests</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5"/>
              </w:rPr>
              <w:t>Total Equity</w:t>
            </w: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 distributions payable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(591)</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Arial" w:cs="Arial" w:eastAsia="Arial" w:hAnsi="Arial"/>
                <w:sz w:val="18"/>
                <w:szCs w:val="18"/>
                <w:color w:val="auto"/>
              </w:rPr>
              <w:t>Partnership contributions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Dividends and distributions to non-</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interests in subsidiaries</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Arial" w:cs="Arial" w:eastAsia="Arial" w:hAnsi="Arial"/>
                <w:sz w:val="18"/>
                <w:szCs w:val="18"/>
                <w:color w:val="auto"/>
                <w:w w:val="99"/>
              </w:rPr>
              <w:t>Changes in subsidiary equity and other</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2022</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6,315</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40" w:type="dxa"/>
            <w:vAlign w:val="bottom"/>
          </w:tcPr>
          <w:p>
            <w:pPr>
              <w:ind w:left="20"/>
              <w:spacing w:after="0" w:line="201" w:lineRule="exact"/>
              <w:rPr>
                <w:sz w:val="20"/>
                <w:szCs w:val="20"/>
                <w:color w:val="auto"/>
              </w:rPr>
            </w:pPr>
            <w:r>
              <w:rPr>
                <w:rFonts w:ascii="Arial" w:cs="Arial" w:eastAsia="Arial" w:hAnsi="Arial"/>
                <w:sz w:val="18"/>
                <w:szCs w:val="18"/>
                <w:color w:val="auto"/>
              </w:rPr>
              <w:t>Partnership distributions payable</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reversal</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 distributions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Arial" w:cs="Arial" w:eastAsia="Arial" w:hAnsi="Arial"/>
                <w:sz w:val="18"/>
                <w:szCs w:val="18"/>
                <w:color w:val="auto"/>
              </w:rPr>
              <w:t>Partnership contributions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9"/>
              </w:rPr>
              <w:t>Investment segment contributions from</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40" w:type="dxa"/>
            <w:vAlign w:val="bottom"/>
          </w:tcPr>
          <w:p>
            <w:pPr>
              <w:ind w:left="20"/>
              <w:spacing w:after="0" w:line="201" w:lineRule="exact"/>
              <w:rPr>
                <w:sz w:val="20"/>
                <w:szCs w:val="20"/>
                <w:color w:val="auto"/>
              </w:rPr>
            </w:pPr>
            <w:r>
              <w:rPr>
                <w:rFonts w:ascii="Arial" w:cs="Arial" w:eastAsia="Arial" w:hAnsi="Arial"/>
                <w:sz w:val="18"/>
                <w:szCs w:val="18"/>
                <w:color w:val="auto"/>
              </w:rPr>
              <w:t>Investment segment distributions to</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31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Dividends and distributions to non-</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interests in subsidiaries</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Arial" w:cs="Arial" w:eastAsia="Arial" w:hAnsi="Arial"/>
                <w:sz w:val="18"/>
                <w:szCs w:val="18"/>
                <w:color w:val="auto"/>
                <w:w w:val="99"/>
              </w:rPr>
              <w:t>Changes in subsidiary equity and other</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30, 2022</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4,773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6,131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 distributions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Arial" w:cs="Arial" w:eastAsia="Arial" w:hAnsi="Arial"/>
                <w:sz w:val="18"/>
                <w:szCs w:val="18"/>
                <w:color w:val="auto"/>
              </w:rPr>
              <w:t>Partnership contributions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9"/>
              </w:rPr>
              <w:t>Investment segment contributions from</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40" w:type="dxa"/>
            <w:vAlign w:val="bottom"/>
          </w:tcPr>
          <w:p>
            <w:pPr>
              <w:ind w:left="20"/>
              <w:spacing w:after="0" w:line="201" w:lineRule="exact"/>
              <w:rPr>
                <w:sz w:val="20"/>
                <w:szCs w:val="20"/>
                <w:color w:val="auto"/>
              </w:rPr>
            </w:pPr>
            <w:r>
              <w:rPr>
                <w:rFonts w:ascii="Arial" w:cs="Arial" w:eastAsia="Arial" w:hAnsi="Arial"/>
                <w:sz w:val="18"/>
                <w:szCs w:val="18"/>
                <w:color w:val="auto"/>
              </w:rPr>
              <w:t>Dividends and distributions to non-</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controlling interests in subsidiaries</w:t>
            </w:r>
          </w:p>
        </w:tc>
        <w:tc>
          <w:tcPr>
            <w:tcW w:w="1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(156)</w:t>
            </w:r>
          </w:p>
        </w:tc>
        <w:tc>
          <w:tcPr>
            <w:tcW w:w="2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September 30,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4,748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5,864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p>
        </w:tc>
        <w:tc>
          <w:tcPr>
            <w:tcW w:w="27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09"/>
        </w:trPr>
        <w:tc>
          <w:tcPr>
            <w:tcW w:w="6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83"/>
        </w:trPr>
        <w:tc>
          <w:tcPr>
            <w:tcW w:w="6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(807)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02"/>
        </w:trPr>
        <w:tc>
          <w:tcPr>
            <w:tcW w:w="61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Adjustments to reconcile net (loss) income to net cash provided by operating</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Arial" w:cs="Arial" w:eastAsia="Arial" w:hAnsi="Arial"/>
                <w:sz w:val="18"/>
                <w:szCs w:val="18"/>
                <w:color w:val="auto"/>
              </w:rPr>
              <w:t>Net loss (gain) from securities transactions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securities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(634)</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Arial" w:cs="Arial" w:eastAsia="Arial" w:hAnsi="Arial"/>
                <w:sz w:val="18"/>
                <w:szCs w:val="18"/>
                <w:color w:val="auto"/>
              </w:rPr>
              <w:t>Proceeds from sales of securities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3,905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4,920</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 to cover securities sold, not yet purchased</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(3,919)</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Arial" w:cs="Arial" w:eastAsia="Arial" w:hAnsi="Arial"/>
                <w:sz w:val="18"/>
                <w:szCs w:val="18"/>
                <w:color w:val="auto"/>
              </w:rPr>
              <w:t>Proceeds from securities sold, not yet purchased</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2,925</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receivables and payables relating to securities transactions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Arial" w:cs="Arial" w:eastAsia="Arial" w:hAnsi="Arial"/>
                <w:sz w:val="18"/>
                <w:szCs w:val="18"/>
                <w:color w:val="auto"/>
              </w:rPr>
              <w:t>Changes in derivative assets and liabilities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802</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disposition of assets, net</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deconsolidation of subsidiary</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Arial" w:cs="Arial" w:eastAsia="Arial" w:hAnsi="Arial"/>
                <w:sz w:val="18"/>
                <w:szCs w:val="18"/>
                <w:color w:val="auto"/>
              </w:rPr>
              <w:t>Credit loss expense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taxes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other operating assets and liabilities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0"/>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3,621</w:t>
            </w:r>
          </w:p>
        </w:tc>
        <w:tc>
          <w:tcPr>
            <w:tcW w:w="2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(201)</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Turnaround expenditures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Arial" w:cs="Arial" w:eastAsia="Arial" w:hAnsi="Arial"/>
                <w:sz w:val="18"/>
                <w:szCs w:val="18"/>
                <w:color w:val="auto"/>
              </w:rPr>
              <w:t>Proceeds from partial sale of interests in consolidated subsidiaries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investments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Arial" w:cs="Arial" w:eastAsia="Arial" w:hAnsi="Arial"/>
                <w:sz w:val="18"/>
                <w:szCs w:val="18"/>
                <w:color w:val="auto"/>
              </w:rPr>
              <w:t>Proceeds from disposition of businesses and assets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Arial" w:cs="Arial" w:eastAsia="Arial" w:hAnsi="Arial"/>
                <w:sz w:val="18"/>
                <w:szCs w:val="18"/>
                <w:color w:val="auto"/>
              </w:rPr>
              <w:t>Investment segment contributions from non-controlling interests</w:t>
            </w:r>
          </w:p>
        </w:tc>
        <w:tc>
          <w:tcPr>
            <w:tcW w:w="26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segment distributions to non-controlling interests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(2,033)</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Arial" w:cs="Arial" w:eastAsia="Arial" w:hAnsi="Arial"/>
                <w:sz w:val="18"/>
                <w:szCs w:val="18"/>
                <w:color w:val="auto"/>
              </w:rPr>
              <w:t>Partnership contributions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 distributions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Arial" w:cs="Arial" w:eastAsia="Arial" w:hAnsi="Arial"/>
                <w:sz w:val="18"/>
                <w:szCs w:val="18"/>
                <w:color w:val="auto"/>
              </w:rPr>
              <w:t>Dividends and distributions to non-controlling interests in subsidiaries</w:t>
            </w:r>
          </w:p>
        </w:tc>
        <w:tc>
          <w:tcPr>
            <w:tcW w:w="2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(241)</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of Holding Company senior unsecured notes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Arial" w:cs="Arial" w:eastAsia="Arial" w:hAnsi="Arial"/>
                <w:sz w:val="18"/>
                <w:szCs w:val="18"/>
                <w:color w:val="auto"/>
              </w:rPr>
              <w:t>Proceeds from subsidiary borrowings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of subsidiary borrowings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182"/>
        </w:trPr>
        <w:tc>
          <w:tcPr>
            <w:tcW w:w="6160" w:type="dxa"/>
            <w:vAlign w:val="bottom"/>
          </w:tcPr>
          <w:p>
            <w:pPr>
              <w:ind w:left="20"/>
              <w:spacing w:after="0" w:line="182" w:lineRule="exact"/>
              <w:rPr>
                <w:sz w:val="20"/>
                <w:szCs w:val="20"/>
                <w:color w:val="auto"/>
              </w:rPr>
            </w:pPr>
            <w:r>
              <w:rPr>
                <w:rFonts w:ascii="Arial" w:cs="Arial" w:eastAsia="Arial" w:hAnsi="Arial"/>
                <w:sz w:val="18"/>
                <w:szCs w:val="18"/>
                <w:color w:val="auto"/>
                <w:w w:val="93"/>
              </w:rPr>
              <w:t>Effect of exchange rate changes on cash and cash equivalents and restricted cash</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and restricted cash equivalents</w:t>
            </w:r>
          </w:p>
        </w:tc>
        <w:tc>
          <w:tcPr>
            <w:tcW w:w="26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8"/>
        </w:trPr>
        <w:tc>
          <w:tcPr>
            <w:tcW w:w="616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b w:val="1"/>
                <w:bCs w:val="1"/>
                <w:color w:val="auto"/>
                <w:w w:val="93"/>
              </w:rPr>
              <w:t>Net increase in cash and cash equivalents and restricted cash and restricted</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0" w:type="dxa"/>
            <w:vAlign w:val="bottom"/>
          </w:tcPr>
          <w:p>
            <w:pPr>
              <w:spacing w:after="0"/>
              <w:rPr>
                <w:sz w:val="1"/>
                <w:szCs w:val="1"/>
                <w:color w:val="auto"/>
              </w:rPr>
            </w:pPr>
          </w:p>
        </w:tc>
      </w:tr>
      <w:tr>
        <w:trPr>
          <w:trHeight w:val="202"/>
        </w:trPr>
        <w:tc>
          <w:tcPr>
            <w:tcW w:w="6160" w:type="dxa"/>
            <w:vAlign w:val="bottom"/>
          </w:tcPr>
          <w:p>
            <w:pPr>
              <w:ind w:left="20"/>
              <w:spacing w:after="0" w:line="201" w:lineRule="exact"/>
              <w:rPr>
                <w:sz w:val="20"/>
                <w:szCs w:val="20"/>
                <w:color w:val="auto"/>
              </w:rPr>
            </w:pPr>
            <w:r>
              <w:rPr>
                <w:rFonts w:ascii="Arial" w:cs="Arial" w:eastAsia="Arial" w:hAnsi="Arial"/>
                <w:sz w:val="18"/>
                <w:szCs w:val="18"/>
                <w:color w:val="auto"/>
                <w:w w:val="96"/>
              </w:rPr>
              <w:t>Cash and cash equivalents and restricted cash and restricted cash equivalents,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beginning of period</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4,886</w:t>
            </w:r>
          </w:p>
        </w:tc>
        <w:tc>
          <w:tcPr>
            <w:tcW w:w="2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4,436</w:t>
            </w:r>
          </w:p>
        </w:tc>
        <w:tc>
          <w:tcPr>
            <w:tcW w:w="0" w:type="dxa"/>
            <w:vAlign w:val="bottom"/>
          </w:tcPr>
          <w:p>
            <w:pPr>
              <w:spacing w:after="0"/>
              <w:rPr>
                <w:sz w:val="1"/>
                <w:szCs w:val="1"/>
                <w:color w:val="auto"/>
              </w:rPr>
            </w:pPr>
          </w:p>
        </w:tc>
      </w:tr>
      <w:tr>
        <w:trPr>
          <w:trHeight w:val="182"/>
        </w:trPr>
        <w:tc>
          <w:tcPr>
            <w:tcW w:w="61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1"/>
              </w:rPr>
              <w:t>Cash and cash equivalents and restricted cash and restricted cash equivalents, end</w:t>
            </w:r>
          </w:p>
        </w:tc>
        <w:tc>
          <w:tcPr>
            <w:tcW w:w="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6,112</w:t>
            </w:r>
          </w:p>
        </w:tc>
        <w:tc>
          <w:tcPr>
            <w:tcW w:w="24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7,210</w:t>
            </w:r>
          </w:p>
        </w:tc>
        <w:tc>
          <w:tcPr>
            <w:tcW w:w="0" w:type="dxa"/>
            <w:vAlign w:val="bottom"/>
          </w:tcPr>
          <w:p>
            <w:pPr>
              <w:spacing w:after="0"/>
              <w:rPr>
                <w:sz w:val="1"/>
                <w:szCs w:val="1"/>
                <w:color w:val="auto"/>
              </w:rPr>
            </w:pPr>
          </w:p>
        </w:tc>
      </w:tr>
      <w:tr>
        <w:trPr>
          <w:trHeight w:val="217"/>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 period</w:t>
            </w: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Description of 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Icahn Enterprises L.P. (“Icahn Enterprises”) is a master limited partnership formed in Delaware on February 17, 1987.</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References to “we,” “our” or “us” herein include both Icahn Enterprises and Icahn Enterprises Holdings L.P. (“Icahn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Enterprises Holdings”) and their subsidiaries, unless the context otherwise requires.</w:t>
      </w:r>
    </w:p>
    <w:p>
      <w:pPr>
        <w:spacing w:after="0" w:line="211" w:lineRule="exact"/>
        <w:rPr>
          <w:sz w:val="20"/>
          <w:szCs w:val="20"/>
          <w:color w:val="auto"/>
        </w:rPr>
      </w:pPr>
    </w:p>
    <w:p>
      <w:pPr>
        <w:ind w:left="60" w:right="99" w:firstLine="324"/>
        <w:spacing w:after="0" w:line="273" w:lineRule="auto"/>
        <w:rPr>
          <w:sz w:val="20"/>
          <w:szCs w:val="20"/>
          <w:color w:val="auto"/>
        </w:rPr>
      </w:pPr>
      <w:r>
        <w:rPr>
          <w:rFonts w:ascii="Arial" w:cs="Arial" w:eastAsia="Arial" w:hAnsi="Arial"/>
          <w:sz w:val="17"/>
          <w:szCs w:val="17"/>
          <w:color w:val="auto"/>
        </w:rPr>
        <w:t>Icahn Enterprises owns a 99% limited partner interest in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September 30, 2023, representing an aggregate 1.99% general partner interest in Icahn Enterprises and Icahn Enterprises Holdings. Mr. Icahn and his affiliates owned approximately 85% of our outstanding depositary units as of September 30, 2023.</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Description of Continuing Operating Businesses</w:t>
      </w:r>
    </w:p>
    <w:p>
      <w:pPr>
        <w:spacing w:after="0" w:line="225" w:lineRule="exact"/>
        <w:rPr>
          <w:sz w:val="20"/>
          <w:szCs w:val="20"/>
          <w:color w:val="auto"/>
        </w:rPr>
      </w:pPr>
    </w:p>
    <w:p>
      <w:pPr>
        <w:ind w:left="60" w:right="159" w:firstLine="324"/>
        <w:spacing w:after="0" w:line="273" w:lineRule="auto"/>
        <w:rPr>
          <w:sz w:val="20"/>
          <w:szCs w:val="20"/>
          <w:color w:val="auto"/>
        </w:rPr>
      </w:pPr>
      <w:r>
        <w:rPr>
          <w:rFonts w:ascii="Arial" w:cs="Arial" w:eastAsia="Arial" w:hAnsi="Arial"/>
          <w:sz w:val="17"/>
          <w:szCs w:val="17"/>
          <w:color w:val="auto"/>
        </w:rPr>
        <w:t>We are a diversified holding company owning subsidiaries currently engaged in the following continuing operating businesses: Investment, Energy, Automotive, Food Packaging, Real Estate, Home Fashion and Pharma. We also report the results of our Holding Company, which includes the results of certain subsidiaries of Icahn Enterprises (unless otherwise noted), and investment activity and expenses associated with our Holding Company. See Note 14, “Segment Reporting,” for a reconciliation of each of our reporting Segment’s results of operations to our consolidated results. Certain additional information with respect to our segments is discussed below.</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239" w:firstLine="324"/>
        <w:spacing w:after="0" w:line="254" w:lineRule="auto"/>
        <w:rPr>
          <w:sz w:val="20"/>
          <w:szCs w:val="20"/>
          <w:color w:val="auto"/>
        </w:rPr>
      </w:pPr>
      <w:r>
        <w:rPr>
          <w:rFonts w:ascii="Arial" w:cs="Arial" w:eastAsia="Arial" w:hAnsi="Arial"/>
          <w:sz w:val="18"/>
          <w:szCs w:val="18"/>
          <w:color w:val="auto"/>
        </w:rPr>
        <w:t>Our Investment segment is comprised of various private investment funds (“Investment Funds”) in which we have general partner interests and through which we invest our proprietary capital. As general partner, we provide investment advisory and certain administrative and back-office services to the Investment Funds but do not provide such services to any other entities, individuals or accounts. We and certain of Mr. Icahn’s family members and affiliates are the only investors in the Investment Funds. Interests in the Investment Funds are not offered to outside investors. We had interests in the Investment Funds with a fair value of approximately $3.6 billion and $4.2 billion as of September 30, 2023 and December 31, 2022, respectively.</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We conduct our Energy segment through our majority owned subsidiary, CVR Energy, Inc. (“CVR Energy”). CVR Energy is a diversified holding company primarily engaged in the petroleum refining and marketing businesses as well as in the nitrogen fertilizer manufacturing businesses through its holdings in CVR Partners, LP, a publicly traded limited partnership (“CVR Partners”). CVR Energy is an independent petroleum refiner and marketer of high value transportation fuels primarily in the form of gasoline and diesel fuels, as well as renewable diesel. CVR Partners produces and markets nitrogen fertilizers in the form of urea ammonium nitrate and ammonia. CVR Energy holds 100% of the general partner interest and approximately 37% of the outstanding common units of CVR Partners as of September 30, 2023. During the third quarter of 2023, we decreased our ownership in CVR Energy through the sale of common stock resulting in proceeds of $158 million and as of September 30, 2023, we owned approximately 66% of the total outstanding common stock of CVR Energy.</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Automotive</w:t>
      </w:r>
    </w:p>
    <w:p>
      <w:pPr>
        <w:spacing w:after="0" w:line="225" w:lineRule="exact"/>
        <w:rPr>
          <w:sz w:val="20"/>
          <w:szCs w:val="20"/>
          <w:color w:val="auto"/>
        </w:rPr>
      </w:pPr>
    </w:p>
    <w:p>
      <w:pPr>
        <w:ind w:left="60" w:right="239" w:firstLine="324"/>
        <w:spacing w:after="0" w:line="279" w:lineRule="auto"/>
        <w:rPr>
          <w:sz w:val="20"/>
          <w:szCs w:val="20"/>
          <w:color w:val="auto"/>
        </w:rPr>
      </w:pPr>
      <w:r>
        <w:rPr>
          <w:rFonts w:ascii="Arial" w:cs="Arial" w:eastAsia="Arial" w:hAnsi="Arial"/>
          <w:sz w:val="17"/>
          <w:szCs w:val="17"/>
          <w:color w:val="auto"/>
        </w:rPr>
        <w:t>We conduct our Automotive segment through our wholly owned subsidiaries, Icahn Automotive Group LLC (“Icahn Automotive”) and AEP PLC LLC (“AEP PLC”). The Automotive segment is engaged in providing a full range of automotive repair and maintenance services, along with the sale of any installed parts or materials related to automotive services (“Automotive Services”) to its customers, as well as sales of automotive aftermarket parts and</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retailed merchandise (“Aftermarket Parts”). In addition to its primary businesses, the Automotive segment leases available and excess real estate in certain locations under long-term operating leases.</w:t>
      </w:r>
    </w:p>
    <w:p>
      <w:pPr>
        <w:spacing w:after="0" w:line="170" w:lineRule="exact"/>
        <w:rPr>
          <w:sz w:val="20"/>
          <w:szCs w:val="20"/>
          <w:color w:val="auto"/>
        </w:rPr>
      </w:pPr>
    </w:p>
    <w:p>
      <w:pPr>
        <w:ind w:left="60" w:right="79" w:firstLine="324"/>
        <w:spacing w:after="0" w:line="296" w:lineRule="auto"/>
        <w:rPr>
          <w:sz w:val="20"/>
          <w:szCs w:val="20"/>
          <w:color w:val="auto"/>
        </w:rPr>
      </w:pPr>
      <w:r>
        <w:rPr>
          <w:rFonts w:ascii="Arial" w:cs="Arial" w:eastAsia="Arial" w:hAnsi="Arial"/>
          <w:sz w:val="16"/>
          <w:szCs w:val="16"/>
          <w:color w:val="auto"/>
        </w:rPr>
        <w:t>On January 31, 2023, a subsidiary of Icahn Automotive, IEH Auto Parts Holding LLC and its subsidiaries (collectively “Auto Plus”), an aftermarket parts distributor held within our Automotive segment, filed voluntary petitions in the United States Bankruptcy Court. As a result of Auto Plus’s filings for bankruptcy protections on January 31, 2023, we no longer controlled the operations of Auto Plus, therefore, we deconsolidated Auto Plus as of January 31, 2023. See Note 3, “Subsidiary Bankruptcy and Deconsolidation”, for a detailed discussion of the Auto Plus bankruptcy and deconsolidation.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Food Packaging</w:t>
      </w:r>
    </w:p>
    <w:p>
      <w:pPr>
        <w:spacing w:after="0" w:line="225" w:lineRule="exact"/>
        <w:rPr>
          <w:sz w:val="20"/>
          <w:szCs w:val="20"/>
          <w:color w:val="auto"/>
        </w:rPr>
      </w:pPr>
    </w:p>
    <w:p>
      <w:pPr>
        <w:ind w:left="60" w:right="359" w:firstLine="324"/>
        <w:spacing w:after="0" w:line="311" w:lineRule="auto"/>
        <w:rPr>
          <w:sz w:val="20"/>
          <w:szCs w:val="20"/>
          <w:color w:val="auto"/>
        </w:rPr>
      </w:pPr>
      <w:r>
        <w:rPr>
          <w:rFonts w:ascii="Arial" w:cs="Arial" w:eastAsia="Arial" w:hAnsi="Arial"/>
          <w:sz w:val="16"/>
          <w:szCs w:val="16"/>
          <w:color w:val="auto"/>
        </w:rPr>
        <w:t>We conduct our Food Packaging segment through our majority owned subsidiary, Viskase Companies, Inc. (“Viskase”). Viskase is a producer of cellulosic, fibrous and plastic casings used to prepare and package processed meat products. As of September 30, 2023, we owned approximately 90% of the total outstanding common stock of Viskase.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left="60" w:right="179" w:firstLine="324"/>
        <w:spacing w:after="0" w:line="286" w:lineRule="auto"/>
        <w:rPr>
          <w:sz w:val="20"/>
          <w:szCs w:val="20"/>
          <w:color w:val="auto"/>
        </w:rPr>
      </w:pPr>
      <w:r>
        <w:rPr>
          <w:rFonts w:ascii="Arial" w:cs="Arial" w:eastAsia="Arial" w:hAnsi="Arial"/>
          <w:sz w:val="17"/>
          <w:szCs w:val="17"/>
          <w:color w:val="auto"/>
        </w:rPr>
        <w:t>We conduct our Real Estate segment through various wholly owned subsidiaries. Our Real Estate segment consists of investment properties which includes land, retail, office and industrial properties leased to corporate tenants, the development and sale of single-family homes, and the operations of a resort and a country club.</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Home Fashion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conduct our Home Fashion segment through our wholly owned subsidiary, WestPoint Home LLC (“WPH”).</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WPH’s business consists of manufacturing, sourcing, marketing, distributing and selling home fashion consumer products.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Pharma</w:t>
      </w:r>
    </w:p>
    <w:p>
      <w:pPr>
        <w:spacing w:after="0" w:line="225" w:lineRule="exact"/>
        <w:rPr>
          <w:sz w:val="20"/>
          <w:szCs w:val="20"/>
          <w:color w:val="auto"/>
        </w:rPr>
      </w:pPr>
    </w:p>
    <w:p>
      <w:pPr>
        <w:jc w:val="both"/>
        <w:ind w:left="60" w:right="299" w:firstLine="324"/>
        <w:spacing w:after="0" w:line="263" w:lineRule="auto"/>
        <w:rPr>
          <w:sz w:val="20"/>
          <w:szCs w:val="20"/>
          <w:color w:val="auto"/>
        </w:rPr>
      </w:pPr>
      <w:r>
        <w:rPr>
          <w:rFonts w:ascii="Arial" w:cs="Arial" w:eastAsia="Arial" w:hAnsi="Arial"/>
          <w:sz w:val="18"/>
          <w:szCs w:val="18"/>
          <w:color w:val="auto"/>
        </w:rPr>
        <w:t>We conduct our Pharma segment through our wholly owned subsidiary, Vivus LLC, formerly Vivus, Inc. (“Vivus”). Vivus is a specialty pharmaceutical company with two approved therapies and two product candidates in active clinical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229" w:lineRule="exact"/>
        <w:rPr>
          <w:sz w:val="20"/>
          <w:szCs w:val="20"/>
          <w:color w:val="auto"/>
        </w:rPr>
      </w:pPr>
    </w:p>
    <w:p>
      <w:pPr>
        <w:ind w:left="60" w:right="179" w:firstLine="324"/>
        <w:spacing w:after="0" w:line="273" w:lineRule="auto"/>
        <w:rPr>
          <w:sz w:val="20"/>
          <w:szCs w:val="20"/>
          <w:color w:val="auto"/>
        </w:rPr>
      </w:pPr>
      <w:r>
        <w:rPr>
          <w:rFonts w:ascii="Arial" w:cs="Arial" w:eastAsia="Arial" w:hAnsi="Arial"/>
          <w:sz w:val="17"/>
          <w:szCs w:val="17"/>
          <w:color w:val="auto"/>
        </w:rPr>
        <w:t>We conduct and plan to continue to conduct our activities in such a manner as not to be deemed an investment company under the Investment Company Act of 1940, as amended (the “Investment Company Act”). Therefore, no more than 40% of our total assets can be invested in investment securities, as such term is defined in the Investment Company Act. In addition, we do not invest or intend to invest in securities as our primary business. We structure and intend to continue structuring our investments to be taxed as a partnership rather than as a corporation under the applicable publicly traded partnership rules of the Internal Revenue Code, as amended.</w:t>
      </w:r>
    </w:p>
    <w:p>
      <w:pPr>
        <w:spacing w:after="0" w:line="178"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Events beyond our control, including significant appreciation or depreciation in the market value of certain of our publicly traded holdings or adverse developments with respect to our ownership of certain of our subsidiaries, could result in our inadvertently becoming an investment company that is required to register under the Investment Company Act. Our sales of Federal-Mogul LLC, Tropicana Entertainment Inc., American Railcar Industries, Inc., Ferrous Resources Ltd., and PSC Metals in recent years did not result in our being considered an investment company. However, additional transactions involving the sale of certain assets could result in our being considered an investment company. Following such events or transactions, an exemption under the Investment Company Act would provide us up to one year to take steps to avoid becoming classified as an investment company. We expect to take steps to avoid becoming classified as an investment company, but no assurance can be made that we will successfully be able to take the steps necessary to avoid becoming classified as an investment company.</w:t>
      </w:r>
    </w:p>
    <w:p>
      <w:pPr>
        <w:spacing w:after="0" w:line="185"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The accompanying condensed consolidated financial statements and related notes should be read in conjunction with our consolidated financial statements and related notes contained in our Annual Report on Form 10-K for the year ended December 31, 2022. The condensed consolidated financial statements have been prepared in accordance with the rules and regulations of the Securities and Exchange Commission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60" w:right="99" w:firstLine="324"/>
        <w:spacing w:after="0" w:line="288" w:lineRule="auto"/>
        <w:rPr>
          <w:sz w:val="20"/>
          <w:szCs w:val="20"/>
          <w:color w:val="auto"/>
        </w:rPr>
      </w:pPr>
      <w:r>
        <w:rPr>
          <w:rFonts w:ascii="Arial" w:cs="Arial" w:eastAsia="Arial" w:hAnsi="Arial"/>
          <w:sz w:val="16"/>
          <w:szCs w:val="16"/>
          <w:color w:val="auto"/>
        </w:rPr>
        <w:t>Our condensed consolidated financial statements include the accounts of (i) Icahn Enterprises and (ii) the wholly and majority owned subsidiaries of Icahn Enterprises, in addition to variable interest entities (“VIEs”) in which we are the primary beneficiary. In evaluating whether we have a controlling financial interest in entities that we consolidate, we consider the following: (1) for voting interest entities, including limited partnerships and similar entities that are not VIEs, we consolidate these entities in which we own a majority of the voting interests; and (2) for VIEs, we consolidate these entities in which we are the primary beneficiary. See below for a discussion of our VIEs. Kick-out rights, which are the rights underlying the limited partners’ ability to dissolve the limited partnership or otherwise remove the general partners, held through voting interests of partnerships and similar entities that are not VIEs are considered the equivalent of the equity interests of corporations that are not VIEs. For entities over which the Company does not have significant influence, the Company accounts for its equity investment at fair value, except for the Company’s equity interest in Auto Plus.</w:t>
      </w:r>
    </w:p>
    <w:p>
      <w:pPr>
        <w:spacing w:after="0" w:line="168" w:lineRule="exact"/>
        <w:rPr>
          <w:sz w:val="20"/>
          <w:szCs w:val="20"/>
          <w:color w:val="auto"/>
        </w:rPr>
      </w:pPr>
    </w:p>
    <w:p>
      <w:pPr>
        <w:jc w:val="both"/>
        <w:ind w:left="60" w:right="299" w:firstLine="324"/>
        <w:spacing w:after="0" w:line="263" w:lineRule="auto"/>
        <w:rPr>
          <w:sz w:val="20"/>
          <w:szCs w:val="20"/>
          <w:color w:val="auto"/>
        </w:rPr>
      </w:pPr>
      <w:r>
        <w:rPr>
          <w:rFonts w:ascii="Arial" w:cs="Arial" w:eastAsia="Arial" w:hAnsi="Arial"/>
          <w:sz w:val="18"/>
          <w:szCs w:val="18"/>
          <w:color w:val="auto"/>
        </w:rPr>
        <w:t>Except for our Investment segment and Holding Company, for equity investments in which we own 50% or less but greater than 20%, we generally account for such investments using the equity method. All other such equity investments are accounted for at fair value.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225" w:lineRule="exact"/>
        <w:rPr>
          <w:sz w:val="20"/>
          <w:szCs w:val="20"/>
          <w:color w:val="auto"/>
        </w:rPr>
      </w:pPr>
    </w:p>
    <w:p>
      <w:pPr>
        <w:ind w:left="60" w:right="59" w:firstLine="324"/>
        <w:spacing w:after="0" w:line="301" w:lineRule="auto"/>
        <w:rPr>
          <w:sz w:val="20"/>
          <w:szCs w:val="20"/>
          <w:color w:val="auto"/>
        </w:rPr>
      </w:pPr>
      <w:r>
        <w:rPr>
          <w:rFonts w:ascii="Arial" w:cs="Arial" w:eastAsia="Arial" w:hAnsi="Arial"/>
          <w:sz w:val="16"/>
          <w:szCs w:val="16"/>
          <w:color w:val="auto"/>
        </w:rPr>
        <w:t>We determined that Icahn Enterprises Holdings is a VIE because it is a limited partnership that lacks both substantive kick-out and participating rights. Although Icahn Enterprises is not the general partner of Icahn Enterprises Holdings, Icahn Enterprises is deemed to be the primary beneficiary of Icahn Enterprises Holdings principally based on its 99% limited partner interest in Icahn Enterprises Holdings, as well as our related party relationship with the general</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partner, and therefore continues to consolidate Icahn Enterprises Holdings. Icahn Enterprises Holdings and its subsidiaries own substantially all of our assets and liabilities and therefore, the balance sheets of Icahn Enterprises and Icahn Enterprises Holdings are substantially the same.</w:t>
      </w:r>
    </w:p>
    <w:p>
      <w:pPr>
        <w:spacing w:after="0" w:line="184" w:lineRule="exact"/>
        <w:rPr>
          <w:sz w:val="20"/>
          <w:szCs w:val="20"/>
          <w:color w:val="auto"/>
        </w:rPr>
      </w:pPr>
    </w:p>
    <w:p>
      <w:pPr>
        <w:ind w:left="60" w:right="79" w:firstLine="324"/>
        <w:spacing w:after="0" w:line="275" w:lineRule="auto"/>
        <w:rPr>
          <w:sz w:val="20"/>
          <w:szCs w:val="20"/>
          <w:color w:val="auto"/>
        </w:rPr>
      </w:pPr>
      <w:r>
        <w:rPr>
          <w:rFonts w:ascii="Arial" w:cs="Arial" w:eastAsia="Arial" w:hAnsi="Arial"/>
          <w:sz w:val="17"/>
          <w:szCs w:val="17"/>
          <w:color w:val="auto"/>
        </w:rPr>
        <w:t>On May 1, 2023, we established a captive insurance program to supplement the insurance coverage of the officers, directors, employees and agents of the Company, its subsidiaries and our general partner, in addition to our newly established commercial insurance program. We hold assets in a protected cell, which we are the primary beneficiary of, and therefore consolidate the protected cell. At September 30, 2023, total assets related to the protected cell were $100 million and included in restricted cash in the condensed consolidated balance sheet.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left="60" w:right="199" w:firstLine="324"/>
        <w:spacing w:after="0" w:line="342" w:lineRule="auto"/>
        <w:rPr>
          <w:sz w:val="20"/>
          <w:szCs w:val="20"/>
          <w:color w:val="auto"/>
        </w:rPr>
      </w:pPr>
      <w:r>
        <w:rPr>
          <w:rFonts w:ascii="Arial" w:cs="Arial" w:eastAsia="Arial" w:hAnsi="Arial"/>
          <w:sz w:val="16"/>
          <w:szCs w:val="16"/>
          <w:color w:val="auto"/>
        </w:rPr>
        <w:t>Certain reclassifications from the prior year presentation have been made to conform to the current year presentation, which did not have an impact on previously reported net income and equity and are not deemed material.</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60" w:right="179" w:firstLine="324"/>
        <w:spacing w:after="0" w:line="257" w:lineRule="auto"/>
        <w:rPr>
          <w:sz w:val="20"/>
          <w:szCs w:val="20"/>
          <w:color w:val="auto"/>
        </w:rPr>
      </w:pPr>
      <w:r>
        <w:rPr>
          <w:rFonts w:ascii="Arial" w:cs="Arial" w:eastAsia="Arial" w:hAnsi="Arial"/>
          <w:sz w:val="18"/>
          <w:szCs w:val="18"/>
          <w:color w:val="auto"/>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 See Note 5, “Investments,” and Note 6, “Fair Value Measurements,” for a detailed discussion of our investments and other non-financial assets and/or liabilities.</w:t>
      </w:r>
    </w:p>
    <w:p>
      <w:pPr>
        <w:spacing w:after="0" w:line="188" w:lineRule="exact"/>
        <w:rPr>
          <w:sz w:val="20"/>
          <w:szCs w:val="20"/>
          <w:color w:val="auto"/>
        </w:rPr>
      </w:pPr>
    </w:p>
    <w:p>
      <w:pPr>
        <w:ind w:left="60" w:right="159" w:firstLine="324"/>
        <w:spacing w:after="0" w:line="257" w:lineRule="auto"/>
        <w:rPr>
          <w:sz w:val="20"/>
          <w:szCs w:val="20"/>
          <w:color w:val="auto"/>
        </w:rPr>
      </w:pPr>
      <w:r>
        <w:rPr>
          <w:rFonts w:ascii="Arial" w:cs="Arial" w:eastAsia="Arial" w:hAnsi="Arial"/>
          <w:sz w:val="18"/>
          <w:szCs w:val="18"/>
          <w:color w:val="auto"/>
        </w:rPr>
        <w:t>The fair value of our long-term debt is based on the quoted market prices for the same or similar issues or on the current rates offered to us for debt of the same remaining maturities. The carrying value and estimated fair value of our long-term debt as of September 30, 2023 was approximately $7.1 billion and $6.4 billion, respectively. The carrying value and estimated fair value of our long-term debt as of December 31, 2022 was approximately $7.1 billion and $6.6 billion, respectively.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jc w:val="both"/>
        <w:ind w:left="60" w:right="819" w:firstLine="324"/>
        <w:spacing w:after="0" w:line="263" w:lineRule="auto"/>
        <w:rPr>
          <w:sz w:val="20"/>
          <w:szCs w:val="20"/>
          <w:color w:val="auto"/>
        </w:rPr>
      </w:pPr>
      <w:r>
        <w:rPr>
          <w:rFonts w:ascii="Arial" w:cs="Arial" w:eastAsia="Arial" w:hAnsi="Arial"/>
          <w:sz w:val="18"/>
          <w:szCs w:val="18"/>
          <w:color w:val="auto"/>
        </w:rPr>
        <w:t>Cash and cash equivalents and restricted cash and restricted cash equivalents on our condensed consolidated statements of cash flows is comprised of (i) cash and cash equivalents and (ii) cash held at consolidated affiliated partnerships and restricted cash.</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Held at Consolidated Affiliated Partnerships and Restricted Cash</w:t>
      </w:r>
    </w:p>
    <w:p>
      <w:pPr>
        <w:spacing w:after="0" w:line="225" w:lineRule="exact"/>
        <w:rPr>
          <w:sz w:val="20"/>
          <w:szCs w:val="20"/>
          <w:color w:val="auto"/>
        </w:rPr>
      </w:pPr>
    </w:p>
    <w:p>
      <w:pPr>
        <w:jc w:val="both"/>
        <w:ind w:left="60" w:right="259" w:firstLine="324"/>
        <w:spacing w:after="0" w:line="301" w:lineRule="auto"/>
        <w:rPr>
          <w:sz w:val="20"/>
          <w:szCs w:val="20"/>
          <w:color w:val="auto"/>
        </w:rPr>
      </w:pPr>
      <w:r>
        <w:rPr>
          <w:rFonts w:ascii="Arial" w:cs="Arial" w:eastAsia="Arial" w:hAnsi="Arial"/>
          <w:sz w:val="16"/>
          <w:szCs w:val="16"/>
          <w:color w:val="auto"/>
        </w:rPr>
        <w:t>Our cash held at consolidated affiliated partnerships balance was $1,172 million and $1,019 million as of September 30, 2023 and December 31, 2022, respectively. Cash held at consolidated affiliated partnerships relates to our Investment segment and consists of cash and cash equivalents held by the Investment Funds that, although not legally restricted, are not available to fund the general liquidity needs of the Investment segment or Icahn Enterprises.</w:t>
      </w:r>
    </w:p>
    <w:p>
      <w:pPr>
        <w:spacing w:after="0" w:line="157" w:lineRule="exact"/>
        <w:rPr>
          <w:sz w:val="20"/>
          <w:szCs w:val="20"/>
          <w:color w:val="auto"/>
        </w:rPr>
      </w:pPr>
    </w:p>
    <w:p>
      <w:pPr>
        <w:ind w:left="60" w:right="159" w:firstLine="324"/>
        <w:spacing w:after="0" w:line="263" w:lineRule="auto"/>
        <w:rPr>
          <w:sz w:val="20"/>
          <w:szCs w:val="20"/>
          <w:color w:val="auto"/>
        </w:rPr>
      </w:pPr>
      <w:r>
        <w:rPr>
          <w:rFonts w:ascii="Arial" w:cs="Arial" w:eastAsia="Arial" w:hAnsi="Arial"/>
          <w:sz w:val="18"/>
          <w:szCs w:val="18"/>
          <w:color w:val="auto"/>
        </w:rPr>
        <w:t>Our restricted cash balance was $2,050 million and $1,530 million as of September 30, 2023 and December 31, 2022, respectively. Restricted cash includes, but is not limited to, cash pledged and held for margin requirements on derivative transactions and cash held related our captive insurance program.</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The Company reviews long-lived assets for impairment when impairment indicators exist. An evaluation of impairment consists of reviewing the carrying value of a long-lived asset for recoverability. Recoverability of long-lived assets to be held and used is measured by a comparison of the carrying amount of an asset to estimated undiscounted future net cash flows expected to be generated by the asset. If the carrying value of the long-lived asset is not determined to be recoverable, a fair value assessment is performed.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55" w:lineRule="auto"/>
        <w:rPr>
          <w:sz w:val="20"/>
          <w:szCs w:val="20"/>
          <w:color w:val="auto"/>
        </w:rPr>
      </w:pPr>
      <w:r>
        <w:rPr>
          <w:rFonts w:ascii="Arial" w:cs="Arial" w:eastAsia="Arial" w:hAnsi="Arial"/>
          <w:sz w:val="18"/>
          <w:szCs w:val="18"/>
          <w:color w:val="auto"/>
        </w:rPr>
        <w:t>During the second quarter of 2023, a significant tenant of a commercial high-rise property, within our Real Estate segment, was notified of default for non-payment. The tenant was unable to cure the default status and the lease was terminated. We considered this default, along with other facts and circumstances, a triggering event for potential impairment and we assessed the carrying value of this long-lived asset for recoverability using the undiscounted cash flow method during the second quarter of 2023. We determined the total undiscounted cash flows of the property exceeded its carrying value and therefore, no impairment is required.</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From Contracts With Customers and Contract Balances</w:t>
      </w:r>
    </w:p>
    <w:p>
      <w:pPr>
        <w:spacing w:after="0" w:line="225"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Due to the nature of our business, we derive revenue from various sources in various industries. With the exception of all of our Investment segment’s and our Holding Company’s revenues, and our Real Estate and Automotive segments’ leasing revenue, our revenue is generally derived from contracts with customers in accordance with U.S. GAAP. Such revenue from contracts with customers is included in net sales and other revenues from operations in the condensed consolidated statements of operations, however, our Real Estate and Automotive segments’ leasing revenue, as disclosed in Note 11, “Leases,” is also included in other revenues from operations. Related contract assets are included in accounts receivable, net or other assets and related contract liabilities are included in accrued expenses and other liabilities in the condensed consolidated balance sheets. Our disaggregation of revenue information includes our net sales and other revenues from operations for each of our reporting segments as well as additional disaggregation of revenue information for our Energy and Automotive segments. See Note 14, “Segment Reporting,” for our complete disaggregation of revenue information. In addition, we disclose additional information with respect to revenue from contracts with customers and contract balances for our Energy and Automotive segments below.</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139" w:firstLine="324"/>
        <w:spacing w:after="0" w:line="287" w:lineRule="auto"/>
        <w:rPr>
          <w:sz w:val="20"/>
          <w:szCs w:val="20"/>
          <w:color w:val="auto"/>
        </w:rPr>
      </w:pPr>
      <w:r>
        <w:rPr>
          <w:rFonts w:ascii="Arial" w:cs="Arial" w:eastAsia="Arial" w:hAnsi="Arial"/>
          <w:sz w:val="16"/>
          <w:szCs w:val="16"/>
          <w:color w:val="auto"/>
        </w:rPr>
        <w:t>Our Energy segment’s deferred revenue is a contract liability that includes fertilizer sales contracts requiring customer prepayment prior to product delivery to guarantee a price and supply of nitrogen fertilizer. Deferred revenue is recorded at the point in time in which a prepaid contract is legally enforceable and the associated right to consideration is unconditional prior to transferring product to the customer. An associated receivable is recorded for uncollected prepaid contract amounts. Contracts requiring prepayment are generally short-term in nature and revenue is recognized at the point in time in which the customer obtains control of the product. In addition, it includes deferred revenue associated with agreements entered into with third-party investors that has allowed our Energy segment to monetize certain tax credits available under Section 45Q of the Internal Revenue Code (the “45Q Transaction”). Our Energy segment had deferred revenue of $74 million and $48 million as of September 30, 2023 and December 31, 2022, respectively. For the nine months ended September 30, 2023 and 2022, our Energy segment recorded revenue of $46 million and $86 million, respectively, with respect to deferred revenue outstanding as of the beginning of each respective period.</w:t>
      </w:r>
    </w:p>
    <w:p>
      <w:pPr>
        <w:spacing w:after="0" w:line="172" w:lineRule="exact"/>
        <w:rPr>
          <w:sz w:val="20"/>
          <w:szCs w:val="20"/>
          <w:color w:val="auto"/>
        </w:rPr>
      </w:pPr>
    </w:p>
    <w:p>
      <w:pPr>
        <w:jc w:val="both"/>
        <w:ind w:left="60" w:right="399" w:firstLine="324"/>
        <w:spacing w:after="0" w:line="311" w:lineRule="auto"/>
        <w:rPr>
          <w:sz w:val="20"/>
          <w:szCs w:val="20"/>
          <w:color w:val="auto"/>
        </w:rPr>
      </w:pPr>
      <w:r>
        <w:rPr>
          <w:rFonts w:ascii="Arial" w:cs="Arial" w:eastAsia="Arial" w:hAnsi="Arial"/>
          <w:sz w:val="16"/>
          <w:szCs w:val="16"/>
          <w:color w:val="auto"/>
        </w:rPr>
        <w:t>As of September 30, 2023, our Energy segment had $2 million of remaining performance obligations for contracts with an original expected duration of more than one year. Our Energy segment expects to recognize a majority of these performance obligations as revenue by the end of 2023 and the remaining nominal balance in 2024.</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Automotive</w:t>
      </w:r>
    </w:p>
    <w:p>
      <w:pPr>
        <w:spacing w:after="0" w:line="225"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Our Automotive segment had deferred revenue with respect to extended warranty plans of $45 million and $44 million at September 30, 2023 and December 31, 2022, respectively, which are included in accrued expenses and other liabilities on the condensed consolidated balance sheets. For the nine months ended September 30, 2023 and 2022, our Automotive segment recorded deferred revenue of $15 million and $19 million, respectively, outstanding as of the beginning of each respective period.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225" w:lineRule="exact"/>
        <w:rPr>
          <w:sz w:val="20"/>
          <w:szCs w:val="20"/>
          <w:color w:val="auto"/>
        </w:rPr>
      </w:pPr>
    </w:p>
    <w:p>
      <w:pPr>
        <w:jc w:val="both"/>
        <w:ind w:left="60" w:right="279" w:firstLine="270"/>
        <w:spacing w:after="0" w:line="301" w:lineRule="auto"/>
        <w:rPr>
          <w:sz w:val="20"/>
          <w:szCs w:val="20"/>
          <w:color w:val="auto"/>
        </w:rPr>
      </w:pPr>
      <w:r>
        <w:rPr>
          <w:rFonts w:ascii="Arial" w:cs="Arial" w:eastAsia="Arial" w:hAnsi="Arial"/>
          <w:sz w:val="16"/>
          <w:szCs w:val="16"/>
          <w:color w:val="auto"/>
        </w:rPr>
        <w:t xml:space="preserve">In March 2020, the Statement of Financial Accounting Standards (“FASB”) issued ASU 2020-04, </w:t>
      </w:r>
      <w:r>
        <w:rPr>
          <w:rFonts w:ascii="Arial" w:cs="Arial" w:eastAsia="Arial" w:hAnsi="Arial"/>
          <w:sz w:val="16"/>
          <w:szCs w:val="16"/>
          <w:i w:val="1"/>
          <w:iCs w:val="1"/>
          <w:color w:val="auto"/>
        </w:rPr>
        <w:t>Facilitation of the</w:t>
      </w:r>
      <w:r>
        <w:rPr>
          <w:rFonts w:ascii="Arial" w:cs="Arial" w:eastAsia="Arial" w:hAnsi="Arial"/>
          <w:sz w:val="16"/>
          <w:szCs w:val="16"/>
          <w:color w:val="auto"/>
        </w:rPr>
        <w:t xml:space="preserve"> </w:t>
      </w:r>
      <w:r>
        <w:rPr>
          <w:rFonts w:ascii="Arial" w:cs="Arial" w:eastAsia="Arial" w:hAnsi="Arial"/>
          <w:sz w:val="16"/>
          <w:szCs w:val="16"/>
          <w:i w:val="1"/>
          <w:iCs w:val="1"/>
          <w:color w:val="auto"/>
        </w:rPr>
        <w:t>Effects of Reference Rate Reform on Financial Reporting</w:t>
      </w:r>
      <w:r>
        <w:rPr>
          <w:rFonts w:ascii="Arial" w:cs="Arial" w:eastAsia="Arial" w:hAnsi="Arial"/>
          <w:sz w:val="16"/>
          <w:szCs w:val="16"/>
          <w:color w:val="auto"/>
        </w:rPr>
        <w:t>, which amends FASB ASC Topic 848,</w:t>
      </w:r>
      <w:r>
        <w:rPr>
          <w:rFonts w:ascii="Arial" w:cs="Arial" w:eastAsia="Arial" w:hAnsi="Arial"/>
          <w:sz w:val="16"/>
          <w:szCs w:val="16"/>
          <w:i w:val="1"/>
          <w:iCs w:val="1"/>
          <w:color w:val="auto"/>
        </w:rPr>
        <w:t xml:space="preserve"> Reference Rate Reform</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Banks are no longer required to report information that is used to determine London Interbank Offered Rate (“LIBOR”) which is used globally by all types of entities for various types of transactions. As a result, LIBOR could be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5" w:lineRule="auto"/>
        <w:rPr>
          <w:sz w:val="20"/>
          <w:szCs w:val="20"/>
          <w:color w:val="auto"/>
        </w:rPr>
      </w:pPr>
      <w:r>
        <w:rPr>
          <w:rFonts w:ascii="Arial" w:cs="Arial" w:eastAsia="Arial" w:hAnsi="Arial"/>
          <w:sz w:val="17"/>
          <w:szCs w:val="17"/>
          <w:color w:val="auto"/>
        </w:rPr>
        <w:t>discontinued, as well as other interest rates used globally. This ASU provides companies with optional expedients for contract modifications under U.S. GAAP, excluded components of certain hedging relationships, fair value hedges, and cash flow hedges, as well as certain exceptions, which are intended to help ease the potential accounting burden associated with transitioning away from these reference rates. We adopted this ASU effective January 1, 2023. The adoption of this standard did not have a significant impact on our condensed consolidated financial statements.</w:t>
      </w:r>
    </w:p>
    <w:p>
      <w:pPr>
        <w:spacing w:after="0" w:line="176" w:lineRule="exact"/>
        <w:rPr>
          <w:sz w:val="20"/>
          <w:szCs w:val="20"/>
          <w:color w:val="auto"/>
        </w:rPr>
      </w:pPr>
    </w:p>
    <w:p>
      <w:pPr>
        <w:ind w:left="60" w:right="99" w:firstLine="324"/>
        <w:spacing w:after="0" w:line="288" w:lineRule="auto"/>
        <w:rPr>
          <w:sz w:val="20"/>
          <w:szCs w:val="20"/>
          <w:color w:val="auto"/>
        </w:rPr>
      </w:pPr>
      <w:r>
        <w:rPr>
          <w:rFonts w:ascii="Arial" w:cs="Arial" w:eastAsia="Arial" w:hAnsi="Arial"/>
          <w:sz w:val="16"/>
          <w:szCs w:val="16"/>
          <w:color w:val="auto"/>
        </w:rPr>
        <w:t xml:space="preserve">In September 2022, the FASB issued ASU 2022-04, </w:t>
      </w:r>
      <w:r>
        <w:rPr>
          <w:rFonts w:ascii="Arial" w:cs="Arial" w:eastAsia="Arial" w:hAnsi="Arial"/>
          <w:sz w:val="16"/>
          <w:szCs w:val="16"/>
          <w:i w:val="1"/>
          <w:iCs w:val="1"/>
          <w:color w:val="auto"/>
        </w:rPr>
        <w:t>Liabilities- Supplier Finance Programs (Subtopic 405-50)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Disclosure of Supplier Finance Program Obligations </w:t>
      </w:r>
      <w:r>
        <w:rPr>
          <w:rFonts w:ascii="Arial" w:cs="Arial" w:eastAsia="Arial" w:hAnsi="Arial"/>
          <w:sz w:val="16"/>
          <w:szCs w:val="16"/>
          <w:color w:val="auto"/>
        </w:rPr>
        <w:t>to require entities that use supplier finance programs in connection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purchase of goods and services to disclose the key terms of such programs and information about obligations outstanding at the end of the reporting period, including a rollforward of those obligations of where in the financial statements outstanding amounts are present. The guidance does not affect the recognition, measurement, or financial statement presentation of supplier finance program obligations. The amendments are effective in periods beginning after December 15, 2022, except that the amendments to disclose a rollforward of obligations outstanding will be effective beginning after December 15, 2023. We early adopted provisions of this ASU effective January 1, 2023, with the exception of the amendment on rollforward information, which will be adopted in the fourth quarter of 2023. The adoption of this standard did not have a material impact on our condensed consolidated financial statements.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 xml:space="preserve">In June 2022, the FASB issued ASU 2022-03, </w:t>
      </w:r>
      <w:r>
        <w:rPr>
          <w:rFonts w:ascii="Arial" w:cs="Arial" w:eastAsia="Arial" w:hAnsi="Arial"/>
          <w:sz w:val="16"/>
          <w:szCs w:val="16"/>
          <w:i w:val="1"/>
          <w:iCs w:val="1"/>
          <w:color w:val="auto"/>
        </w:rPr>
        <w:t>Fair Value Measurement of Equity Securities Subject to Contractual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Sale Restrictions, </w:t>
      </w:r>
      <w:r>
        <w:rPr>
          <w:rFonts w:ascii="Arial" w:cs="Arial" w:eastAsia="Arial" w:hAnsi="Arial"/>
          <w:sz w:val="16"/>
          <w:szCs w:val="16"/>
          <w:color w:val="auto"/>
        </w:rPr>
        <w:t>which amends guidance in Topic 820, Fair Value Measurement. The guidance clarifies that a contractual</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restriction on the sale of an equity security is not considered part of the unit of account of the equity security and, therefore, is not considered in measuring the fair value. The guidance also clarifies that an entity cannot, as a separate unit of account, recognize and measure a contractual sale restriction. The amendment requires the following disclosures for equity securities subject to contractual sale restrictions: the fair value of equity securities subject to contractual sale restrictions; the nature and remaining duration of the restriction(s); and the circumstances that could cause a lapse in the restriction(s). The amended guidance is effective January 1, 2024 on a prospective basis. Early adoption is permitted. We are currently assessing the impact of adopting this new accounting standard on our condensed consolidated financial statements.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Subsidiary Bankruptcy and Deconsolidation</w:t>
      </w:r>
    </w:p>
    <w:p>
      <w:pPr>
        <w:spacing w:after="0" w:line="229" w:lineRule="exact"/>
        <w:rPr>
          <w:sz w:val="20"/>
          <w:szCs w:val="20"/>
          <w:color w:val="auto"/>
        </w:rPr>
      </w:pPr>
    </w:p>
    <w:p>
      <w:pPr>
        <w:ind w:left="60" w:right="59" w:firstLine="324"/>
        <w:spacing w:after="0" w:line="268" w:lineRule="auto"/>
        <w:rPr>
          <w:sz w:val="20"/>
          <w:szCs w:val="20"/>
          <w:color w:val="auto"/>
        </w:rPr>
      </w:pPr>
      <w:r>
        <w:rPr>
          <w:rFonts w:ascii="Arial" w:cs="Arial" w:eastAsia="Arial" w:hAnsi="Arial"/>
          <w:sz w:val="17"/>
          <w:szCs w:val="17"/>
          <w:color w:val="auto"/>
        </w:rPr>
        <w:t>On January 31, 2023, Auto Plus, an Aftermarket Parts distributor held within our Automotive segment, filed voluntary petitions (the “Chapter 11 Cases”) in the United States Bankruptcy Court for the Southern District of Texas (the “Bankruptcy Court”) seeking relief under Chapter 11 of Title 11 of the United States Code. On May 2, 2023, the Bankruptcy Court approved a global settlement in the Chapter 11 Cases between Auto Plus, its non-Auto Plus affiliates, and the Official Committee of Unsecured Creditors appointed in the Chapter 11 Cases (the "Committee”) that provides for a guaranteed recovery to unsecured creditors, the payment of all administrative and priority claims in the Chapter 11 Cases, and the resolution of all disputes between Auto Plus, its non-Auto Plus affiliates, and the Committee. On May 19, 2023, the Bankruptcy Court approved five sales of Auto Plus’ assets to five different bidders pursuant to Section 363 of the Bankruptcy Code, comprising a significant majority of Auto Plus’ total assets (the “363 Sales”). AEP PLC was the buyer for one of the 363 Sales, pursuant to a credit bid of $10 million for a portion of its senior secured debtor-in-possession loan to Auto Plus. The last of the 363 sales closed on June 12, 2023. The proceeds of the 363 Sales will be used to satisfy obligations to Auto Plus’ creditors. On June 16, 2023, the Bankruptcy Court entered an order approving Auto Plus’ Third Amended Combined Disclosure Statement and Joint Plan of Liquidation (the “Bankruptcy Plan”). The effective date of the Bankruptcy Plan occurred on October 6, 2023. The Bankruptcy Plan provides for the orderly liquidation of Auto Plus and distribution of its assets.</w:t>
      </w:r>
    </w:p>
    <w:p>
      <w:pPr>
        <w:spacing w:after="0" w:line="182"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As a result of the filing of the Chapter 11 Cases, the Company has determined that it no longer controls Auto Plus under the criteria set out in FASB ASC Topic 810, “Consolidation” and has deconsolidated its investment effective January 31, 2023. In order to deconsolidate Auto Plus, we removed the carrying values of the assets and liabilities of Auto Plus as of January 31, 2023 and recorded our investment in Auto Plus at $0 resulting in a non-cash charge of $246 million during the nine months ended September 30, 2023.</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Related Party Transactions</w:t>
      </w:r>
    </w:p>
    <w:p>
      <w:pPr>
        <w:spacing w:after="0" w:line="229" w:lineRule="exact"/>
        <w:rPr>
          <w:sz w:val="20"/>
          <w:szCs w:val="20"/>
          <w:color w:val="auto"/>
        </w:rPr>
      </w:pPr>
    </w:p>
    <w:p>
      <w:pPr>
        <w:ind w:left="60" w:right="119" w:firstLine="324"/>
        <w:spacing w:after="0" w:line="296" w:lineRule="auto"/>
        <w:rPr>
          <w:sz w:val="20"/>
          <w:szCs w:val="20"/>
          <w:color w:val="auto"/>
        </w:rPr>
      </w:pPr>
      <w:r>
        <w:rPr>
          <w:rFonts w:ascii="Arial" w:cs="Arial" w:eastAsia="Arial" w:hAnsi="Arial"/>
          <w:sz w:val="16"/>
          <w:szCs w:val="16"/>
          <w:color w:val="auto"/>
        </w:rPr>
        <w:t>Our second amended and restated agreement of limited partnership expressly permits us to enter into transactions with our general partner or any of its affiliates, including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Funds</w:t>
      </w:r>
    </w:p>
    <w:p>
      <w:pPr>
        <w:spacing w:after="0" w:line="225" w:lineRule="exact"/>
        <w:rPr>
          <w:sz w:val="20"/>
          <w:szCs w:val="20"/>
          <w:color w:val="auto"/>
        </w:rPr>
      </w:pPr>
    </w:p>
    <w:p>
      <w:pPr>
        <w:ind w:left="60" w:right="179" w:firstLine="324"/>
        <w:spacing w:after="0" w:line="275" w:lineRule="auto"/>
        <w:rPr>
          <w:sz w:val="20"/>
          <w:szCs w:val="20"/>
          <w:color w:val="auto"/>
        </w:rPr>
      </w:pPr>
      <w:r>
        <w:rPr>
          <w:rFonts w:ascii="Arial" w:cs="Arial" w:eastAsia="Arial" w:hAnsi="Arial"/>
          <w:sz w:val="17"/>
          <w:szCs w:val="17"/>
          <w:color w:val="auto"/>
        </w:rPr>
        <w:t>As of September 30, 2023 and December 31, 2022, the total fair market value of investments in the Investment Funds made by Mr. Icahn and his affiliates (excluding us and Brett Icahn) was approximately $2.3 billion and $4.9 billion, respectively, representing approximately 39% and 54% of the Investment Funds’ assets under management as of each respective date. Mr. Icahn and his affiliates (excluding us and Brett Icahn) redeemed $2,022 million and zero from the Investment Funds in the nine months ended September 30, 2023 and 2022, respectively.</w:t>
      </w:r>
    </w:p>
    <w:p>
      <w:pPr>
        <w:spacing w:after="0" w:line="176" w:lineRule="exact"/>
        <w:rPr>
          <w:sz w:val="20"/>
          <w:szCs w:val="20"/>
          <w:color w:val="auto"/>
        </w:rPr>
      </w:pPr>
    </w:p>
    <w:p>
      <w:pPr>
        <w:ind w:left="60" w:right="159" w:firstLine="324"/>
        <w:spacing w:after="0" w:line="257" w:lineRule="auto"/>
        <w:rPr>
          <w:sz w:val="20"/>
          <w:szCs w:val="20"/>
          <w:color w:val="auto"/>
        </w:rPr>
      </w:pPr>
      <w:r>
        <w:rPr>
          <w:rFonts w:ascii="Arial" w:cs="Arial" w:eastAsia="Arial" w:hAnsi="Arial"/>
          <w:sz w:val="18"/>
          <w:szCs w:val="18"/>
          <w:color w:val="auto"/>
        </w:rPr>
        <w:t>We pay for expenses pertaining to the operation, administration and investment activities of our Investment segment for the benefit of the Investment Funds (including salaries, benefits and rent). Based on an expense-sharing arrangement, certain expenses borne by us are reimbursed by the Investment Funds. For the nine months ended September 30, 2023 and 2022, $10 million and $8 million, respectively, was allocated to the Investment Funds based on this expense-sharing arrangement.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Auto Plus and AEP PLC</w:t>
      </w:r>
    </w:p>
    <w:p>
      <w:pPr>
        <w:spacing w:after="0" w:line="225" w:lineRule="exact"/>
        <w:rPr>
          <w:sz w:val="20"/>
          <w:szCs w:val="20"/>
          <w:color w:val="auto"/>
        </w:rPr>
      </w:pPr>
    </w:p>
    <w:p>
      <w:pPr>
        <w:ind w:left="60" w:right="99" w:firstLine="324"/>
        <w:spacing w:after="0" w:line="291" w:lineRule="auto"/>
        <w:rPr>
          <w:sz w:val="20"/>
          <w:szCs w:val="20"/>
          <w:color w:val="auto"/>
        </w:rPr>
      </w:pPr>
      <w:r>
        <w:rPr>
          <w:rFonts w:ascii="Arial" w:cs="Arial" w:eastAsia="Arial" w:hAnsi="Arial"/>
          <w:sz w:val="16"/>
          <w:szCs w:val="16"/>
          <w:color w:val="auto"/>
        </w:rPr>
        <w:t>As discussed in Note 3. “Subsidiary Bankruptcy and Deconsolidation,” Auto Plus was deconsolidated as of January 31, 2023. Subsequent to January 31, 2023, Auto Plus had certain transactions with entities within our Automotive and Real Estate segments. Agreements and transactions include (i) lease agreements between Auto Plus and entities in the Automotive segment in which Auto Plus is the lessee, (ii) lease agreements between Auto Plus and entities in the Automotive segment in which Auto Plus is the lessor, (iii) auto parts purchases by entities in the Automotive segment from Auto Plus, (iv) auto parts sales from entities within the Automotive segment to Auto Plus, and (v) lease agreements between entities in the Real Estate segment and Auto Plus in which Auto Plus is the lessee.</w:t>
      </w:r>
    </w:p>
    <w:p>
      <w:pPr>
        <w:spacing w:after="0" w:line="166" w:lineRule="exact"/>
        <w:rPr>
          <w:sz w:val="20"/>
          <w:szCs w:val="20"/>
          <w:color w:val="auto"/>
        </w:rPr>
      </w:pPr>
    </w:p>
    <w:p>
      <w:pPr>
        <w:jc w:val="both"/>
        <w:ind w:left="60" w:right="119" w:firstLine="324"/>
        <w:spacing w:after="0" w:line="263" w:lineRule="auto"/>
        <w:rPr>
          <w:sz w:val="20"/>
          <w:szCs w:val="20"/>
          <w:color w:val="auto"/>
        </w:rPr>
      </w:pPr>
      <w:r>
        <w:rPr>
          <w:rFonts w:ascii="Arial" w:cs="Arial" w:eastAsia="Arial" w:hAnsi="Arial"/>
          <w:sz w:val="18"/>
          <w:szCs w:val="18"/>
          <w:color w:val="auto"/>
        </w:rPr>
        <w:t>For the eight months from the date of deconsolidation of January 31, 2023 through September 30, 2023, the total lease revenues of entities within the Automotive segment from leases with Auto Plus was $3 million. Total inventory purchases of entities within the Automotive segment from Auto Plus were $4 million.</w:t>
      </w:r>
    </w:p>
    <w:p>
      <w:pPr>
        <w:spacing w:after="0" w:line="184" w:lineRule="exact"/>
        <w:rPr>
          <w:sz w:val="20"/>
          <w:szCs w:val="20"/>
          <w:color w:val="auto"/>
        </w:rPr>
      </w:pPr>
    </w:p>
    <w:p>
      <w:pPr>
        <w:jc w:val="both"/>
        <w:ind w:left="60" w:right="119" w:firstLine="324"/>
        <w:spacing w:after="0" w:line="277" w:lineRule="auto"/>
        <w:rPr>
          <w:sz w:val="20"/>
          <w:szCs w:val="20"/>
          <w:color w:val="auto"/>
        </w:rPr>
      </w:pPr>
      <w:r>
        <w:rPr>
          <w:rFonts w:ascii="Arial" w:cs="Arial" w:eastAsia="Arial" w:hAnsi="Arial"/>
          <w:sz w:val="18"/>
          <w:szCs w:val="18"/>
          <w:color w:val="auto"/>
        </w:rPr>
        <w:t>For the eight months from the date of deconsolidation of January 31, 2023 through September 30, 2023, the total lease revenues of entities within the Real Estate segment from Auto Plus were $3 million.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Note Receivable from Auto Plus</w:t>
      </w:r>
    </w:p>
    <w:p>
      <w:pPr>
        <w:spacing w:after="0" w:line="225"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In connection with the Auto Plus bankruptcy filing, we entered into a priming, senior secured, super priority debtor-in-possession credit facility with Auto Plus (the “DIP Credit Facility”) on January 31, 2023, under which (i) we agreed to provide new loans in an aggregate amount of up to $75 million and (ii) subject to final approval of the DIP Credit Facility by the Bankruptcy Court, all the loans under our pre-petition credit facility with Auto Plus would be rolled-up and converted into loans under the DIP Credit Facility. On May 2, 2023, we converted and rolled up our related party note receivable with our existing loans under the DIP Credit Facility. We estimated our cash to be collected for the repayment of the note receivable to be $59 million at September 30, 2023, resulting in a write-off of $127 million during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AEP PLC</w:t>
      </w:r>
    </w:p>
    <w:p>
      <w:pPr>
        <w:spacing w:after="0" w:line="225" w:lineRule="exact"/>
        <w:rPr>
          <w:sz w:val="20"/>
          <w:szCs w:val="20"/>
          <w:color w:val="auto"/>
        </w:rPr>
      </w:pPr>
    </w:p>
    <w:p>
      <w:pPr>
        <w:jc w:val="both"/>
        <w:ind w:left="60" w:right="159" w:firstLine="324"/>
        <w:spacing w:after="0" w:line="301" w:lineRule="auto"/>
        <w:rPr>
          <w:sz w:val="20"/>
          <w:szCs w:val="20"/>
          <w:color w:val="auto"/>
        </w:rPr>
      </w:pPr>
      <w:r>
        <w:rPr>
          <w:rFonts w:ascii="Arial" w:cs="Arial" w:eastAsia="Arial" w:hAnsi="Arial"/>
          <w:sz w:val="16"/>
          <w:szCs w:val="16"/>
          <w:color w:val="auto"/>
        </w:rPr>
        <w:t>In connection with the Auto Plus auction, AEP PLC acquired $10 million of assets mostly comprised of Aftermarket Parts inventory during the nine months ended September 30, 2023. The transaction was considered an asset acquisition, as the group of assets acquired by AEP PLC does not meet the definition of a business defined in FASB ASC Topic 805. The results of AEP PLC are consolidated within our Automotive segment at September 30, 2023 and were not material.</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Related Party Agreements</w:t>
      </w:r>
    </w:p>
    <w:p>
      <w:pPr>
        <w:spacing w:after="0" w:line="225" w:lineRule="exact"/>
        <w:rPr>
          <w:sz w:val="20"/>
          <w:szCs w:val="20"/>
          <w:color w:val="auto"/>
        </w:rPr>
      </w:pPr>
    </w:p>
    <w:p>
      <w:pPr>
        <w:ind w:left="60" w:right="199" w:firstLine="324"/>
        <w:spacing w:after="0" w:line="285" w:lineRule="auto"/>
        <w:rPr>
          <w:sz w:val="20"/>
          <w:szCs w:val="20"/>
          <w:color w:val="auto"/>
        </w:rPr>
      </w:pPr>
      <w:r>
        <w:rPr>
          <w:rFonts w:ascii="Arial" w:cs="Arial" w:eastAsia="Arial" w:hAnsi="Arial"/>
          <w:sz w:val="16"/>
          <w:szCs w:val="16"/>
          <w:color w:val="auto"/>
        </w:rPr>
        <w:t>On October 1, 2020, we entered into a manager agreement with Brett Icahn, the son of Carl C. Icahn, and affiliates of Brett Icahn. Under the manager agreement, Brett Icahn serves as the portfolio manager of a designated portfolio of assets within the Investment Funds over a seven-year term, subject to veto rights by our Investment segment and Carl C. Icahn. On May 5, 2022, we entered into an amendment to the manager agreement, which allows the Investment Funds to add, from time to time, two additional separately tracked portfolios, in addition to the existing portfolios, which will not be subject to the manager agreement. Additionally, Brett Icahn provides certain other services, at our request, which may entail research, analysis and advice with respect to a separate designated portfolio of assets within the Investment Funds. Subject to the terms of the manager agreement, at the end of the seven-year term, Brett Icahn will be entitled to receive a one-time lump sum payment as described in and computed pursuant to the manager agreement. Brett Icahn will not be entitled to receive from us any other compensation (including any salary or bonus) in respect of the services he is to provide under the manager agreement other than restricted depositary units granted under a restricted unit agreement. In accordance with the manager agreement, Brett Icahn will co-invest with the Investment Funds in certain positions, will make cash contributions to the Investment Funds in order to fund such co-investments and will have a special limited partnership interest in the Investment Funds through which the profit and loss attributable to such co-investments will be allocated to him. Brett Icahn had net redemptions of $9 million and $16 million in the nine months ended September 30, 2023 and 2022, respectively. As of September 30, 2023 and December 31, 2022 Brett Icahn had investments in the Investment Funds with a total fair market value of $36 million and $50 million, respectively. We also entered into a guaranty agreement with an affiliate of Brett Icahn, pursuant to which we guaranteed the payment of certain amounts required to be distributed by the Investment Funds to such affiliate pursuant to the terms and conditions of the manager agreement.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Investments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Investments</w:t>
      </w:r>
    </w:p>
    <w:p>
      <w:pPr>
        <w:spacing w:after="0" w:line="225" w:lineRule="exact"/>
        <w:rPr>
          <w:sz w:val="20"/>
          <w:szCs w:val="20"/>
          <w:color w:val="auto"/>
        </w:rPr>
      </w:pPr>
    </w:p>
    <w:p>
      <w:pPr>
        <w:ind w:left="60" w:right="259" w:firstLine="324"/>
        <w:spacing w:after="0" w:line="275" w:lineRule="auto"/>
        <w:rPr>
          <w:sz w:val="20"/>
          <w:szCs w:val="20"/>
          <w:color w:val="auto"/>
        </w:rPr>
      </w:pPr>
      <w:r>
        <w:rPr>
          <w:rFonts w:ascii="Arial" w:cs="Arial" w:eastAsia="Arial" w:hAnsi="Arial"/>
          <w:sz w:val="17"/>
          <w:szCs w:val="17"/>
          <w:color w:val="auto"/>
        </w:rPr>
        <w:t>Investments and securities sold, not yet purchased consist of equities, bonds, bank debt and other corporate obligations, all of which are reported at fair value in our condensed consolidated balance sheets. In addition, our Investment segment has certain derivative transactions which are discussed in Note 7, “Financial Instruments.” The carrying value and detail by security type, including business sector for equity securities, with respect to investments and securities sold, not yet purchased held by our Investment segment consist of the following:</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6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2022</w:t>
            </w:r>
          </w:p>
        </w:tc>
      </w:tr>
      <w:tr>
        <w:trPr>
          <w:trHeight w:val="128"/>
        </w:trPr>
        <w:tc>
          <w:tcPr>
            <w:tcW w:w="6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3"/>
          </w:tcPr>
          <w:p>
            <w:pPr>
              <w:ind w:left="620"/>
              <w:spacing w:after="0" w:line="129" w:lineRule="exact"/>
              <w:rPr>
                <w:sz w:val="20"/>
                <w:szCs w:val="20"/>
                <w:color w:val="auto"/>
              </w:rPr>
            </w:pPr>
            <w:r>
              <w:rPr>
                <w:rFonts w:ascii="Arial" w:cs="Arial" w:eastAsia="Arial" w:hAnsi="Arial"/>
                <w:sz w:val="14"/>
                <w:szCs w:val="14"/>
                <w:color w:val="auto"/>
              </w:rPr>
              <w:t>(in millions)</w:t>
            </w:r>
          </w:p>
        </w:tc>
        <w:tc>
          <w:tcPr>
            <w:tcW w:w="780" w:type="dxa"/>
            <w:vAlign w:val="bottom"/>
          </w:tcPr>
          <w:p>
            <w:pPr>
              <w:spacing w:after="0"/>
              <w:rPr>
                <w:sz w:val="11"/>
                <w:szCs w:val="11"/>
                <w:color w:val="auto"/>
              </w:rPr>
            </w:pPr>
          </w:p>
        </w:tc>
      </w:tr>
      <w:tr>
        <w:trPr>
          <w:trHeight w:val="216"/>
        </w:trPr>
        <w:tc>
          <w:tcPr>
            <w:tcW w:w="6460" w:type="dxa"/>
            <w:vAlign w:val="bottom"/>
            <w:shd w:val="clear" w:color="auto" w:fill="CCEEFF"/>
          </w:tcPr>
          <w:p>
            <w:pPr>
              <w:ind w:left="29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 cyclical</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Energy</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909</w:t>
            </w: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Utilities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Healthcare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Technology</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Materials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Industrial</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09"/>
        </w:trPr>
        <w:tc>
          <w:tcPr>
            <w:tcW w:w="64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2,939</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4,619</w:t>
            </w:r>
          </w:p>
        </w:tc>
      </w:tr>
      <w:tr>
        <w:trPr>
          <w:trHeight w:val="210"/>
        </w:trPr>
        <w:tc>
          <w:tcPr>
            <w:tcW w:w="6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Debt 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460" w:type="dxa"/>
            <w:vAlign w:val="bottom"/>
          </w:tcPr>
          <w:p>
            <w:pPr>
              <w:ind w:left="260"/>
              <w:spacing w:after="0"/>
              <w:rPr>
                <w:sz w:val="20"/>
                <w:szCs w:val="20"/>
                <w:color w:val="auto"/>
              </w:rPr>
            </w:pPr>
            <w:r>
              <w:rPr>
                <w:rFonts w:ascii="Arial" w:cs="Arial" w:eastAsia="Arial" w:hAnsi="Arial"/>
                <w:sz w:val="18"/>
                <w:szCs w:val="18"/>
                <w:color w:val="auto"/>
              </w:rPr>
              <w:t>Financials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1,958</w:t>
            </w:r>
          </w:p>
        </w:tc>
      </w:tr>
      <w:tr>
        <w:trPr>
          <w:trHeight w:val="216"/>
        </w:trPr>
        <w:tc>
          <w:tcPr>
            <w:tcW w:w="6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Real Estate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6460" w:type="dxa"/>
            <w:vAlign w:val="bottom"/>
          </w:tcPr>
          <w:p>
            <w:pPr>
              <w:ind w:left="26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0"/>
        </w:trPr>
        <w:tc>
          <w:tcPr>
            <w:tcW w:w="6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r>
      <w:tr>
        <w:trPr>
          <w:trHeight w:val="250"/>
        </w:trPr>
        <w:tc>
          <w:tcPr>
            <w:tcW w:w="64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3,185</w:t>
            </w:r>
          </w:p>
        </w:tc>
        <w:tc>
          <w:tcPr>
            <w:tcW w:w="2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6,719</w:t>
            </w:r>
          </w:p>
        </w:tc>
      </w:tr>
      <w:tr>
        <w:trPr>
          <w:trHeight w:val="196"/>
        </w:trPr>
        <w:tc>
          <w:tcPr>
            <w:tcW w:w="6460" w:type="dxa"/>
            <w:vAlign w:val="bottom"/>
            <w:shd w:val="clear" w:color="auto" w:fill="CCEEFF"/>
          </w:tcPr>
          <w:p>
            <w:pPr>
              <w:ind w:left="2780"/>
              <w:spacing w:after="0" w:line="196" w:lineRule="exact"/>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Consumer, non-cyclical</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1,006</w:t>
            </w: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 cyclical</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Energy</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2,340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2,690</w:t>
            </w: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Utilities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Healthcare</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Materials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r>
      <w:tr>
        <w:trPr>
          <w:trHeight w:val="216"/>
        </w:trPr>
        <w:tc>
          <w:tcPr>
            <w:tcW w:w="6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Industrial</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r>
      <w:tr>
        <w:trPr>
          <w:trHeight w:val="209"/>
        </w:trPr>
        <w:tc>
          <w:tcPr>
            <w:tcW w:w="64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6,326</w:t>
            </w:r>
          </w:p>
        </w:tc>
      </w:tr>
      <w:tr>
        <w:trPr>
          <w:trHeight w:val="210"/>
        </w:trPr>
        <w:tc>
          <w:tcPr>
            <w:tcW w:w="6460" w:type="dxa"/>
            <w:vAlign w:val="bottom"/>
          </w:tcPr>
          <w:p>
            <w:pPr>
              <w:ind w:left="120"/>
              <w:spacing w:after="0"/>
              <w:rPr>
                <w:sz w:val="20"/>
                <w:szCs w:val="20"/>
                <w:color w:val="auto"/>
              </w:rPr>
            </w:pPr>
            <w:r>
              <w:rPr>
                <w:rFonts w:ascii="Arial" w:cs="Arial" w:eastAsia="Arial" w:hAnsi="Arial"/>
                <w:sz w:val="18"/>
                <w:szCs w:val="18"/>
                <w:color w:val="auto"/>
              </w:rPr>
              <w:t>Debt securities: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Materials</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09"/>
        </w:trPr>
        <w:tc>
          <w:tcPr>
            <w:tcW w:w="646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3,801</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6,495</w:t>
            </w:r>
          </w:p>
        </w:tc>
      </w:tr>
      <w:tr>
        <w:trPr>
          <w:trHeight w:val="20"/>
        </w:trPr>
        <w:tc>
          <w:tcPr>
            <w:tcW w:w="6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60" w:right="319" w:firstLine="324"/>
        <w:spacing w:after="0" w:line="259" w:lineRule="auto"/>
        <w:rPr>
          <w:sz w:val="20"/>
          <w:szCs w:val="20"/>
          <w:color w:val="auto"/>
        </w:rPr>
      </w:pPr>
      <w:r>
        <w:rPr>
          <w:rFonts w:ascii="Arial" w:cs="Arial" w:eastAsia="Arial" w:hAnsi="Arial"/>
          <w:sz w:val="18"/>
          <w:szCs w:val="18"/>
          <w:color w:val="auto"/>
        </w:rPr>
        <w:t>The portion of unrealized (losses) and gains that relates to securities still held by our Investment segment, primarily equity securities, was $(255) million and $(250) million for the three months ended September 30, 2023 and 2022, respectively, and $(286) million and $(1,172) million for the nine months ended September 30, 2023 and 2022, respectively.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Segments and Holding Company</w:t>
      </w:r>
    </w:p>
    <w:p>
      <w:pPr>
        <w:spacing w:after="0" w:line="185" w:lineRule="exact"/>
        <w:rPr>
          <w:sz w:val="20"/>
          <w:szCs w:val="20"/>
          <w:color w:val="auto"/>
        </w:rPr>
      </w:pPr>
    </w:p>
    <w:p>
      <w:pPr>
        <w:ind w:left="60" w:right="159" w:firstLine="324"/>
        <w:spacing w:after="0" w:line="311" w:lineRule="auto"/>
        <w:rPr>
          <w:sz w:val="20"/>
          <w:szCs w:val="20"/>
          <w:color w:val="auto"/>
        </w:rPr>
      </w:pPr>
      <w:r>
        <w:rPr>
          <w:rFonts w:ascii="Arial" w:cs="Arial" w:eastAsia="Arial" w:hAnsi="Arial"/>
          <w:sz w:val="16"/>
          <w:szCs w:val="16"/>
          <w:color w:val="auto"/>
        </w:rPr>
        <w:t>With the exception of certain equity method investments at our operating subsidiaries and our Holding Company disclosed in the table below, our investments are measured at fair value in our condensed consolidated balance sheets. The carrying value of investments held by our other segments and our Holding Company consist of the following:</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rPr>
              <w:t>September 30,</w:t>
            </w:r>
          </w:p>
        </w:tc>
        <w:tc>
          <w:tcPr>
            <w:tcW w:w="1080" w:type="dxa"/>
            <w:vAlign w:val="bottom"/>
            <w:gridSpan w:val="2"/>
          </w:tcPr>
          <w:p>
            <w:pPr>
              <w:ind w:left="20"/>
              <w:spacing w:after="0"/>
              <w:rPr>
                <w:sz w:val="20"/>
                <w:szCs w:val="20"/>
                <w:color w:val="auto"/>
              </w:rPr>
            </w:pPr>
            <w:r>
              <w:rPr>
                <w:rFonts w:ascii="Arial" w:cs="Arial" w:eastAsia="Arial" w:hAnsi="Arial"/>
                <w:sz w:val="18"/>
                <w:szCs w:val="18"/>
                <w:color w:val="auto"/>
                <w:w w:val="91"/>
              </w:rPr>
              <w:t>December 31,</w:t>
            </w:r>
          </w:p>
        </w:tc>
      </w:tr>
      <w:tr>
        <w:trPr>
          <w:trHeight w:val="230"/>
        </w:trPr>
        <w:tc>
          <w:tcPr>
            <w:tcW w:w="6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4"/>
              </w:rPr>
              <w:t>2022</w:t>
            </w:r>
          </w:p>
        </w:tc>
      </w:tr>
      <w:tr>
        <w:trPr>
          <w:trHeight w:val="128"/>
        </w:trPr>
        <w:tc>
          <w:tcPr>
            <w:tcW w:w="6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3"/>
          </w:tcPr>
          <w:p>
            <w:pPr>
              <w:ind w:left="580"/>
              <w:spacing w:after="0" w:line="129" w:lineRule="exact"/>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1"/>
                <w:szCs w:val="11"/>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6540" w:type="dxa"/>
            <w:vAlign w:val="bottom"/>
          </w:tcPr>
          <w:p>
            <w:pPr>
              <w:ind w:left="20"/>
              <w:spacing w:after="0"/>
              <w:rPr>
                <w:sz w:val="20"/>
                <w:szCs w:val="20"/>
                <w:color w:val="auto"/>
              </w:rPr>
            </w:pPr>
            <w:r>
              <w:rPr>
                <w:rFonts w:ascii="Arial" w:cs="Arial" w:eastAsia="Arial" w:hAnsi="Arial"/>
                <w:sz w:val="18"/>
                <w:szCs w:val="18"/>
                <w:color w:val="auto"/>
              </w:rPr>
              <w:t>Held to maturity debt investments measured at amortized cost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investments measured at fair value</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654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6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The portion of unrealized gains and (losses) that relates to equity securities still held by our other segments and Holding Company was zero for each of the three months ended September 30, 2023 and 2022, and zero and $61 million for the nine months ended September 30, 2023 and 2022, respectively.</w:t>
      </w: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Fair Value Measurements</w:t>
      </w:r>
    </w:p>
    <w:p>
      <w:pPr>
        <w:spacing w:after="0" w:line="189" w:lineRule="exact"/>
        <w:rPr>
          <w:sz w:val="20"/>
          <w:szCs w:val="20"/>
          <w:color w:val="auto"/>
        </w:rPr>
      </w:pPr>
    </w:p>
    <w:p>
      <w:pPr>
        <w:ind w:left="60" w:right="199" w:firstLine="324"/>
        <w:spacing w:after="0" w:line="293" w:lineRule="auto"/>
        <w:rPr>
          <w:sz w:val="20"/>
          <w:szCs w:val="20"/>
          <w:color w:val="auto"/>
        </w:rPr>
      </w:pPr>
      <w:r>
        <w:rPr>
          <w:rFonts w:ascii="Arial" w:cs="Arial" w:eastAsia="Arial" w:hAnsi="Arial"/>
          <w:sz w:val="16"/>
          <w:szCs w:val="16"/>
          <w:color w:val="auto"/>
        </w:rPr>
        <w:t>U.S. GAAP requires enhanced disclosures about assets and liabilities that are measured and reported at fair value and has established a hierarchal disclosure framework that prioritizes and ranks the level of market price observability used in measuring assets and liabilities at fair value. Market price observability is impacted by a number of factors, including the type of, and the characteristics specific to, the assets and liabilities. Assets and liabilities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37" w:lineRule="exact"/>
        <w:rPr>
          <w:sz w:val="20"/>
          <w:szCs w:val="20"/>
          <w:color w:val="auto"/>
        </w:rPr>
      </w:pPr>
    </w:p>
    <w:p>
      <w:pPr>
        <w:ind w:left="60" w:right="859" w:firstLine="324"/>
        <w:spacing w:after="0" w:line="277" w:lineRule="auto"/>
        <w:rPr>
          <w:sz w:val="20"/>
          <w:szCs w:val="20"/>
          <w:color w:val="auto"/>
        </w:rPr>
      </w:pPr>
      <w:r>
        <w:rPr>
          <w:rFonts w:ascii="Arial" w:cs="Arial" w:eastAsia="Arial" w:hAnsi="Arial"/>
          <w:sz w:val="18"/>
          <w:szCs w:val="18"/>
          <w:color w:val="auto"/>
        </w:rPr>
        <w:t>Assets and liabilities measured and reported at fair value are classified and disclosed in one of the following categories:</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Level 1 – Quoted prices are available in active markets for identical assets and liabilities as of the reporting date.</w:t>
      </w:r>
    </w:p>
    <w:p>
      <w:pPr>
        <w:spacing w:after="0" w:line="196" w:lineRule="exact"/>
        <w:rPr>
          <w:sz w:val="20"/>
          <w:szCs w:val="20"/>
          <w:color w:val="auto"/>
        </w:rPr>
      </w:pPr>
    </w:p>
    <w:p>
      <w:pPr>
        <w:ind w:left="380" w:right="559"/>
        <w:spacing w:after="0" w:line="257" w:lineRule="auto"/>
        <w:rPr>
          <w:sz w:val="20"/>
          <w:szCs w:val="20"/>
          <w:color w:val="auto"/>
        </w:rPr>
      </w:pPr>
      <w:r>
        <w:rPr>
          <w:rFonts w:ascii="Arial" w:cs="Arial" w:eastAsia="Arial" w:hAnsi="Arial"/>
          <w:sz w:val="18"/>
          <w:szCs w:val="18"/>
          <w:color w:val="auto"/>
        </w:rPr>
        <w:t>Level 2 – Pricing inputs are other than quoted prices in active markets, which are either directly or indirectly observable as of the reporting date, and fair value is determined through the use of models or other valuation methodologies where all significant inputs are observable. The inputs and assumptions of our Level 2 assets and liabilities are derived from market observable sources including reported trades, broker/dealer quotes and other pertinent data.</w:t>
      </w:r>
    </w:p>
    <w:p>
      <w:pPr>
        <w:spacing w:after="0" w:line="161" w:lineRule="exact"/>
        <w:rPr>
          <w:sz w:val="20"/>
          <w:szCs w:val="20"/>
          <w:color w:val="auto"/>
        </w:rPr>
      </w:pPr>
    </w:p>
    <w:p>
      <w:pPr>
        <w:ind w:left="380" w:right="59"/>
        <w:spacing w:after="0" w:line="279" w:lineRule="auto"/>
        <w:rPr>
          <w:sz w:val="20"/>
          <w:szCs w:val="20"/>
          <w:color w:val="auto"/>
        </w:rPr>
      </w:pPr>
      <w:r>
        <w:rPr>
          <w:rFonts w:ascii="Arial" w:cs="Arial" w:eastAsia="Arial" w:hAnsi="Arial"/>
          <w:sz w:val="17"/>
          <w:szCs w:val="17"/>
          <w:color w:val="auto"/>
        </w:rPr>
        <w:t>Level 3 – Pricing inputs are unobservable for the assets and liabilities and include situations where there is little, if any, market activity for the assets and liabilities.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131" w:lineRule="exact"/>
        <w:rPr>
          <w:sz w:val="20"/>
          <w:szCs w:val="20"/>
          <w:color w:val="auto"/>
        </w:rPr>
      </w:pPr>
    </w:p>
    <w:p>
      <w:pPr>
        <w:ind w:left="60" w:right="159" w:firstLine="324"/>
        <w:spacing w:after="0" w:line="255"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assets and liabilities. Significant transfers, if any, between the levels within the fair value hierarchy are recognized at the beginning of the reporting period when changes in circumstances require such transfers.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85" w:lineRule="exact"/>
        <w:rPr>
          <w:sz w:val="20"/>
          <w:szCs w:val="20"/>
          <w:color w:val="auto"/>
        </w:rPr>
      </w:pPr>
    </w:p>
    <w:p>
      <w:pPr>
        <w:ind w:left="60" w:right="499" w:firstLine="324"/>
        <w:spacing w:after="0" w:line="277" w:lineRule="auto"/>
        <w:rPr>
          <w:sz w:val="20"/>
          <w:szCs w:val="20"/>
          <w:color w:val="auto"/>
        </w:rPr>
      </w:pPr>
      <w:r>
        <w:rPr>
          <w:rFonts w:ascii="Arial" w:cs="Arial" w:eastAsia="Arial" w:hAnsi="Arial"/>
          <w:sz w:val="18"/>
          <w:szCs w:val="18"/>
          <w:color w:val="auto"/>
        </w:rPr>
        <w:t>The following table summarizes the valuation of our assets and liabilities by the above fair value hierarchy levels measured on a recurring basis:</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b w:val="1"/>
                <w:bCs w:val="1"/>
                <w:color w:val="auto"/>
                <w:w w:val="95"/>
              </w:rPr>
              <w:t>September 30, 2023</w:t>
            </w:r>
          </w:p>
        </w:tc>
        <w:tc>
          <w:tcPr>
            <w:tcW w:w="6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7"/>
          </w:tcPr>
          <w:p>
            <w:pPr>
              <w:ind w:left="140"/>
              <w:spacing w:after="0"/>
              <w:rPr>
                <w:sz w:val="20"/>
                <w:szCs w:val="20"/>
                <w:color w:val="auto"/>
              </w:rPr>
            </w:pPr>
            <w:r>
              <w:rPr>
                <w:rFonts w:ascii="Arial" w:cs="Arial" w:eastAsia="Arial" w:hAnsi="Arial"/>
                <w:sz w:val="18"/>
                <w:szCs w:val="18"/>
                <w:b w:val="1"/>
                <w:bCs w:val="1"/>
                <w:color w:val="auto"/>
                <w:w w:val="96"/>
              </w:rPr>
              <w:t>December 31, 2022</w:t>
            </w:r>
          </w:p>
        </w:tc>
        <w:tc>
          <w:tcPr>
            <w:tcW w:w="620" w:type="dxa"/>
            <w:vAlign w:val="bottom"/>
            <w:tcBorders>
              <w:bottom w:val="single" w:sz="8" w:color="auto"/>
            </w:tcBorders>
          </w:tcPr>
          <w:p>
            <w:pPr>
              <w:spacing w:after="0"/>
              <w:rPr>
                <w:sz w:val="20"/>
                <w:szCs w:val="20"/>
                <w:color w:val="auto"/>
              </w:rPr>
            </w:pPr>
          </w:p>
        </w:tc>
      </w:tr>
      <w:tr>
        <w:trPr>
          <w:trHeight w:val="210"/>
        </w:trPr>
        <w:tc>
          <w:tcPr>
            <w:tcW w:w="286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Level 1</w:t>
            </w:r>
          </w:p>
        </w:tc>
        <w:tc>
          <w:tcPr>
            <w:tcW w:w="180" w:type="dxa"/>
            <w:vAlign w:val="bottom"/>
          </w:tcPr>
          <w:p>
            <w:pPr>
              <w:spacing w:after="0"/>
              <w:rPr>
                <w:sz w:val="18"/>
                <w:szCs w:val="18"/>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Level 2</w:t>
            </w:r>
          </w:p>
        </w:tc>
        <w:tc>
          <w:tcPr>
            <w:tcW w:w="180" w:type="dxa"/>
            <w:vAlign w:val="bottom"/>
          </w:tcPr>
          <w:p>
            <w:pPr>
              <w:spacing w:after="0"/>
              <w:rPr>
                <w:sz w:val="18"/>
                <w:szCs w:val="18"/>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Level 3</w:t>
            </w:r>
          </w:p>
        </w:tc>
        <w:tc>
          <w:tcPr>
            <w:tcW w:w="180" w:type="dxa"/>
            <w:vAlign w:val="bottom"/>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Level 1</w:t>
            </w:r>
          </w:p>
        </w:tc>
        <w:tc>
          <w:tcPr>
            <w:tcW w:w="180" w:type="dxa"/>
            <w:vAlign w:val="bottom"/>
          </w:tcPr>
          <w:p>
            <w:pPr>
              <w:spacing w:after="0"/>
              <w:rPr>
                <w:sz w:val="18"/>
                <w:szCs w:val="18"/>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Level 2</w:t>
            </w:r>
          </w:p>
        </w:tc>
        <w:tc>
          <w:tcPr>
            <w:tcW w:w="180" w:type="dxa"/>
            <w:vAlign w:val="bottom"/>
          </w:tcPr>
          <w:p>
            <w:pPr>
              <w:spacing w:after="0"/>
              <w:rPr>
                <w:sz w:val="18"/>
                <w:szCs w:val="18"/>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Level 3</w:t>
            </w:r>
          </w:p>
        </w:tc>
        <w:tc>
          <w:tcPr>
            <w:tcW w:w="180" w:type="dxa"/>
            <w:vAlign w:val="bottom"/>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128"/>
        </w:trPr>
        <w:tc>
          <w:tcPr>
            <w:tcW w:w="2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3"/>
          </w:tcPr>
          <w:p>
            <w:pPr>
              <w:jc w:val="right"/>
              <w:ind w:right="230"/>
              <w:spacing w:after="0" w:line="129" w:lineRule="exact"/>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216"/>
        </w:trPr>
        <w:tc>
          <w:tcPr>
            <w:tcW w:w="2860" w:type="dxa"/>
            <w:vAlign w:val="bottom"/>
            <w:shd w:val="clear" w:color="auto" w:fill="CCEEFF"/>
          </w:tcPr>
          <w:p>
            <w:pPr>
              <w:ind w:left="1120"/>
              <w:spacing w:after="0"/>
              <w:rPr>
                <w:sz w:val="20"/>
                <w:szCs w:val="20"/>
                <w:color w:val="auto"/>
              </w:rPr>
            </w:pPr>
            <w:r>
              <w:rPr>
                <w:rFonts w:ascii="Arial" w:cs="Arial" w:eastAsia="Arial" w:hAnsi="Arial"/>
                <w:sz w:val="18"/>
                <w:szCs w:val="18"/>
                <w:b w:val="1"/>
                <w:bCs w:val="1"/>
                <w:color w:val="auto"/>
              </w:rPr>
              <w:t>Assets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2860" w:type="dxa"/>
            <w:vAlign w:val="bottom"/>
          </w:tcPr>
          <w:p>
            <w:pPr>
              <w:ind w:left="20"/>
              <w:spacing w:after="0"/>
              <w:rPr>
                <w:sz w:val="20"/>
                <w:szCs w:val="20"/>
                <w:color w:val="auto"/>
              </w:rPr>
            </w:pPr>
            <w:r>
              <w:rPr>
                <w:rFonts w:ascii="Arial" w:cs="Arial" w:eastAsia="Arial" w:hAnsi="Arial"/>
                <w:sz w:val="18"/>
                <w:szCs w:val="18"/>
                <w:color w:val="auto"/>
              </w:rPr>
              <w:t>Investments (Note 5)</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$ 3,056</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$ 3,188</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$ 5,538</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1,142</w:t>
            </w:r>
          </w:p>
        </w:tc>
        <w:tc>
          <w:tcPr>
            <w:tcW w:w="18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3"/>
              </w:rPr>
              <w:t>$ 6,722</w:t>
            </w: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assets, net (Note 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r>
      <w:tr>
        <w:trPr>
          <w:trHeight w:val="250"/>
        </w:trPr>
        <w:tc>
          <w:tcPr>
            <w:tcW w:w="286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$ 3,056</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$ 3,315</w:t>
            </w:r>
          </w:p>
        </w:tc>
        <w:tc>
          <w:tcPr>
            <w:tcW w:w="18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$ 5,538</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1,947</w:t>
            </w:r>
          </w:p>
        </w:tc>
        <w:tc>
          <w:tcPr>
            <w:tcW w:w="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$ 7,527</w:t>
            </w:r>
          </w:p>
        </w:tc>
      </w:tr>
      <w:tr>
        <w:trPr>
          <w:trHeight w:val="197"/>
        </w:trPr>
        <w:tc>
          <w:tcPr>
            <w:tcW w:w="2860" w:type="dxa"/>
            <w:vAlign w:val="bottom"/>
            <w:shd w:val="clear" w:color="auto" w:fill="CCEEFF"/>
          </w:tcPr>
          <w:p>
            <w:pPr>
              <w:ind w:left="980"/>
              <w:spacing w:after="0" w:line="196" w:lineRule="exact"/>
              <w:rPr>
                <w:sz w:val="20"/>
                <w:szCs w:val="20"/>
                <w:color w:val="auto"/>
              </w:rPr>
            </w:pPr>
            <w:r>
              <w:rPr>
                <w:rFonts w:ascii="Arial" w:cs="Arial" w:eastAsia="Arial" w:hAnsi="Arial"/>
                <w:sz w:val="18"/>
                <w:szCs w:val="18"/>
                <w:b w:val="1"/>
                <w:bCs w:val="1"/>
                <w:color w:val="auto"/>
              </w:rPr>
              <w:t>Liabilities</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02"/>
        </w:trPr>
        <w:tc>
          <w:tcPr>
            <w:tcW w:w="2860" w:type="dxa"/>
            <w:vAlign w:val="bottom"/>
          </w:tcPr>
          <w:p>
            <w:pPr>
              <w:ind w:left="20"/>
              <w:spacing w:after="0" w:line="201" w:lineRule="exact"/>
              <w:rPr>
                <w:sz w:val="20"/>
                <w:szCs w:val="20"/>
                <w:color w:val="auto"/>
              </w:rPr>
            </w:pPr>
            <w:r>
              <w:rPr>
                <w:rFonts w:ascii="Arial" w:cs="Arial" w:eastAsia="Arial" w:hAnsi="Arial"/>
                <w:sz w:val="18"/>
                <w:szCs w:val="18"/>
                <w:color w:val="auto"/>
              </w:rPr>
              <w:t>Securities sold, not yet purchased</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(Note 5)</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$ 3,635</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$ 3,801</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$ 6,326</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3"/>
              </w:rPr>
              <w:t>$ 6,495</w:t>
            </w: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liabilities, net (Note 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r>
      <w:tr>
        <w:trPr>
          <w:trHeight w:val="216"/>
        </w:trPr>
        <w:tc>
          <w:tcPr>
            <w:tcW w:w="2860" w:type="dxa"/>
            <w:vAlign w:val="bottom"/>
          </w:tcPr>
          <w:p>
            <w:pPr>
              <w:ind w:left="20"/>
              <w:spacing w:after="0"/>
              <w:rPr>
                <w:sz w:val="20"/>
                <w:szCs w:val="20"/>
                <w:color w:val="auto"/>
              </w:rPr>
            </w:pPr>
            <w:r>
              <w:rPr>
                <w:rFonts w:ascii="Arial" w:cs="Arial" w:eastAsia="Arial" w:hAnsi="Arial"/>
                <w:sz w:val="18"/>
                <w:szCs w:val="18"/>
                <w:color w:val="auto"/>
              </w:rPr>
              <w:t>RFS obligations (Note 18)</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413</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692</w:t>
            </w:r>
          </w:p>
        </w:tc>
      </w:tr>
      <w:tr>
        <w:trPr>
          <w:trHeight w:val="210"/>
        </w:trPr>
        <w:tc>
          <w:tcPr>
            <w:tcW w:w="28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$ 3,691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1,338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$ 5,029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$ 6,326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1,552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$ 7,878</w:t>
            </w:r>
          </w:p>
        </w:tc>
      </w:tr>
      <w:tr>
        <w:trPr>
          <w:trHeight w:val="20"/>
        </w:trPr>
        <w:tc>
          <w:tcPr>
            <w:tcW w:w="28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Assets Measured at Fair Value on a Non-Recurring Basis for Which We Use Level 3 Inputs to Determine Fair Value</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319" w:firstLine="324"/>
        <w:spacing w:after="0" w:line="301" w:lineRule="auto"/>
        <w:rPr>
          <w:sz w:val="20"/>
          <w:szCs w:val="20"/>
          <w:color w:val="auto"/>
        </w:rPr>
      </w:pPr>
      <w:r>
        <w:rPr>
          <w:rFonts w:ascii="Arial" w:cs="Arial" w:eastAsia="Arial" w:hAnsi="Arial"/>
          <w:sz w:val="16"/>
          <w:szCs w:val="16"/>
          <w:color w:val="auto"/>
        </w:rPr>
        <w:t>CVR Partners performed a non-recurring fair value measurement of the equity interest received as part of the 45Q Transaction. Such valuation used a combination of the market approach and the discounted cash flow methodology with key inputs including the discount rate, contractual and expected future cash flows, and market multiples. CVR Partners determined the estimated fair value of the consideration received to be $46 million at September 30, 2023.</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Holding Company</w:t>
      </w:r>
    </w:p>
    <w:p>
      <w:pPr>
        <w:spacing w:after="0" w:line="225" w:lineRule="exact"/>
        <w:rPr>
          <w:sz w:val="20"/>
          <w:szCs w:val="20"/>
          <w:color w:val="auto"/>
        </w:rPr>
      </w:pPr>
    </w:p>
    <w:p>
      <w:pPr>
        <w:ind w:left="60" w:right="79" w:firstLine="324"/>
        <w:spacing w:after="0" w:line="291" w:lineRule="auto"/>
        <w:rPr>
          <w:sz w:val="20"/>
          <w:szCs w:val="20"/>
          <w:color w:val="auto"/>
        </w:rPr>
      </w:pPr>
      <w:r>
        <w:rPr>
          <w:rFonts w:ascii="Arial" w:cs="Arial" w:eastAsia="Arial" w:hAnsi="Arial"/>
          <w:sz w:val="16"/>
          <w:szCs w:val="16"/>
          <w:color w:val="auto"/>
        </w:rPr>
        <w:t>The estimated fair value of the Company’s note receivable from Auto Plus was measured at January 31, 2023 using the income approach with Level 3 inputs by discounting the forecasted cash inflows associated with the note using an estimated market discount rate. The Company measured the fair value of the related party note using the practical expedient for a collateral-dependent loan in accordance with ASC Topic 326 to determine the allowance based on the fair value of collateral less costs to sell. The collateral for the note primarily consists of cash and accounts receivable. The Company estimated the fair value of the accounts receivable by using an average from a range of expected cash collection projections. We determined the estimated fair value to be $59 million at September 30, 2023.</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Financial Instruments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119" w:firstLine="324"/>
        <w:spacing w:after="0" w:line="272" w:lineRule="auto"/>
        <w:rPr>
          <w:sz w:val="20"/>
          <w:szCs w:val="20"/>
          <w:color w:val="auto"/>
        </w:rPr>
      </w:pPr>
      <w:r>
        <w:rPr>
          <w:rFonts w:ascii="Arial" w:cs="Arial" w:eastAsia="Arial" w:hAnsi="Arial"/>
          <w:sz w:val="17"/>
          <w:szCs w:val="17"/>
          <w:color w:val="auto"/>
        </w:rPr>
        <w:t>In the normal course of business, the Investment Funds may trade various financial instruments and enter into certain investment activities, which may give rise to off-balance-sheet risks, with the objective of capital appreciation or as economic hedges against other securities or the market as a whole. The Investment Funds’ investments may include futures,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Credit concentrations may arise from investment activities and may be impacted by changes in economic, industry or political factors. The Investment Funds routinely execute transactions with counterparties in the financial services industry, resulting in credit concentration with respect to the financial services industry. In the ordinary course of business, the Investment Funds may also be subject to a concentration of credit risk to a particular counterparty. The Investment Funds seek to mitigate these risks by actively monitoring exposures, collateral requirements and the creditworthiness of their counterparties.</w:t>
      </w:r>
    </w:p>
    <w:p>
      <w:pPr>
        <w:spacing w:after="0" w:line="192" w:lineRule="exact"/>
        <w:rPr>
          <w:sz w:val="20"/>
          <w:szCs w:val="20"/>
          <w:color w:val="auto"/>
        </w:rPr>
      </w:pPr>
    </w:p>
    <w:p>
      <w:pPr>
        <w:ind w:left="60" w:right="79" w:firstLine="324"/>
        <w:spacing w:after="0" w:line="270" w:lineRule="auto"/>
        <w:rPr>
          <w:sz w:val="20"/>
          <w:szCs w:val="20"/>
          <w:color w:val="auto"/>
        </w:rPr>
      </w:pPr>
      <w:r>
        <w:rPr>
          <w:rFonts w:ascii="Arial" w:cs="Arial" w:eastAsia="Arial" w:hAnsi="Arial"/>
          <w:sz w:val="17"/>
          <w:szCs w:val="17"/>
          <w:color w:val="auto"/>
        </w:rPr>
        <w:t>The Investment Funds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 agreed-upon rate, and they receive interest on any cash collateral that they post to the counterparty at the federal funds, or the overnight bank funding rate in effect for such period.</w:t>
      </w:r>
    </w:p>
    <w:p>
      <w:pPr>
        <w:spacing w:after="0" w:line="181" w:lineRule="exact"/>
        <w:rPr>
          <w:sz w:val="20"/>
          <w:szCs w:val="20"/>
          <w:color w:val="auto"/>
        </w:rPr>
      </w:pPr>
    </w:p>
    <w:p>
      <w:pPr>
        <w:ind w:left="60" w:right="179" w:firstLine="324"/>
        <w:spacing w:after="0" w:line="272" w:lineRule="auto"/>
        <w:rPr>
          <w:sz w:val="20"/>
          <w:szCs w:val="20"/>
          <w:color w:val="auto"/>
        </w:rPr>
      </w:pPr>
      <w:r>
        <w:rPr>
          <w:rFonts w:ascii="Arial" w:cs="Arial" w:eastAsia="Arial" w:hAnsi="Arial"/>
          <w:sz w:val="17"/>
          <w:szCs w:val="17"/>
          <w:color w:val="auto"/>
        </w:rPr>
        <w:t>The Investment Funds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each day, depending on the daily fluctuations in the value of the contract, and the whole value change is recorded as an unrealized gain or loss by the Investment Funds. When the contract is closed, the Investment Funds record a realized gain or loss equal to the difference between the value of the contract at the time it was opened and the value at the time it was closed.</w:t>
      </w:r>
    </w:p>
    <w:p>
      <w:pPr>
        <w:spacing w:after="0" w:line="177"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The Investment Funds may utilize forward contracts to seek to protect their assets denominated in foreign currencies and precious metals holdings from losses due to fluctuations in foreign exchange rates and spot rates. The Investment Funds’ exposure to credit risk associated with non-performance of such forward contracts is limited to the unrealized gains or losses inherent in such contracts, which are recognized in other assets and accrued expenses and other liabilities in our condensed consolidated balance sheets.</w:t>
      </w:r>
    </w:p>
    <w:p>
      <w:pPr>
        <w:spacing w:after="0" w:line="188"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161" w:lineRule="exact"/>
        <w:rPr>
          <w:sz w:val="20"/>
          <w:szCs w:val="20"/>
          <w:color w:val="auto"/>
        </w:rPr>
      </w:pPr>
    </w:p>
    <w:p>
      <w:pPr>
        <w:ind w:left="60" w:right="179" w:firstLine="324"/>
        <w:spacing w:after="0" w:line="255" w:lineRule="auto"/>
        <w:rPr>
          <w:sz w:val="20"/>
          <w:szCs w:val="20"/>
          <w:color w:val="auto"/>
        </w:rPr>
      </w:pPr>
      <w:r>
        <w:rPr>
          <w:rFonts w:ascii="Arial" w:cs="Arial" w:eastAsia="Arial" w:hAnsi="Arial"/>
          <w:sz w:val="18"/>
          <w:szCs w:val="18"/>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condensed consolidated balance sheets.</w:t>
      </w:r>
    </w:p>
    <w:p>
      <w:pPr>
        <w:spacing w:after="0" w:line="192" w:lineRule="exact"/>
        <w:rPr>
          <w:sz w:val="20"/>
          <w:szCs w:val="20"/>
          <w:color w:val="auto"/>
        </w:rPr>
      </w:pPr>
    </w:p>
    <w:p>
      <w:pPr>
        <w:ind w:left="60" w:right="79" w:firstLine="324"/>
        <w:spacing w:after="0" w:line="275" w:lineRule="auto"/>
        <w:rPr>
          <w:sz w:val="20"/>
          <w:szCs w:val="20"/>
          <w:color w:val="auto"/>
        </w:rPr>
      </w:pPr>
      <w:r>
        <w:rPr>
          <w:rFonts w:ascii="Arial" w:cs="Arial" w:eastAsia="Arial" w:hAnsi="Arial"/>
          <w:sz w:val="17"/>
          <w:szCs w:val="17"/>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There were no Investment Funds’ derivative instruments with credit-risk-related contingent features in a liability position as of September 30, 2023 and December 31, 2022.</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The following table summarizes the volume of our Investment segment’s derivative activities based on their notional exposure, categorized by primary underlying risk:</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74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8"/>
                <w:szCs w:val="18"/>
                <w:b w:val="1"/>
                <w:bCs w:val="1"/>
                <w:color w:val="auto"/>
                <w:w w:val="95"/>
              </w:rPr>
              <w:t>September 30, 2023</w:t>
            </w:r>
          </w:p>
        </w:tc>
        <w:tc>
          <w:tcPr>
            <w:tcW w:w="180" w:type="dxa"/>
            <w:vAlign w:val="bottom"/>
          </w:tcPr>
          <w:p>
            <w:pPr>
              <w:spacing w:after="0"/>
              <w:rPr>
                <w:sz w:val="20"/>
                <w:szCs w:val="20"/>
                <w:color w:val="auto"/>
              </w:rPr>
            </w:pPr>
          </w:p>
        </w:tc>
        <w:tc>
          <w:tcPr>
            <w:tcW w:w="17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w w:val="97"/>
              </w:rPr>
              <w:t>December 31, 2022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7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Long</w:t>
            </w:r>
          </w:p>
        </w:tc>
        <w:tc>
          <w:tcPr>
            <w:tcW w:w="180" w:type="dxa"/>
            <w:vAlign w:val="bottom"/>
          </w:tcPr>
          <w:p>
            <w:pPr>
              <w:spacing w:after="0"/>
              <w:rPr>
                <w:sz w:val="16"/>
                <w:szCs w:val="16"/>
                <w:color w:val="auto"/>
              </w:rPr>
            </w:pPr>
          </w:p>
        </w:tc>
        <w:tc>
          <w:tcPr>
            <w:tcW w:w="7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Short</w:t>
            </w:r>
          </w:p>
        </w:tc>
        <w:tc>
          <w:tcPr>
            <w:tcW w:w="180" w:type="dxa"/>
            <w:vAlign w:val="bottom"/>
          </w:tcPr>
          <w:p>
            <w:pPr>
              <w:spacing w:after="0"/>
              <w:rPr>
                <w:sz w:val="16"/>
                <w:szCs w:val="16"/>
                <w:color w:val="auto"/>
              </w:rPr>
            </w:pPr>
          </w:p>
        </w:tc>
        <w:tc>
          <w:tcPr>
            <w:tcW w:w="7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Long</w:t>
            </w:r>
          </w:p>
        </w:tc>
        <w:tc>
          <w:tcPr>
            <w:tcW w:w="200" w:type="dxa"/>
            <w:vAlign w:val="bottom"/>
          </w:tcPr>
          <w:p>
            <w:pPr>
              <w:spacing w:after="0"/>
              <w:rPr>
                <w:sz w:val="16"/>
                <w:szCs w:val="16"/>
                <w:color w:val="auto"/>
              </w:rPr>
            </w:pPr>
          </w:p>
        </w:tc>
        <w:tc>
          <w:tcPr>
            <w:tcW w:w="7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Short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1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1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2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Exposure</w:t>
            </w:r>
          </w:p>
        </w:tc>
        <w:tc>
          <w:tcPr>
            <w:tcW w:w="18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Exposure</w:t>
            </w:r>
          </w:p>
        </w:tc>
        <w:tc>
          <w:tcPr>
            <w:tcW w:w="18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Exposure</w:t>
            </w:r>
          </w:p>
        </w:tc>
        <w:tc>
          <w:tcPr>
            <w:tcW w:w="20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Exposure</w:t>
            </w:r>
          </w:p>
        </w:tc>
        <w:tc>
          <w:tcPr>
            <w:tcW w:w="0" w:type="dxa"/>
            <w:vAlign w:val="bottom"/>
          </w:tcPr>
          <w:p>
            <w:pPr>
              <w:spacing w:after="0"/>
              <w:rPr>
                <w:sz w:val="1"/>
                <w:szCs w:val="1"/>
                <w:color w:val="auto"/>
              </w:rPr>
            </w:pPr>
          </w:p>
        </w:tc>
      </w:tr>
      <w:tr>
        <w:trPr>
          <w:trHeight w:val="211"/>
        </w:trPr>
        <w:tc>
          <w:tcPr>
            <w:tcW w:w="2240" w:type="dxa"/>
            <w:vAlign w:val="bottom"/>
            <w:gridSpan w:val="2"/>
            <w:vMerge w:val="restart"/>
          </w:tcPr>
          <w:p>
            <w:pPr>
              <w:ind w:left="20"/>
              <w:spacing w:after="0"/>
              <w:rPr>
                <w:sz w:val="20"/>
                <w:szCs w:val="20"/>
                <w:color w:val="auto"/>
              </w:rPr>
            </w:pPr>
            <w:r>
              <w:rPr>
                <w:rFonts w:ascii="Arial" w:cs="Arial" w:eastAsia="Arial" w:hAnsi="Arial"/>
                <w:sz w:val="18"/>
                <w:szCs w:val="18"/>
                <w:color w:val="auto"/>
              </w:rPr>
              <w:t>Primary underlying risk:</w:t>
            </w:r>
          </w:p>
        </w:tc>
        <w:tc>
          <w:tcPr>
            <w:tcW w:w="3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3"/>
          </w:tcPr>
          <w:p>
            <w:pPr>
              <w:jc w:val="right"/>
              <w:ind w:right="37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240" w:type="dxa"/>
            <w:vAlign w:val="bottom"/>
            <w:gridSpan w:val="2"/>
            <w:vMerge w:val="continue"/>
          </w:tcPr>
          <w:p>
            <w:pPr>
              <w:spacing w:after="0"/>
              <w:rPr>
                <w:sz w:val="17"/>
                <w:szCs w:val="17"/>
                <w:color w:val="auto"/>
              </w:rPr>
            </w:pPr>
          </w:p>
        </w:tc>
        <w:tc>
          <w:tcPr>
            <w:tcW w:w="3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Equity contracts</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2,075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2,833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1,816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100"/>
              <w:spacing w:after="0" w:line="216" w:lineRule="exact"/>
              <w:rPr>
                <w:sz w:val="20"/>
                <w:szCs w:val="20"/>
                <w:color w:val="auto"/>
              </w:rPr>
            </w:pPr>
            <w:r>
              <w:rPr>
                <w:rFonts w:ascii="Arial" w:cs="Arial" w:eastAsia="Arial" w:hAnsi="Arial"/>
                <w:sz w:val="17"/>
                <w:szCs w:val="17"/>
                <w:color w:val="auto"/>
              </w:rPr>
              <w:t>Credit contracts</w:t>
            </w:r>
            <w:r>
              <w:rPr>
                <w:rFonts w:ascii="Arial" w:cs="Arial" w:eastAsia="Arial" w:hAnsi="Arial"/>
                <w:sz w:val="25"/>
                <w:szCs w:val="25"/>
                <w:color w:val="auto"/>
                <w:vertAlign w:val="superscript"/>
              </w:rPr>
              <w:t>(1)</w:t>
            </w:r>
          </w:p>
        </w:tc>
        <w:tc>
          <w:tcPr>
            <w:tcW w:w="30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495</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Commodity contracts</w:t>
            </w:r>
          </w:p>
        </w:tc>
        <w:tc>
          <w:tcPr>
            <w:tcW w:w="30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3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359" w:hanging="330"/>
        <w:spacing w:after="0" w:line="238" w:lineRule="auto"/>
        <w:tabs>
          <w:tab w:leader="none" w:pos="3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short notional amount on our credit default swap positions was approximately $2.6 billion and $3.5 billion at September 30, 2023 and December 31, 2022, respectively. However, because credit spreads cannot compress below zero, our downside short notional exposure to loss is approximately $0.5 billion and $0.9 billion as of September 30, 2023 and December 31, 2022, respectively.</w:t>
      </w:r>
    </w:p>
    <w:p>
      <w:pPr>
        <w:spacing w:after="0" w:line="187"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Certain derivative contracts executed by each of the Investment Funds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w:t>
      </w:r>
    </w:p>
    <w:p>
      <w:pPr>
        <w:spacing w:after="0" w:line="187"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The following table presents the fair values of our Investment segment’s derivatives that are not designated as hedging instruments in accordance with U.S. GAAP:</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rPr>
              <w:t>Derivative Assets</w:t>
            </w:r>
          </w:p>
        </w:tc>
        <w:tc>
          <w:tcPr>
            <w:tcW w:w="6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Derivative Liabilities</w:t>
            </w:r>
          </w:p>
        </w:tc>
        <w:tc>
          <w:tcPr>
            <w:tcW w:w="5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September 30, 2023</w:t>
            </w:r>
          </w:p>
        </w:tc>
        <w:tc>
          <w:tcPr>
            <w:tcW w:w="200" w:type="dxa"/>
            <w:vAlign w:val="bottom"/>
          </w:tcPr>
          <w:p>
            <w:pPr>
              <w:spacing w:after="0"/>
              <w:rPr>
                <w:sz w:val="18"/>
                <w:szCs w:val="18"/>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December 31, 2022</w:t>
            </w:r>
          </w:p>
        </w:tc>
        <w:tc>
          <w:tcPr>
            <w:tcW w:w="200" w:type="dxa"/>
            <w:vAlign w:val="bottom"/>
          </w:tcPr>
          <w:p>
            <w:pPr>
              <w:spacing w:after="0"/>
              <w:rPr>
                <w:sz w:val="18"/>
                <w:szCs w:val="18"/>
                <w:color w:val="auto"/>
              </w:rPr>
            </w:pP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September 30, 2023</w:t>
            </w:r>
          </w:p>
        </w:tc>
        <w:tc>
          <w:tcPr>
            <w:tcW w:w="180" w:type="dxa"/>
            <w:vAlign w:val="bottom"/>
          </w:tcPr>
          <w:p>
            <w:pPr>
              <w:spacing w:after="0"/>
              <w:rPr>
                <w:sz w:val="18"/>
                <w:szCs w:val="18"/>
                <w:color w:val="auto"/>
              </w:rPr>
            </w:pPr>
          </w:p>
        </w:tc>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88"/>
              </w:rPr>
              <w:t>December 31, 2022</w:t>
            </w:r>
          </w:p>
        </w:tc>
        <w:tc>
          <w:tcPr>
            <w:tcW w:w="20" w:type="dxa"/>
            <w:vAlign w:val="bottom"/>
          </w:tcPr>
          <w:p>
            <w:pPr>
              <w:spacing w:after="0"/>
              <w:rPr>
                <w:sz w:val="18"/>
                <w:szCs w:val="18"/>
                <w:color w:val="auto"/>
              </w:rPr>
            </w:pPr>
          </w:p>
        </w:tc>
      </w:tr>
      <w:tr>
        <w:trPr>
          <w:trHeight w:val="196"/>
        </w:trPr>
        <w:tc>
          <w:tcPr>
            <w:tcW w:w="2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gridSpan w:val="3"/>
          </w:tcPr>
          <w:p>
            <w:pPr>
              <w:ind w:left="480"/>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contracts</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20" w:type="dxa"/>
            <w:vAlign w:val="bottom"/>
          </w:tcPr>
          <w:p>
            <w:pPr>
              <w:spacing w:after="0"/>
              <w:rPr>
                <w:sz w:val="18"/>
                <w:szCs w:val="18"/>
                <w:color w:val="auto"/>
              </w:rPr>
            </w:pPr>
          </w:p>
        </w:tc>
      </w:tr>
      <w:tr>
        <w:trPr>
          <w:trHeight w:val="216"/>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Credit contracts</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447</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16"/>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09"/>
        </w:trPr>
        <w:tc>
          <w:tcPr>
            <w:tcW w:w="2320" w:type="dxa"/>
            <w:vAlign w:val="bottom"/>
            <w:gridSpan w:val="2"/>
          </w:tcPr>
          <w:p>
            <w:pPr>
              <w:ind w:left="120"/>
              <w:spacing w:after="0"/>
              <w:rPr>
                <w:sz w:val="20"/>
                <w:szCs w:val="20"/>
                <w:color w:val="auto"/>
              </w:rPr>
            </w:pPr>
            <w:r>
              <w:rPr>
                <w:rFonts w:ascii="Arial" w:cs="Arial" w:eastAsia="Arial" w:hAnsi="Arial"/>
                <w:sz w:val="18"/>
                <w:szCs w:val="18"/>
                <w:color w:val="auto"/>
              </w:rPr>
              <w:t>Sub-total</w:t>
            </w:r>
          </w:p>
        </w:tc>
        <w:tc>
          <w:tcPr>
            <w:tcW w:w="5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2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20" w:type="dxa"/>
            <w:vAlign w:val="bottom"/>
          </w:tcPr>
          <w:p>
            <w:pPr>
              <w:spacing w:after="0"/>
              <w:rPr>
                <w:sz w:val="18"/>
                <w:szCs w:val="18"/>
                <w:color w:val="auto"/>
              </w:rPr>
            </w:pPr>
          </w:p>
        </w:tc>
      </w:tr>
      <w:tr>
        <w:trPr>
          <w:trHeight w:val="192"/>
        </w:trPr>
        <w:tc>
          <w:tcPr>
            <w:tcW w:w="2320" w:type="dxa"/>
            <w:vAlign w:val="bottom"/>
            <w:gridSpan w:val="2"/>
            <w:shd w:val="clear" w:color="auto" w:fill="CCEEFF"/>
          </w:tcPr>
          <w:p>
            <w:pPr>
              <w:ind w:left="120"/>
              <w:spacing w:after="0" w:line="192" w:lineRule="exact"/>
              <w:rPr>
                <w:sz w:val="20"/>
                <w:szCs w:val="20"/>
                <w:color w:val="auto"/>
              </w:rPr>
            </w:pPr>
            <w:r>
              <w:rPr>
                <w:rFonts w:ascii="Arial" w:cs="Arial" w:eastAsia="Arial" w:hAnsi="Arial"/>
                <w:sz w:val="18"/>
                <w:szCs w:val="18"/>
                <w:color w:val="auto"/>
              </w:rPr>
              <w:t>Netting across contract</w:t>
            </w:r>
          </w:p>
        </w:tc>
        <w:tc>
          <w:tcPr>
            <w:tcW w:w="5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40"/>
        </w:trPr>
        <w:tc>
          <w:tcPr>
            <w:tcW w:w="2320" w:type="dxa"/>
            <w:vAlign w:val="bottom"/>
            <w:gridSpan w:val="2"/>
            <w:shd w:val="clear" w:color="auto" w:fill="CCEEFF"/>
          </w:tcPr>
          <w:p>
            <w:pPr>
              <w:ind w:left="120"/>
              <w:spacing w:after="0" w:line="240" w:lineRule="exact"/>
              <w:rPr>
                <w:sz w:val="20"/>
                <w:szCs w:val="20"/>
                <w:color w:val="auto"/>
              </w:rPr>
            </w:pPr>
            <w:r>
              <w:rPr>
                <w:rFonts w:ascii="Arial" w:cs="Arial" w:eastAsia="Arial" w:hAnsi="Arial"/>
                <w:sz w:val="18"/>
                <w:szCs w:val="18"/>
                <w:color w:val="auto"/>
              </w:rPr>
              <w:t>types</w:t>
            </w:r>
            <w:r>
              <w:rPr>
                <w:rFonts w:ascii="Arial" w:cs="Arial" w:eastAsia="Arial" w:hAnsi="Arial"/>
                <w:sz w:val="26"/>
                <w:szCs w:val="26"/>
                <w:color w:val="auto"/>
                <w:vertAlign w:val="superscript"/>
              </w:rPr>
              <w:t>(1)</w:t>
            </w:r>
          </w:p>
        </w:tc>
        <w:tc>
          <w:tcPr>
            <w:tcW w:w="5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w:t>
            </w:r>
          </w:p>
        </w:tc>
        <w:tc>
          <w:tcPr>
            <w:tcW w:w="8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5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w:t>
            </w:r>
          </w:p>
        </w:tc>
        <w:tc>
          <w:tcPr>
            <w:tcW w:w="9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0"/>
                <w:szCs w:val="20"/>
                <w:color w:val="auto"/>
              </w:rPr>
            </w:pPr>
          </w:p>
        </w:tc>
      </w:tr>
      <w:tr>
        <w:trPr>
          <w:trHeight w:val="210"/>
        </w:trPr>
        <w:tc>
          <w:tcPr>
            <w:tcW w:w="2320" w:type="dxa"/>
            <w:vAlign w:val="bottom"/>
            <w:gridSpan w:val="2"/>
          </w:tcPr>
          <w:p>
            <w:pPr>
              <w:ind w:left="20"/>
              <w:spacing w:after="0" w:line="210" w:lineRule="exact"/>
              <w:rPr>
                <w:sz w:val="20"/>
                <w:szCs w:val="20"/>
                <w:color w:val="auto"/>
              </w:rPr>
            </w:pPr>
            <w:r>
              <w:rPr>
                <w:rFonts w:ascii="Arial" w:cs="Arial" w:eastAsia="Arial" w:hAnsi="Arial"/>
                <w:sz w:val="17"/>
                <w:szCs w:val="17"/>
                <w:color w:val="auto"/>
              </w:rPr>
              <w:t>Total</w:t>
            </w:r>
            <w:r>
              <w:rPr>
                <w:rFonts w:ascii="Arial" w:cs="Arial" w:eastAsia="Arial" w:hAnsi="Arial"/>
                <w:sz w:val="24"/>
                <w:szCs w:val="24"/>
                <w:color w:val="auto"/>
                <w:vertAlign w:val="superscript"/>
              </w:rPr>
              <w:t>(1)</w:t>
            </w: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8"/>
                <w:szCs w:val="18"/>
                <w:color w:val="auto"/>
              </w:rPr>
            </w:pPr>
          </w:p>
        </w:tc>
        <w:tc>
          <w:tcPr>
            <w:tcW w:w="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200" w:type="dxa"/>
            <w:vAlign w:val="bottom"/>
          </w:tcPr>
          <w:p>
            <w:pPr>
              <w:spacing w:after="0"/>
              <w:rPr>
                <w:sz w:val="18"/>
                <w:szCs w:val="18"/>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80" w:type="dxa"/>
            <w:vAlign w:val="bottom"/>
          </w:tcPr>
          <w:p>
            <w:pPr>
              <w:spacing w:after="0"/>
              <w:rPr>
                <w:sz w:val="18"/>
                <w:szCs w:val="18"/>
                <w:color w:val="auto"/>
              </w:rPr>
            </w:pPr>
          </w:p>
        </w:tc>
        <w:tc>
          <w:tcPr>
            <w:tcW w:w="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2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62" w:lineRule="exact"/>
        <w:rPr>
          <w:sz w:val="20"/>
          <w:szCs w:val="20"/>
          <w:color w:val="auto"/>
        </w:rPr>
      </w:pPr>
    </w:p>
    <w:p>
      <w:pPr>
        <w:ind w:left="380" w:right="479" w:hanging="330"/>
        <w:spacing w:after="0" w:line="185" w:lineRule="auto"/>
        <w:tabs>
          <w:tab w:leader="none" w:pos="380" w:val="left"/>
        </w:tabs>
        <w:numPr>
          <w:ilvl w:val="0"/>
          <w:numId w:val="4"/>
        </w:numPr>
        <w:rPr>
          <w:rFonts w:ascii="Arial" w:cs="Arial" w:eastAsia="Arial" w:hAnsi="Arial"/>
          <w:sz w:val="28"/>
          <w:szCs w:val="28"/>
          <w:color w:val="auto"/>
          <w:vertAlign w:val="subscript"/>
        </w:rPr>
      </w:pPr>
      <w:r>
        <w:rPr>
          <w:rFonts w:ascii="Arial" w:cs="Arial" w:eastAsia="Arial" w:hAnsi="Arial"/>
          <w:sz w:val="13"/>
          <w:szCs w:val="13"/>
          <w:color w:val="auto"/>
        </w:rPr>
        <w:t>Excludes netting of cash collateral received and posted. The total collateral posted at September 30, 2023 and December 31, 2022 was $1,854 million and $1,436 million, respectively, across all counterparties, which are included in cash held at consolidated affiliated partnerships and restricted cash in the condensed consolidated balance sheets.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99" w:firstLine="324"/>
        <w:spacing w:after="0" w:line="308" w:lineRule="auto"/>
        <w:rPr>
          <w:sz w:val="20"/>
          <w:szCs w:val="20"/>
          <w:color w:val="auto"/>
        </w:rPr>
      </w:pPr>
      <w:r>
        <w:rPr>
          <w:rFonts w:ascii="Arial" w:cs="Arial" w:eastAsia="Arial" w:hAnsi="Arial"/>
          <w:sz w:val="17"/>
          <w:szCs w:val="17"/>
          <w:color w:val="auto"/>
        </w:rPr>
        <w:t>The following table presents the amount of gain (loss) recognized in the condensed consolidated statements of operations for our Investment segment’s derivatives not designated as hedging instruments: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99"/>
        </w:trPr>
        <w:tc>
          <w:tcPr>
            <w:tcW w:w="2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9"/>
          </w:tcPr>
          <w:p>
            <w:pPr>
              <w:jc w:val="right"/>
              <w:ind w:right="47"/>
              <w:spacing w:after="0"/>
              <w:rPr>
                <w:sz w:val="20"/>
                <w:szCs w:val="20"/>
                <w:color w:val="auto"/>
              </w:rPr>
            </w:pPr>
            <w:r>
              <w:rPr>
                <w:rFonts w:ascii="Arial" w:cs="Arial" w:eastAsia="Arial" w:hAnsi="Arial"/>
                <w:sz w:val="18"/>
                <w:szCs w:val="18"/>
                <w:b w:val="1"/>
                <w:bCs w:val="1"/>
                <w:color w:val="auto"/>
              </w:rPr>
              <w:t xml:space="preserve">Gain (loss) Recognized in Income </w:t>
            </w:r>
            <w:r>
              <w:rPr>
                <w:rFonts w:ascii="Arial" w:cs="Arial" w:eastAsia="Arial" w:hAnsi="Arial"/>
                <w:sz w:val="26"/>
                <w:szCs w:val="26"/>
                <w:b w:val="1"/>
                <w:bCs w:val="1"/>
                <w:color w:val="auto"/>
                <w:vertAlign w:val="superscript"/>
              </w:rPr>
              <w:t>(1)</w:t>
            </w: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1"/>
        </w:trPr>
        <w:tc>
          <w:tcPr>
            <w:tcW w:w="2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5"/>
          </w:tcPr>
          <w:p>
            <w:pPr>
              <w:jc w:val="right"/>
              <w:ind w:right="480"/>
              <w:spacing w:after="0" w:line="191" w:lineRule="exact"/>
              <w:rPr>
                <w:sz w:val="20"/>
                <w:szCs w:val="20"/>
                <w:color w:val="auto"/>
              </w:rPr>
            </w:pPr>
            <w:r>
              <w:rPr>
                <w:rFonts w:ascii="Arial" w:cs="Arial" w:eastAsia="Arial" w:hAnsi="Arial"/>
                <w:sz w:val="18"/>
                <w:szCs w:val="18"/>
                <w:b w:val="1"/>
                <w:bCs w:val="1"/>
                <w:color w:val="auto"/>
                <w:w w:val="96"/>
              </w:rPr>
              <w:t>Three Months Ended</w:t>
            </w:r>
          </w:p>
        </w:tc>
        <w:tc>
          <w:tcPr>
            <w:tcW w:w="300" w:type="dxa"/>
            <w:vAlign w:val="bottom"/>
          </w:tcPr>
          <w:p>
            <w:pPr>
              <w:spacing w:after="0"/>
              <w:rPr>
                <w:sz w:val="16"/>
                <w:szCs w:val="16"/>
                <w:color w:val="auto"/>
              </w:rPr>
            </w:pPr>
          </w:p>
        </w:tc>
        <w:tc>
          <w:tcPr>
            <w:tcW w:w="1920" w:type="dxa"/>
            <w:vAlign w:val="bottom"/>
            <w:gridSpan w:val="4"/>
          </w:tcPr>
          <w:p>
            <w:pPr>
              <w:jc w:val="center"/>
              <w:ind w:right="210"/>
              <w:spacing w:after="0" w:line="191" w:lineRule="exact"/>
              <w:rPr>
                <w:sz w:val="20"/>
                <w:szCs w:val="20"/>
                <w:color w:val="auto"/>
              </w:rPr>
            </w:pPr>
            <w:r>
              <w:rPr>
                <w:rFonts w:ascii="Arial" w:cs="Arial" w:eastAsia="Arial" w:hAnsi="Arial"/>
                <w:sz w:val="18"/>
                <w:szCs w:val="18"/>
                <w:b w:val="1"/>
                <w:bCs w:val="1"/>
                <w:color w:val="auto"/>
                <w:w w:val="91"/>
              </w:rPr>
              <w:t>Nine Months Ended</w:t>
            </w:r>
          </w:p>
        </w:tc>
        <w:tc>
          <w:tcPr>
            <w:tcW w:w="20" w:type="dxa"/>
            <w:vAlign w:val="bottom"/>
          </w:tcPr>
          <w:p>
            <w:pPr>
              <w:spacing w:after="0"/>
              <w:rPr>
                <w:sz w:val="16"/>
                <w:szCs w:val="16"/>
                <w:color w:val="auto"/>
              </w:rPr>
            </w:pPr>
          </w:p>
        </w:tc>
      </w:tr>
      <w:tr>
        <w:trPr>
          <w:trHeight w:val="234"/>
        </w:trPr>
        <w:tc>
          <w:tcPr>
            <w:tcW w:w="2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20"/>
                <w:szCs w:val="20"/>
                <w:color w:val="auto"/>
              </w:rPr>
            </w:pPr>
          </w:p>
        </w:tc>
        <w:tc>
          <w:tcPr>
            <w:tcW w:w="19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r>
      <w:tr>
        <w:trPr>
          <w:trHeight w:val="209"/>
        </w:trPr>
        <w:tc>
          <w:tcPr>
            <w:tcW w:w="2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2023</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8"/>
                <w:szCs w:val="18"/>
                <w:color w:val="auto"/>
              </w:rPr>
            </w:pPr>
          </w:p>
        </w:tc>
      </w:tr>
      <w:tr>
        <w:trPr>
          <w:trHeight w:val="196"/>
        </w:trPr>
        <w:tc>
          <w:tcPr>
            <w:tcW w:w="2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contracts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0" w:type="dxa"/>
            <w:vAlign w:val="bottom"/>
          </w:tcPr>
          <w:p>
            <w:pPr>
              <w:spacing w:after="0"/>
              <w:rPr>
                <w:sz w:val="18"/>
                <w:szCs w:val="18"/>
                <w:color w:val="auto"/>
              </w:rPr>
            </w:pPr>
          </w:p>
        </w:tc>
      </w:tr>
      <w:tr>
        <w:trPr>
          <w:trHeight w:val="216"/>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Credit contracts</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(259)</w:t>
            </w:r>
          </w:p>
        </w:tc>
        <w:tc>
          <w:tcPr>
            <w:tcW w:w="3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(579)</w:t>
            </w:r>
          </w:p>
        </w:tc>
        <w:tc>
          <w:tcPr>
            <w:tcW w:w="2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9"/>
        </w:trPr>
        <w:tc>
          <w:tcPr>
            <w:tcW w:w="2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62" w:lineRule="exact"/>
        <w:rPr>
          <w:sz w:val="20"/>
          <w:szCs w:val="20"/>
          <w:color w:val="auto"/>
        </w:rPr>
      </w:pPr>
    </w:p>
    <w:p>
      <w:pPr>
        <w:ind w:left="380" w:right="419" w:hanging="330"/>
        <w:spacing w:after="0" w:line="253" w:lineRule="auto"/>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Gains (losses) recognized on derivatives are classified in net (loss) gain from investment activities in our condensed consolidated statements of operations for our Investment segment.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219" w:firstLine="324"/>
        <w:spacing w:after="0" w:line="254" w:lineRule="auto"/>
        <w:rPr>
          <w:sz w:val="20"/>
          <w:szCs w:val="20"/>
          <w:color w:val="auto"/>
        </w:rPr>
      </w:pPr>
      <w:r>
        <w:rPr>
          <w:rFonts w:ascii="Arial" w:cs="Arial" w:eastAsia="Arial" w:hAnsi="Arial"/>
          <w:sz w:val="18"/>
          <w:szCs w:val="18"/>
          <w:color w:val="auto"/>
        </w:rPr>
        <w:t>CVR Energy’s businesses are subject to fluctuations of commodity prices caused by supply conditions, weather, economic conditions, interest rates, and other factors. To manage price risk on crude oil and other inventories and to fix margins on future production, CVR Energy from time to time enters into various commodity derivative transactions and holds derivative instruments, such as futures and swaps, which it believes provide an economic hedge on future transactions, but such instruments are not designated as hedge instruments. CVR Energy may enter into forward purchase or sale contracts associated with its feedstocks, expected future gasoline and diesel production and/or renewable identification numbers (“RINs”).</w:t>
      </w:r>
    </w:p>
    <w:p>
      <w:pPr>
        <w:spacing w:after="0" w:line="195" w:lineRule="exact"/>
        <w:rPr>
          <w:sz w:val="20"/>
          <w:szCs w:val="20"/>
          <w:color w:val="auto"/>
        </w:rPr>
      </w:pPr>
    </w:p>
    <w:p>
      <w:pPr>
        <w:ind w:left="60" w:right="119" w:firstLine="324"/>
        <w:spacing w:after="0" w:line="296" w:lineRule="auto"/>
        <w:rPr>
          <w:sz w:val="20"/>
          <w:szCs w:val="20"/>
          <w:color w:val="auto"/>
        </w:rPr>
      </w:pPr>
      <w:r>
        <w:rPr>
          <w:rFonts w:ascii="Arial" w:cs="Arial" w:eastAsia="Arial" w:hAnsi="Arial"/>
          <w:sz w:val="16"/>
          <w:szCs w:val="16"/>
          <w:color w:val="auto"/>
        </w:rPr>
        <w:t>As of September 30, 2023 CVR Energy had swap positions for crack spreads of 13 million barrels of refined products, and none outstanding as of December 31, 2022. As of September 30, 2023 and December 31, 2022, CVR Energy had future contracts of less than 1 million barrels at each period. As of September 30, 2023 and December 31, 2022, CVR Energy had forward contracts of less than 1 million barrels at each period. As of September 30, 2023 and December 31, 2022, CVR Energy had open fixed-price commitments to purchase a net 28 million and 34 million RINs, respectively.</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presents the fair value of our Energy segment’s derivatives and the effect of the collateral netting:</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rPr>
              <w:t>Derivative Assets</w:t>
            </w:r>
          </w:p>
        </w:tc>
        <w:tc>
          <w:tcPr>
            <w:tcW w:w="5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Derivative Liabilities</w:t>
            </w:r>
          </w:p>
        </w:tc>
        <w:tc>
          <w:tcPr>
            <w:tcW w:w="5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2320" w:type="dxa"/>
            <w:vAlign w:val="bottom"/>
          </w:tcPr>
          <w:p>
            <w:pPr>
              <w:spacing w:after="0"/>
              <w:rPr>
                <w:sz w:val="18"/>
                <w:szCs w:val="18"/>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September 30, 2023</w:t>
            </w:r>
          </w:p>
        </w:tc>
        <w:tc>
          <w:tcPr>
            <w:tcW w:w="200" w:type="dxa"/>
            <w:vAlign w:val="bottom"/>
          </w:tcPr>
          <w:p>
            <w:pPr>
              <w:spacing w:after="0"/>
              <w:rPr>
                <w:sz w:val="18"/>
                <w:szCs w:val="18"/>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December 31, 2022</w:t>
            </w:r>
          </w:p>
        </w:tc>
        <w:tc>
          <w:tcPr>
            <w:tcW w:w="200" w:type="dxa"/>
            <w:vAlign w:val="bottom"/>
          </w:tcPr>
          <w:p>
            <w:pPr>
              <w:spacing w:after="0"/>
              <w:rPr>
                <w:sz w:val="18"/>
                <w:szCs w:val="18"/>
                <w:color w:val="auto"/>
              </w:rPr>
            </w:pP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September 30, 2023</w:t>
            </w:r>
          </w:p>
        </w:tc>
        <w:tc>
          <w:tcPr>
            <w:tcW w:w="180" w:type="dxa"/>
            <w:vAlign w:val="bottom"/>
          </w:tcPr>
          <w:p>
            <w:pPr>
              <w:spacing w:after="0"/>
              <w:rPr>
                <w:sz w:val="18"/>
                <w:szCs w:val="18"/>
                <w:color w:val="auto"/>
              </w:rPr>
            </w:pPr>
          </w:p>
        </w:tc>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88"/>
              </w:rPr>
              <w:t>December 31, 2022</w:t>
            </w:r>
          </w:p>
        </w:tc>
        <w:tc>
          <w:tcPr>
            <w:tcW w:w="20" w:type="dxa"/>
            <w:vAlign w:val="bottom"/>
          </w:tcPr>
          <w:p>
            <w:pPr>
              <w:spacing w:after="0"/>
              <w:rPr>
                <w:sz w:val="18"/>
                <w:szCs w:val="18"/>
                <w:color w:val="auto"/>
              </w:rPr>
            </w:pPr>
          </w:p>
        </w:tc>
      </w:tr>
      <w:tr>
        <w:trPr>
          <w:trHeight w:val="196"/>
        </w:trPr>
        <w:tc>
          <w:tcPr>
            <w:tcW w:w="2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gridSpan w:val="3"/>
          </w:tcPr>
          <w:p>
            <w:pPr>
              <w:ind w:left="420"/>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r>
        <w:trPr>
          <w:trHeight w:val="192"/>
        </w:trPr>
        <w:tc>
          <w:tcPr>
            <w:tcW w:w="2320" w:type="dxa"/>
            <w:vAlign w:val="bottom"/>
          </w:tcPr>
          <w:p>
            <w:pPr>
              <w:ind w:left="120"/>
              <w:spacing w:after="0" w:line="192" w:lineRule="exact"/>
              <w:rPr>
                <w:sz w:val="20"/>
                <w:szCs w:val="20"/>
                <w:color w:val="auto"/>
              </w:rPr>
            </w:pPr>
            <w:r>
              <w:rPr>
                <w:rFonts w:ascii="Arial" w:cs="Arial" w:eastAsia="Arial" w:hAnsi="Arial"/>
                <w:sz w:val="18"/>
                <w:szCs w:val="18"/>
                <w:color w:val="auto"/>
              </w:rPr>
              <w:t>Netting across contract</w:t>
            </w: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0"/>
        </w:trPr>
        <w:tc>
          <w:tcPr>
            <w:tcW w:w="2320" w:type="dxa"/>
            <w:vAlign w:val="bottom"/>
          </w:tcPr>
          <w:p>
            <w:pPr>
              <w:ind w:left="120"/>
              <w:spacing w:after="0" w:line="240" w:lineRule="exact"/>
              <w:rPr>
                <w:sz w:val="20"/>
                <w:szCs w:val="20"/>
                <w:color w:val="auto"/>
              </w:rPr>
            </w:pPr>
            <w:r>
              <w:rPr>
                <w:rFonts w:ascii="Arial" w:cs="Arial" w:eastAsia="Arial" w:hAnsi="Arial"/>
                <w:sz w:val="18"/>
                <w:szCs w:val="18"/>
                <w:color w:val="auto"/>
              </w:rPr>
              <w:t>types</w:t>
            </w:r>
            <w:r>
              <w:rPr>
                <w:rFonts w:ascii="Arial" w:cs="Arial" w:eastAsia="Arial" w:hAnsi="Arial"/>
                <w:sz w:val="26"/>
                <w:szCs w:val="26"/>
                <w:color w:val="auto"/>
                <w:vertAlign w:val="superscript"/>
              </w:rPr>
              <w:t>(1)</w:t>
            </w:r>
          </w:p>
        </w:tc>
        <w:tc>
          <w:tcPr>
            <w:tcW w:w="500" w:type="dxa"/>
            <w:vAlign w:val="bottom"/>
          </w:tcPr>
          <w:p>
            <w:pPr>
              <w:spacing w:after="0"/>
              <w:rPr>
                <w:sz w:val="20"/>
                <w:szCs w:val="20"/>
                <w:color w:val="auto"/>
              </w:rPr>
            </w:pP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7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10"/>
        </w:trPr>
        <w:tc>
          <w:tcPr>
            <w:tcW w:w="2320" w:type="dxa"/>
            <w:vAlign w:val="bottom"/>
            <w:tcBorders>
              <w:top w:val="single" w:sz="8" w:color="CCEEFF"/>
              <w:bottom w:val="single" w:sz="8" w:color="CCEEFF"/>
            </w:tcBorders>
            <w:shd w:val="clear" w:color="auto" w:fill="CCEEFF"/>
          </w:tcPr>
          <w:p>
            <w:pPr>
              <w:ind w:left="20"/>
              <w:spacing w:after="0" w:line="210" w:lineRule="exact"/>
              <w:rPr>
                <w:sz w:val="20"/>
                <w:szCs w:val="20"/>
                <w:color w:val="auto"/>
              </w:rPr>
            </w:pPr>
            <w:r>
              <w:rPr>
                <w:rFonts w:ascii="Arial" w:cs="Arial" w:eastAsia="Arial" w:hAnsi="Arial"/>
                <w:sz w:val="17"/>
                <w:szCs w:val="17"/>
                <w:color w:val="auto"/>
              </w:rPr>
              <w:t>Total</w:t>
            </w:r>
            <w:r>
              <w:rPr>
                <w:rFonts w:ascii="Arial" w:cs="Arial" w:eastAsia="Arial" w:hAnsi="Arial"/>
                <w:sz w:val="24"/>
                <w:szCs w:val="24"/>
                <w:color w:val="auto"/>
                <w:vertAlign w:val="superscript"/>
              </w:rPr>
              <w:t>(1)</w:t>
            </w: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0"/>
        </w:trPr>
        <w:tc>
          <w:tcPr>
            <w:tcW w:w="2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93" w:lineRule="exact"/>
        <w:rPr>
          <w:sz w:val="20"/>
          <w:szCs w:val="20"/>
          <w:color w:val="auto"/>
        </w:rPr>
      </w:pPr>
    </w:p>
    <w:p>
      <w:pPr>
        <w:ind w:left="720" w:right="459" w:hanging="319"/>
        <w:spacing w:after="0" w:line="290" w:lineRule="auto"/>
        <w:tabs>
          <w:tab w:leader="none" w:pos="720" w:val="left"/>
        </w:tabs>
        <w:numPr>
          <w:ilvl w:val="0"/>
          <w:numId w:val="6"/>
        </w:numPr>
        <w:rPr>
          <w:rFonts w:ascii="Arial" w:cs="Arial" w:eastAsia="Arial" w:hAnsi="Arial"/>
          <w:sz w:val="13"/>
          <w:szCs w:val="13"/>
          <w:color w:val="auto"/>
        </w:rPr>
      </w:pPr>
      <w:r>
        <w:rPr>
          <w:rFonts w:ascii="Arial" w:cs="Arial" w:eastAsia="Arial" w:hAnsi="Arial"/>
          <w:sz w:val="13"/>
          <w:szCs w:val="13"/>
          <w:color w:val="auto"/>
        </w:rPr>
        <w:t>Excludes netting of derivatives primarily related to initial margin requirements of $20 million and $7 million at September 30, 2023 and December 31, 2022, respectively, which was not offset against derivatives liabilities, net in the condensed consolidated balance sheets.</w:t>
      </w:r>
    </w:p>
    <w:p>
      <w:pPr>
        <w:spacing w:after="0" w:line="156" w:lineRule="exact"/>
        <w:rPr>
          <w:sz w:val="20"/>
          <w:szCs w:val="20"/>
          <w:color w:val="auto"/>
        </w:rPr>
      </w:pPr>
    </w:p>
    <w:p>
      <w:pPr>
        <w:ind w:left="60" w:right="159" w:firstLine="324"/>
        <w:spacing w:after="0" w:line="301" w:lineRule="auto"/>
        <w:rPr>
          <w:sz w:val="20"/>
          <w:szCs w:val="20"/>
          <w:color w:val="auto"/>
        </w:rPr>
      </w:pPr>
      <w:r>
        <w:rPr>
          <w:rFonts w:ascii="Arial" w:cs="Arial" w:eastAsia="Arial" w:hAnsi="Arial"/>
          <w:sz w:val="16"/>
          <w:szCs w:val="16"/>
          <w:color w:val="auto"/>
        </w:rPr>
        <w:t>Certain derivative instruments within our Energy segment contain credit risk-related contingent provisions associated with our Energy segments’ credit ratings. If our Energy segments’ credit rating were to be downgraded, it would allow the counterparty to require our Energy segment to post collateral or to request, immediate, full settlement of derivative instruments in liability positions. There were $35 million of the Energy segments’ derivative instruments with</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credit-risk-related contingent features in a liability position as of September 30, 2023, for which $2 million of collateral has been posted.</w:t>
      </w:r>
    </w:p>
    <w:p>
      <w:pPr>
        <w:spacing w:after="0" w:line="170" w:lineRule="exact"/>
        <w:rPr>
          <w:sz w:val="20"/>
          <w:szCs w:val="20"/>
          <w:color w:val="auto"/>
        </w:rPr>
      </w:pPr>
    </w:p>
    <w:p>
      <w:pPr>
        <w:ind w:left="60" w:right="239" w:firstLine="324"/>
        <w:spacing w:after="0" w:line="279" w:lineRule="auto"/>
        <w:rPr>
          <w:sz w:val="20"/>
          <w:szCs w:val="20"/>
          <w:color w:val="auto"/>
        </w:rPr>
      </w:pPr>
      <w:r>
        <w:rPr>
          <w:rFonts w:ascii="Arial" w:cs="Arial" w:eastAsia="Arial" w:hAnsi="Arial"/>
          <w:sz w:val="17"/>
          <w:szCs w:val="17"/>
          <w:color w:val="auto"/>
        </w:rPr>
        <w:t>(Losses) gains recognized on derivatives for our Energy segment were $(106) million and $23 million for the three months ended September 30, 2023 and 2022, respectively, and $(65) million and $(43) million for the nine months ended September 30, 2023 and 2022, respectively. Gains and losses recognized on derivatives for our Energy segment are included in cost of goods sold on the condensed consolidated statements of operations.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Related Party Notes Receivable, Net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Related party notes receivable and its related allowance for expected credit losses consists of the following:</w:t>
      </w:r>
    </w:p>
    <w:p>
      <w:pPr>
        <w:spacing w:after="0" w:line="235" w:lineRule="exact"/>
        <w:rPr>
          <w:sz w:val="20"/>
          <w:szCs w:val="20"/>
          <w:color w:val="auto"/>
        </w:rPr>
      </w:pPr>
    </w:p>
    <w:p>
      <w:pPr>
        <w:ind w:left="7380"/>
        <w:spacing w:after="0"/>
        <w:rPr>
          <w:sz w:val="20"/>
          <w:szCs w:val="20"/>
          <w:color w:val="auto"/>
        </w:rPr>
      </w:pPr>
      <w:r>
        <w:rPr>
          <w:rFonts w:ascii="Arial" w:cs="Arial" w:eastAsia="Arial" w:hAnsi="Arial"/>
          <w:sz w:val="16"/>
          <w:szCs w:val="16"/>
          <w:b w:val="1"/>
          <w:bCs w:val="1"/>
          <w:u w:val="single" w:color="auto"/>
          <w:color w:val="auto"/>
        </w:rPr>
        <w:t>September 30, 2023</w:t>
      </w:r>
    </w:p>
    <w:p>
      <w:pPr>
        <w:sectPr>
          <w:pgSz w:w="11900" w:h="16838" w:orient="portrait"/>
          <w:cols w:equalWidth="0" w:num="1">
            <w:col w:w="9019"/>
          </w:cols>
          <w:pgMar w:left="1440" w:top="517" w:right="1440" w:bottom="1440" w:gutter="0" w:footer="0" w:header="0"/>
        </w:sectPr>
      </w:pP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Related party notes receivable,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4896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6"/>
          <w:szCs w:val="16"/>
          <w:color w:val="auto"/>
        </w:rPr>
        <w:t>Less: Allowance for expected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20320</wp:posOffset>
            </wp:positionV>
            <wp:extent cx="564896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Related party notes receivable, net</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Allowance for expected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4896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Credit loss provision</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Write-offs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Ending Balance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6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09"/>
        </w:trPr>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14"/>
        </w:trPr>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6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r>
      <w:tr>
        <w:trPr>
          <w:trHeight w:val="210"/>
        </w:trPr>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00" w:space="720"/>
            <w:col w:w="1699"/>
          </w:cols>
          <w:pgMar w:left="1440" w:top="517" w:right="1440" w:bottom="1440" w:gutter="0" w:footer="0" w:header="0"/>
          <w:type w:val="continuous"/>
        </w:sectPr>
      </w:pPr>
    </w:p>
    <w:p>
      <w:pPr>
        <w:spacing w:after="0" w:line="218" w:lineRule="exact"/>
        <w:rPr>
          <w:sz w:val="20"/>
          <w:szCs w:val="20"/>
          <w:color w:val="auto"/>
        </w:rPr>
      </w:pPr>
    </w:p>
    <w:p>
      <w:pPr>
        <w:ind w:left="60" w:right="219" w:firstLine="324"/>
        <w:spacing w:after="0" w:line="263" w:lineRule="auto"/>
        <w:rPr>
          <w:sz w:val="20"/>
          <w:szCs w:val="20"/>
          <w:color w:val="auto"/>
        </w:rPr>
      </w:pPr>
      <w:r>
        <w:rPr>
          <w:rFonts w:ascii="Arial" w:cs="Arial" w:eastAsia="Arial" w:hAnsi="Arial"/>
          <w:sz w:val="18"/>
          <w:szCs w:val="18"/>
          <w:color w:val="auto"/>
        </w:rPr>
        <w:t>Write-offs associated with related party notes receivable were $127 million for the nine months ended September 30, 2023. See Note 6, “Financial Instruments,” for additional information related to the fair value of the related party notes receivable.</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9. Inventories, Net</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32"/>
        </w:trPr>
        <w:tc>
          <w:tcPr>
            <w:tcW w:w="6440" w:type="dxa"/>
            <w:vAlign w:val="bottom"/>
          </w:tcPr>
          <w:p>
            <w:pPr>
              <w:ind w:left="340"/>
              <w:spacing w:after="0"/>
              <w:rPr>
                <w:sz w:val="20"/>
                <w:szCs w:val="20"/>
                <w:color w:val="auto"/>
              </w:rPr>
            </w:pPr>
            <w:r>
              <w:rPr>
                <w:rFonts w:ascii="Arial" w:cs="Arial" w:eastAsia="Arial" w:hAnsi="Arial"/>
                <w:sz w:val="18"/>
                <w:szCs w:val="18"/>
                <w:color w:val="auto"/>
              </w:rPr>
              <w:t>Inventories, net consists of the following:</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27"/>
        </w:trPr>
        <w:tc>
          <w:tcPr>
            <w:tcW w:w="644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r>
      <w:tr>
        <w:trPr>
          <w:trHeight w:val="129"/>
        </w:trPr>
        <w:tc>
          <w:tcPr>
            <w:tcW w:w="6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gridSpan w:val="3"/>
          </w:tcPr>
          <w:p>
            <w:pPr>
              <w:ind w:left="620"/>
              <w:spacing w:after="0" w:line="129" w:lineRule="exact"/>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1"/>
                <w:szCs w:val="1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r>
      <w:tr>
        <w:trPr>
          <w:trHeight w:val="210"/>
        </w:trPr>
        <w:tc>
          <w:tcPr>
            <w:tcW w:w="644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w:t>
            </w:r>
          </w:p>
        </w:tc>
      </w:tr>
      <w:tr>
        <w:trPr>
          <w:trHeight w:val="20"/>
        </w:trPr>
        <w:tc>
          <w:tcPr>
            <w:tcW w:w="6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Due to the deconsolidation of Auto Plus inventories decreased $440 million from December 31, 2022.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right="5899" w:hanging="330"/>
        <w:spacing w:after="0" w:line="572" w:lineRule="auto"/>
        <w:tabs>
          <w:tab w:leader="none" w:pos="371"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and Intangible Assets, Net </w:t>
      </w:r>
      <w:r>
        <w:rPr>
          <w:rFonts w:ascii="Arial" w:cs="Arial" w:eastAsia="Arial" w:hAnsi="Arial"/>
          <w:sz w:val="16"/>
          <w:szCs w:val="16"/>
          <w:color w:val="auto"/>
        </w:rPr>
        <w:t>Goodwill consists of the following:</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September 30, 2023</w:t>
            </w:r>
          </w:p>
        </w:tc>
        <w:tc>
          <w:tcPr>
            <w:tcW w:w="6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6"/>
          </w:tcPr>
          <w:p>
            <w:pPr>
              <w:jc w:val="right"/>
              <w:ind w:right="27"/>
              <w:spacing w:after="0"/>
              <w:rPr>
                <w:sz w:val="20"/>
                <w:szCs w:val="20"/>
                <w:color w:val="auto"/>
              </w:rPr>
            </w:pPr>
            <w:r>
              <w:rPr>
                <w:rFonts w:ascii="Arial" w:cs="Arial" w:eastAsia="Arial" w:hAnsi="Arial"/>
                <w:sz w:val="18"/>
                <w:szCs w:val="18"/>
                <w:b w:val="1"/>
                <w:bCs w:val="1"/>
                <w:color w:val="auto"/>
                <w:w w:val="90"/>
              </w:rPr>
              <w:t>December 31, 2022</w:t>
            </w:r>
          </w:p>
        </w:tc>
        <w:tc>
          <w:tcPr>
            <w:tcW w:w="620" w:type="dxa"/>
            <w:vAlign w:val="bottom"/>
            <w:tcBorders>
              <w:bottom w:val="single" w:sz="8" w:color="auto"/>
            </w:tcBorders>
          </w:tcPr>
          <w:p>
            <w:pPr>
              <w:spacing w:after="0"/>
              <w:rPr>
                <w:sz w:val="20"/>
                <w:szCs w:val="20"/>
                <w:color w:val="auto"/>
              </w:rPr>
            </w:pPr>
          </w:p>
        </w:tc>
      </w:tr>
      <w:tr>
        <w:trPr>
          <w:trHeight w:val="191"/>
        </w:trPr>
        <w:tc>
          <w:tcPr>
            <w:tcW w:w="2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52"/>
              <w:spacing w:after="0" w:line="191" w:lineRule="exact"/>
              <w:rPr>
                <w:sz w:val="20"/>
                <w:szCs w:val="20"/>
                <w:color w:val="auto"/>
              </w:rPr>
            </w:pPr>
            <w:r>
              <w:rPr>
                <w:rFonts w:ascii="Arial" w:cs="Arial" w:eastAsia="Arial" w:hAnsi="Arial"/>
                <w:sz w:val="18"/>
                <w:szCs w:val="18"/>
                <w:b w:val="1"/>
                <w:bCs w:val="1"/>
                <w:color w:val="auto"/>
              </w:rPr>
              <w:t>Net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88"/>
              </w:rPr>
              <w:t>Gross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Net</w:t>
            </w:r>
          </w:p>
        </w:tc>
      </w:tr>
      <w:tr>
        <w:trPr>
          <w:trHeight w:val="216"/>
        </w:trPr>
        <w:tc>
          <w:tcPr>
            <w:tcW w:w="2080" w:type="dxa"/>
            <w:vAlign w:val="bottom"/>
          </w:tcPr>
          <w:p>
            <w:pPr>
              <w:spacing w:after="0"/>
              <w:rPr>
                <w:sz w:val="18"/>
                <w:szCs w:val="18"/>
                <w:color w:val="auto"/>
              </w:rPr>
            </w:pPr>
          </w:p>
        </w:tc>
        <w:tc>
          <w:tcPr>
            <w:tcW w:w="6820" w:type="dxa"/>
            <w:vAlign w:val="bottom"/>
            <w:gridSpan w:val="19"/>
          </w:tcPr>
          <w:p>
            <w:pPr>
              <w:jc w:val="right"/>
              <w:spacing w:after="0"/>
              <w:rPr>
                <w:sz w:val="20"/>
                <w:szCs w:val="20"/>
                <w:color w:val="auto"/>
              </w:rPr>
            </w:pPr>
            <w:r>
              <w:rPr>
                <w:rFonts w:ascii="Arial" w:cs="Arial" w:eastAsia="Arial" w:hAnsi="Arial"/>
                <w:sz w:val="18"/>
                <w:szCs w:val="18"/>
                <w:b w:val="1"/>
                <w:bCs w:val="1"/>
                <w:color w:val="auto"/>
              </w:rPr>
              <w:t>Carrying  Accumulated  Carrying  Carrying  Accumulated  Carrying</w:t>
            </w:r>
          </w:p>
        </w:tc>
      </w:tr>
      <w:tr>
        <w:trPr>
          <w:trHeight w:val="234"/>
        </w:trPr>
        <w:tc>
          <w:tcPr>
            <w:tcW w:w="2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Impairment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20"/>
                <w:szCs w:val="20"/>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Impairment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Value</w:t>
            </w:r>
          </w:p>
        </w:tc>
      </w:tr>
      <w:tr>
        <w:trPr>
          <w:trHeight w:val="196"/>
        </w:trPr>
        <w:tc>
          <w:tcPr>
            <w:tcW w:w="2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4"/>
          </w:tcPr>
          <w:p>
            <w:pPr>
              <w:jc w:val="right"/>
              <w:ind w:right="310"/>
              <w:spacing w:after="0"/>
              <w:rPr>
                <w:sz w:val="20"/>
                <w:szCs w:val="20"/>
                <w:color w:val="auto"/>
              </w:rPr>
            </w:pPr>
            <w:r>
              <w:rPr>
                <w:rFonts w:ascii="Arial" w:cs="Arial" w:eastAsia="Arial" w:hAnsi="Arial"/>
                <w:sz w:val="14"/>
                <w:szCs w:val="14"/>
                <w:color w:val="auto"/>
              </w:rPr>
              <w:t>(in millions)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Automotive</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58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64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Food Packaging</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Home Fashion</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Pharma</w:t>
            </w: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10"/>
        </w:trPr>
        <w:tc>
          <w:tcPr>
            <w:tcW w:w="20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0"/>
        </w:trPr>
        <w:tc>
          <w:tcPr>
            <w:tcW w:w="2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Intangible assets, net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6"/>
          </w:tcPr>
          <w:p>
            <w:pPr>
              <w:ind w:left="540"/>
              <w:spacing w:after="0"/>
              <w:rPr>
                <w:sz w:val="20"/>
                <w:szCs w:val="20"/>
                <w:color w:val="auto"/>
              </w:rPr>
            </w:pPr>
            <w:r>
              <w:rPr>
                <w:rFonts w:ascii="Arial" w:cs="Arial" w:eastAsia="Arial" w:hAnsi="Arial"/>
                <w:sz w:val="18"/>
                <w:szCs w:val="18"/>
                <w:b w:val="1"/>
                <w:bCs w:val="1"/>
                <w:color w:val="auto"/>
                <w:w w:val="92"/>
              </w:rPr>
              <w:t>September 30, 2023</w:t>
            </w:r>
          </w:p>
        </w:tc>
        <w:tc>
          <w:tcPr>
            <w:tcW w:w="5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auto"/>
                <w:w w:val="87"/>
              </w:rPr>
              <w:t>December 31, 2022</w:t>
            </w:r>
          </w:p>
        </w:tc>
        <w:tc>
          <w:tcPr>
            <w:tcW w:w="620" w:type="dxa"/>
            <w:vAlign w:val="bottom"/>
            <w:tcBorders>
              <w:bottom w:val="single" w:sz="8" w:color="auto"/>
            </w:tcBorders>
          </w:tcPr>
          <w:p>
            <w:pPr>
              <w:spacing w:after="0"/>
              <w:rPr>
                <w:sz w:val="20"/>
                <w:szCs w:val="20"/>
                <w:color w:val="auto"/>
              </w:rPr>
            </w:pPr>
          </w:p>
        </w:tc>
      </w:tr>
      <w:tr>
        <w:trPr>
          <w:trHeight w:val="191"/>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4"/>
              </w:rPr>
              <w:t>Gross</w:t>
            </w: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112"/>
              <w:spacing w:after="0" w:line="191" w:lineRule="exact"/>
              <w:rPr>
                <w:sz w:val="20"/>
                <w:szCs w:val="20"/>
                <w:color w:val="auto"/>
              </w:rPr>
            </w:pPr>
            <w:r>
              <w:rPr>
                <w:rFonts w:ascii="Arial" w:cs="Arial" w:eastAsia="Arial" w:hAnsi="Arial"/>
                <w:sz w:val="18"/>
                <w:szCs w:val="18"/>
                <w:b w:val="1"/>
                <w:bCs w:val="1"/>
                <w:color w:val="auto"/>
              </w:rPr>
              <w:t>Net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89"/>
              </w:rPr>
              <w:t>Net</w:t>
            </w:r>
          </w:p>
        </w:tc>
      </w:tr>
      <w:tr>
        <w:trPr>
          <w:trHeight w:val="216"/>
        </w:trPr>
        <w:tc>
          <w:tcPr>
            <w:tcW w:w="300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Carrying</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Carrying</w:t>
            </w:r>
          </w:p>
        </w:tc>
        <w:tc>
          <w:tcPr>
            <w:tcW w:w="720" w:type="dxa"/>
            <w:vAlign w:val="bottom"/>
            <w:gridSpan w:val="2"/>
          </w:tcPr>
          <w:p>
            <w:pPr>
              <w:spacing w:after="0"/>
              <w:rPr>
                <w:sz w:val="20"/>
                <w:szCs w:val="20"/>
                <w:color w:val="auto"/>
              </w:rPr>
            </w:pPr>
            <w:r>
              <w:rPr>
                <w:rFonts w:ascii="Arial" w:cs="Arial" w:eastAsia="Arial" w:hAnsi="Arial"/>
                <w:sz w:val="18"/>
                <w:szCs w:val="18"/>
                <w:b w:val="1"/>
                <w:bCs w:val="1"/>
                <w:color w:val="auto"/>
                <w:w w:val="94"/>
              </w:rPr>
              <w:t>Carrying</w:t>
            </w:r>
          </w:p>
        </w:tc>
        <w:tc>
          <w:tcPr>
            <w:tcW w:w="18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Carrying</w:t>
            </w:r>
          </w:p>
        </w:tc>
      </w:tr>
      <w:tr>
        <w:trPr>
          <w:trHeight w:val="234"/>
        </w:trPr>
        <w:tc>
          <w:tcPr>
            <w:tcW w:w="3000" w:type="dxa"/>
            <w:vAlign w:val="bottom"/>
          </w:tcPr>
          <w:p>
            <w:pPr>
              <w:spacing w:after="0"/>
              <w:rPr>
                <w:sz w:val="20"/>
                <w:szCs w:val="20"/>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Amortization</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180" w:type="dxa"/>
            <w:vAlign w:val="bottom"/>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Amortization</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Value</w:t>
            </w:r>
          </w:p>
        </w:tc>
      </w:tr>
      <w:tr>
        <w:trPr>
          <w:trHeight w:val="196"/>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4"/>
          </w:tcPr>
          <w:p>
            <w:pPr>
              <w:jc w:val="right"/>
              <w:ind w:right="33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Definite-lived intangible assets: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300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392</w:t>
            </w:r>
          </w:p>
        </w:tc>
        <w:tc>
          <w:tcPr>
            <w:tcW w:w="20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393</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16"/>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Developed technology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3000" w:type="dxa"/>
            <w:vAlign w:val="bottom"/>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09"/>
        </w:trPr>
        <w:tc>
          <w:tcPr>
            <w:tcW w:w="30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97"/>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10"/>
        </w:trPr>
        <w:tc>
          <w:tcPr>
            <w:tcW w:w="30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359" w:firstLine="324"/>
        <w:spacing w:after="0" w:line="263" w:lineRule="auto"/>
        <w:rPr>
          <w:sz w:val="20"/>
          <w:szCs w:val="20"/>
          <w:color w:val="auto"/>
        </w:rPr>
      </w:pPr>
      <w:r>
        <w:rPr>
          <w:rFonts w:ascii="Arial" w:cs="Arial" w:eastAsia="Arial" w:hAnsi="Arial"/>
          <w:sz w:val="18"/>
          <w:szCs w:val="18"/>
          <w:color w:val="auto"/>
        </w:rPr>
        <w:t>Amortization expense associated with definite-lived intangible assets was $15 million and $16 million for the three months ended September 30, 2023 and 2022, respectively, and $44 million and $45 million for the nine months ended September 30, 2023 and 2022, respectively.</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utilize the straight-line method of amortization, recognized over the estimated useful lives of the assets.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Leases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All Segments and Holding Company</w:t>
      </w:r>
    </w:p>
    <w:p>
      <w:pPr>
        <w:spacing w:after="0" w:line="225" w:lineRule="exact"/>
        <w:rPr>
          <w:sz w:val="20"/>
          <w:szCs w:val="20"/>
          <w:color w:val="auto"/>
        </w:rPr>
      </w:pPr>
    </w:p>
    <w:p>
      <w:pPr>
        <w:ind w:left="60" w:right="219" w:firstLine="324"/>
        <w:spacing w:after="0" w:line="291" w:lineRule="auto"/>
        <w:rPr>
          <w:sz w:val="20"/>
          <w:szCs w:val="20"/>
          <w:color w:val="auto"/>
        </w:rPr>
      </w:pPr>
      <w:r>
        <w:rPr>
          <w:rFonts w:ascii="Arial" w:cs="Arial" w:eastAsia="Arial" w:hAnsi="Arial"/>
          <w:sz w:val="16"/>
          <w:szCs w:val="16"/>
          <w:color w:val="auto"/>
        </w:rPr>
        <w:t>We have operating and finance leases primarily within our Automotive, Energy and Food Packaging segments. Our Automotive segment leases assets, primarily real estate (operating) and vehicles (financing). Our Energy segment leases certain pipelines, storage tanks, railcars, office space, land and equipment (operating and financing). Our Food Packaging segment leases assets, primarily real estate, equipment and vehicles (primarily operating). Our lease agreements do not contain any material residual value guarantees or material restrictive covenants. Right-of-use assets and related liabilities are recorded on the balance sheet for leases with an initial lease term in excess of twelve months and therefore, do not include any lease arrangements with initial lease terms of twelve months or less.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Right-of-use assets and lease liabilities are as follows: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27"/>
        </w:trPr>
        <w:tc>
          <w:tcPr>
            <w:tcW w:w="638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6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2022</w:t>
            </w:r>
          </w:p>
        </w:tc>
      </w:tr>
      <w:tr>
        <w:trPr>
          <w:trHeight w:val="129"/>
        </w:trPr>
        <w:tc>
          <w:tcPr>
            <w:tcW w:w="6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11"/>
                <w:szCs w:val="11"/>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380" w:type="dxa"/>
            <w:vAlign w:val="bottom"/>
          </w:tcPr>
          <w:p>
            <w:pPr>
              <w:ind w:left="120"/>
              <w:spacing w:after="0"/>
              <w:rPr>
                <w:sz w:val="20"/>
                <w:szCs w:val="20"/>
                <w:color w:val="auto"/>
              </w:rPr>
            </w:pPr>
            <w:r>
              <w:rPr>
                <w:rFonts w:ascii="Arial" w:cs="Arial" w:eastAsia="Arial" w:hAnsi="Arial"/>
                <w:sz w:val="18"/>
                <w:szCs w:val="18"/>
                <w:color w:val="auto"/>
              </w:rPr>
              <w:t>Right-of-use assets (other assets)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511</w:t>
            </w:r>
          </w:p>
        </w:tc>
        <w:tc>
          <w:tcPr>
            <w:tcW w:w="200" w:type="dxa"/>
            <w:vAlign w:val="bottom"/>
          </w:tcPr>
          <w:p>
            <w:pPr>
              <w:spacing w:after="0"/>
              <w:rPr>
                <w:sz w:val="18"/>
                <w:szCs w:val="18"/>
                <w:color w:val="auto"/>
              </w:rPr>
            </w:pPr>
          </w:p>
        </w:tc>
        <w:tc>
          <w:tcPr>
            <w:tcW w:w="340" w:type="dxa"/>
            <w:vAlign w:val="bottom"/>
          </w:tcPr>
          <w:p>
            <w:pPr>
              <w:jc w:val="right"/>
              <w:ind w:right="178"/>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478</w:t>
            </w:r>
          </w:p>
        </w:tc>
      </w:tr>
      <w:tr>
        <w:trPr>
          <w:trHeight w:val="216"/>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liabilities (accrued expenses and other liabilities)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r>
      <w:tr>
        <w:trPr>
          <w:trHeight w:val="216"/>
        </w:trPr>
        <w:tc>
          <w:tcPr>
            <w:tcW w:w="6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Leases: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380" w:type="dxa"/>
            <w:vAlign w:val="bottom"/>
          </w:tcPr>
          <w:p>
            <w:pPr>
              <w:ind w:left="120"/>
              <w:spacing w:after="0"/>
              <w:rPr>
                <w:sz w:val="20"/>
                <w:szCs w:val="20"/>
                <w:color w:val="auto"/>
              </w:rPr>
            </w:pPr>
            <w:r>
              <w:rPr>
                <w:rFonts w:ascii="Arial" w:cs="Arial" w:eastAsia="Arial" w:hAnsi="Arial"/>
                <w:sz w:val="18"/>
                <w:szCs w:val="18"/>
                <w:color w:val="auto"/>
              </w:rPr>
              <w:t>Right-of-use assets (property, plant and equipment, net)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liabilities (debt)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bl>
    <w:p>
      <w:pPr>
        <w:spacing w:after="0" w:line="202"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Additional information with respect to our operating leases as of September 30, 2023 and December 31, 2022 is presented below. The lease terms and discount rates for our Energy, Automotive and Food Packaging segments represent weighted averages based on their respective lease liability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Right-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Of-Use</w:t>
            </w:r>
          </w:p>
        </w:tc>
        <w:tc>
          <w:tcPr>
            <w:tcW w:w="14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Lease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Discount</w:t>
            </w:r>
          </w:p>
        </w:tc>
      </w:tr>
      <w:tr>
        <w:trPr>
          <w:trHeight w:val="234"/>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Operating Leases as of September 30, 2023</w:t>
            </w:r>
          </w:p>
        </w:tc>
        <w:tc>
          <w:tcPr>
            <w:tcW w:w="180" w:type="dxa"/>
            <w:vAlign w:val="bottom"/>
          </w:tcPr>
          <w:p>
            <w:pPr>
              <w:spacing w:after="0"/>
              <w:rPr>
                <w:sz w:val="20"/>
                <w:szCs w:val="20"/>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1"/>
              </w:rPr>
              <w:t>Assets</w:t>
            </w:r>
          </w:p>
        </w:tc>
        <w:tc>
          <w:tcPr>
            <w:tcW w:w="180" w:type="dxa"/>
            <w:vAlign w:val="bottom"/>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Liabilities</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Lease Term</w:t>
            </w:r>
          </w:p>
        </w:tc>
        <w:tc>
          <w:tcPr>
            <w:tcW w:w="180" w:type="dxa"/>
            <w:vAlign w:val="bottom"/>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40" w:type="dxa"/>
            <w:vAlign w:val="bottom"/>
          </w:tcPr>
          <w:p>
            <w:pPr>
              <w:spacing w:after="0"/>
              <w:rPr>
                <w:sz w:val="20"/>
                <w:szCs w:val="20"/>
                <w:color w:val="auto"/>
              </w:rPr>
            </w:pPr>
          </w:p>
        </w:tc>
      </w:tr>
      <w:tr>
        <w:trPr>
          <w:trHeight w:val="142"/>
        </w:trPr>
        <w:tc>
          <w:tcPr>
            <w:tcW w:w="5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4"/>
          </w:tcPr>
          <w:p>
            <w:pPr>
              <w:jc w:val="right"/>
              <w:ind w:right="370"/>
              <w:spacing w:after="0" w:line="142" w:lineRule="exact"/>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6"/>
              </w:rPr>
              <w:t>3.9 years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5.6%</w:t>
            </w:r>
          </w:p>
        </w:tc>
        <w:tc>
          <w:tcPr>
            <w:tcW w:w="40" w:type="dxa"/>
            <w:vAlign w:val="bottom"/>
            <w:shd w:val="clear" w:color="auto" w:fill="CCEEFF"/>
          </w:tcPr>
          <w:p>
            <w:pPr>
              <w:spacing w:after="0"/>
              <w:rPr>
                <w:sz w:val="18"/>
                <w:szCs w:val="18"/>
                <w:color w:val="auto"/>
              </w:rPr>
            </w:pPr>
          </w:p>
        </w:tc>
      </w:tr>
      <w:tr>
        <w:trPr>
          <w:trHeight w:val="216"/>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Automotive</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436</w:t>
            </w:r>
          </w:p>
        </w:tc>
        <w:tc>
          <w:tcPr>
            <w:tcW w:w="2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5.3 years</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5.9%</w:t>
            </w:r>
          </w:p>
        </w:tc>
        <w:tc>
          <w:tcPr>
            <w:tcW w:w="40" w:type="dxa"/>
            <w:vAlign w:val="bottom"/>
          </w:tcPr>
          <w:p>
            <w:pPr>
              <w:spacing w:after="0"/>
              <w:rPr>
                <w:sz w:val="18"/>
                <w:szCs w:val="18"/>
                <w:color w:val="auto"/>
              </w:rPr>
            </w:pPr>
          </w:p>
        </w:tc>
      </w:tr>
      <w:tr>
        <w:trPr>
          <w:trHeight w:val="216"/>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6"/>
              </w:rPr>
              <w:t>9.3 years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7.4%</w:t>
            </w:r>
          </w:p>
        </w:tc>
        <w:tc>
          <w:tcPr>
            <w:tcW w:w="40" w:type="dxa"/>
            <w:vAlign w:val="bottom"/>
            <w:shd w:val="clear" w:color="auto" w:fill="CCEEFF"/>
          </w:tcPr>
          <w:p>
            <w:pPr>
              <w:spacing w:after="0"/>
              <w:rPr>
                <w:sz w:val="18"/>
                <w:szCs w:val="18"/>
                <w:color w:val="auto"/>
              </w:rPr>
            </w:pPr>
          </w:p>
        </w:tc>
      </w:tr>
      <w:tr>
        <w:trPr>
          <w:trHeight w:val="216"/>
        </w:trPr>
        <w:tc>
          <w:tcPr>
            <w:tcW w:w="5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segments and Holding Company</w:t>
            </w: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10"/>
        </w:trPr>
        <w:tc>
          <w:tcPr>
            <w:tcW w:w="50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Right-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Of-Use</w:t>
            </w:r>
          </w:p>
        </w:tc>
        <w:tc>
          <w:tcPr>
            <w:tcW w:w="140" w:type="dxa"/>
            <w:vAlign w:val="bottom"/>
          </w:tcPr>
          <w:p>
            <w:pPr>
              <w:spacing w:after="0"/>
              <w:rPr>
                <w:sz w:val="20"/>
                <w:szCs w:val="20"/>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Lease</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Discount</w:t>
            </w:r>
          </w:p>
        </w:tc>
        <w:tc>
          <w:tcPr>
            <w:tcW w:w="0" w:type="dxa"/>
            <w:vAlign w:val="bottom"/>
          </w:tcPr>
          <w:p>
            <w:pPr>
              <w:spacing w:after="0"/>
              <w:rPr>
                <w:sz w:val="1"/>
                <w:szCs w:val="1"/>
                <w:color w:val="auto"/>
              </w:rPr>
            </w:pPr>
          </w:p>
        </w:tc>
      </w:tr>
      <w:tr>
        <w:trPr>
          <w:trHeight w:val="243"/>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Operating Leases as of December 31, 2022</w:t>
            </w:r>
          </w:p>
        </w:tc>
        <w:tc>
          <w:tcPr>
            <w:tcW w:w="12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1"/>
              </w:rPr>
              <w:t>Assets</w:t>
            </w:r>
          </w:p>
        </w:tc>
        <w:tc>
          <w:tcPr>
            <w:tcW w:w="200" w:type="dxa"/>
            <w:vAlign w:val="bottom"/>
          </w:tcPr>
          <w:p>
            <w:pPr>
              <w:spacing w:after="0"/>
              <w:rPr>
                <w:sz w:val="21"/>
                <w:szCs w:val="21"/>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3"/>
              </w:rPr>
              <w:t>Liabilities</w:t>
            </w:r>
          </w:p>
        </w:tc>
        <w:tc>
          <w:tcPr>
            <w:tcW w:w="180" w:type="dxa"/>
            <w:vAlign w:val="bottom"/>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Lease Term</w:t>
            </w:r>
          </w:p>
        </w:tc>
        <w:tc>
          <w:tcPr>
            <w:tcW w:w="180" w:type="dxa"/>
            <w:vAlign w:val="bottom"/>
          </w:tcPr>
          <w:p>
            <w:pPr>
              <w:spacing w:after="0"/>
              <w:rPr>
                <w:sz w:val="21"/>
                <w:szCs w:val="21"/>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tcPr>
          <w:p>
            <w:pPr>
              <w:jc w:val="right"/>
              <w:ind w:right="410"/>
              <w:spacing w:after="0" w:line="142" w:lineRule="exact"/>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4.1 years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395</w:t>
            </w:r>
          </w:p>
        </w:tc>
        <w:tc>
          <w:tcPr>
            <w:tcW w:w="180" w:type="dxa"/>
            <w:vAlign w:val="bottom"/>
          </w:tcPr>
          <w:p>
            <w:pPr>
              <w:spacing w:after="0"/>
              <w:rPr>
                <w:sz w:val="21"/>
                <w:szCs w:val="21"/>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4.7 years</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1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9.8 years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segments and Holding Company</w:t>
            </w:r>
          </w:p>
        </w:tc>
        <w:tc>
          <w:tcPr>
            <w:tcW w:w="12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8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0" w:type="dxa"/>
            <w:vAlign w:val="bottom"/>
            <w:vMerge w:val="restart"/>
          </w:tcPr>
          <w:p>
            <w:pPr>
              <w:jc w:val="right"/>
              <w:ind w:right="37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8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8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19" w:firstLine="324"/>
        <w:spacing w:after="0" w:line="273" w:lineRule="auto"/>
        <w:rPr>
          <w:sz w:val="20"/>
          <w:szCs w:val="20"/>
          <w:color w:val="auto"/>
        </w:rPr>
      </w:pPr>
      <w:r>
        <w:rPr>
          <w:rFonts w:ascii="Arial" w:cs="Arial" w:eastAsia="Arial" w:hAnsi="Arial"/>
          <w:sz w:val="17"/>
          <w:szCs w:val="17"/>
          <w:color w:val="auto"/>
        </w:rPr>
        <w:t>For the three months ended September 30, 2023 and 2022, lease cost was comprised of (i) operating lease cost of $44 million and $47 million, respectively, (ii) amortization of financing lease right-of-use assets of $1 million and $3 million, respectively, and (iii) interest expense on financing lease liabilities of $2 million and $2 million, respectively. For the nine months ended September 30, 2023 and 2022, lease cost was comprised of (i) operating lease cost of $134 million and $145 million, respectively, (ii) amortization of financing lease right-of-use assets of $5 million and $7 million, respectively, and (iii) interest expense on financing lease liabilities of $4 million and $4 million, respectively.</w:t>
      </w:r>
    </w:p>
    <w:p>
      <w:pPr>
        <w:spacing w:after="0" w:line="178" w:lineRule="exact"/>
        <w:rPr>
          <w:sz w:val="20"/>
          <w:szCs w:val="20"/>
          <w:color w:val="auto"/>
        </w:rPr>
      </w:pPr>
    </w:p>
    <w:p>
      <w:pPr>
        <w:ind w:left="60" w:right="319" w:firstLine="324"/>
        <w:spacing w:after="0" w:line="277" w:lineRule="auto"/>
        <w:rPr>
          <w:sz w:val="20"/>
          <w:szCs w:val="20"/>
          <w:color w:val="auto"/>
        </w:rPr>
      </w:pPr>
      <w:r>
        <w:rPr>
          <w:rFonts w:ascii="Arial" w:cs="Arial" w:eastAsia="Arial" w:hAnsi="Arial"/>
          <w:sz w:val="18"/>
          <w:szCs w:val="18"/>
          <w:color w:val="auto"/>
        </w:rPr>
        <w:t>Our Automotive segment accounted for $108 million and $121 million of total lease cost for the nine months ended September 30, 2023 and 2022,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Automotive</w:t>
      </w:r>
    </w:p>
    <w:p>
      <w:pPr>
        <w:spacing w:after="0" w:line="225" w:lineRule="exact"/>
        <w:rPr>
          <w:sz w:val="20"/>
          <w:szCs w:val="20"/>
          <w:color w:val="auto"/>
        </w:rPr>
      </w:pPr>
    </w:p>
    <w:p>
      <w:pPr>
        <w:ind w:left="60" w:right="199" w:firstLine="324"/>
        <w:spacing w:after="0" w:line="257" w:lineRule="auto"/>
        <w:rPr>
          <w:sz w:val="20"/>
          <w:szCs w:val="20"/>
          <w:color w:val="auto"/>
        </w:rPr>
      </w:pPr>
      <w:r>
        <w:rPr>
          <w:rFonts w:ascii="Arial" w:cs="Arial" w:eastAsia="Arial" w:hAnsi="Arial"/>
          <w:sz w:val="18"/>
          <w:szCs w:val="18"/>
          <w:color w:val="auto"/>
        </w:rPr>
        <w:t>Our Automotive segment leases available and excess real estate in certain locations under long-term operating leases. Our Automotive segment’s revenues from operating leases were $14 million and $13 million for the three months ended September 30, 2023 and 2022, respectively, and $43 million and $35 million for the nine months ended September 30, 2023 and 2022, respectively. Revenues from operating leases are included in other revenue from operations in the condensed consolidated statements of operations.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left="60" w:right="179" w:firstLine="324"/>
        <w:spacing w:after="0" w:line="254" w:lineRule="auto"/>
        <w:rPr>
          <w:sz w:val="20"/>
          <w:szCs w:val="20"/>
          <w:color w:val="auto"/>
        </w:rPr>
      </w:pPr>
      <w:r>
        <w:rPr>
          <w:rFonts w:ascii="Arial" w:cs="Arial" w:eastAsia="Arial" w:hAnsi="Arial"/>
          <w:sz w:val="18"/>
          <w:szCs w:val="18"/>
          <w:color w:val="auto"/>
        </w:rPr>
        <w:t>Our Real Estate segment leases real estate, primarily commercial properties under long-term operating leases. As of September 30, 2023 and December 31, 2022, our Real Estate segment had assets leased to others included in property, plant and equipment of $255 million and $252 million, respectively, net of accumulated depreciation. Our Real Estate segment’s revenue from operating leases were $3 million and $2 million for the three months ended September 30, 2023 and 2022, respectively, and $15 million and $5 million for the nine months ended September 30, 2023 and 2022, respectively. Revenues from operating leases are included in other revenue from operations in the condensed consolidated statements of operations.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60" w:type="dxa"/>
            <w:vAlign w:val="bottom"/>
          </w:tcPr>
          <w:p>
            <w:pPr>
              <w:ind w:left="20"/>
              <w:spacing w:after="0"/>
              <w:rPr>
                <w:sz w:val="20"/>
                <w:szCs w:val="20"/>
                <w:color w:val="auto"/>
              </w:rPr>
            </w:pPr>
            <w:r>
              <w:rPr>
                <w:rFonts w:ascii="Arial" w:cs="Arial" w:eastAsia="Arial" w:hAnsi="Arial"/>
                <w:sz w:val="18"/>
                <w:szCs w:val="18"/>
                <w:b w:val="1"/>
                <w:bCs w:val="1"/>
                <w:color w:val="auto"/>
              </w:rPr>
              <w:t>12. Debt</w:t>
            </w:r>
          </w:p>
        </w:tc>
        <w:tc>
          <w:tcPr>
            <w:tcW w:w="2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60" w:type="dxa"/>
            <w:vAlign w:val="bottom"/>
          </w:tcPr>
          <w:p>
            <w:pPr>
              <w:ind w:left="340"/>
              <w:spacing w:after="0"/>
              <w:rPr>
                <w:sz w:val="20"/>
                <w:szCs w:val="20"/>
                <w:color w:val="auto"/>
              </w:rPr>
            </w:pPr>
            <w:r>
              <w:rPr>
                <w:rFonts w:ascii="Arial" w:cs="Arial" w:eastAsia="Arial" w:hAnsi="Arial"/>
                <w:sz w:val="18"/>
                <w:szCs w:val="18"/>
                <w:color w:val="auto"/>
              </w:rPr>
              <w:t>Debt consists of the following:</w:t>
            </w:r>
          </w:p>
        </w:tc>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6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36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3"/>
          </w:tcPr>
          <w:p>
            <w:pPr>
              <w:ind w:left="620"/>
              <w:spacing w:after="0" w:line="129" w:lineRule="exact"/>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Holding Company:</w:t>
            </w:r>
          </w:p>
        </w:tc>
        <w:tc>
          <w:tcPr>
            <w:tcW w:w="2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Arial" w:cs="Arial" w:eastAsia="Arial" w:hAnsi="Arial"/>
                <w:sz w:val="18"/>
                <w:szCs w:val="18"/>
                <w:color w:val="auto"/>
              </w:rPr>
              <w:t>4.750% senior unsecured notes due 2024</w:t>
            </w:r>
          </w:p>
        </w:tc>
        <w:tc>
          <w:tcPr>
            <w:tcW w:w="3040" w:type="dxa"/>
            <w:vAlign w:val="bottom"/>
            <w:gridSpan w:val="2"/>
          </w:tcPr>
          <w:p>
            <w:pPr>
              <w:ind w:left="28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1,102</w:t>
            </w:r>
          </w:p>
        </w:tc>
        <w:tc>
          <w:tcPr>
            <w:tcW w:w="2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6.375% senior unsecured notes due 2025</w:t>
            </w:r>
          </w:p>
        </w:tc>
        <w:tc>
          <w:tcPr>
            <w:tcW w:w="2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Arial" w:cs="Arial" w:eastAsia="Arial" w:hAnsi="Arial"/>
                <w:sz w:val="18"/>
                <w:szCs w:val="18"/>
                <w:color w:val="auto"/>
              </w:rPr>
              <w:t>6.250% senior unsecured notes due 2026</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5.250% senior unsecured notes due 2027</w:t>
            </w:r>
          </w:p>
        </w:tc>
        <w:tc>
          <w:tcPr>
            <w:tcW w:w="2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4.375% senior unsecured notes due 2029</w:t>
            </w:r>
          </w:p>
        </w:tc>
        <w:tc>
          <w:tcPr>
            <w:tcW w:w="28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5,308</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Pr>
          <w:p>
            <w:pPr>
              <w:ind w:left="20"/>
              <w:spacing w:after="0"/>
              <w:rPr>
                <w:sz w:val="20"/>
                <w:szCs w:val="20"/>
                <w:color w:val="auto"/>
              </w:rPr>
            </w:pPr>
            <w:r>
              <w:rPr>
                <w:rFonts w:ascii="Arial" w:cs="Arial" w:eastAsia="Arial" w:hAnsi="Arial"/>
                <w:sz w:val="18"/>
                <w:szCs w:val="18"/>
                <w:b w:val="1"/>
                <w:bCs w:val="1"/>
                <w:color w:val="auto"/>
              </w:rPr>
              <w:t>Reporting Segments:</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2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2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Fashion</w:t>
            </w:r>
          </w:p>
        </w:tc>
        <w:tc>
          <w:tcPr>
            <w:tcW w:w="28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8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7,075</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800" w:type="dxa"/>
            <w:vAlign w:val="bottom"/>
            <w:vMerge w:val="restart"/>
          </w:tcPr>
          <w:p>
            <w:pPr>
              <w:jc w:val="right"/>
              <w:ind w:right="1810"/>
              <w:spacing w:after="0"/>
              <w:rPr>
                <w:sz w:val="20"/>
                <w:szCs w:val="20"/>
                <w:color w:val="auto"/>
              </w:rPr>
            </w:pPr>
            <w:r>
              <w:rPr>
                <w:rFonts w:ascii="Arial" w:cs="Arial" w:eastAsia="Arial" w:hAnsi="Arial"/>
                <w:sz w:val="18"/>
                <w:szCs w:val="18"/>
                <w:color w:val="auto"/>
              </w:rPr>
              <w:t>25</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66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6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Holding Company</w:t>
      </w:r>
    </w:p>
    <w:p>
      <w:pPr>
        <w:spacing w:after="0" w:line="229" w:lineRule="exact"/>
        <w:rPr>
          <w:sz w:val="20"/>
          <w:szCs w:val="20"/>
          <w:color w:val="auto"/>
        </w:rPr>
      </w:pPr>
    </w:p>
    <w:p>
      <w:pPr>
        <w:ind w:left="60" w:right="179" w:firstLine="324"/>
        <w:spacing w:after="0" w:line="263" w:lineRule="auto"/>
        <w:rPr>
          <w:sz w:val="20"/>
          <w:szCs w:val="20"/>
          <w:color w:val="auto"/>
        </w:rPr>
      </w:pPr>
      <w:r>
        <w:rPr>
          <w:rFonts w:ascii="Arial" w:cs="Arial" w:eastAsia="Arial" w:hAnsi="Arial"/>
          <w:sz w:val="18"/>
          <w:szCs w:val="18"/>
          <w:color w:val="auto"/>
        </w:rPr>
        <w:t>In February 2022, we redeemed all of our $500 million aggregate principal amount of 6.750% senior unsecured notes due 2024 at par. As a result of this transaction, Icahn Enterprises recorded a loss on extinguishment of debt of $1 million during the nine months ended September 30, 2022.</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60" w:right="339" w:firstLine="324"/>
        <w:spacing w:after="0" w:line="259" w:lineRule="auto"/>
        <w:rPr>
          <w:sz w:val="20"/>
          <w:szCs w:val="20"/>
          <w:color w:val="auto"/>
        </w:rPr>
      </w:pPr>
      <w:r>
        <w:rPr>
          <w:rFonts w:ascii="Arial" w:cs="Arial" w:eastAsia="Arial" w:hAnsi="Arial"/>
          <w:sz w:val="18"/>
          <w:szCs w:val="18"/>
          <w:color w:val="auto"/>
        </w:rPr>
        <w:t>We and all of our subsidiaries are currently in compliance with all covenants and restrictions as described in the various executed agreements and contracts with respect to each debt instrument. These covenants include limitations on indebtedness, liens, investments, acquisitions, asset sales, dividends and other restricted payments and affiliate and extraordinary transactions.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Non-Cash Charges to Interest Expense</w:t>
      </w:r>
    </w:p>
    <w:p>
      <w:pPr>
        <w:spacing w:after="0" w:line="229" w:lineRule="exact"/>
        <w:rPr>
          <w:sz w:val="20"/>
          <w:szCs w:val="20"/>
          <w:color w:val="auto"/>
        </w:rPr>
      </w:pPr>
    </w:p>
    <w:p>
      <w:pPr>
        <w:ind w:left="60" w:right="219" w:firstLine="324"/>
        <w:spacing w:after="0" w:line="259" w:lineRule="auto"/>
        <w:rPr>
          <w:sz w:val="20"/>
          <w:szCs w:val="20"/>
          <w:color w:val="auto"/>
        </w:rPr>
      </w:pPr>
      <w:r>
        <w:rPr>
          <w:rFonts w:ascii="Arial" w:cs="Arial" w:eastAsia="Arial" w:hAnsi="Arial"/>
          <w:sz w:val="18"/>
          <w:szCs w:val="18"/>
          <w:color w:val="auto"/>
        </w:rPr>
        <w:t>The amortization of deferred financing costs and debt discounts and premiums included in interest expense in the condensed consolidated statements of operations was $2 million and less than $1 million for the three months ended September 30, 2023 and 2022, respectively, and $4 million and $2 million for the nine months ended September 30, 2023 and 2022, respectively.</w:t>
      </w:r>
    </w:p>
    <w:p>
      <w:pPr>
        <w:spacing w:after="0" w:line="183" w:lineRule="exact"/>
        <w:rPr>
          <w:sz w:val="20"/>
          <w:szCs w:val="20"/>
          <w:color w:val="auto"/>
        </w:rPr>
      </w:pPr>
    </w:p>
    <w:p>
      <w:pPr>
        <w:ind w:left="360" w:hanging="310"/>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LP Unit</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7"/>
          <w:szCs w:val="17"/>
          <w:color w:val="auto"/>
        </w:rPr>
        <w:t>The components of the computation of basic and diluted income per LP unit of Icahn Enterprises are as follows: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2"/>
              </w:rPr>
              <w:t>Three Months Ended September 30,</w:t>
            </w:r>
          </w:p>
        </w:tc>
        <w:tc>
          <w:tcPr>
            <w:tcW w:w="160" w:type="dxa"/>
            <w:vAlign w:val="bottom"/>
          </w:tcPr>
          <w:p>
            <w:pPr>
              <w:spacing w:after="0"/>
              <w:rPr>
                <w:sz w:val="20"/>
                <w:szCs w:val="20"/>
                <w:color w:val="auto"/>
              </w:rPr>
            </w:pPr>
          </w:p>
        </w:tc>
        <w:tc>
          <w:tcPr>
            <w:tcW w:w="276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0" w:type="dxa"/>
            <w:vAlign w:val="bottom"/>
            <w:gridSpan w:val="4"/>
          </w:tcPr>
          <w:p>
            <w:pPr>
              <w:jc w:val="right"/>
              <w:ind w:right="210"/>
              <w:spacing w:after="0" w:line="129" w:lineRule="exact"/>
              <w:rPr>
                <w:sz w:val="20"/>
                <w:szCs w:val="20"/>
                <w:color w:val="auto"/>
              </w:rPr>
            </w:pPr>
            <w:r>
              <w:rPr>
                <w:rFonts w:ascii="Arial" w:cs="Arial" w:eastAsia="Arial" w:hAnsi="Arial"/>
                <w:sz w:val="14"/>
                <w:szCs w:val="14"/>
                <w:color w:val="auto"/>
                <w:w w:val="99"/>
              </w:rPr>
              <w:t>(in millions, except per unit amounts)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Net (loss) income attributable to Icahn</w:t>
            </w:r>
          </w:p>
        </w:tc>
        <w:tc>
          <w:tcPr>
            <w:tcW w:w="92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2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5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Enterprises</w:t>
            </w:r>
          </w:p>
        </w:tc>
        <w:tc>
          <w:tcPr>
            <w:tcW w:w="920" w:type="dxa"/>
            <w:vAlign w:val="bottom"/>
            <w:gridSpan w:val="2"/>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7"/>
              </w:rPr>
              <w:t>Net (loss) income attributable to Icahn</w:t>
            </w: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w w:val="94"/>
              </w:rPr>
              <w:t>Enterprises allocated to limited partners</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4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(121)</w:t>
            </w:r>
          </w:p>
        </w:tc>
        <w:tc>
          <w:tcPr>
            <w:tcW w:w="420" w:type="dxa"/>
            <w:vAlign w:val="bottom"/>
            <w:gridSpan w:val="2"/>
            <w:vMerge w:val="restart"/>
          </w:tcPr>
          <w:p>
            <w:pPr>
              <w:ind w:left="16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(534)</w:t>
            </w:r>
          </w:p>
        </w:tc>
        <w:tc>
          <w:tcPr>
            <w:tcW w:w="5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57"/>
        </w:trPr>
        <w:tc>
          <w:tcPr>
            <w:tcW w:w="3000" w:type="dxa"/>
            <w:vAlign w:val="bottom"/>
            <w:gridSpan w:val="2"/>
          </w:tcPr>
          <w:p>
            <w:pPr>
              <w:spacing w:after="0"/>
              <w:rPr>
                <w:sz w:val="20"/>
                <w:szCs w:val="20"/>
                <w:color w:val="auto"/>
              </w:rPr>
            </w:pPr>
            <w:r>
              <w:rPr>
                <w:rFonts w:ascii="Arial" w:cs="Arial" w:eastAsia="Arial" w:hAnsi="Arial"/>
                <w:sz w:val="18"/>
                <w:szCs w:val="18"/>
                <w:color w:val="auto"/>
              </w:rPr>
              <w:t>(98.01% allocation)</w:t>
            </w:r>
          </w:p>
        </w:tc>
        <w:tc>
          <w:tcPr>
            <w:tcW w:w="920" w:type="dxa"/>
            <w:vAlign w:val="bottom"/>
            <w:gridSpan w:val="2"/>
            <w:vMerge w:val="continue"/>
          </w:tcPr>
          <w:p>
            <w:pPr>
              <w:spacing w:after="0"/>
              <w:rPr>
                <w:sz w:val="22"/>
                <w:szCs w:val="22"/>
                <w:color w:val="auto"/>
              </w:rPr>
            </w:pPr>
          </w:p>
        </w:tc>
        <w:tc>
          <w:tcPr>
            <w:tcW w:w="440" w:type="dxa"/>
            <w:vAlign w:val="bottom"/>
            <w:vMerge w:val="continue"/>
          </w:tcPr>
          <w:p>
            <w:pPr>
              <w:spacing w:after="0"/>
              <w:rPr>
                <w:sz w:val="22"/>
                <w:szCs w:val="22"/>
                <w:color w:val="auto"/>
              </w:rPr>
            </w:pPr>
          </w:p>
        </w:tc>
        <w:tc>
          <w:tcPr>
            <w:tcW w:w="440" w:type="dxa"/>
            <w:vAlign w:val="bottom"/>
            <w:gridSpan w:val="2"/>
            <w:vMerge w:val="continue"/>
          </w:tcPr>
          <w:p>
            <w:pPr>
              <w:spacing w:after="0"/>
              <w:rPr>
                <w:sz w:val="22"/>
                <w:szCs w:val="22"/>
                <w:color w:val="auto"/>
              </w:rPr>
            </w:pPr>
          </w:p>
        </w:tc>
        <w:tc>
          <w:tcPr>
            <w:tcW w:w="1180" w:type="dxa"/>
            <w:vAlign w:val="bottom"/>
            <w:vMerge w:val="continue"/>
          </w:tcPr>
          <w:p>
            <w:pPr>
              <w:spacing w:after="0"/>
              <w:rPr>
                <w:sz w:val="22"/>
                <w:szCs w:val="22"/>
                <w:color w:val="auto"/>
              </w:rPr>
            </w:pPr>
          </w:p>
        </w:tc>
        <w:tc>
          <w:tcPr>
            <w:tcW w:w="42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520" w:type="dxa"/>
            <w:vAlign w:val="bottom"/>
            <w:gridSpan w:val="2"/>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9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Basic (loss) income per LP unit:</w:t>
            </w:r>
          </w:p>
        </w:tc>
        <w:tc>
          <w:tcPr>
            <w:tcW w:w="9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9"/>
              </w:rPr>
              <w:t>(0.01)</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(0.37)</w:t>
            </w: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(1.47)</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9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rPr>
              <w:t>Basic weighted average LP units</w:t>
            </w: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Diluted (loss) income per LP unit:</w:t>
            </w: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(0.01)</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Diluted weighted average LP units</w:t>
            </w: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394</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324</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364</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57"/>
        </w:trPr>
        <w:tc>
          <w:tcPr>
            <w:tcW w:w="300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12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vMerge w:val="continue"/>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LP Unit Transactions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Unit Distributions</w:t>
      </w:r>
    </w:p>
    <w:p>
      <w:pPr>
        <w:spacing w:after="0" w:line="225" w:lineRule="exact"/>
        <w:rPr>
          <w:sz w:val="20"/>
          <w:szCs w:val="20"/>
          <w:color w:val="auto"/>
        </w:rPr>
      </w:pPr>
    </w:p>
    <w:p>
      <w:pPr>
        <w:ind w:left="60" w:right="299" w:firstLine="324"/>
        <w:spacing w:after="0" w:line="308" w:lineRule="auto"/>
        <w:rPr>
          <w:sz w:val="20"/>
          <w:szCs w:val="20"/>
          <w:color w:val="auto"/>
        </w:rPr>
      </w:pPr>
      <w:r>
        <w:rPr>
          <w:rFonts w:ascii="Arial" w:cs="Arial" w:eastAsia="Arial" w:hAnsi="Arial"/>
          <w:sz w:val="17"/>
          <w:szCs w:val="17"/>
          <w:color w:val="auto"/>
        </w:rPr>
        <w:t>On February 22, 2023, we declared a quarterly distribution in the amount of $2.00 per depositary unit in which each depositary unitholder had the option to make an election to receive either cash or additional depositary units.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99" w:firstLine="324"/>
        <w:spacing w:after="0" w:line="342" w:lineRule="auto"/>
        <w:rPr>
          <w:sz w:val="20"/>
          <w:szCs w:val="20"/>
          <w:color w:val="auto"/>
        </w:rPr>
      </w:pPr>
      <w:r>
        <w:rPr>
          <w:rFonts w:ascii="Arial" w:cs="Arial" w:eastAsia="Arial" w:hAnsi="Arial"/>
          <w:sz w:val="16"/>
          <w:szCs w:val="16"/>
          <w:color w:val="auto"/>
        </w:rPr>
        <w:t>On May 9, 2023, we declared a quarterly distribution in the amount of $2.00 per depositary unit in which each depositary unitholder had the option to make an election to receive either cash or additional depositary units.</w:t>
      </w:r>
    </w:p>
    <w:p>
      <w:pPr>
        <w:spacing w:after="0" w:line="124" w:lineRule="exact"/>
        <w:rPr>
          <w:sz w:val="20"/>
          <w:szCs w:val="20"/>
          <w:color w:val="auto"/>
        </w:rPr>
      </w:pPr>
    </w:p>
    <w:p>
      <w:pPr>
        <w:ind w:left="60" w:right="519" w:firstLine="324"/>
        <w:spacing w:after="0" w:line="342" w:lineRule="auto"/>
        <w:rPr>
          <w:sz w:val="20"/>
          <w:szCs w:val="20"/>
          <w:color w:val="auto"/>
        </w:rPr>
      </w:pPr>
      <w:r>
        <w:rPr>
          <w:rFonts w:ascii="Arial" w:cs="Arial" w:eastAsia="Arial" w:hAnsi="Arial"/>
          <w:sz w:val="16"/>
          <w:szCs w:val="16"/>
          <w:color w:val="auto"/>
        </w:rPr>
        <w:t>On August 2, 2023, we declared a quarterly distribution in the amount of $1.00 per depositary unit in which each depositary unitholder had the option to make an election to receive either cash or additional depositary units.</w:t>
      </w:r>
    </w:p>
    <w:p>
      <w:pPr>
        <w:spacing w:after="0" w:line="124" w:lineRule="exact"/>
        <w:rPr>
          <w:sz w:val="20"/>
          <w:szCs w:val="20"/>
          <w:color w:val="auto"/>
        </w:rPr>
      </w:pPr>
    </w:p>
    <w:p>
      <w:pPr>
        <w:ind w:left="60" w:right="239" w:firstLine="369"/>
        <w:spacing w:after="0" w:line="257" w:lineRule="auto"/>
        <w:rPr>
          <w:sz w:val="20"/>
          <w:szCs w:val="20"/>
          <w:color w:val="auto"/>
        </w:rPr>
      </w:pPr>
      <w:r>
        <w:rPr>
          <w:rFonts w:ascii="Arial" w:cs="Arial" w:eastAsia="Arial" w:hAnsi="Arial"/>
          <w:sz w:val="18"/>
          <w:szCs w:val="18"/>
          <w:color w:val="auto"/>
        </w:rPr>
        <w:t>As a result of the above distributions declared, during the nine months ended September 30, 2023, we distributed an aggregate 53,830,451 depositary units to unitholders who did not elect to receive cash, of which an aggregate of 50,821,480 depositary units were distributed to Mr. Icahn and his affiliates. In connection with these distributions, aggregate cash distributions to all depositary unitholders that made a timely election to receive cash was $190 million for the nine months ended September 30, 2023.</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At-The-Market Offerings</w:t>
      </w:r>
    </w:p>
    <w:p>
      <w:pPr>
        <w:spacing w:after="0" w:line="225" w:lineRule="exact"/>
        <w:rPr>
          <w:sz w:val="20"/>
          <w:szCs w:val="20"/>
          <w:color w:val="auto"/>
        </w:rPr>
      </w:pPr>
    </w:p>
    <w:p>
      <w:pPr>
        <w:ind w:left="60" w:right="99" w:firstLine="324"/>
        <w:spacing w:after="0" w:line="275" w:lineRule="auto"/>
        <w:rPr>
          <w:sz w:val="20"/>
          <w:szCs w:val="20"/>
          <w:color w:val="auto"/>
        </w:rPr>
      </w:pPr>
      <w:r>
        <w:rPr>
          <w:rFonts w:ascii="Arial" w:cs="Arial" w:eastAsia="Arial" w:hAnsi="Arial"/>
          <w:sz w:val="17"/>
          <w:szCs w:val="17"/>
          <w:color w:val="auto"/>
        </w:rPr>
        <w:t>During the three months ended September 30, 2023, we did not sell depositary units pursuant to our Open Market Sale Agreement. During the nine months ended September 30, 2023, we sold 3,395,353 depositary units pursuant to the Open Market Sale Agreement, resulting in gross proceeds of $175 million. As of September 30, 2023, we continue to have an Open Market Sale Agreement and Icahn Enterprises may sell its depositary units for up to an additional $149 million in aggregate gross sale proceeds pursuant to this agreement.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Repurchase Authorization</w:t>
      </w:r>
    </w:p>
    <w:p>
      <w:pPr>
        <w:spacing w:after="0" w:line="225"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On May 9, 2023, the Board of Directors of the General Partner approved a repurchase program which authorizes Icahn Enterprises or affiliates of Icahn Enterprises to repurchase up to an aggregate of $500 million worth of any of our outstanding fixed-rate senior unsecured notes issued by Icahn Enterprises and Icahn Enterprises Finance Corp. and up to an aggregate of $500 million worth of the depositary units issued by Icahn Enterprises (the “Repurchase Program”). The repurchases of senior notes or depositary units may be done for cash from time to time in the open market, through tender offers or in privately negotiated transactions upon such terms and at such prices as management may determine. The authorization of the Repurchase Program is for an indefinite term and does not expire until later terminated by the Board of Directors of Icahn Enterprises GP. As of September 30, 2023, the Company has not repurchased any of the Company’s depositary units or senior notes under the Repurchase Program.</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2017 Incentive Plan</w:t>
      </w:r>
    </w:p>
    <w:p>
      <w:pPr>
        <w:spacing w:after="0" w:line="225" w:lineRule="exact"/>
        <w:rPr>
          <w:sz w:val="20"/>
          <w:szCs w:val="20"/>
          <w:color w:val="auto"/>
        </w:rPr>
      </w:pPr>
    </w:p>
    <w:p>
      <w:pPr>
        <w:ind w:left="60" w:right="159" w:firstLine="324"/>
        <w:spacing w:after="0" w:line="257" w:lineRule="auto"/>
        <w:rPr>
          <w:sz w:val="20"/>
          <w:szCs w:val="20"/>
          <w:color w:val="auto"/>
        </w:rPr>
      </w:pPr>
      <w:r>
        <w:rPr>
          <w:rFonts w:ascii="Arial" w:cs="Arial" w:eastAsia="Arial" w:hAnsi="Arial"/>
          <w:sz w:val="18"/>
          <w:szCs w:val="18"/>
          <w:color w:val="auto"/>
        </w:rPr>
        <w:t>On September 30, 2023, Icahn Enterprises distributed 4,973 depositary units, net of payroll withholdings, to Brett Icahn with respect to certain restricted depositary units that vested during the period in connection with the Icahn Enterprises L.P. 2017 Long Term Incentive Plan (the “2017 Incentive Plan”). The aggregate impact of the units distributed pursuant to the 2017 Incentive Plan is not material with respect to our consolidated financial statements, including the calculation of potentially dilutive units and diluted income per LP unit.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Segment Reporting</w:t>
      </w:r>
    </w:p>
    <w:p>
      <w:pPr>
        <w:spacing w:after="0" w:line="229"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We report segment information based on the various industries in which our businesses operate and how we manage those businesses in accordance with our investment strategies, which may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 Therefore, although many of our businesses are operated under separate local management, certain of our businesses are grouped together when they operate within a similar industry, comprising similarities in products, customers, production processes and regulatory environments, and when such businesses, when considered together, may be managed in accordance with one or more investment strategies specific to those businesses. Among other measures, we assess and measure segment operating results based on net income from continuing operations attributable to Icahn Enterprises. Certain terms of financings for certain of our businesses impose restrictions on the business’ ability to transfer funds to us, including restrictions on dividends, distributions, loans and other transactions.</w:t>
      </w:r>
    </w:p>
    <w:p>
      <w:pPr>
        <w:sectPr>
          <w:pgSz w:w="11900" w:h="16838" w:orient="portrait"/>
          <w:cols w:equalWidth="0" w:num="1">
            <w:col w:w="9019"/>
          </w:cols>
          <w:pgMar w:left="1440" w:top="517"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Condensed Statements of Operations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9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12"/>
          </w:tcPr>
          <w:p>
            <w:pPr>
              <w:jc w:val="right"/>
              <w:ind w:right="37"/>
              <w:spacing w:after="0"/>
              <w:rPr>
                <w:sz w:val="20"/>
                <w:szCs w:val="20"/>
                <w:color w:val="auto"/>
              </w:rPr>
            </w:pPr>
            <w:r>
              <w:rPr>
                <w:rFonts w:ascii="Arial" w:cs="Arial" w:eastAsia="Arial" w:hAnsi="Arial"/>
                <w:sz w:val="13"/>
                <w:szCs w:val="13"/>
                <w:b w:val="1"/>
                <w:bCs w:val="1"/>
                <w:color w:val="auto"/>
                <w:w w:val="99"/>
              </w:rPr>
              <w:t>Three Months Ended September 30, 2023</w:t>
            </w: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77"/>
              <w:spacing w:after="0" w:line="110" w:lineRule="exact"/>
              <w:rPr>
                <w:sz w:val="20"/>
                <w:szCs w:val="20"/>
                <w:color w:val="auto"/>
              </w:rPr>
            </w:pPr>
            <w:r>
              <w:rPr>
                <w:rFonts w:ascii="Arial" w:cs="Arial" w:eastAsia="Arial" w:hAnsi="Arial"/>
                <w:sz w:val="12"/>
                <w:szCs w:val="12"/>
                <w:b w:val="1"/>
                <w:bCs w:val="1"/>
                <w:color w:val="auto"/>
              </w:rPr>
              <w:t>Food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ind w:left="20"/>
              <w:spacing w:after="0" w:line="110" w:lineRule="exact"/>
              <w:rPr>
                <w:sz w:val="20"/>
                <w:szCs w:val="20"/>
                <w:color w:val="auto"/>
              </w:rPr>
            </w:pPr>
            <w:r>
              <w:rPr>
                <w:rFonts w:ascii="Arial" w:cs="Arial" w:eastAsia="Arial" w:hAnsi="Arial"/>
                <w:sz w:val="12"/>
                <w:szCs w:val="12"/>
                <w:b w:val="1"/>
                <w:bCs w:val="1"/>
                <w:color w:val="auto"/>
              </w:rPr>
              <w:t>Real</w:t>
            </w:r>
          </w:p>
        </w:tc>
        <w:tc>
          <w:tcPr>
            <w:tcW w:w="80" w:type="dxa"/>
            <w:vAlign w:val="bottom"/>
          </w:tcPr>
          <w:p>
            <w:pPr>
              <w:spacing w:after="0"/>
              <w:rPr>
                <w:sz w:val="9"/>
                <w:szCs w:val="9"/>
                <w:color w:val="auto"/>
              </w:rPr>
            </w:pPr>
          </w:p>
        </w:tc>
        <w:tc>
          <w:tcPr>
            <w:tcW w:w="540" w:type="dxa"/>
            <w:vAlign w:val="bottom"/>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w w:val="95"/>
              </w:rPr>
              <w:t>Home</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3"/>
          </w:tcPr>
          <w:p>
            <w:pPr>
              <w:ind w:left="60"/>
              <w:spacing w:after="0" w:line="110" w:lineRule="exact"/>
              <w:rPr>
                <w:sz w:val="20"/>
                <w:szCs w:val="20"/>
                <w:color w:val="auto"/>
              </w:rPr>
            </w:pPr>
            <w:r>
              <w:rPr>
                <w:rFonts w:ascii="Arial" w:cs="Arial" w:eastAsia="Arial" w:hAnsi="Arial"/>
                <w:sz w:val="12"/>
                <w:szCs w:val="12"/>
                <w:b w:val="1"/>
                <w:bCs w:val="1"/>
                <w:color w:val="auto"/>
              </w:rPr>
              <w:t>Holding</w:t>
            </w: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920" w:type="dxa"/>
            <w:vAlign w:val="bottom"/>
          </w:tcPr>
          <w:p>
            <w:pPr>
              <w:spacing w:after="0"/>
              <w:rPr>
                <w:sz w:val="13"/>
                <w:szCs w:val="13"/>
                <w:color w:val="auto"/>
              </w:rPr>
            </w:pPr>
          </w:p>
        </w:tc>
        <w:tc>
          <w:tcPr>
            <w:tcW w:w="720" w:type="dxa"/>
            <w:vAlign w:val="bottom"/>
            <w:gridSpan w:val="3"/>
          </w:tcPr>
          <w:p>
            <w:pPr>
              <w:spacing w:after="0"/>
              <w:rPr>
                <w:sz w:val="20"/>
                <w:szCs w:val="20"/>
                <w:color w:val="auto"/>
              </w:rPr>
            </w:pPr>
            <w:r>
              <w:rPr>
                <w:rFonts w:ascii="Arial" w:cs="Arial" w:eastAsia="Arial" w:hAnsi="Arial"/>
                <w:sz w:val="13"/>
                <w:szCs w:val="13"/>
                <w:b w:val="1"/>
                <w:bCs w:val="1"/>
                <w:color w:val="auto"/>
              </w:rPr>
              <w:t>Investment</w:t>
            </w:r>
          </w:p>
        </w:tc>
        <w:tc>
          <w:tcPr>
            <w:tcW w:w="600" w:type="dxa"/>
            <w:vAlign w:val="bottom"/>
            <w:gridSpan w:val="3"/>
          </w:tcPr>
          <w:p>
            <w:pPr>
              <w:ind w:left="40"/>
              <w:spacing w:after="0"/>
              <w:rPr>
                <w:sz w:val="20"/>
                <w:szCs w:val="20"/>
                <w:color w:val="auto"/>
              </w:rPr>
            </w:pPr>
            <w:r>
              <w:rPr>
                <w:rFonts w:ascii="Arial" w:cs="Arial" w:eastAsia="Arial" w:hAnsi="Arial"/>
                <w:sz w:val="13"/>
                <w:szCs w:val="13"/>
                <w:b w:val="1"/>
                <w:bCs w:val="1"/>
                <w:color w:val="auto"/>
              </w:rPr>
              <w:t>Energy</w:t>
            </w:r>
          </w:p>
        </w:tc>
        <w:tc>
          <w:tcPr>
            <w:tcW w:w="780" w:type="dxa"/>
            <w:vAlign w:val="bottom"/>
            <w:gridSpan w:val="3"/>
          </w:tcPr>
          <w:p>
            <w:pPr>
              <w:ind w:left="20"/>
              <w:spacing w:after="0"/>
              <w:rPr>
                <w:sz w:val="20"/>
                <w:szCs w:val="20"/>
                <w:color w:val="auto"/>
              </w:rPr>
            </w:pPr>
            <w:r>
              <w:rPr>
                <w:rFonts w:ascii="Arial" w:cs="Arial" w:eastAsia="Arial" w:hAnsi="Arial"/>
                <w:sz w:val="13"/>
                <w:szCs w:val="13"/>
                <w:b w:val="1"/>
                <w:bCs w:val="1"/>
                <w:color w:val="auto"/>
              </w:rPr>
              <w:t>Automotive</w:t>
            </w:r>
          </w:p>
        </w:tc>
        <w:tc>
          <w:tcPr>
            <w:tcW w:w="560" w:type="dxa"/>
            <w:vAlign w:val="bottom"/>
            <w:gridSpan w:val="2"/>
          </w:tcPr>
          <w:p>
            <w:pPr>
              <w:spacing w:after="0"/>
              <w:rPr>
                <w:sz w:val="20"/>
                <w:szCs w:val="20"/>
                <w:color w:val="auto"/>
              </w:rPr>
            </w:pPr>
            <w:r>
              <w:rPr>
                <w:rFonts w:ascii="Arial" w:cs="Arial" w:eastAsia="Arial" w:hAnsi="Arial"/>
                <w:sz w:val="13"/>
                <w:szCs w:val="13"/>
                <w:b w:val="1"/>
                <w:bCs w:val="1"/>
                <w:color w:val="auto"/>
                <w:w w:val="82"/>
              </w:rPr>
              <w:t>Packaging</w:t>
            </w:r>
          </w:p>
        </w:tc>
        <w:tc>
          <w:tcPr>
            <w:tcW w:w="120" w:type="dxa"/>
            <w:vAlign w:val="bottom"/>
            <w:vMerge w:val="restart"/>
          </w:tcPr>
          <w:p>
            <w:pPr>
              <w:ind w:left="20"/>
              <w:spacing w:after="0"/>
              <w:rPr>
                <w:sz w:val="20"/>
                <w:szCs w:val="20"/>
                <w:color w:val="auto"/>
              </w:rPr>
            </w:pPr>
            <w:r>
              <w:rPr>
                <w:rFonts w:ascii="Arial" w:cs="Arial" w:eastAsia="Arial" w:hAnsi="Arial"/>
                <w:sz w:val="10"/>
                <w:szCs w:val="10"/>
                <w:color w:val="auto"/>
                <w:w w:val="71"/>
              </w:rPr>
              <w:t>(in</w:t>
            </w:r>
          </w:p>
        </w:tc>
        <w:tc>
          <w:tcPr>
            <w:tcW w:w="580" w:type="dxa"/>
            <w:vAlign w:val="bottom"/>
            <w:gridSpan w:val="3"/>
          </w:tcPr>
          <w:p>
            <w:pPr>
              <w:ind w:left="60"/>
              <w:spacing w:after="0"/>
              <w:rPr>
                <w:sz w:val="20"/>
                <w:szCs w:val="20"/>
                <w:color w:val="auto"/>
              </w:rPr>
            </w:pPr>
            <w:r>
              <w:rPr>
                <w:rFonts w:ascii="Arial" w:cs="Arial" w:eastAsia="Arial" w:hAnsi="Arial"/>
                <w:sz w:val="13"/>
                <w:szCs w:val="13"/>
                <w:b w:val="1"/>
                <w:bCs w:val="1"/>
                <w:color w:val="auto"/>
              </w:rPr>
              <w:t>Estate</w:t>
            </w:r>
          </w:p>
        </w:tc>
        <w:tc>
          <w:tcPr>
            <w:tcW w:w="6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4"/>
              </w:rPr>
              <w:t>Fashion</w:t>
            </w:r>
          </w:p>
        </w:tc>
        <w:tc>
          <w:tcPr>
            <w:tcW w:w="620" w:type="dxa"/>
            <w:vAlign w:val="bottom"/>
            <w:gridSpan w:val="3"/>
          </w:tcPr>
          <w:p>
            <w:pPr>
              <w:ind w:left="40"/>
              <w:spacing w:after="0"/>
              <w:rPr>
                <w:sz w:val="20"/>
                <w:szCs w:val="20"/>
                <w:color w:val="auto"/>
              </w:rPr>
            </w:pPr>
            <w:r>
              <w:rPr>
                <w:rFonts w:ascii="Arial" w:cs="Arial" w:eastAsia="Arial" w:hAnsi="Arial"/>
                <w:sz w:val="13"/>
                <w:szCs w:val="13"/>
                <w:b w:val="1"/>
                <w:bCs w:val="1"/>
                <w:color w:val="auto"/>
              </w:rPr>
              <w:t>Pharma</w:t>
            </w:r>
          </w:p>
        </w:tc>
        <w:tc>
          <w:tcPr>
            <w:tcW w:w="660" w:type="dxa"/>
            <w:vAlign w:val="bottom"/>
            <w:gridSpan w:val="3"/>
          </w:tcPr>
          <w:p>
            <w:pPr>
              <w:ind w:left="20"/>
              <w:spacing w:after="0"/>
              <w:rPr>
                <w:sz w:val="20"/>
                <w:szCs w:val="20"/>
                <w:color w:val="auto"/>
              </w:rPr>
            </w:pPr>
            <w:r>
              <w:rPr>
                <w:rFonts w:ascii="Arial" w:cs="Arial" w:eastAsia="Arial" w:hAnsi="Arial"/>
                <w:sz w:val="13"/>
                <w:szCs w:val="13"/>
                <w:b w:val="1"/>
                <w:bCs w:val="1"/>
                <w:color w:val="auto"/>
              </w:rPr>
              <w:t>Company</w:t>
            </w: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w w:val="82"/>
              </w:rPr>
              <w:t>Consolidated</w:t>
            </w:r>
          </w:p>
        </w:tc>
        <w:tc>
          <w:tcPr>
            <w:tcW w:w="0" w:type="dxa"/>
            <w:vAlign w:val="bottom"/>
          </w:tcPr>
          <w:p>
            <w:pPr>
              <w:spacing w:after="0"/>
              <w:rPr>
                <w:sz w:val="1"/>
                <w:szCs w:val="1"/>
                <w:color w:val="auto"/>
              </w:rPr>
            </w:pPr>
          </w:p>
        </w:tc>
      </w:tr>
      <w:tr>
        <w:trPr>
          <w:trHeight w:val="154"/>
        </w:trPr>
        <w:tc>
          <w:tcPr>
            <w:tcW w:w="2920" w:type="dxa"/>
            <w:vAlign w:val="bottom"/>
            <w:vMerge w:val="restart"/>
          </w:tcPr>
          <w:p>
            <w:pPr>
              <w:ind w:left="20"/>
              <w:spacing w:after="0"/>
              <w:rPr>
                <w:sz w:val="20"/>
                <w:szCs w:val="20"/>
                <w:color w:val="auto"/>
              </w:rPr>
            </w:pPr>
            <w:r>
              <w:rPr>
                <w:rFonts w:ascii="Arial" w:cs="Arial" w:eastAsia="Arial" w:hAnsi="Arial"/>
                <w:sz w:val="13"/>
                <w:szCs w:val="13"/>
                <w:color w:val="auto"/>
              </w:rPr>
              <w:t>Revenues:</w:t>
            </w:r>
          </w:p>
        </w:tc>
        <w:tc>
          <w:tcPr>
            <w:tcW w:w="1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vMerge w:val="continue"/>
          </w:tcPr>
          <w:p>
            <w:pPr>
              <w:spacing w:after="0"/>
              <w:rPr>
                <w:sz w:val="13"/>
                <w:szCs w:val="13"/>
                <w:color w:val="auto"/>
              </w:rPr>
            </w:pPr>
          </w:p>
        </w:tc>
        <w:tc>
          <w:tcPr>
            <w:tcW w:w="460" w:type="dxa"/>
            <w:vAlign w:val="bottom"/>
            <w:tcBorders>
              <w:top w:val="single" w:sz="8" w:color="auto"/>
            </w:tcBorders>
            <w:gridSpan w:val="2"/>
          </w:tcPr>
          <w:p>
            <w:pPr>
              <w:ind w:left="60"/>
              <w:spacing w:after="0"/>
              <w:rPr>
                <w:sz w:val="20"/>
                <w:szCs w:val="20"/>
                <w:color w:val="auto"/>
              </w:rPr>
            </w:pPr>
            <w:r>
              <w:rPr>
                <w:rFonts w:ascii="Arial" w:cs="Arial" w:eastAsia="Arial" w:hAnsi="Arial"/>
                <w:sz w:val="13"/>
                <w:szCs w:val="13"/>
                <w:color w:val="auto"/>
                <w:w w:val="79"/>
              </w:rPr>
              <w:t>millions)</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29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Net sales</w:t>
            </w:r>
          </w:p>
        </w:tc>
        <w:tc>
          <w:tcPr>
            <w:tcW w:w="1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2,522</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105</w:t>
            </w: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w w:val="82"/>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2,991</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Arial" w:cs="Arial" w:eastAsia="Arial" w:hAnsi="Arial"/>
                <w:sz w:val="13"/>
                <w:szCs w:val="13"/>
                <w:color w:val="auto"/>
              </w:rPr>
              <w:t>Other revenues from operations</w:t>
            </w:r>
          </w:p>
        </w:tc>
        <w:tc>
          <w:tcPr>
            <w:tcW w:w="18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180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22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203</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Net loss from investment activities</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(332)</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(332)</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Arial" w:cs="Arial" w:eastAsia="Arial" w:hAnsi="Arial"/>
                <w:sz w:val="13"/>
                <w:szCs w:val="13"/>
                <w:color w:val="auto"/>
              </w:rPr>
              <w:t>Interest and dividend income</w:t>
            </w:r>
          </w:p>
        </w:tc>
        <w:tc>
          <w:tcPr>
            <w:tcW w:w="1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108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24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143</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(loss) income, net</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28"/>
        </w:trPr>
        <w:tc>
          <w:tcPr>
            <w:tcW w:w="292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(245)</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8"/>
              </w:rPr>
              <w:t>2,535</w:t>
            </w:r>
          </w:p>
        </w:tc>
        <w:tc>
          <w:tcPr>
            <w:tcW w:w="12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448</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103</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51</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47</w:t>
            </w:r>
          </w:p>
        </w:tc>
        <w:tc>
          <w:tcPr>
            <w:tcW w:w="12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26</w:t>
            </w:r>
          </w:p>
        </w:tc>
        <w:tc>
          <w:tcPr>
            <w:tcW w:w="1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w:t>
            </w:r>
          </w:p>
        </w:tc>
        <w:tc>
          <w:tcPr>
            <w:tcW w:w="12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2,989</w:t>
            </w:r>
          </w:p>
        </w:tc>
        <w:tc>
          <w:tcPr>
            <w:tcW w:w="0" w:type="dxa"/>
            <w:vAlign w:val="bottom"/>
          </w:tcPr>
          <w:p>
            <w:pPr>
              <w:spacing w:after="0"/>
              <w:rPr>
                <w:sz w:val="1"/>
                <w:szCs w:val="1"/>
                <w:color w:val="auto"/>
              </w:rPr>
            </w:pPr>
          </w:p>
        </w:tc>
      </w:tr>
      <w:tr>
        <w:trPr>
          <w:trHeight w:val="129"/>
        </w:trPr>
        <w:tc>
          <w:tcPr>
            <w:tcW w:w="29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Expenses:</w:t>
            </w: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Arial" w:cs="Arial" w:eastAsia="Arial" w:hAnsi="Arial"/>
                <w:sz w:val="13"/>
                <w:szCs w:val="13"/>
                <w:color w:val="auto"/>
              </w:rPr>
              <w:t>Cost of goods sold</w:t>
            </w:r>
          </w:p>
        </w:tc>
        <w:tc>
          <w:tcPr>
            <w:tcW w:w="18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w w:val="98"/>
              </w:rPr>
              <w:t>2,048</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174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83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20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37</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2,377</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expenses from operations</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165</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Arial" w:cs="Arial" w:eastAsia="Arial" w:hAnsi="Arial"/>
                <w:sz w:val="13"/>
                <w:szCs w:val="13"/>
                <w:color w:val="auto"/>
              </w:rPr>
              <w:t>Selling, general and administrative</w:t>
            </w:r>
          </w:p>
        </w:tc>
        <w:tc>
          <w:tcPr>
            <w:tcW w:w="1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43</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116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9</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9</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Restructuring, net</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Arial" w:cs="Arial" w:eastAsia="Arial" w:hAnsi="Arial"/>
                <w:sz w:val="13"/>
                <w:szCs w:val="13"/>
                <w:color w:val="auto"/>
              </w:rPr>
              <w:t>Credit loss on related party note receivable</w:t>
            </w:r>
          </w:p>
        </w:tc>
        <w:tc>
          <w:tcPr>
            <w:tcW w:w="18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23</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Loss on deconsolidation of subsidiaries</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Arial" w:cs="Arial" w:eastAsia="Arial" w:hAnsi="Arial"/>
                <w:sz w:val="13"/>
                <w:szCs w:val="13"/>
                <w:color w:val="auto"/>
              </w:rPr>
              <w:t>Interest expense</w:t>
            </w:r>
          </w:p>
        </w:tc>
        <w:tc>
          <w:tcPr>
            <w:tcW w:w="1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49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22</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71</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128"/>
        </w:trPr>
        <w:tc>
          <w:tcPr>
            <w:tcW w:w="29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52</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2,113</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440</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100</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48</w:t>
            </w: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103</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2,923</w:t>
            </w:r>
          </w:p>
        </w:tc>
        <w:tc>
          <w:tcPr>
            <w:tcW w:w="0" w:type="dxa"/>
            <w:vAlign w:val="bottom"/>
          </w:tcPr>
          <w:p>
            <w:pPr>
              <w:spacing w:after="0"/>
              <w:rPr>
                <w:sz w:val="1"/>
                <w:szCs w:val="1"/>
                <w:color w:val="auto"/>
              </w:rPr>
            </w:pPr>
          </w:p>
        </w:tc>
      </w:tr>
      <w:tr>
        <w:trPr>
          <w:trHeight w:val="128"/>
        </w:trPr>
        <w:tc>
          <w:tcPr>
            <w:tcW w:w="2920" w:type="dxa"/>
            <w:vAlign w:val="bottom"/>
          </w:tcPr>
          <w:p>
            <w:pPr>
              <w:ind w:left="20"/>
              <w:spacing w:after="0" w:line="129" w:lineRule="exact"/>
              <w:rPr>
                <w:sz w:val="20"/>
                <w:szCs w:val="20"/>
                <w:color w:val="auto"/>
              </w:rPr>
            </w:pPr>
            <w:r>
              <w:rPr>
                <w:rFonts w:ascii="Arial" w:cs="Arial" w:eastAsia="Arial" w:hAnsi="Arial"/>
                <w:sz w:val="13"/>
                <w:szCs w:val="13"/>
                <w:color w:val="auto"/>
                <w:w w:val="98"/>
              </w:rPr>
              <w:t>(Loss) income before income tax (expense) benefit</w:t>
            </w:r>
          </w:p>
        </w:tc>
        <w:tc>
          <w:tcPr>
            <w:tcW w:w="18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3"/>
                <w:szCs w:val="13"/>
                <w:color w:val="auto"/>
              </w:rPr>
              <w:t>(297)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3"/>
                <w:szCs w:val="13"/>
                <w:color w:val="auto"/>
              </w:rPr>
              <w:t>422</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3"/>
                <w:szCs w:val="13"/>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3"/>
                <w:szCs w:val="13"/>
                <w:color w:val="auto"/>
              </w:rPr>
              <w:t>10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jc w:val="right"/>
              <w:spacing w:after="0" w:line="129" w:lineRule="exact"/>
              <w:rPr>
                <w:sz w:val="20"/>
                <w:szCs w:val="20"/>
                <w:color w:val="auto"/>
              </w:rPr>
            </w:pPr>
            <w:r>
              <w:rPr>
                <w:rFonts w:ascii="Arial" w:cs="Arial" w:eastAsia="Arial" w:hAnsi="Arial"/>
                <w:sz w:val="13"/>
                <w:szCs w:val="13"/>
                <w:color w:val="auto"/>
              </w:rPr>
              <w:t>(79)</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Income tax (expense) benefit</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(80)</w:t>
            </w:r>
          </w:p>
        </w:tc>
        <w:tc>
          <w:tcPr>
            <w:tcW w:w="2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28"/>
        </w:trPr>
        <w:tc>
          <w:tcPr>
            <w:tcW w:w="2920" w:type="dxa"/>
            <w:vAlign w:val="bottom"/>
          </w:tcPr>
          <w:p>
            <w:pPr>
              <w:ind w:left="20"/>
              <w:spacing w:after="0" w:line="129" w:lineRule="exact"/>
              <w:rPr>
                <w:sz w:val="20"/>
                <w:szCs w:val="20"/>
                <w:color w:val="auto"/>
              </w:rPr>
            </w:pPr>
            <w:r>
              <w:rPr>
                <w:rFonts w:ascii="Arial" w:cs="Arial" w:eastAsia="Arial" w:hAnsi="Arial"/>
                <w:sz w:val="13"/>
                <w:szCs w:val="13"/>
                <w:color w:val="auto"/>
              </w:rPr>
              <w:t>Net (loss) income</w:t>
            </w:r>
          </w:p>
        </w:tc>
        <w:tc>
          <w:tcPr>
            <w:tcW w:w="1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(297)</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342</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7</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10</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(91)</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21"/>
        </w:trPr>
        <w:tc>
          <w:tcPr>
            <w:tcW w:w="292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4"/>
              </w:rPr>
              <w:t>Less: net (loss) income attributable to non-controlling</w:t>
            </w: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interests</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(131)</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68"/>
        </w:trPr>
        <w:tc>
          <w:tcPr>
            <w:tcW w:w="292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color w:val="auto"/>
                <w:w w:val="99"/>
              </w:rPr>
              <w:t>Net (loss) income attributable to Icahn Enterprises</w:t>
            </w:r>
          </w:p>
        </w:tc>
        <w:tc>
          <w:tcPr>
            <w:tcW w:w="1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(166)</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235</w:t>
            </w:r>
          </w:p>
        </w:tc>
        <w:tc>
          <w:tcPr>
            <w:tcW w:w="12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ind w:left="20"/>
              <w:spacing w:after="0" w:line="129" w:lineRule="exact"/>
              <w:rPr>
                <w:sz w:val="20"/>
                <w:szCs w:val="20"/>
                <w:color w:val="auto"/>
              </w:rPr>
            </w:pPr>
            <w:r>
              <w:rPr>
                <w:rFonts w:ascii="Arial" w:cs="Arial" w:eastAsia="Arial" w:hAnsi="Arial"/>
                <w:sz w:val="13"/>
                <w:szCs w:val="13"/>
                <w:color w:val="auto"/>
              </w:rPr>
              <w:t>$</w:t>
            </w: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(91)</w:t>
            </w:r>
          </w:p>
        </w:tc>
        <w:tc>
          <w:tcPr>
            <w:tcW w:w="12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ind w:left="20"/>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16"/>
        </w:trPr>
        <w:tc>
          <w:tcPr>
            <w:tcW w:w="292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color w:val="auto"/>
              </w:rPr>
              <w:t>Supplemental information:</w:t>
            </w: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Arial" w:cs="Arial" w:eastAsia="Arial" w:hAnsi="Arial"/>
                <w:sz w:val="13"/>
                <w:szCs w:val="13"/>
                <w:color w:val="auto"/>
              </w:rPr>
              <w:t>Capital expenditures</w:t>
            </w:r>
          </w:p>
        </w:tc>
        <w:tc>
          <w:tcPr>
            <w:tcW w:w="18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50</w:t>
            </w:r>
          </w:p>
        </w:tc>
        <w:tc>
          <w:tcPr>
            <w:tcW w:w="120" w:type="dxa"/>
            <w:vAlign w:val="bottom"/>
          </w:tcPr>
          <w:p>
            <w:pPr>
              <w:spacing w:after="0"/>
              <w:rPr>
                <w:sz w:val="11"/>
                <w:szCs w:val="11"/>
                <w:color w:val="auto"/>
              </w:rPr>
            </w:pP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17</w:t>
            </w:r>
          </w:p>
        </w:tc>
        <w:tc>
          <w:tcPr>
            <w:tcW w:w="14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220" w:type="dxa"/>
            <w:vAlign w:val="bottom"/>
          </w:tcPr>
          <w:p>
            <w:pPr>
              <w:jc w:val="right"/>
              <w:ind w:right="77"/>
              <w:spacing w:after="0" w:line="135" w:lineRule="exact"/>
              <w:rPr>
                <w:sz w:val="20"/>
                <w:szCs w:val="20"/>
                <w:color w:val="auto"/>
              </w:rPr>
            </w:pPr>
            <w:r>
              <w:rPr>
                <w:rFonts w:ascii="Arial" w:cs="Arial" w:eastAsia="Arial" w:hAnsi="Arial"/>
                <w:sz w:val="13"/>
                <w:szCs w:val="13"/>
                <w:color w:val="auto"/>
                <w:w w:val="82"/>
              </w:rPr>
              <w:t>$</w:t>
            </w: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Depreciation and amortization</w:t>
            </w:r>
          </w:p>
        </w:tc>
        <w:tc>
          <w:tcPr>
            <w:tcW w:w="1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96</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w w:val="82"/>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9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12"/>
          </w:tcPr>
          <w:p>
            <w:pPr>
              <w:jc w:val="right"/>
              <w:ind w:right="37"/>
              <w:spacing w:after="0"/>
              <w:rPr>
                <w:sz w:val="20"/>
                <w:szCs w:val="20"/>
                <w:color w:val="auto"/>
              </w:rPr>
            </w:pPr>
            <w:r>
              <w:rPr>
                <w:rFonts w:ascii="Arial" w:cs="Arial" w:eastAsia="Arial" w:hAnsi="Arial"/>
                <w:sz w:val="13"/>
                <w:szCs w:val="13"/>
                <w:b w:val="1"/>
                <w:bCs w:val="1"/>
                <w:color w:val="auto"/>
                <w:w w:val="99"/>
              </w:rPr>
              <w:t>Three Months Ended September 30, 2022</w:t>
            </w: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77"/>
              <w:spacing w:after="0" w:line="110" w:lineRule="exact"/>
              <w:rPr>
                <w:sz w:val="20"/>
                <w:szCs w:val="20"/>
                <w:color w:val="auto"/>
              </w:rPr>
            </w:pPr>
            <w:r>
              <w:rPr>
                <w:rFonts w:ascii="Arial" w:cs="Arial" w:eastAsia="Arial" w:hAnsi="Arial"/>
                <w:sz w:val="12"/>
                <w:szCs w:val="12"/>
                <w:b w:val="1"/>
                <w:bCs w:val="1"/>
                <w:color w:val="auto"/>
              </w:rPr>
              <w:t>Food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ind w:left="20"/>
              <w:spacing w:after="0" w:line="110" w:lineRule="exact"/>
              <w:rPr>
                <w:sz w:val="20"/>
                <w:szCs w:val="20"/>
                <w:color w:val="auto"/>
              </w:rPr>
            </w:pPr>
            <w:r>
              <w:rPr>
                <w:rFonts w:ascii="Arial" w:cs="Arial" w:eastAsia="Arial" w:hAnsi="Arial"/>
                <w:sz w:val="12"/>
                <w:szCs w:val="12"/>
                <w:b w:val="1"/>
                <w:bCs w:val="1"/>
                <w:color w:val="auto"/>
              </w:rPr>
              <w:t>Real</w:t>
            </w:r>
          </w:p>
        </w:tc>
        <w:tc>
          <w:tcPr>
            <w:tcW w:w="80" w:type="dxa"/>
            <w:vAlign w:val="bottom"/>
          </w:tcPr>
          <w:p>
            <w:pPr>
              <w:spacing w:after="0"/>
              <w:rPr>
                <w:sz w:val="9"/>
                <w:szCs w:val="9"/>
                <w:color w:val="auto"/>
              </w:rPr>
            </w:pPr>
          </w:p>
        </w:tc>
        <w:tc>
          <w:tcPr>
            <w:tcW w:w="540" w:type="dxa"/>
            <w:vAlign w:val="bottom"/>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w w:val="95"/>
              </w:rPr>
              <w:t>Home</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3"/>
          </w:tcPr>
          <w:p>
            <w:pPr>
              <w:ind w:left="60"/>
              <w:spacing w:after="0" w:line="110" w:lineRule="exact"/>
              <w:rPr>
                <w:sz w:val="20"/>
                <w:szCs w:val="20"/>
                <w:color w:val="auto"/>
              </w:rPr>
            </w:pPr>
            <w:r>
              <w:rPr>
                <w:rFonts w:ascii="Arial" w:cs="Arial" w:eastAsia="Arial" w:hAnsi="Arial"/>
                <w:sz w:val="12"/>
                <w:szCs w:val="12"/>
                <w:b w:val="1"/>
                <w:bCs w:val="1"/>
                <w:color w:val="auto"/>
              </w:rPr>
              <w:t>Holding</w:t>
            </w: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920" w:type="dxa"/>
            <w:vAlign w:val="bottom"/>
          </w:tcPr>
          <w:p>
            <w:pPr>
              <w:spacing w:after="0"/>
              <w:rPr>
                <w:sz w:val="13"/>
                <w:szCs w:val="13"/>
                <w:color w:val="auto"/>
              </w:rPr>
            </w:pPr>
          </w:p>
        </w:tc>
        <w:tc>
          <w:tcPr>
            <w:tcW w:w="720" w:type="dxa"/>
            <w:vAlign w:val="bottom"/>
            <w:gridSpan w:val="3"/>
          </w:tcPr>
          <w:p>
            <w:pPr>
              <w:spacing w:after="0"/>
              <w:rPr>
                <w:sz w:val="20"/>
                <w:szCs w:val="20"/>
                <w:color w:val="auto"/>
              </w:rPr>
            </w:pPr>
            <w:r>
              <w:rPr>
                <w:rFonts w:ascii="Arial" w:cs="Arial" w:eastAsia="Arial" w:hAnsi="Arial"/>
                <w:sz w:val="13"/>
                <w:szCs w:val="13"/>
                <w:b w:val="1"/>
                <w:bCs w:val="1"/>
                <w:color w:val="auto"/>
              </w:rPr>
              <w:t>Investment</w:t>
            </w:r>
          </w:p>
        </w:tc>
        <w:tc>
          <w:tcPr>
            <w:tcW w:w="600" w:type="dxa"/>
            <w:vAlign w:val="bottom"/>
            <w:gridSpan w:val="3"/>
          </w:tcPr>
          <w:p>
            <w:pPr>
              <w:ind w:left="40"/>
              <w:spacing w:after="0"/>
              <w:rPr>
                <w:sz w:val="20"/>
                <w:szCs w:val="20"/>
                <w:color w:val="auto"/>
              </w:rPr>
            </w:pPr>
            <w:r>
              <w:rPr>
                <w:rFonts w:ascii="Arial" w:cs="Arial" w:eastAsia="Arial" w:hAnsi="Arial"/>
                <w:sz w:val="13"/>
                <w:szCs w:val="13"/>
                <w:b w:val="1"/>
                <w:bCs w:val="1"/>
                <w:color w:val="auto"/>
              </w:rPr>
              <w:t>Energy</w:t>
            </w:r>
          </w:p>
        </w:tc>
        <w:tc>
          <w:tcPr>
            <w:tcW w:w="780" w:type="dxa"/>
            <w:vAlign w:val="bottom"/>
            <w:gridSpan w:val="3"/>
          </w:tcPr>
          <w:p>
            <w:pPr>
              <w:ind w:left="20"/>
              <w:spacing w:after="0"/>
              <w:rPr>
                <w:sz w:val="20"/>
                <w:szCs w:val="20"/>
                <w:color w:val="auto"/>
              </w:rPr>
            </w:pPr>
            <w:r>
              <w:rPr>
                <w:rFonts w:ascii="Arial" w:cs="Arial" w:eastAsia="Arial" w:hAnsi="Arial"/>
                <w:sz w:val="13"/>
                <w:szCs w:val="13"/>
                <w:b w:val="1"/>
                <w:bCs w:val="1"/>
                <w:color w:val="auto"/>
              </w:rPr>
              <w:t>Automotive</w:t>
            </w:r>
          </w:p>
        </w:tc>
        <w:tc>
          <w:tcPr>
            <w:tcW w:w="560" w:type="dxa"/>
            <w:vAlign w:val="bottom"/>
            <w:gridSpan w:val="2"/>
          </w:tcPr>
          <w:p>
            <w:pPr>
              <w:spacing w:after="0"/>
              <w:rPr>
                <w:sz w:val="20"/>
                <w:szCs w:val="20"/>
                <w:color w:val="auto"/>
              </w:rPr>
            </w:pPr>
            <w:r>
              <w:rPr>
                <w:rFonts w:ascii="Arial" w:cs="Arial" w:eastAsia="Arial" w:hAnsi="Arial"/>
                <w:sz w:val="13"/>
                <w:szCs w:val="13"/>
                <w:b w:val="1"/>
                <w:bCs w:val="1"/>
                <w:color w:val="auto"/>
                <w:w w:val="82"/>
              </w:rPr>
              <w:t>Packaging</w:t>
            </w:r>
          </w:p>
        </w:tc>
        <w:tc>
          <w:tcPr>
            <w:tcW w:w="120" w:type="dxa"/>
            <w:vAlign w:val="bottom"/>
            <w:vMerge w:val="restart"/>
          </w:tcPr>
          <w:p>
            <w:pPr>
              <w:ind w:left="20"/>
              <w:spacing w:after="0"/>
              <w:rPr>
                <w:sz w:val="20"/>
                <w:szCs w:val="20"/>
                <w:color w:val="auto"/>
              </w:rPr>
            </w:pPr>
            <w:r>
              <w:rPr>
                <w:rFonts w:ascii="Arial" w:cs="Arial" w:eastAsia="Arial" w:hAnsi="Arial"/>
                <w:sz w:val="10"/>
                <w:szCs w:val="10"/>
                <w:color w:val="auto"/>
                <w:w w:val="71"/>
              </w:rPr>
              <w:t>(in</w:t>
            </w:r>
          </w:p>
        </w:tc>
        <w:tc>
          <w:tcPr>
            <w:tcW w:w="580" w:type="dxa"/>
            <w:vAlign w:val="bottom"/>
            <w:gridSpan w:val="3"/>
          </w:tcPr>
          <w:p>
            <w:pPr>
              <w:ind w:left="60"/>
              <w:spacing w:after="0"/>
              <w:rPr>
                <w:sz w:val="20"/>
                <w:szCs w:val="20"/>
                <w:color w:val="auto"/>
              </w:rPr>
            </w:pPr>
            <w:r>
              <w:rPr>
                <w:rFonts w:ascii="Arial" w:cs="Arial" w:eastAsia="Arial" w:hAnsi="Arial"/>
                <w:sz w:val="13"/>
                <w:szCs w:val="13"/>
                <w:b w:val="1"/>
                <w:bCs w:val="1"/>
                <w:color w:val="auto"/>
              </w:rPr>
              <w:t>Estate</w:t>
            </w:r>
          </w:p>
        </w:tc>
        <w:tc>
          <w:tcPr>
            <w:tcW w:w="6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4"/>
              </w:rPr>
              <w:t>Fashion</w:t>
            </w:r>
          </w:p>
        </w:tc>
        <w:tc>
          <w:tcPr>
            <w:tcW w:w="620" w:type="dxa"/>
            <w:vAlign w:val="bottom"/>
            <w:gridSpan w:val="3"/>
          </w:tcPr>
          <w:p>
            <w:pPr>
              <w:ind w:left="40"/>
              <w:spacing w:after="0"/>
              <w:rPr>
                <w:sz w:val="20"/>
                <w:szCs w:val="20"/>
                <w:color w:val="auto"/>
              </w:rPr>
            </w:pPr>
            <w:r>
              <w:rPr>
                <w:rFonts w:ascii="Arial" w:cs="Arial" w:eastAsia="Arial" w:hAnsi="Arial"/>
                <w:sz w:val="13"/>
                <w:szCs w:val="13"/>
                <w:b w:val="1"/>
                <w:bCs w:val="1"/>
                <w:color w:val="auto"/>
              </w:rPr>
              <w:t>Pharma</w:t>
            </w:r>
          </w:p>
        </w:tc>
        <w:tc>
          <w:tcPr>
            <w:tcW w:w="660" w:type="dxa"/>
            <w:vAlign w:val="bottom"/>
            <w:gridSpan w:val="3"/>
          </w:tcPr>
          <w:p>
            <w:pPr>
              <w:ind w:left="20"/>
              <w:spacing w:after="0"/>
              <w:rPr>
                <w:sz w:val="20"/>
                <w:szCs w:val="20"/>
                <w:color w:val="auto"/>
              </w:rPr>
            </w:pPr>
            <w:r>
              <w:rPr>
                <w:rFonts w:ascii="Arial" w:cs="Arial" w:eastAsia="Arial" w:hAnsi="Arial"/>
                <w:sz w:val="13"/>
                <w:szCs w:val="13"/>
                <w:b w:val="1"/>
                <w:bCs w:val="1"/>
                <w:color w:val="auto"/>
              </w:rPr>
              <w:t>Company</w:t>
            </w: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w w:val="82"/>
              </w:rPr>
              <w:t>Consolidated</w:t>
            </w:r>
          </w:p>
        </w:tc>
        <w:tc>
          <w:tcPr>
            <w:tcW w:w="0" w:type="dxa"/>
            <w:vAlign w:val="bottom"/>
          </w:tcPr>
          <w:p>
            <w:pPr>
              <w:spacing w:after="0"/>
              <w:rPr>
                <w:sz w:val="1"/>
                <w:szCs w:val="1"/>
                <w:color w:val="auto"/>
              </w:rPr>
            </w:pPr>
          </w:p>
        </w:tc>
      </w:tr>
      <w:tr>
        <w:trPr>
          <w:trHeight w:val="154"/>
        </w:trPr>
        <w:tc>
          <w:tcPr>
            <w:tcW w:w="2920" w:type="dxa"/>
            <w:vAlign w:val="bottom"/>
            <w:vMerge w:val="restart"/>
          </w:tcPr>
          <w:p>
            <w:pPr>
              <w:ind w:left="20"/>
              <w:spacing w:after="0"/>
              <w:rPr>
                <w:sz w:val="20"/>
                <w:szCs w:val="20"/>
                <w:color w:val="auto"/>
              </w:rPr>
            </w:pPr>
            <w:r>
              <w:rPr>
                <w:rFonts w:ascii="Arial" w:cs="Arial" w:eastAsia="Arial" w:hAnsi="Arial"/>
                <w:sz w:val="13"/>
                <w:szCs w:val="13"/>
                <w:color w:val="auto"/>
              </w:rPr>
              <w:t>Revenues:</w:t>
            </w:r>
          </w:p>
        </w:tc>
        <w:tc>
          <w:tcPr>
            <w:tcW w:w="1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vMerge w:val="continue"/>
          </w:tcPr>
          <w:p>
            <w:pPr>
              <w:spacing w:after="0"/>
              <w:rPr>
                <w:sz w:val="13"/>
                <w:szCs w:val="13"/>
                <w:color w:val="auto"/>
              </w:rPr>
            </w:pPr>
          </w:p>
        </w:tc>
        <w:tc>
          <w:tcPr>
            <w:tcW w:w="460" w:type="dxa"/>
            <w:vAlign w:val="bottom"/>
            <w:tcBorders>
              <w:top w:val="single" w:sz="8" w:color="auto"/>
            </w:tcBorders>
            <w:gridSpan w:val="2"/>
          </w:tcPr>
          <w:p>
            <w:pPr>
              <w:ind w:left="60"/>
              <w:spacing w:after="0"/>
              <w:rPr>
                <w:sz w:val="20"/>
                <w:szCs w:val="20"/>
                <w:color w:val="auto"/>
              </w:rPr>
            </w:pPr>
            <w:r>
              <w:rPr>
                <w:rFonts w:ascii="Arial" w:cs="Arial" w:eastAsia="Arial" w:hAnsi="Arial"/>
                <w:sz w:val="13"/>
                <w:szCs w:val="13"/>
                <w:color w:val="auto"/>
                <w:w w:val="79"/>
              </w:rPr>
              <w:t>millions)</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29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Net sales</w:t>
            </w:r>
          </w:p>
        </w:tc>
        <w:tc>
          <w:tcPr>
            <w:tcW w:w="1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2,699</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111</w:t>
            </w: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w w:val="82"/>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3,334</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Arial" w:cs="Arial" w:eastAsia="Arial" w:hAnsi="Arial"/>
                <w:sz w:val="13"/>
                <w:szCs w:val="13"/>
                <w:color w:val="auto"/>
              </w:rPr>
              <w:t>Other revenues from operations</w:t>
            </w:r>
          </w:p>
        </w:tc>
        <w:tc>
          <w:tcPr>
            <w:tcW w:w="18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177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19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197</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Net loss from investment activities</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(187)</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(187)</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Arial" w:cs="Arial" w:eastAsia="Arial" w:hAnsi="Arial"/>
                <w:sz w:val="13"/>
                <w:szCs w:val="13"/>
                <w:color w:val="auto"/>
              </w:rPr>
              <w:t>Interest and dividend income</w:t>
            </w:r>
          </w:p>
        </w:tc>
        <w:tc>
          <w:tcPr>
            <w:tcW w:w="1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76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9</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(loss) income, net</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28"/>
        </w:trPr>
        <w:tc>
          <w:tcPr>
            <w:tcW w:w="292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(137)</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8"/>
              </w:rPr>
              <w:t>2,704</w:t>
            </w:r>
          </w:p>
        </w:tc>
        <w:tc>
          <w:tcPr>
            <w:tcW w:w="12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627</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105</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33</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50</w:t>
            </w:r>
          </w:p>
        </w:tc>
        <w:tc>
          <w:tcPr>
            <w:tcW w:w="12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w:t>
            </w:r>
          </w:p>
        </w:tc>
        <w:tc>
          <w:tcPr>
            <w:tcW w:w="1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w:t>
            </w:r>
          </w:p>
        </w:tc>
        <w:tc>
          <w:tcPr>
            <w:tcW w:w="12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3,404</w:t>
            </w:r>
          </w:p>
        </w:tc>
        <w:tc>
          <w:tcPr>
            <w:tcW w:w="0" w:type="dxa"/>
            <w:vAlign w:val="bottom"/>
          </w:tcPr>
          <w:p>
            <w:pPr>
              <w:spacing w:after="0"/>
              <w:rPr>
                <w:sz w:val="1"/>
                <w:szCs w:val="1"/>
                <w:color w:val="auto"/>
              </w:rPr>
            </w:pPr>
          </w:p>
        </w:tc>
      </w:tr>
      <w:tr>
        <w:trPr>
          <w:trHeight w:val="129"/>
        </w:trPr>
        <w:tc>
          <w:tcPr>
            <w:tcW w:w="29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Expenses:</w:t>
            </w: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Arial" w:cs="Arial" w:eastAsia="Arial" w:hAnsi="Arial"/>
                <w:sz w:val="13"/>
                <w:szCs w:val="13"/>
                <w:color w:val="auto"/>
              </w:rPr>
              <w:t>Cost of goods sold</w:t>
            </w:r>
          </w:p>
        </w:tc>
        <w:tc>
          <w:tcPr>
            <w:tcW w:w="18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w w:val="98"/>
              </w:rPr>
              <w:t>2,569</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303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92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42</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3,026</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expenses from operations</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156</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Arial" w:cs="Arial" w:eastAsia="Arial" w:hAnsi="Arial"/>
                <w:sz w:val="13"/>
                <w:szCs w:val="13"/>
                <w:color w:val="auto"/>
              </w:rPr>
              <w:t>Selling, general and administrative</w:t>
            </w:r>
          </w:p>
        </w:tc>
        <w:tc>
          <w:tcPr>
            <w:tcW w:w="1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42</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213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305</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Restructuring, net</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Arial" w:cs="Arial" w:eastAsia="Arial" w:hAnsi="Arial"/>
                <w:sz w:val="13"/>
                <w:szCs w:val="13"/>
                <w:color w:val="auto"/>
              </w:rPr>
              <w:t>Interest expense</w:t>
            </w:r>
          </w:p>
        </w:tc>
        <w:tc>
          <w:tcPr>
            <w:tcW w:w="1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42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22</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72</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r>
        <w:trPr>
          <w:trHeight w:val="128"/>
        </w:trPr>
        <w:tc>
          <w:tcPr>
            <w:tcW w:w="29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2,633</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656</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108</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58</w:t>
            </w: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77</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3,626</w:t>
            </w:r>
          </w:p>
        </w:tc>
        <w:tc>
          <w:tcPr>
            <w:tcW w:w="0" w:type="dxa"/>
            <w:vAlign w:val="bottom"/>
          </w:tcPr>
          <w:p>
            <w:pPr>
              <w:spacing w:after="0"/>
              <w:rPr>
                <w:sz w:val="1"/>
                <w:szCs w:val="1"/>
                <w:color w:val="auto"/>
              </w:rPr>
            </w:pPr>
          </w:p>
        </w:tc>
      </w:tr>
      <w:tr>
        <w:trPr>
          <w:trHeight w:val="128"/>
        </w:trPr>
        <w:tc>
          <w:tcPr>
            <w:tcW w:w="2920" w:type="dxa"/>
            <w:vAlign w:val="bottom"/>
          </w:tcPr>
          <w:p>
            <w:pPr>
              <w:ind w:left="20"/>
              <w:spacing w:after="0" w:line="129" w:lineRule="exact"/>
              <w:rPr>
                <w:sz w:val="20"/>
                <w:szCs w:val="20"/>
                <w:color w:val="auto"/>
              </w:rPr>
            </w:pPr>
            <w:r>
              <w:rPr>
                <w:rFonts w:ascii="Arial" w:cs="Arial" w:eastAsia="Arial" w:hAnsi="Arial"/>
                <w:sz w:val="13"/>
                <w:szCs w:val="13"/>
                <w:color w:val="auto"/>
                <w:w w:val="98"/>
              </w:rPr>
              <w:t>(Loss) income before income tax (expense) benefit</w:t>
            </w:r>
          </w:p>
        </w:tc>
        <w:tc>
          <w:tcPr>
            <w:tcW w:w="18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3"/>
                <w:szCs w:val="13"/>
                <w:color w:val="auto"/>
              </w:rPr>
              <w:t>(181)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3"/>
                <w:szCs w:val="13"/>
                <w:color w:val="auto"/>
              </w:rPr>
              <w:t>71</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3"/>
                <w:szCs w:val="13"/>
                <w:color w:val="auto"/>
              </w:rPr>
              <w:t>(29)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3"/>
                <w:szCs w:val="13"/>
                <w:color w:val="auto"/>
              </w:rPr>
              <w:t>(8)</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jc w:val="right"/>
              <w:spacing w:after="0" w:line="129" w:lineRule="exact"/>
              <w:rPr>
                <w:sz w:val="20"/>
                <w:szCs w:val="20"/>
                <w:color w:val="auto"/>
              </w:rPr>
            </w:pPr>
            <w:r>
              <w:rPr>
                <w:rFonts w:ascii="Arial" w:cs="Arial" w:eastAsia="Arial" w:hAnsi="Arial"/>
                <w:sz w:val="13"/>
                <w:szCs w:val="13"/>
                <w:color w:val="auto"/>
              </w:rPr>
              <w:t>(7)</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jc w:val="right"/>
              <w:spacing w:after="0" w:line="129" w:lineRule="exact"/>
              <w:rPr>
                <w:sz w:val="20"/>
                <w:szCs w:val="20"/>
                <w:color w:val="auto"/>
              </w:rPr>
            </w:pPr>
            <w:r>
              <w:rPr>
                <w:rFonts w:ascii="Arial" w:cs="Arial" w:eastAsia="Arial" w:hAnsi="Arial"/>
                <w:sz w:val="13"/>
                <w:szCs w:val="13"/>
                <w:color w:val="auto"/>
              </w:rPr>
              <w:t>(69)</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3"/>
                <w:szCs w:val="13"/>
                <w:color w:val="auto"/>
              </w:rPr>
              <w:t>(222)</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Income tax (expense) benefit</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2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29"/>
        </w:trPr>
        <w:tc>
          <w:tcPr>
            <w:tcW w:w="2920" w:type="dxa"/>
            <w:vAlign w:val="bottom"/>
          </w:tcPr>
          <w:p>
            <w:pPr>
              <w:ind w:left="20"/>
              <w:spacing w:after="0" w:line="129" w:lineRule="exact"/>
              <w:rPr>
                <w:sz w:val="20"/>
                <w:szCs w:val="20"/>
                <w:color w:val="auto"/>
              </w:rPr>
            </w:pPr>
            <w:r>
              <w:rPr>
                <w:rFonts w:ascii="Arial" w:cs="Arial" w:eastAsia="Arial" w:hAnsi="Arial"/>
                <w:sz w:val="13"/>
                <w:szCs w:val="13"/>
                <w:color w:val="auto"/>
              </w:rPr>
              <w:t>Net (loss) income</w:t>
            </w:r>
          </w:p>
        </w:tc>
        <w:tc>
          <w:tcPr>
            <w:tcW w:w="1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(181)</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68</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(21)</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(9)</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(7)</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(66)</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(215)</w:t>
            </w:r>
          </w:p>
        </w:tc>
        <w:tc>
          <w:tcPr>
            <w:tcW w:w="0" w:type="dxa"/>
            <w:vAlign w:val="bottom"/>
          </w:tcPr>
          <w:p>
            <w:pPr>
              <w:spacing w:after="0"/>
              <w:rPr>
                <w:sz w:val="1"/>
                <w:szCs w:val="1"/>
                <w:color w:val="auto"/>
              </w:rPr>
            </w:pPr>
          </w:p>
        </w:tc>
      </w:tr>
      <w:tr>
        <w:trPr>
          <w:trHeight w:val="121"/>
        </w:trPr>
        <w:tc>
          <w:tcPr>
            <w:tcW w:w="292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4"/>
              </w:rPr>
              <w:t>Less: net (loss) income attributable to non-controlling</w:t>
            </w: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interests</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68"/>
        </w:trPr>
        <w:tc>
          <w:tcPr>
            <w:tcW w:w="292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color w:val="auto"/>
                <w:w w:val="99"/>
              </w:rPr>
              <w:t>Net (loss) income attributable to Icahn Enterprises</w:t>
            </w:r>
          </w:p>
        </w:tc>
        <w:tc>
          <w:tcPr>
            <w:tcW w:w="1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(81)</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60</w:t>
            </w:r>
          </w:p>
        </w:tc>
        <w:tc>
          <w:tcPr>
            <w:tcW w:w="12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w:t>
            </w:r>
          </w:p>
        </w:tc>
        <w:tc>
          <w:tcPr>
            <w:tcW w:w="12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w:t>
            </w:r>
          </w:p>
        </w:tc>
        <w:tc>
          <w:tcPr>
            <w:tcW w:w="12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ind w:left="20"/>
              <w:spacing w:after="0" w:line="129" w:lineRule="exact"/>
              <w:rPr>
                <w:sz w:val="20"/>
                <w:szCs w:val="20"/>
                <w:color w:val="auto"/>
              </w:rPr>
            </w:pPr>
            <w:r>
              <w:rPr>
                <w:rFonts w:ascii="Arial" w:cs="Arial" w:eastAsia="Arial" w:hAnsi="Arial"/>
                <w:sz w:val="13"/>
                <w:szCs w:val="13"/>
                <w:color w:val="auto"/>
              </w:rPr>
              <w:t>$</w:t>
            </w: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(66)</w:t>
            </w:r>
          </w:p>
        </w:tc>
        <w:tc>
          <w:tcPr>
            <w:tcW w:w="12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ind w:left="20"/>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115"/>
        </w:trPr>
        <w:tc>
          <w:tcPr>
            <w:tcW w:w="292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color w:val="auto"/>
              </w:rPr>
              <w:t>Supplemental information:</w:t>
            </w: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Arial" w:cs="Arial" w:eastAsia="Arial" w:hAnsi="Arial"/>
                <w:sz w:val="13"/>
                <w:szCs w:val="13"/>
                <w:color w:val="auto"/>
              </w:rPr>
              <w:t>Capital expenditures</w:t>
            </w:r>
          </w:p>
        </w:tc>
        <w:tc>
          <w:tcPr>
            <w:tcW w:w="18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57</w:t>
            </w:r>
          </w:p>
        </w:tc>
        <w:tc>
          <w:tcPr>
            <w:tcW w:w="120" w:type="dxa"/>
            <w:vAlign w:val="bottom"/>
          </w:tcPr>
          <w:p>
            <w:pPr>
              <w:spacing w:after="0"/>
              <w:rPr>
                <w:sz w:val="11"/>
                <w:szCs w:val="11"/>
                <w:color w:val="auto"/>
              </w:rPr>
            </w:pP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36</w:t>
            </w:r>
          </w:p>
        </w:tc>
        <w:tc>
          <w:tcPr>
            <w:tcW w:w="14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220" w:type="dxa"/>
            <w:vAlign w:val="bottom"/>
          </w:tcPr>
          <w:p>
            <w:pPr>
              <w:jc w:val="right"/>
              <w:ind w:right="77"/>
              <w:spacing w:after="0" w:line="135" w:lineRule="exact"/>
              <w:rPr>
                <w:sz w:val="20"/>
                <w:szCs w:val="20"/>
                <w:color w:val="auto"/>
              </w:rPr>
            </w:pPr>
            <w:r>
              <w:rPr>
                <w:rFonts w:ascii="Arial" w:cs="Arial" w:eastAsia="Arial" w:hAnsi="Arial"/>
                <w:sz w:val="13"/>
                <w:szCs w:val="13"/>
                <w:color w:val="auto"/>
                <w:w w:val="82"/>
              </w:rPr>
              <w:t>$</w:t>
            </w: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Depreciation and amortization</w:t>
            </w:r>
          </w:p>
        </w:tc>
        <w:tc>
          <w:tcPr>
            <w:tcW w:w="1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92</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w w:val="82"/>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9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12"/>
          </w:tcPr>
          <w:p>
            <w:pPr>
              <w:jc w:val="right"/>
              <w:ind w:right="65"/>
              <w:spacing w:after="0"/>
              <w:rPr>
                <w:sz w:val="20"/>
                <w:szCs w:val="20"/>
                <w:color w:val="auto"/>
              </w:rPr>
            </w:pPr>
            <w:r>
              <w:rPr>
                <w:rFonts w:ascii="Arial" w:cs="Arial" w:eastAsia="Arial" w:hAnsi="Arial"/>
                <w:sz w:val="13"/>
                <w:szCs w:val="13"/>
                <w:b w:val="1"/>
                <w:bCs w:val="1"/>
                <w:color w:val="auto"/>
              </w:rPr>
              <w:t>Nine Months Ended September 30, 2023</w:t>
            </w: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77"/>
              <w:spacing w:after="0" w:line="110" w:lineRule="exact"/>
              <w:rPr>
                <w:sz w:val="20"/>
                <w:szCs w:val="20"/>
                <w:color w:val="auto"/>
              </w:rPr>
            </w:pPr>
            <w:r>
              <w:rPr>
                <w:rFonts w:ascii="Arial" w:cs="Arial" w:eastAsia="Arial" w:hAnsi="Arial"/>
                <w:sz w:val="12"/>
                <w:szCs w:val="12"/>
                <w:b w:val="1"/>
                <w:bCs w:val="1"/>
                <w:color w:val="auto"/>
              </w:rPr>
              <w:t>Food</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2"/>
          </w:tcPr>
          <w:p>
            <w:pPr>
              <w:ind w:left="60"/>
              <w:spacing w:after="0" w:line="110" w:lineRule="exact"/>
              <w:rPr>
                <w:sz w:val="20"/>
                <w:szCs w:val="20"/>
                <w:color w:val="auto"/>
              </w:rPr>
            </w:pPr>
            <w:r>
              <w:rPr>
                <w:rFonts w:ascii="Arial" w:cs="Arial" w:eastAsia="Arial" w:hAnsi="Arial"/>
                <w:sz w:val="12"/>
                <w:szCs w:val="12"/>
                <w:b w:val="1"/>
                <w:bCs w:val="1"/>
                <w:color w:val="auto"/>
              </w:rPr>
              <w:t>Real</w:t>
            </w:r>
          </w:p>
        </w:tc>
        <w:tc>
          <w:tcPr>
            <w:tcW w:w="80" w:type="dxa"/>
            <w:vAlign w:val="bottom"/>
          </w:tcPr>
          <w:p>
            <w:pPr>
              <w:spacing w:after="0"/>
              <w:rPr>
                <w:sz w:val="9"/>
                <w:szCs w:val="9"/>
                <w:color w:val="auto"/>
              </w:rPr>
            </w:pPr>
          </w:p>
        </w:tc>
        <w:tc>
          <w:tcPr>
            <w:tcW w:w="54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5"/>
              </w:rPr>
              <w:t>Home</w:t>
            </w: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Holding</w:t>
            </w: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920" w:type="dxa"/>
            <w:vAlign w:val="bottom"/>
          </w:tcPr>
          <w:p>
            <w:pPr>
              <w:spacing w:after="0"/>
              <w:rPr>
                <w:sz w:val="13"/>
                <w:szCs w:val="13"/>
                <w:color w:val="auto"/>
              </w:rPr>
            </w:pPr>
          </w:p>
        </w:tc>
        <w:tc>
          <w:tcPr>
            <w:tcW w:w="720" w:type="dxa"/>
            <w:vAlign w:val="bottom"/>
            <w:gridSpan w:val="3"/>
          </w:tcPr>
          <w:p>
            <w:pPr>
              <w:spacing w:after="0"/>
              <w:rPr>
                <w:sz w:val="20"/>
                <w:szCs w:val="20"/>
                <w:color w:val="auto"/>
              </w:rPr>
            </w:pPr>
            <w:r>
              <w:rPr>
                <w:rFonts w:ascii="Arial" w:cs="Arial" w:eastAsia="Arial" w:hAnsi="Arial"/>
                <w:sz w:val="13"/>
                <w:szCs w:val="13"/>
                <w:b w:val="1"/>
                <w:bCs w:val="1"/>
                <w:color w:val="auto"/>
              </w:rPr>
              <w:t>Investment</w:t>
            </w:r>
          </w:p>
        </w:tc>
        <w:tc>
          <w:tcPr>
            <w:tcW w:w="600" w:type="dxa"/>
            <w:vAlign w:val="bottom"/>
            <w:gridSpan w:val="3"/>
          </w:tcPr>
          <w:p>
            <w:pPr>
              <w:ind w:left="40"/>
              <w:spacing w:after="0"/>
              <w:rPr>
                <w:sz w:val="20"/>
                <w:szCs w:val="20"/>
                <w:color w:val="auto"/>
              </w:rPr>
            </w:pPr>
            <w:r>
              <w:rPr>
                <w:rFonts w:ascii="Arial" w:cs="Arial" w:eastAsia="Arial" w:hAnsi="Arial"/>
                <w:sz w:val="13"/>
                <w:szCs w:val="13"/>
                <w:b w:val="1"/>
                <w:bCs w:val="1"/>
                <w:color w:val="auto"/>
              </w:rPr>
              <w:t>Energy</w:t>
            </w:r>
          </w:p>
        </w:tc>
        <w:tc>
          <w:tcPr>
            <w:tcW w:w="780" w:type="dxa"/>
            <w:vAlign w:val="bottom"/>
            <w:gridSpan w:val="3"/>
          </w:tcPr>
          <w:p>
            <w:pPr>
              <w:ind w:left="20"/>
              <w:spacing w:after="0"/>
              <w:rPr>
                <w:sz w:val="20"/>
                <w:szCs w:val="20"/>
                <w:color w:val="auto"/>
              </w:rPr>
            </w:pPr>
            <w:r>
              <w:rPr>
                <w:rFonts w:ascii="Arial" w:cs="Arial" w:eastAsia="Arial" w:hAnsi="Arial"/>
                <w:sz w:val="13"/>
                <w:szCs w:val="13"/>
                <w:b w:val="1"/>
                <w:bCs w:val="1"/>
                <w:color w:val="auto"/>
              </w:rPr>
              <w:t>Automotive</w:t>
            </w:r>
          </w:p>
        </w:tc>
        <w:tc>
          <w:tcPr>
            <w:tcW w:w="560" w:type="dxa"/>
            <w:vAlign w:val="bottom"/>
            <w:gridSpan w:val="2"/>
          </w:tcPr>
          <w:p>
            <w:pPr>
              <w:spacing w:after="0"/>
              <w:rPr>
                <w:sz w:val="20"/>
                <w:szCs w:val="20"/>
                <w:color w:val="auto"/>
              </w:rPr>
            </w:pPr>
            <w:r>
              <w:rPr>
                <w:rFonts w:ascii="Arial" w:cs="Arial" w:eastAsia="Arial" w:hAnsi="Arial"/>
                <w:sz w:val="13"/>
                <w:szCs w:val="13"/>
                <w:b w:val="1"/>
                <w:bCs w:val="1"/>
                <w:color w:val="auto"/>
                <w:w w:val="82"/>
              </w:rPr>
              <w:t>Packaging</w:t>
            </w:r>
          </w:p>
        </w:tc>
        <w:tc>
          <w:tcPr>
            <w:tcW w:w="120" w:type="dxa"/>
            <w:vAlign w:val="bottom"/>
            <w:vMerge w:val="restart"/>
          </w:tcPr>
          <w:p>
            <w:pPr>
              <w:ind w:left="20"/>
              <w:spacing w:after="0"/>
              <w:rPr>
                <w:sz w:val="20"/>
                <w:szCs w:val="20"/>
                <w:color w:val="auto"/>
              </w:rPr>
            </w:pPr>
            <w:r>
              <w:rPr>
                <w:rFonts w:ascii="Arial" w:cs="Arial" w:eastAsia="Arial" w:hAnsi="Arial"/>
                <w:sz w:val="10"/>
                <w:szCs w:val="10"/>
                <w:color w:val="auto"/>
                <w:w w:val="71"/>
              </w:rPr>
              <w:t>(in</w:t>
            </w:r>
          </w:p>
        </w:tc>
        <w:tc>
          <w:tcPr>
            <w:tcW w:w="6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3"/>
                <w:szCs w:val="13"/>
                <w:b w:val="1"/>
                <w:bCs w:val="1"/>
                <w:color w:val="auto"/>
              </w:rPr>
              <w:t>Estate</w:t>
            </w:r>
          </w:p>
        </w:tc>
        <w:tc>
          <w:tcPr>
            <w:tcW w:w="6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4"/>
              </w:rPr>
              <w:t>Fashion</w:t>
            </w:r>
          </w:p>
        </w:tc>
        <w:tc>
          <w:tcPr>
            <w:tcW w:w="620" w:type="dxa"/>
            <w:vAlign w:val="bottom"/>
            <w:gridSpan w:val="3"/>
          </w:tcPr>
          <w:p>
            <w:pPr>
              <w:ind w:left="20"/>
              <w:spacing w:after="0"/>
              <w:rPr>
                <w:sz w:val="20"/>
                <w:szCs w:val="20"/>
                <w:color w:val="auto"/>
              </w:rPr>
            </w:pPr>
            <w:r>
              <w:rPr>
                <w:rFonts w:ascii="Arial" w:cs="Arial" w:eastAsia="Arial" w:hAnsi="Arial"/>
                <w:sz w:val="13"/>
                <w:szCs w:val="13"/>
                <w:b w:val="1"/>
                <w:bCs w:val="1"/>
                <w:color w:val="auto"/>
              </w:rPr>
              <w:t>Pharma</w:t>
            </w:r>
          </w:p>
        </w:tc>
        <w:tc>
          <w:tcPr>
            <w:tcW w:w="640" w:type="dxa"/>
            <w:vAlign w:val="bottom"/>
            <w:gridSpan w:val="3"/>
          </w:tcPr>
          <w:p>
            <w:pPr>
              <w:spacing w:after="0"/>
              <w:rPr>
                <w:sz w:val="20"/>
                <w:szCs w:val="20"/>
                <w:color w:val="auto"/>
              </w:rPr>
            </w:pPr>
            <w:r>
              <w:rPr>
                <w:rFonts w:ascii="Arial" w:cs="Arial" w:eastAsia="Arial" w:hAnsi="Arial"/>
                <w:sz w:val="13"/>
                <w:szCs w:val="13"/>
                <w:b w:val="1"/>
                <w:bCs w:val="1"/>
                <w:color w:val="auto"/>
              </w:rPr>
              <w:t>Company</w:t>
            </w: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w w:val="82"/>
              </w:rPr>
              <w:t>Consolidated</w:t>
            </w:r>
          </w:p>
        </w:tc>
        <w:tc>
          <w:tcPr>
            <w:tcW w:w="0" w:type="dxa"/>
            <w:vAlign w:val="bottom"/>
          </w:tcPr>
          <w:p>
            <w:pPr>
              <w:spacing w:after="0"/>
              <w:rPr>
                <w:sz w:val="1"/>
                <w:szCs w:val="1"/>
                <w:color w:val="auto"/>
              </w:rPr>
            </w:pPr>
          </w:p>
        </w:tc>
      </w:tr>
      <w:tr>
        <w:trPr>
          <w:trHeight w:val="115"/>
        </w:trPr>
        <w:tc>
          <w:tcPr>
            <w:tcW w:w="29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vMerge w:val="continue"/>
          </w:tcPr>
          <w:p>
            <w:pPr>
              <w:spacing w:after="0"/>
              <w:rPr>
                <w:sz w:val="10"/>
                <w:szCs w:val="10"/>
                <w:color w:val="auto"/>
              </w:rPr>
            </w:pPr>
          </w:p>
        </w:tc>
        <w:tc>
          <w:tcPr>
            <w:tcW w:w="460" w:type="dxa"/>
            <w:vAlign w:val="bottom"/>
            <w:tcBorders>
              <w:top w:val="single" w:sz="8" w:color="auto"/>
            </w:tcBorders>
            <w:gridSpan w:val="2"/>
          </w:tcPr>
          <w:p>
            <w:pPr>
              <w:ind w:left="60"/>
              <w:spacing w:after="0" w:line="115" w:lineRule="exact"/>
              <w:rPr>
                <w:sz w:val="20"/>
                <w:szCs w:val="20"/>
                <w:color w:val="auto"/>
              </w:rPr>
            </w:pPr>
            <w:r>
              <w:rPr>
                <w:rFonts w:ascii="Arial" w:cs="Arial" w:eastAsia="Arial" w:hAnsi="Arial"/>
                <w:sz w:val="13"/>
                <w:szCs w:val="13"/>
                <w:color w:val="auto"/>
                <w:w w:val="79"/>
              </w:rPr>
              <w:t>millions)</w:t>
            </w: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Revenues:</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Arial" w:cs="Arial" w:eastAsia="Arial" w:hAnsi="Arial"/>
                <w:sz w:val="13"/>
                <w:szCs w:val="13"/>
                <w:color w:val="auto"/>
              </w:rPr>
              <w:t>Net sales</w:t>
            </w: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w w:val="98"/>
              </w:rPr>
              <w:t>7,045</w:t>
            </w:r>
          </w:p>
        </w:tc>
        <w:tc>
          <w:tcPr>
            <w:tcW w:w="120" w:type="dxa"/>
            <w:vAlign w:val="bottom"/>
          </w:tcPr>
          <w:p>
            <w:pPr>
              <w:spacing w:after="0"/>
              <w:rPr>
                <w:sz w:val="11"/>
                <w:szCs w:val="11"/>
                <w:color w:val="auto"/>
              </w:rPr>
            </w:pPr>
          </w:p>
        </w:tc>
        <w:tc>
          <w:tcPr>
            <w:tcW w:w="2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799</w:t>
            </w:r>
          </w:p>
        </w:tc>
        <w:tc>
          <w:tcPr>
            <w:tcW w:w="14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340</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49</w:t>
            </w:r>
          </w:p>
        </w:tc>
        <w:tc>
          <w:tcPr>
            <w:tcW w:w="1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132</w:t>
            </w:r>
          </w:p>
        </w:tc>
        <w:tc>
          <w:tcPr>
            <w:tcW w:w="140" w:type="dxa"/>
            <w:vAlign w:val="bottom"/>
          </w:tcPr>
          <w:p>
            <w:pPr>
              <w:spacing w:after="0"/>
              <w:rPr>
                <w:sz w:val="11"/>
                <w:szCs w:val="11"/>
                <w:color w:val="auto"/>
              </w:rPr>
            </w:pPr>
          </w:p>
        </w:tc>
        <w:tc>
          <w:tcPr>
            <w:tcW w:w="200" w:type="dxa"/>
            <w:vAlign w:val="bottom"/>
          </w:tcPr>
          <w:p>
            <w:pPr>
              <w:jc w:val="right"/>
              <w:ind w:right="85"/>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68</w:t>
            </w:r>
          </w:p>
        </w:tc>
        <w:tc>
          <w:tcPr>
            <w:tcW w:w="1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8,433</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revenues from operations</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588</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Arial" w:cs="Arial" w:eastAsia="Arial" w:hAnsi="Arial"/>
                <w:sz w:val="13"/>
                <w:szCs w:val="13"/>
                <w:color w:val="auto"/>
              </w:rPr>
              <w:t>Net loss from investment activities</w:t>
            </w:r>
          </w:p>
        </w:tc>
        <w:tc>
          <w:tcPr>
            <w:tcW w:w="14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(1,275)</w:t>
            </w:r>
          </w:p>
        </w:tc>
        <w:tc>
          <w:tcPr>
            <w:tcW w:w="10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(1,275)</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Interest and dividend income</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481</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Arial" w:cs="Arial" w:eastAsia="Arial" w:hAnsi="Arial"/>
                <w:sz w:val="13"/>
                <w:szCs w:val="13"/>
                <w:color w:val="auto"/>
              </w:rPr>
              <w:t>Other (loss) income, net</w:t>
            </w:r>
          </w:p>
        </w:tc>
        <w:tc>
          <w:tcPr>
            <w:tcW w:w="14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(67)</w:t>
            </w: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9</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28"/>
        </w:trPr>
        <w:tc>
          <w:tcPr>
            <w:tcW w:w="29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(956)</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7,077</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1,333</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332</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108</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133</w:t>
            </w: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72</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71</w:t>
            </w: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8,170</w:t>
            </w:r>
          </w:p>
        </w:tc>
        <w:tc>
          <w:tcPr>
            <w:tcW w:w="0" w:type="dxa"/>
            <w:vAlign w:val="bottom"/>
          </w:tcPr>
          <w:p>
            <w:pPr>
              <w:spacing w:after="0"/>
              <w:rPr>
                <w:sz w:val="1"/>
                <w:szCs w:val="1"/>
                <w:color w:val="auto"/>
              </w:rPr>
            </w:pPr>
          </w:p>
        </w:tc>
      </w:tr>
      <w:tr>
        <w:trPr>
          <w:trHeight w:val="128"/>
        </w:trPr>
        <w:tc>
          <w:tcPr>
            <w:tcW w:w="2920" w:type="dxa"/>
            <w:vAlign w:val="bottom"/>
          </w:tcPr>
          <w:p>
            <w:pPr>
              <w:ind w:left="20"/>
              <w:spacing w:after="0" w:line="129" w:lineRule="exact"/>
              <w:rPr>
                <w:sz w:val="20"/>
                <w:szCs w:val="20"/>
                <w:color w:val="auto"/>
              </w:rPr>
            </w:pPr>
            <w:r>
              <w:rPr>
                <w:rFonts w:ascii="Arial" w:cs="Arial" w:eastAsia="Arial" w:hAnsi="Arial"/>
                <w:sz w:val="13"/>
                <w:szCs w:val="13"/>
                <w:color w:val="auto"/>
              </w:rPr>
              <w:t>Expenses: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Cost of goods sold</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5,964</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264</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104</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6,947</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Arial" w:cs="Arial" w:eastAsia="Arial" w:hAnsi="Arial"/>
                <w:sz w:val="13"/>
                <w:szCs w:val="13"/>
                <w:color w:val="auto"/>
              </w:rPr>
              <w:t>Other expenses from operations</w:t>
            </w:r>
          </w:p>
        </w:tc>
        <w:tc>
          <w:tcPr>
            <w:tcW w:w="14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435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48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483</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Selling, general and administrative</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128</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653</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Arial" w:cs="Arial" w:eastAsia="Arial" w:hAnsi="Arial"/>
                <w:sz w:val="13"/>
                <w:szCs w:val="13"/>
                <w:color w:val="auto"/>
              </w:rPr>
              <w:t>Restructuring, net</w:t>
            </w:r>
          </w:p>
        </w:tc>
        <w:tc>
          <w:tcPr>
            <w:tcW w:w="14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Credit loss on related party note receivable</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139</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Arial" w:cs="Arial" w:eastAsia="Arial" w:hAnsi="Arial"/>
                <w:sz w:val="13"/>
                <w:szCs w:val="13"/>
                <w:color w:val="auto"/>
              </w:rPr>
              <w:t>Loss on deconsolidation of subsidiary</w:t>
            </w:r>
          </w:p>
        </w:tc>
        <w:tc>
          <w:tcPr>
            <w:tcW w:w="14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246</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246</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Interest expense</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214</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426</w:t>
            </w:r>
          </w:p>
        </w:tc>
        <w:tc>
          <w:tcPr>
            <w:tcW w:w="0" w:type="dxa"/>
            <w:vAlign w:val="bottom"/>
          </w:tcPr>
          <w:p>
            <w:pPr>
              <w:spacing w:after="0"/>
              <w:rPr>
                <w:sz w:val="1"/>
                <w:szCs w:val="1"/>
                <w:color w:val="auto"/>
              </w:rPr>
            </w:pPr>
          </w:p>
        </w:tc>
      </w:tr>
      <w:tr>
        <w:trPr>
          <w:trHeight w:val="128"/>
        </w:trPr>
        <w:tc>
          <w:tcPr>
            <w:tcW w:w="292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151</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8"/>
              </w:rPr>
              <w:t>6,159</w:t>
            </w:r>
          </w:p>
        </w:tc>
        <w:tc>
          <w:tcPr>
            <w:tcW w:w="1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1,340</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316</w:t>
            </w:r>
          </w:p>
        </w:tc>
        <w:tc>
          <w:tcPr>
            <w:tcW w:w="1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95</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135</w:t>
            </w:r>
          </w:p>
        </w:tc>
        <w:tc>
          <w:tcPr>
            <w:tcW w:w="14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76</w:t>
            </w:r>
          </w:p>
        </w:tc>
        <w:tc>
          <w:tcPr>
            <w:tcW w:w="1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623</w:t>
            </w:r>
          </w:p>
        </w:tc>
        <w:tc>
          <w:tcPr>
            <w:tcW w:w="12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8,895</w:t>
            </w:r>
          </w:p>
        </w:tc>
        <w:tc>
          <w:tcPr>
            <w:tcW w:w="0" w:type="dxa"/>
            <w:vAlign w:val="bottom"/>
          </w:tcPr>
          <w:p>
            <w:pPr>
              <w:spacing w:after="0"/>
              <w:rPr>
                <w:sz w:val="1"/>
                <w:szCs w:val="1"/>
                <w:color w:val="auto"/>
              </w:rPr>
            </w:pPr>
          </w:p>
        </w:tc>
      </w:tr>
      <w:tr>
        <w:trPr>
          <w:trHeight w:val="129"/>
        </w:trPr>
        <w:tc>
          <w:tcPr>
            <w:tcW w:w="29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(Loss) before income tax (expense) benefit</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(1,107)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918</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(552)</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(725)</w:t>
            </w: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line="135" w:lineRule="exact"/>
              <w:rPr>
                <w:sz w:val="20"/>
                <w:szCs w:val="20"/>
                <w:color w:val="auto"/>
              </w:rPr>
            </w:pPr>
            <w:r>
              <w:rPr>
                <w:rFonts w:ascii="Arial" w:cs="Arial" w:eastAsia="Arial" w:hAnsi="Arial"/>
                <w:sz w:val="13"/>
                <w:szCs w:val="13"/>
                <w:color w:val="auto"/>
              </w:rPr>
              <w:t>Income tax (expense) benefit</w:t>
            </w:r>
          </w:p>
        </w:tc>
        <w:tc>
          <w:tcPr>
            <w:tcW w:w="14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(173)</w:t>
            </w:r>
          </w:p>
        </w:tc>
        <w:tc>
          <w:tcPr>
            <w:tcW w:w="2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90</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28"/>
        </w:trPr>
        <w:tc>
          <w:tcPr>
            <w:tcW w:w="292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Net (loss) income</w:t>
            </w:r>
          </w:p>
        </w:tc>
        <w:tc>
          <w:tcPr>
            <w:tcW w:w="1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(1,107)</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745</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w:t>
            </w: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(462)</w:t>
            </w: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(807)</w:t>
            </w:r>
          </w:p>
        </w:tc>
        <w:tc>
          <w:tcPr>
            <w:tcW w:w="0" w:type="dxa"/>
            <w:vAlign w:val="bottom"/>
          </w:tcPr>
          <w:p>
            <w:pPr>
              <w:spacing w:after="0"/>
              <w:rPr>
                <w:sz w:val="1"/>
                <w:szCs w:val="1"/>
                <w:color w:val="auto"/>
              </w:rPr>
            </w:pPr>
          </w:p>
        </w:tc>
      </w:tr>
      <w:tr>
        <w:trPr>
          <w:trHeight w:val="121"/>
        </w:trPr>
        <w:tc>
          <w:tcPr>
            <w:tcW w:w="2920" w:type="dxa"/>
            <w:vAlign w:val="bottom"/>
          </w:tcPr>
          <w:p>
            <w:pPr>
              <w:ind w:left="20"/>
              <w:spacing w:after="0" w:line="121" w:lineRule="exact"/>
              <w:rPr>
                <w:sz w:val="20"/>
                <w:szCs w:val="20"/>
                <w:color w:val="auto"/>
              </w:rPr>
            </w:pPr>
            <w:r>
              <w:rPr>
                <w:rFonts w:ascii="Arial" w:cs="Arial" w:eastAsia="Arial" w:hAnsi="Arial"/>
                <w:sz w:val="13"/>
                <w:szCs w:val="13"/>
                <w:color w:val="auto"/>
                <w:w w:val="94"/>
              </w:rPr>
              <w:t>Less: net (loss) income attributable to non-controlling</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20" w:type="dxa"/>
            <w:vAlign w:val="bottom"/>
          </w:tcPr>
          <w:p>
            <w:pPr>
              <w:ind w:left="20"/>
              <w:spacing w:after="0"/>
              <w:rPr>
                <w:sz w:val="20"/>
                <w:szCs w:val="20"/>
                <w:color w:val="auto"/>
              </w:rPr>
            </w:pPr>
            <w:r>
              <w:rPr>
                <w:rFonts w:ascii="Arial" w:cs="Arial" w:eastAsia="Arial" w:hAnsi="Arial"/>
                <w:sz w:val="13"/>
                <w:szCs w:val="13"/>
                <w:color w:val="auto"/>
              </w:rPr>
              <w:t>interests</w:t>
            </w:r>
          </w:p>
        </w:tc>
        <w:tc>
          <w:tcPr>
            <w:tcW w:w="14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(555)</w:t>
            </w: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292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(262)</w:t>
            </w:r>
          </w:p>
        </w:tc>
        <w:tc>
          <w:tcPr>
            <w:tcW w:w="0" w:type="dxa"/>
            <w:vAlign w:val="bottom"/>
          </w:tcPr>
          <w:p>
            <w:pPr>
              <w:spacing w:after="0"/>
              <w:rPr>
                <w:sz w:val="1"/>
                <w:szCs w:val="1"/>
                <w:color w:val="auto"/>
              </w:rPr>
            </w:pPr>
          </w:p>
        </w:tc>
      </w:tr>
      <w:tr>
        <w:trPr>
          <w:trHeight w:val="128"/>
        </w:trPr>
        <w:tc>
          <w:tcPr>
            <w:tcW w:w="292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w w:val="99"/>
              </w:rPr>
              <w:t>Net (loss) income attributable to Icahn Enterprises</w:t>
            </w: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(552)</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453</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(462)</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(545)</w:t>
            </w:r>
          </w:p>
        </w:tc>
        <w:tc>
          <w:tcPr>
            <w:tcW w:w="0" w:type="dxa"/>
            <w:vAlign w:val="bottom"/>
          </w:tcPr>
          <w:p>
            <w:pPr>
              <w:spacing w:after="0"/>
              <w:rPr>
                <w:sz w:val="1"/>
                <w:szCs w:val="1"/>
                <w:color w:val="auto"/>
              </w:rPr>
            </w:pPr>
          </w:p>
        </w:tc>
      </w:tr>
      <w:tr>
        <w:trPr>
          <w:trHeight w:val="20"/>
        </w:trPr>
        <w:tc>
          <w:tcPr>
            <w:tcW w:w="2920" w:type="dxa"/>
            <w:vAlign w:val="bottom"/>
            <w:vMerge w:val="restart"/>
          </w:tcPr>
          <w:p>
            <w:pPr>
              <w:ind w:left="20"/>
              <w:spacing w:after="0"/>
              <w:rPr>
                <w:sz w:val="20"/>
                <w:szCs w:val="20"/>
                <w:color w:val="auto"/>
              </w:rPr>
            </w:pPr>
            <w:r>
              <w:rPr>
                <w:rFonts w:ascii="Arial" w:cs="Arial" w:eastAsia="Arial" w:hAnsi="Arial"/>
                <w:sz w:val="13"/>
                <w:szCs w:val="13"/>
                <w:color w:val="auto"/>
              </w:rPr>
              <w:t>Supplemental information:</w:t>
            </w: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9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Capital expenditures</w:t>
            </w:r>
          </w:p>
        </w:tc>
        <w:tc>
          <w:tcPr>
            <w:tcW w:w="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150</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5"/>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160"/>
        </w:trPr>
        <w:tc>
          <w:tcPr>
            <w:tcW w:w="2920" w:type="dxa"/>
            <w:vAlign w:val="bottom"/>
          </w:tcPr>
          <w:p>
            <w:pPr>
              <w:ind w:left="120"/>
              <w:spacing w:after="0"/>
              <w:rPr>
                <w:sz w:val="20"/>
                <w:szCs w:val="20"/>
                <w:color w:val="auto"/>
              </w:rPr>
            </w:pPr>
            <w:r>
              <w:rPr>
                <w:rFonts w:ascii="Arial" w:cs="Arial" w:eastAsia="Arial" w:hAnsi="Arial"/>
                <w:sz w:val="13"/>
                <w:szCs w:val="13"/>
                <w:color w:val="auto"/>
              </w:rPr>
              <w:t>Depreciation and amortization</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269</w:t>
            </w:r>
          </w:p>
        </w:tc>
        <w:tc>
          <w:tcPr>
            <w:tcW w:w="12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58</w:t>
            </w:r>
          </w:p>
        </w:tc>
        <w:tc>
          <w:tcPr>
            <w:tcW w:w="14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20</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10</w:t>
            </w:r>
          </w:p>
        </w:tc>
        <w:tc>
          <w:tcPr>
            <w:tcW w:w="1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3"/>
                <w:szCs w:val="13"/>
                <w:color w:val="auto"/>
              </w:rPr>
            </w:pPr>
          </w:p>
        </w:tc>
        <w:tc>
          <w:tcPr>
            <w:tcW w:w="200" w:type="dxa"/>
            <w:vAlign w:val="bottom"/>
          </w:tcPr>
          <w:p>
            <w:pPr>
              <w:jc w:val="right"/>
              <w:ind w:right="85"/>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21</w:t>
            </w:r>
          </w:p>
        </w:tc>
        <w:tc>
          <w:tcPr>
            <w:tcW w:w="14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2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12"/>
          </w:tcPr>
          <w:p>
            <w:pPr>
              <w:jc w:val="right"/>
              <w:ind w:right="62"/>
              <w:spacing w:after="0"/>
              <w:rPr>
                <w:sz w:val="20"/>
                <w:szCs w:val="20"/>
                <w:color w:val="auto"/>
              </w:rPr>
            </w:pPr>
            <w:r>
              <w:rPr>
                <w:rFonts w:ascii="Arial" w:cs="Arial" w:eastAsia="Arial" w:hAnsi="Arial"/>
                <w:sz w:val="13"/>
                <w:szCs w:val="13"/>
                <w:b w:val="1"/>
                <w:bCs w:val="1"/>
                <w:color w:val="auto"/>
              </w:rPr>
              <w:t>Nine Months Ended September 30, 2022</w:t>
            </w: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r>
      <w:tr>
        <w:trPr>
          <w:trHeight w:val="110"/>
        </w:trPr>
        <w:tc>
          <w:tcPr>
            <w:tcW w:w="2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77"/>
              <w:spacing w:after="0" w:line="110" w:lineRule="exact"/>
              <w:rPr>
                <w:sz w:val="20"/>
                <w:szCs w:val="20"/>
                <w:color w:val="auto"/>
              </w:rPr>
            </w:pPr>
            <w:r>
              <w:rPr>
                <w:rFonts w:ascii="Arial" w:cs="Arial" w:eastAsia="Arial" w:hAnsi="Arial"/>
                <w:sz w:val="12"/>
                <w:szCs w:val="12"/>
                <w:b w:val="1"/>
                <w:bCs w:val="1"/>
                <w:color w:val="auto"/>
              </w:rPr>
              <w:t>Food</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jc w:val="right"/>
              <w:ind w:right="57"/>
              <w:spacing w:after="0" w:line="110" w:lineRule="exact"/>
              <w:rPr>
                <w:sz w:val="20"/>
                <w:szCs w:val="20"/>
                <w:color w:val="auto"/>
              </w:rPr>
            </w:pPr>
            <w:r>
              <w:rPr>
                <w:rFonts w:ascii="Arial" w:cs="Arial" w:eastAsia="Arial" w:hAnsi="Arial"/>
                <w:sz w:val="12"/>
                <w:szCs w:val="12"/>
                <w:b w:val="1"/>
                <w:bCs w:val="1"/>
                <w:color w:val="auto"/>
              </w:rPr>
              <w:t>Real</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ind w:right="37"/>
              <w:spacing w:after="0" w:line="110" w:lineRule="exact"/>
              <w:rPr>
                <w:sz w:val="20"/>
                <w:szCs w:val="20"/>
                <w:color w:val="auto"/>
              </w:rPr>
            </w:pPr>
            <w:r>
              <w:rPr>
                <w:rFonts w:ascii="Arial" w:cs="Arial" w:eastAsia="Arial" w:hAnsi="Arial"/>
                <w:sz w:val="12"/>
                <w:szCs w:val="12"/>
                <w:b w:val="1"/>
                <w:bCs w:val="1"/>
                <w:color w:val="auto"/>
                <w:w w:val="89"/>
              </w:rPr>
              <w:t>Home</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rPr>
              <w:t>Holding</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53"/>
        </w:trPr>
        <w:tc>
          <w:tcPr>
            <w:tcW w:w="2720" w:type="dxa"/>
            <w:vAlign w:val="bottom"/>
          </w:tcPr>
          <w:p>
            <w:pPr>
              <w:spacing w:after="0"/>
              <w:rPr>
                <w:sz w:val="13"/>
                <w:szCs w:val="13"/>
                <w:color w:val="auto"/>
              </w:rPr>
            </w:pPr>
          </w:p>
        </w:tc>
        <w:tc>
          <w:tcPr>
            <w:tcW w:w="860" w:type="dxa"/>
            <w:vAlign w:val="bottom"/>
            <w:gridSpan w:val="4"/>
          </w:tcPr>
          <w:p>
            <w:pPr>
              <w:ind w:left="200"/>
              <w:spacing w:after="0"/>
              <w:rPr>
                <w:sz w:val="20"/>
                <w:szCs w:val="20"/>
                <w:color w:val="auto"/>
              </w:rPr>
            </w:pPr>
            <w:r>
              <w:rPr>
                <w:rFonts w:ascii="Arial" w:cs="Arial" w:eastAsia="Arial" w:hAnsi="Arial"/>
                <w:sz w:val="13"/>
                <w:szCs w:val="13"/>
                <w:b w:val="1"/>
                <w:bCs w:val="1"/>
                <w:color w:val="auto"/>
                <w:w w:val="93"/>
              </w:rPr>
              <w:t>Investment</w:t>
            </w:r>
          </w:p>
        </w:tc>
        <w:tc>
          <w:tcPr>
            <w:tcW w:w="6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b w:val="1"/>
                <w:bCs w:val="1"/>
                <w:color w:val="auto"/>
                <w:w w:val="95"/>
              </w:rPr>
              <w:t>Energy</w:t>
            </w:r>
          </w:p>
        </w:tc>
        <w:tc>
          <w:tcPr>
            <w:tcW w:w="760" w:type="dxa"/>
            <w:vAlign w:val="bottom"/>
            <w:gridSpan w:val="3"/>
          </w:tcPr>
          <w:p>
            <w:pPr>
              <w:jc w:val="right"/>
              <w:spacing w:after="0"/>
              <w:rPr>
                <w:sz w:val="20"/>
                <w:szCs w:val="20"/>
                <w:color w:val="auto"/>
              </w:rPr>
            </w:pPr>
            <w:r>
              <w:rPr>
                <w:rFonts w:ascii="Arial" w:cs="Arial" w:eastAsia="Arial" w:hAnsi="Arial"/>
                <w:sz w:val="13"/>
                <w:szCs w:val="13"/>
                <w:b w:val="1"/>
                <w:bCs w:val="1"/>
                <w:color w:val="auto"/>
              </w:rPr>
              <w:t>Automotive</w:t>
            </w:r>
          </w:p>
        </w:tc>
        <w:tc>
          <w:tcPr>
            <w:tcW w:w="700" w:type="dxa"/>
            <w:vAlign w:val="bottom"/>
            <w:gridSpan w:val="3"/>
          </w:tcPr>
          <w:p>
            <w:pPr>
              <w:ind w:left="140"/>
              <w:spacing w:after="0"/>
              <w:rPr>
                <w:sz w:val="20"/>
                <w:szCs w:val="20"/>
                <w:color w:val="auto"/>
              </w:rPr>
            </w:pPr>
            <w:r>
              <w:rPr>
                <w:rFonts w:ascii="Arial" w:cs="Arial" w:eastAsia="Arial" w:hAnsi="Arial"/>
                <w:sz w:val="13"/>
                <w:szCs w:val="13"/>
                <w:b w:val="1"/>
                <w:bCs w:val="1"/>
                <w:color w:val="auto"/>
                <w:w w:val="82"/>
              </w:rPr>
              <w:t>Packaging</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jc w:val="right"/>
              <w:ind w:right="17"/>
              <w:spacing w:after="0"/>
              <w:rPr>
                <w:sz w:val="20"/>
                <w:szCs w:val="20"/>
                <w:color w:val="auto"/>
              </w:rPr>
            </w:pPr>
            <w:r>
              <w:rPr>
                <w:rFonts w:ascii="Arial" w:cs="Arial" w:eastAsia="Arial" w:hAnsi="Arial"/>
                <w:sz w:val="13"/>
                <w:szCs w:val="13"/>
                <w:b w:val="1"/>
                <w:bCs w:val="1"/>
                <w:color w:val="auto"/>
                <w:w w:val="81"/>
              </w:rPr>
              <w:t>Estate</w:t>
            </w:r>
          </w:p>
        </w:tc>
        <w:tc>
          <w:tcPr>
            <w:tcW w:w="12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b w:val="1"/>
                <w:bCs w:val="1"/>
                <w:color w:val="auto"/>
                <w:w w:val="88"/>
              </w:rPr>
              <w:t>Fashion</w:t>
            </w:r>
          </w:p>
        </w:tc>
        <w:tc>
          <w:tcPr>
            <w:tcW w:w="12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b w:val="1"/>
                <w:bCs w:val="1"/>
                <w:color w:val="auto"/>
                <w:w w:val="92"/>
              </w:rPr>
              <w:t>Pharma</w:t>
            </w:r>
          </w:p>
        </w:tc>
        <w:tc>
          <w:tcPr>
            <w:tcW w:w="12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3"/>
                <w:szCs w:val="13"/>
                <w:b w:val="1"/>
                <w:bCs w:val="1"/>
                <w:color w:val="auto"/>
                <w:w w:val="87"/>
              </w:rPr>
              <w:t>Company</w:t>
            </w:r>
          </w:p>
        </w:tc>
        <w:tc>
          <w:tcPr>
            <w:tcW w:w="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w w:val="84"/>
              </w:rPr>
              <w:t>Consolidated</w:t>
            </w:r>
          </w:p>
        </w:tc>
      </w:tr>
      <w:tr>
        <w:trPr>
          <w:trHeight w:val="20"/>
        </w:trPr>
        <w:tc>
          <w:tcPr>
            <w:tcW w:w="2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115"/>
        </w:trPr>
        <w:tc>
          <w:tcPr>
            <w:tcW w:w="2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ind w:left="60"/>
              <w:spacing w:after="0" w:line="115" w:lineRule="exact"/>
              <w:rPr>
                <w:sz w:val="20"/>
                <w:szCs w:val="20"/>
                <w:color w:val="auto"/>
              </w:rPr>
            </w:pPr>
            <w:r>
              <w:rPr>
                <w:rFonts w:ascii="Arial" w:cs="Arial" w:eastAsia="Arial" w:hAnsi="Arial"/>
                <w:sz w:val="13"/>
                <w:szCs w:val="13"/>
                <w:color w:val="auto"/>
                <w:w w:val="79"/>
              </w:rPr>
              <w:t>(in millions)</w:t>
            </w:r>
          </w:p>
        </w:tc>
        <w:tc>
          <w:tcPr>
            <w:tcW w:w="4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35"/>
        </w:trPr>
        <w:tc>
          <w:tcPr>
            <w:tcW w:w="2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Revenues:</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5"/>
        </w:trPr>
        <w:tc>
          <w:tcPr>
            <w:tcW w:w="2720" w:type="dxa"/>
            <w:vAlign w:val="bottom"/>
          </w:tcPr>
          <w:p>
            <w:pPr>
              <w:ind w:left="100"/>
              <w:spacing w:after="0" w:line="135" w:lineRule="exact"/>
              <w:rPr>
                <w:sz w:val="20"/>
                <w:szCs w:val="20"/>
                <w:color w:val="auto"/>
              </w:rPr>
            </w:pPr>
            <w:r>
              <w:rPr>
                <w:rFonts w:ascii="Arial" w:cs="Arial" w:eastAsia="Arial" w:hAnsi="Arial"/>
                <w:sz w:val="13"/>
                <w:szCs w:val="13"/>
                <w:color w:val="auto"/>
              </w:rPr>
              <w:t>Net sales</w:t>
            </w:r>
          </w:p>
        </w:tc>
        <w:tc>
          <w:tcPr>
            <w:tcW w:w="400" w:type="dxa"/>
            <w:vAlign w:val="bottom"/>
            <w:gridSpan w:val="2"/>
          </w:tcPr>
          <w:p>
            <w:pPr>
              <w:jc w:val="right"/>
              <w:ind w:right="88"/>
              <w:spacing w:after="0" w:line="135" w:lineRule="exact"/>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w w:val="98"/>
              </w:rPr>
              <w:t>8,216</w:t>
            </w:r>
          </w:p>
        </w:tc>
        <w:tc>
          <w:tcPr>
            <w:tcW w:w="320" w:type="dxa"/>
            <w:vAlign w:val="bottom"/>
            <w:gridSpan w:val="2"/>
          </w:tcPr>
          <w:p>
            <w:pPr>
              <w:jc w:val="right"/>
              <w:ind w:right="68"/>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1,293</w:t>
            </w:r>
          </w:p>
        </w:tc>
        <w:tc>
          <w:tcPr>
            <w:tcW w:w="24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322</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48</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173</w:t>
            </w:r>
          </w:p>
        </w:tc>
        <w:tc>
          <w:tcPr>
            <w:tcW w:w="30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46</w:t>
            </w:r>
          </w:p>
        </w:tc>
        <w:tc>
          <w:tcPr>
            <w:tcW w:w="2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82"/>
              <w:spacing w:after="0" w:line="135"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10,098</w:t>
            </w:r>
          </w:p>
        </w:tc>
      </w:tr>
      <w:tr>
        <w:trPr>
          <w:trHeight w:val="135"/>
        </w:trPr>
        <w:tc>
          <w:tcPr>
            <w:tcW w:w="2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Other revenues from operations</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562</w:t>
            </w:r>
          </w:p>
        </w:tc>
      </w:tr>
      <w:tr>
        <w:trPr>
          <w:trHeight w:val="135"/>
        </w:trPr>
        <w:tc>
          <w:tcPr>
            <w:tcW w:w="2720" w:type="dxa"/>
            <w:vAlign w:val="bottom"/>
          </w:tcPr>
          <w:p>
            <w:pPr>
              <w:ind w:left="100"/>
              <w:spacing w:after="0" w:line="135" w:lineRule="exact"/>
              <w:rPr>
                <w:sz w:val="20"/>
                <w:szCs w:val="20"/>
                <w:color w:val="auto"/>
              </w:rPr>
            </w:pPr>
            <w:r>
              <w:rPr>
                <w:rFonts w:ascii="Arial" w:cs="Arial" w:eastAsia="Arial" w:hAnsi="Arial"/>
                <w:sz w:val="13"/>
                <w:szCs w:val="13"/>
                <w:color w:val="auto"/>
              </w:rPr>
              <w:t>Net gain from investment activities</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262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48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310</w:t>
            </w:r>
          </w:p>
        </w:tc>
      </w:tr>
      <w:tr>
        <w:trPr>
          <w:trHeight w:val="135"/>
        </w:trPr>
        <w:tc>
          <w:tcPr>
            <w:tcW w:w="2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Interest and dividend income</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180</w:t>
            </w:r>
          </w:p>
        </w:tc>
      </w:tr>
      <w:tr>
        <w:trPr>
          <w:trHeight w:val="135"/>
        </w:trPr>
        <w:tc>
          <w:tcPr>
            <w:tcW w:w="2720" w:type="dxa"/>
            <w:vAlign w:val="bottom"/>
            <w:tcBorders>
              <w:bottom w:val="single" w:sz="8" w:color="CCEEFF"/>
            </w:tcBorders>
          </w:tcPr>
          <w:p>
            <w:pPr>
              <w:ind w:left="100"/>
              <w:spacing w:after="0" w:line="135" w:lineRule="exact"/>
              <w:rPr>
                <w:sz w:val="20"/>
                <w:szCs w:val="20"/>
                <w:color w:val="auto"/>
              </w:rPr>
            </w:pPr>
            <w:r>
              <w:rPr>
                <w:rFonts w:ascii="Arial" w:cs="Arial" w:eastAsia="Arial" w:hAnsi="Arial"/>
                <w:sz w:val="13"/>
                <w:szCs w:val="13"/>
                <w:color w:val="auto"/>
              </w:rPr>
              <w:t>Other (loss) income, net</w:t>
            </w:r>
          </w:p>
        </w:tc>
        <w:tc>
          <w:tcPr>
            <w:tcW w:w="2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(61)</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(83)</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(11)</w:t>
            </w:r>
          </w:p>
        </w:tc>
        <w:tc>
          <w:tcPr>
            <w:tcW w:w="14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(150)</w:t>
            </w:r>
          </w:p>
        </w:tc>
      </w:tr>
      <w:tr>
        <w:trPr>
          <w:trHeight w:val="129"/>
        </w:trPr>
        <w:tc>
          <w:tcPr>
            <w:tcW w:w="2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8,137</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1,813</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311</w:t>
            </w:r>
          </w:p>
        </w:tc>
        <w:tc>
          <w:tcPr>
            <w:tcW w:w="14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91</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174</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11,000</w:t>
            </w:r>
          </w:p>
        </w:tc>
      </w:tr>
      <w:tr>
        <w:trPr>
          <w:trHeight w:val="128"/>
        </w:trPr>
        <w:tc>
          <w:tcPr>
            <w:tcW w:w="2720" w:type="dxa"/>
            <w:vAlign w:val="bottom"/>
          </w:tcPr>
          <w:p>
            <w:pPr>
              <w:spacing w:after="0" w:line="129" w:lineRule="exact"/>
              <w:rPr>
                <w:sz w:val="20"/>
                <w:szCs w:val="20"/>
                <w:color w:val="auto"/>
              </w:rPr>
            </w:pPr>
            <w:r>
              <w:rPr>
                <w:rFonts w:ascii="Arial" w:cs="Arial" w:eastAsia="Arial" w:hAnsi="Arial"/>
                <w:sz w:val="13"/>
                <w:szCs w:val="13"/>
                <w:color w:val="auto"/>
              </w:rPr>
              <w:t>Expenses:</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2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Cost of goods sold</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7,407</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263</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144</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8,738</w:t>
            </w:r>
          </w:p>
        </w:tc>
      </w:tr>
      <w:tr>
        <w:trPr>
          <w:trHeight w:val="135"/>
        </w:trPr>
        <w:tc>
          <w:tcPr>
            <w:tcW w:w="2720" w:type="dxa"/>
            <w:vAlign w:val="bottom"/>
          </w:tcPr>
          <w:p>
            <w:pPr>
              <w:ind w:left="100"/>
              <w:spacing w:after="0" w:line="135" w:lineRule="exact"/>
              <w:rPr>
                <w:sz w:val="20"/>
                <w:szCs w:val="20"/>
                <w:color w:val="auto"/>
              </w:rPr>
            </w:pPr>
            <w:r>
              <w:rPr>
                <w:rFonts w:ascii="Arial" w:cs="Arial" w:eastAsia="Arial" w:hAnsi="Arial"/>
                <w:sz w:val="13"/>
                <w:szCs w:val="13"/>
                <w:color w:val="auto"/>
              </w:rPr>
              <w:t>Other expenses from operations</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400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41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441</w:t>
            </w:r>
          </w:p>
        </w:tc>
      </w:tr>
      <w:tr>
        <w:trPr>
          <w:trHeight w:val="135"/>
        </w:trPr>
        <w:tc>
          <w:tcPr>
            <w:tcW w:w="2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Selling, general and administrative</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130</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921</w:t>
            </w:r>
          </w:p>
        </w:tc>
      </w:tr>
      <w:tr>
        <w:trPr>
          <w:trHeight w:val="135"/>
        </w:trPr>
        <w:tc>
          <w:tcPr>
            <w:tcW w:w="2720" w:type="dxa"/>
            <w:vAlign w:val="bottom"/>
            <w:tcBorders>
              <w:bottom w:val="single" w:sz="8" w:color="CCEEFF"/>
            </w:tcBorders>
          </w:tcPr>
          <w:p>
            <w:pPr>
              <w:ind w:left="100"/>
              <w:spacing w:after="0" w:line="135" w:lineRule="exact"/>
              <w:rPr>
                <w:sz w:val="20"/>
                <w:szCs w:val="20"/>
                <w:color w:val="auto"/>
              </w:rPr>
            </w:pPr>
            <w:r>
              <w:rPr>
                <w:rFonts w:ascii="Arial" w:cs="Arial" w:eastAsia="Arial" w:hAnsi="Arial"/>
                <w:sz w:val="13"/>
                <w:szCs w:val="13"/>
                <w:color w:val="auto"/>
              </w:rPr>
              <w:t>Interest expense</w:t>
            </w:r>
          </w:p>
        </w:tc>
        <w:tc>
          <w:tcPr>
            <w:tcW w:w="2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127</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70</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219</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424</w:t>
            </w:r>
          </w:p>
        </w:tc>
      </w:tr>
      <w:tr>
        <w:trPr>
          <w:trHeight w:val="128"/>
        </w:trPr>
        <w:tc>
          <w:tcPr>
            <w:tcW w:w="2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7,607</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1,899</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308</w:t>
            </w:r>
          </w:p>
        </w:tc>
        <w:tc>
          <w:tcPr>
            <w:tcW w:w="14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83</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183</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65</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236</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10,524</w:t>
            </w:r>
          </w:p>
        </w:tc>
      </w:tr>
      <w:tr>
        <w:trPr>
          <w:trHeight w:val="129"/>
        </w:trPr>
        <w:tc>
          <w:tcPr>
            <w:tcW w:w="2720" w:type="dxa"/>
            <w:vAlign w:val="bottom"/>
          </w:tcPr>
          <w:p>
            <w:pPr>
              <w:spacing w:after="0" w:line="129" w:lineRule="exact"/>
              <w:rPr>
                <w:sz w:val="20"/>
                <w:szCs w:val="20"/>
                <w:color w:val="auto"/>
              </w:rPr>
            </w:pPr>
            <w:r>
              <w:rPr>
                <w:rFonts w:ascii="Arial" w:cs="Arial" w:eastAsia="Arial" w:hAnsi="Arial"/>
                <w:sz w:val="13"/>
                <w:szCs w:val="13"/>
                <w:color w:val="auto"/>
                <w:w w:val="93"/>
              </w:rPr>
              <w:t>Income (loss) before income tax benefit (expense)</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3"/>
                <w:szCs w:val="13"/>
                <w:color w:val="auto"/>
              </w:rPr>
              <w:t>221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3"/>
                <w:szCs w:val="13"/>
                <w:color w:val="auto"/>
              </w:rPr>
              <w:t>530</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3"/>
                <w:szCs w:val="13"/>
                <w:color w:val="auto"/>
              </w:rPr>
              <w:t>(86)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3"/>
                <w:szCs w:val="13"/>
                <w:color w:val="auto"/>
              </w:rPr>
              <w:t>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3"/>
                <w:szCs w:val="13"/>
                <w:color w:val="auto"/>
              </w:rPr>
              <w:t>(9)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jc w:val="right"/>
              <w:spacing w:after="0" w:line="129" w:lineRule="exact"/>
              <w:rPr>
                <w:sz w:val="20"/>
                <w:szCs w:val="20"/>
                <w:color w:val="auto"/>
              </w:rPr>
            </w:pPr>
            <w:r>
              <w:rPr>
                <w:rFonts w:ascii="Arial" w:cs="Arial" w:eastAsia="Arial" w:hAnsi="Arial"/>
                <w:sz w:val="13"/>
                <w:szCs w:val="13"/>
                <w:color w:val="auto"/>
              </w:rPr>
              <w:t>(15)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3"/>
                <w:szCs w:val="13"/>
                <w:color w:val="auto"/>
              </w:rPr>
              <w:t>(176)</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3"/>
                <w:szCs w:val="13"/>
                <w:color w:val="auto"/>
              </w:rPr>
              <w:t>476</w:t>
            </w:r>
          </w:p>
        </w:tc>
      </w:tr>
      <w:tr>
        <w:trPr>
          <w:trHeight w:val="135"/>
        </w:trPr>
        <w:tc>
          <w:tcPr>
            <w:tcW w:w="2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Income tax (expense) benefit</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(94)</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w:t>
            </w:r>
          </w:p>
        </w:tc>
      </w:tr>
      <w:tr>
        <w:trPr>
          <w:trHeight w:val="128"/>
        </w:trPr>
        <w:tc>
          <w:tcPr>
            <w:tcW w:w="2720" w:type="dxa"/>
            <w:vAlign w:val="bottom"/>
          </w:tcPr>
          <w:p>
            <w:pPr>
              <w:spacing w:after="0" w:line="129" w:lineRule="exact"/>
              <w:rPr>
                <w:sz w:val="20"/>
                <w:szCs w:val="20"/>
                <w:color w:val="auto"/>
              </w:rPr>
            </w:pPr>
            <w:r>
              <w:rPr>
                <w:rFonts w:ascii="Arial" w:cs="Arial" w:eastAsia="Arial" w:hAnsi="Arial"/>
                <w:sz w:val="13"/>
                <w:szCs w:val="13"/>
                <w:color w:val="auto"/>
              </w:rPr>
              <w:t>Net income (loss)</w:t>
            </w: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221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436</w:t>
            </w: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(64)</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8</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(10)</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(15)</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(193)</w:t>
            </w: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383</w:t>
            </w:r>
          </w:p>
        </w:tc>
      </w:tr>
      <w:tr>
        <w:trPr>
          <w:trHeight w:val="121"/>
        </w:trPr>
        <w:tc>
          <w:tcPr>
            <w:tcW w:w="27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Less: net income attributable to non-controlling</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49"/>
        </w:trPr>
        <w:tc>
          <w:tcPr>
            <w:tcW w:w="2720" w:type="dxa"/>
            <w:vAlign w:val="bottom"/>
            <w:shd w:val="clear" w:color="auto" w:fill="CCEEFF"/>
          </w:tcPr>
          <w:p>
            <w:pPr>
              <w:spacing w:after="0"/>
              <w:rPr>
                <w:sz w:val="20"/>
                <w:szCs w:val="20"/>
                <w:color w:val="auto"/>
              </w:rPr>
            </w:pPr>
            <w:r>
              <w:rPr>
                <w:rFonts w:ascii="Arial" w:cs="Arial" w:eastAsia="Arial" w:hAnsi="Arial"/>
                <w:sz w:val="13"/>
                <w:szCs w:val="13"/>
                <w:color w:val="auto"/>
              </w:rPr>
              <w:t>interests</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311</w:t>
            </w:r>
          </w:p>
        </w:tc>
      </w:tr>
      <w:tr>
        <w:trPr>
          <w:trHeight w:val="168"/>
        </w:trPr>
        <w:tc>
          <w:tcPr>
            <w:tcW w:w="272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w w:val="93"/>
              </w:rPr>
              <w:t>Net income (loss) attributable to Icahn Enterprises</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115</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231</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(64)</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(193)</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72</w:t>
            </w:r>
          </w:p>
        </w:tc>
      </w:tr>
      <w:tr>
        <w:trPr>
          <w:trHeight w:val="116"/>
        </w:trPr>
        <w:tc>
          <w:tcPr>
            <w:tcW w:w="2720" w:type="dxa"/>
            <w:vAlign w:val="bottom"/>
            <w:shd w:val="clear" w:color="auto" w:fill="CCEEFF"/>
          </w:tcPr>
          <w:p>
            <w:pPr>
              <w:spacing w:after="0" w:line="116" w:lineRule="exact"/>
              <w:rPr>
                <w:sz w:val="20"/>
                <w:szCs w:val="20"/>
                <w:color w:val="auto"/>
              </w:rPr>
            </w:pPr>
            <w:r>
              <w:rPr>
                <w:rFonts w:ascii="Arial" w:cs="Arial" w:eastAsia="Arial" w:hAnsi="Arial"/>
                <w:sz w:val="13"/>
                <w:szCs w:val="13"/>
                <w:color w:val="auto"/>
              </w:rPr>
              <w:t>Supplemental information:</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35"/>
        </w:trPr>
        <w:tc>
          <w:tcPr>
            <w:tcW w:w="2720" w:type="dxa"/>
            <w:vAlign w:val="bottom"/>
          </w:tcPr>
          <w:p>
            <w:pPr>
              <w:ind w:left="100"/>
              <w:spacing w:after="0" w:line="135" w:lineRule="exact"/>
              <w:rPr>
                <w:sz w:val="20"/>
                <w:szCs w:val="20"/>
                <w:color w:val="auto"/>
              </w:rPr>
            </w:pPr>
            <w:r>
              <w:rPr>
                <w:rFonts w:ascii="Arial" w:cs="Arial" w:eastAsia="Arial" w:hAnsi="Arial"/>
                <w:sz w:val="13"/>
                <w:szCs w:val="13"/>
                <w:color w:val="auto"/>
              </w:rPr>
              <w:t>Capital expenditures</w:t>
            </w:r>
          </w:p>
        </w:tc>
        <w:tc>
          <w:tcPr>
            <w:tcW w:w="400" w:type="dxa"/>
            <w:vAlign w:val="bottom"/>
            <w:gridSpan w:val="2"/>
          </w:tcPr>
          <w:p>
            <w:pPr>
              <w:jc w:val="right"/>
              <w:ind w:right="88"/>
              <w:spacing w:after="0" w:line="135" w:lineRule="exact"/>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145</w:t>
            </w:r>
          </w:p>
        </w:tc>
        <w:tc>
          <w:tcPr>
            <w:tcW w:w="320" w:type="dxa"/>
            <w:vAlign w:val="bottom"/>
            <w:gridSpan w:val="2"/>
          </w:tcPr>
          <w:p>
            <w:pPr>
              <w:jc w:val="right"/>
              <w:ind w:right="68"/>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87</w:t>
            </w:r>
          </w:p>
        </w:tc>
        <w:tc>
          <w:tcPr>
            <w:tcW w:w="24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30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82"/>
              <w:spacing w:after="0" w:line="135"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254</w:t>
            </w:r>
          </w:p>
        </w:tc>
      </w:tr>
      <w:tr>
        <w:trPr>
          <w:trHeight w:val="135"/>
        </w:trPr>
        <w:tc>
          <w:tcPr>
            <w:tcW w:w="2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Depreciation and amortization</w:t>
            </w:r>
          </w:p>
        </w:tc>
        <w:tc>
          <w:tcPr>
            <w:tcW w:w="400" w:type="dxa"/>
            <w:vAlign w:val="bottom"/>
            <w:gridSpan w:val="2"/>
            <w:shd w:val="clear" w:color="auto" w:fill="CCEEFF"/>
          </w:tcPr>
          <w:p>
            <w:pPr>
              <w:jc w:val="right"/>
              <w:ind w:right="88"/>
              <w:spacing w:after="0" w:line="135"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264</w:t>
            </w:r>
          </w:p>
        </w:tc>
        <w:tc>
          <w:tcPr>
            <w:tcW w:w="320" w:type="dxa"/>
            <w:vAlign w:val="bottom"/>
            <w:gridSpan w:val="2"/>
            <w:shd w:val="clear" w:color="auto" w:fill="CCEEFF"/>
          </w:tcPr>
          <w:p>
            <w:pPr>
              <w:jc w:val="right"/>
              <w:ind w:right="68"/>
              <w:spacing w:after="0" w:line="135"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w:t>
            </w:r>
          </w:p>
        </w:tc>
        <w:tc>
          <w:tcPr>
            <w:tcW w:w="24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30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w:t>
            </w:r>
          </w:p>
        </w:tc>
        <w:tc>
          <w:tcPr>
            <w:tcW w:w="2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280" w:type="dxa"/>
            <w:vAlign w:val="bottom"/>
            <w:gridSpan w:val="2"/>
            <w:shd w:val="clear" w:color="auto" w:fill="CCEEFF"/>
          </w:tcPr>
          <w:p>
            <w:pPr>
              <w:jc w:val="right"/>
              <w:ind w:right="82"/>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Disaggregation of Revenue</w:t>
      </w:r>
    </w:p>
    <w:p>
      <w:pPr>
        <w:spacing w:after="0" w:line="229" w:lineRule="exact"/>
        <w:rPr>
          <w:sz w:val="20"/>
          <w:szCs w:val="20"/>
          <w:color w:val="auto"/>
        </w:rPr>
      </w:pPr>
    </w:p>
    <w:p>
      <w:pPr>
        <w:ind w:left="60" w:right="1099" w:firstLine="324"/>
        <w:spacing w:after="0" w:line="277" w:lineRule="auto"/>
        <w:rPr>
          <w:sz w:val="20"/>
          <w:szCs w:val="20"/>
          <w:color w:val="auto"/>
        </w:rPr>
      </w:pPr>
      <w:r>
        <w:rPr>
          <w:rFonts w:ascii="Arial" w:cs="Arial" w:eastAsia="Arial" w:hAnsi="Arial"/>
          <w:sz w:val="18"/>
          <w:szCs w:val="18"/>
          <w:color w:val="auto"/>
        </w:rPr>
        <w:t>In addition to the condensed statements of operations by reporting segment above, we provide additional disaggregated revenue information for our Energy and Automotive segments below.</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5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Energy</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60" w:type="dxa"/>
            <w:vAlign w:val="bottom"/>
            <w:gridSpan w:val="9"/>
          </w:tcPr>
          <w:p>
            <w:pPr>
              <w:spacing w:after="0"/>
              <w:rPr>
                <w:sz w:val="20"/>
                <w:szCs w:val="20"/>
                <w:color w:val="auto"/>
              </w:rPr>
            </w:pPr>
            <w:r>
              <w:rPr>
                <w:rFonts w:ascii="Arial" w:cs="Arial" w:eastAsia="Arial" w:hAnsi="Arial"/>
                <w:sz w:val="18"/>
                <w:szCs w:val="18"/>
                <w:b w:val="1"/>
                <w:bCs w:val="1"/>
                <w:color w:val="auto"/>
                <w:w w:val="92"/>
              </w:rPr>
              <w:t>Three Months Ended September 30,</w:t>
            </w:r>
          </w:p>
        </w:tc>
        <w:tc>
          <w:tcPr>
            <w:tcW w:w="180" w:type="dxa"/>
            <w:vAlign w:val="bottom"/>
          </w:tcPr>
          <w:p>
            <w:pPr>
              <w:spacing w:after="0"/>
              <w:rPr>
                <w:sz w:val="24"/>
                <w:szCs w:val="24"/>
                <w:color w:val="auto"/>
              </w:rPr>
            </w:pPr>
          </w:p>
        </w:tc>
        <w:tc>
          <w:tcPr>
            <w:tcW w:w="2800" w:type="dxa"/>
            <w:vAlign w:val="bottom"/>
            <w:gridSpan w:val="7"/>
          </w:tcPr>
          <w:p>
            <w:pPr>
              <w:ind w:left="20"/>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10"/>
        </w:trPr>
        <w:tc>
          <w:tcPr>
            <w:tcW w:w="2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gridSpan w:val="3"/>
          </w:tcPr>
          <w:p>
            <w:pPr>
              <w:ind w:left="700"/>
              <w:spacing w:after="0" w:line="129" w:lineRule="exact"/>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Petroleum products</w:t>
            </w:r>
          </w:p>
        </w:tc>
        <w:tc>
          <w:tcPr>
            <w:tcW w:w="8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560" w:type="dxa"/>
            <w:vAlign w:val="bottom"/>
            <w:gridSpan w:val="5"/>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6,505</w:t>
            </w:r>
          </w:p>
        </w:tc>
        <w:tc>
          <w:tcPr>
            <w:tcW w:w="500" w:type="dxa"/>
            <w:vAlign w:val="bottom"/>
            <w:gridSpan w:val="3"/>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Nitrogen fertilizer products</w:t>
            </w:r>
          </w:p>
        </w:tc>
        <w:tc>
          <w:tcPr>
            <w:tcW w:w="5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7,045</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2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Automotive</w:t>
            </w:r>
          </w:p>
        </w:tc>
        <w:tc>
          <w:tcPr>
            <w:tcW w:w="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5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60" w:type="dxa"/>
            <w:vAlign w:val="bottom"/>
            <w:gridSpan w:val="9"/>
          </w:tcPr>
          <w:p>
            <w:pPr>
              <w:ind w:left="20"/>
              <w:spacing w:after="0"/>
              <w:rPr>
                <w:sz w:val="20"/>
                <w:szCs w:val="20"/>
                <w:color w:val="auto"/>
              </w:rPr>
            </w:pPr>
            <w:r>
              <w:rPr>
                <w:rFonts w:ascii="Arial" w:cs="Arial" w:eastAsia="Arial" w:hAnsi="Arial"/>
                <w:sz w:val="18"/>
                <w:szCs w:val="18"/>
                <w:b w:val="1"/>
                <w:bCs w:val="1"/>
                <w:color w:val="auto"/>
                <w:w w:val="92"/>
              </w:rPr>
              <w:t>Three Months Ended September 30,</w:t>
            </w:r>
          </w:p>
        </w:tc>
        <w:tc>
          <w:tcPr>
            <w:tcW w:w="180" w:type="dxa"/>
            <w:vAlign w:val="bottom"/>
          </w:tcPr>
          <w:p>
            <w:pPr>
              <w:spacing w:after="0"/>
              <w:rPr>
                <w:sz w:val="24"/>
                <w:szCs w:val="24"/>
                <w:color w:val="auto"/>
              </w:rPr>
            </w:pPr>
          </w:p>
        </w:tc>
        <w:tc>
          <w:tcPr>
            <w:tcW w:w="2800" w:type="dxa"/>
            <w:vAlign w:val="bottom"/>
            <w:gridSpan w:val="7"/>
          </w:tcPr>
          <w:p>
            <w:pPr>
              <w:ind w:left="20"/>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10"/>
        </w:trPr>
        <w:tc>
          <w:tcPr>
            <w:tcW w:w="2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ind w:left="720"/>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Automotive Services</w:t>
            </w:r>
          </w:p>
        </w:tc>
        <w:tc>
          <w:tcPr>
            <w:tcW w:w="8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560" w:type="dxa"/>
            <w:vAlign w:val="bottom"/>
            <w:gridSpan w:val="5"/>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500" w:type="dxa"/>
            <w:vAlign w:val="bottom"/>
            <w:gridSpan w:val="3"/>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Aftermarket Parts</w:t>
            </w:r>
          </w:p>
        </w:tc>
        <w:tc>
          <w:tcPr>
            <w:tcW w:w="5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40" w:type="dxa"/>
            <w:vAlign w:val="bottom"/>
            <w:tcBorders>
              <w:bottom w:val="single" w:sz="8" w:color="auto"/>
            </w:tcBorders>
            <w:gridSpan w:val="2"/>
            <w:shd w:val="clear" w:color="auto" w:fill="CCEEFF"/>
          </w:tcPr>
          <w:p>
            <w:pPr>
              <w:spacing w:after="0"/>
              <w:rPr>
                <w:sz w:val="18"/>
                <w:szCs w:val="18"/>
                <w:color w:val="auto"/>
              </w:rPr>
            </w:pPr>
          </w:p>
        </w:tc>
        <w:tc>
          <w:tcPr>
            <w:tcW w:w="240" w:type="dxa"/>
            <w:vAlign w:val="bottom"/>
            <w:tcBorders>
              <w:bottom w:val="single" w:sz="8" w:color="CCEEFF"/>
            </w:tcBorders>
            <w:gridSpan w:val="2"/>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w w:val="89"/>
              </w:rPr>
              <w:t>30</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5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Condensed Balance Sheets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6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8"/>
          </w:tcPr>
          <w:p>
            <w:pPr>
              <w:ind w:left="380"/>
              <w:spacing w:after="0"/>
              <w:rPr>
                <w:sz w:val="20"/>
                <w:szCs w:val="20"/>
                <w:color w:val="auto"/>
              </w:rPr>
            </w:pPr>
            <w:r>
              <w:rPr>
                <w:rFonts w:ascii="Arial" w:cs="Arial" w:eastAsia="Arial" w:hAnsi="Arial"/>
                <w:sz w:val="13"/>
                <w:szCs w:val="13"/>
                <w:b w:val="1"/>
                <w:bCs w:val="1"/>
                <w:color w:val="auto"/>
              </w:rPr>
              <w:t>September 30, 2023</w:t>
            </w: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ind w:left="20"/>
              <w:spacing w:after="0" w:line="110" w:lineRule="exact"/>
              <w:rPr>
                <w:sz w:val="20"/>
                <w:szCs w:val="20"/>
                <w:color w:val="auto"/>
              </w:rPr>
            </w:pPr>
            <w:r>
              <w:rPr>
                <w:rFonts w:ascii="Arial" w:cs="Arial" w:eastAsia="Arial" w:hAnsi="Arial"/>
                <w:sz w:val="12"/>
                <w:szCs w:val="12"/>
                <w:b w:val="1"/>
                <w:bCs w:val="1"/>
                <w:color w:val="auto"/>
              </w:rPr>
              <w:t>Food</w:t>
            </w:r>
          </w:p>
        </w:tc>
        <w:tc>
          <w:tcPr>
            <w:tcW w:w="100" w:type="dxa"/>
            <w:vAlign w:val="bottom"/>
          </w:tcPr>
          <w:p>
            <w:pPr>
              <w:spacing w:after="0"/>
              <w:rPr>
                <w:sz w:val="9"/>
                <w:szCs w:val="9"/>
                <w:color w:val="auto"/>
              </w:rPr>
            </w:pPr>
          </w:p>
        </w:tc>
        <w:tc>
          <w:tcPr>
            <w:tcW w:w="580" w:type="dxa"/>
            <w:vAlign w:val="bottom"/>
            <w:gridSpan w:val="2"/>
          </w:tcPr>
          <w:p>
            <w:pPr>
              <w:ind w:left="60"/>
              <w:spacing w:after="0" w:line="110" w:lineRule="exact"/>
              <w:rPr>
                <w:sz w:val="20"/>
                <w:szCs w:val="20"/>
                <w:color w:val="auto"/>
              </w:rPr>
            </w:pPr>
            <w:r>
              <w:rPr>
                <w:rFonts w:ascii="Arial" w:cs="Arial" w:eastAsia="Arial" w:hAnsi="Arial"/>
                <w:sz w:val="12"/>
                <w:szCs w:val="12"/>
                <w:b w:val="1"/>
                <w:bCs w:val="1"/>
                <w:color w:val="auto"/>
              </w:rPr>
              <w:t>Real</w:t>
            </w:r>
          </w:p>
        </w:tc>
        <w:tc>
          <w:tcPr>
            <w:tcW w:w="80" w:type="dxa"/>
            <w:vAlign w:val="bottom"/>
          </w:tcPr>
          <w:p>
            <w:pPr>
              <w:spacing w:after="0"/>
              <w:rPr>
                <w:sz w:val="9"/>
                <w:szCs w:val="9"/>
                <w:color w:val="auto"/>
              </w:rPr>
            </w:pPr>
          </w:p>
        </w:tc>
        <w:tc>
          <w:tcPr>
            <w:tcW w:w="62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5"/>
              </w:rPr>
              <w:t>Home</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3"/>
          </w:tcPr>
          <w:p>
            <w:pPr>
              <w:jc w:val="right"/>
              <w:ind w:right="200"/>
              <w:spacing w:after="0" w:line="110" w:lineRule="exact"/>
              <w:rPr>
                <w:sz w:val="20"/>
                <w:szCs w:val="20"/>
                <w:color w:val="auto"/>
              </w:rPr>
            </w:pPr>
            <w:r>
              <w:rPr>
                <w:rFonts w:ascii="Arial" w:cs="Arial" w:eastAsia="Arial" w:hAnsi="Arial"/>
                <w:sz w:val="12"/>
                <w:szCs w:val="12"/>
                <w:b w:val="1"/>
                <w:bCs w:val="1"/>
                <w:color w:val="auto"/>
              </w:rPr>
              <w:t>Holding</w:t>
            </w: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620" w:type="dxa"/>
            <w:vAlign w:val="bottom"/>
          </w:tcPr>
          <w:p>
            <w:pPr>
              <w:spacing w:after="0"/>
              <w:rPr>
                <w:sz w:val="13"/>
                <w:szCs w:val="13"/>
                <w:color w:val="auto"/>
              </w:rPr>
            </w:pPr>
          </w:p>
        </w:tc>
        <w:tc>
          <w:tcPr>
            <w:tcW w:w="720" w:type="dxa"/>
            <w:vAlign w:val="bottom"/>
            <w:gridSpan w:val="3"/>
          </w:tcPr>
          <w:p>
            <w:pPr>
              <w:spacing w:after="0"/>
              <w:rPr>
                <w:sz w:val="20"/>
                <w:szCs w:val="20"/>
                <w:color w:val="auto"/>
              </w:rPr>
            </w:pPr>
            <w:r>
              <w:rPr>
                <w:rFonts w:ascii="Arial" w:cs="Arial" w:eastAsia="Arial" w:hAnsi="Arial"/>
                <w:sz w:val="13"/>
                <w:szCs w:val="13"/>
                <w:b w:val="1"/>
                <w:bCs w:val="1"/>
                <w:color w:val="auto"/>
              </w:rPr>
              <w:t>Investment</w:t>
            </w:r>
          </w:p>
        </w:tc>
        <w:tc>
          <w:tcPr>
            <w:tcW w:w="8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b w:val="1"/>
                <w:bCs w:val="1"/>
                <w:color w:val="auto"/>
              </w:rPr>
              <w:t>Energy</w:t>
            </w:r>
          </w:p>
        </w:tc>
        <w:tc>
          <w:tcPr>
            <w:tcW w:w="740" w:type="dxa"/>
            <w:vAlign w:val="bottom"/>
            <w:gridSpan w:val="3"/>
          </w:tcPr>
          <w:p>
            <w:pPr>
              <w:spacing w:after="0"/>
              <w:rPr>
                <w:sz w:val="20"/>
                <w:szCs w:val="20"/>
                <w:color w:val="auto"/>
              </w:rPr>
            </w:pPr>
            <w:r>
              <w:rPr>
                <w:rFonts w:ascii="Arial" w:cs="Arial" w:eastAsia="Arial" w:hAnsi="Arial"/>
                <w:sz w:val="13"/>
                <w:szCs w:val="13"/>
                <w:b w:val="1"/>
                <w:bCs w:val="1"/>
                <w:color w:val="auto"/>
              </w:rPr>
              <w:t>Automotive</w:t>
            </w:r>
          </w:p>
        </w:tc>
        <w:tc>
          <w:tcPr>
            <w:tcW w:w="700" w:type="dxa"/>
            <w:vAlign w:val="bottom"/>
            <w:gridSpan w:val="3"/>
          </w:tcPr>
          <w:p>
            <w:pPr>
              <w:ind w:left="20"/>
              <w:spacing w:after="0"/>
              <w:rPr>
                <w:sz w:val="20"/>
                <w:szCs w:val="20"/>
                <w:color w:val="auto"/>
              </w:rPr>
            </w:pPr>
            <w:r>
              <w:rPr>
                <w:rFonts w:ascii="Arial" w:cs="Arial" w:eastAsia="Arial" w:hAnsi="Arial"/>
                <w:sz w:val="13"/>
                <w:szCs w:val="13"/>
                <w:b w:val="1"/>
                <w:bCs w:val="1"/>
                <w:color w:val="auto"/>
              </w:rPr>
              <w:t>Packaging</w:t>
            </w:r>
          </w:p>
        </w:tc>
        <w:tc>
          <w:tcPr>
            <w:tcW w:w="10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b w:val="1"/>
                <w:bCs w:val="1"/>
                <w:color w:val="auto"/>
              </w:rPr>
              <w:t>Estate</w:t>
            </w:r>
          </w:p>
        </w:tc>
        <w:tc>
          <w:tcPr>
            <w:tcW w:w="80" w:type="dxa"/>
            <w:vAlign w:val="bottom"/>
          </w:tcPr>
          <w:p>
            <w:pPr>
              <w:spacing w:after="0"/>
              <w:rPr>
                <w:sz w:val="13"/>
                <w:szCs w:val="13"/>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Fashion</w:t>
            </w:r>
          </w:p>
        </w:tc>
        <w:tc>
          <w:tcPr>
            <w:tcW w:w="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rPr>
              <w:t>Pharma</w:t>
            </w:r>
          </w:p>
        </w:tc>
        <w:tc>
          <w:tcPr>
            <w:tcW w:w="70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1"/>
              </w:rPr>
              <w:t>Company</w:t>
            </w: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w w:val="84"/>
              </w:rPr>
              <w:t>Consolidated</w:t>
            </w:r>
          </w:p>
        </w:tc>
        <w:tc>
          <w:tcPr>
            <w:tcW w:w="0" w:type="dxa"/>
            <w:vAlign w:val="bottom"/>
          </w:tcPr>
          <w:p>
            <w:pPr>
              <w:spacing w:after="0"/>
              <w:rPr>
                <w:sz w:val="1"/>
                <w:szCs w:val="1"/>
                <w:color w:val="auto"/>
              </w:rPr>
            </w:pPr>
          </w:p>
        </w:tc>
      </w:tr>
      <w:tr>
        <w:trPr>
          <w:trHeight w:val="115"/>
        </w:trPr>
        <w:tc>
          <w:tcPr>
            <w:tcW w:w="26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3"/>
                <w:szCs w:val="13"/>
                <w:color w:val="auto"/>
                <w:w w:val="85"/>
              </w:rPr>
              <w:t>(in millions)</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CEEFF"/>
          </w:tcPr>
          <w:p>
            <w:pPr>
              <w:ind w:left="1020"/>
              <w:spacing w:after="0" w:line="135" w:lineRule="exact"/>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Arial" w:cs="Arial" w:eastAsia="Arial" w:hAnsi="Arial"/>
                <w:sz w:val="13"/>
                <w:szCs w:val="13"/>
                <w:color w:val="auto"/>
              </w:rPr>
              <w:t>Cash and cash equivalents</w:t>
            </w: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889</w:t>
            </w:r>
          </w:p>
        </w:tc>
        <w:tc>
          <w:tcPr>
            <w:tcW w:w="120" w:type="dxa"/>
            <w:vAlign w:val="bottom"/>
          </w:tcPr>
          <w:p>
            <w:pPr>
              <w:spacing w:after="0"/>
              <w:rPr>
                <w:sz w:val="11"/>
                <w:szCs w:val="11"/>
                <w:color w:val="auto"/>
              </w:rPr>
            </w:pPr>
          </w:p>
        </w:tc>
        <w:tc>
          <w:tcPr>
            <w:tcW w:w="18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100</w:t>
            </w:r>
          </w:p>
        </w:tc>
        <w:tc>
          <w:tcPr>
            <w:tcW w:w="100" w:type="dxa"/>
            <w:vAlign w:val="bottom"/>
          </w:tcPr>
          <w:p>
            <w:pPr>
              <w:spacing w:after="0"/>
              <w:rPr>
                <w:sz w:val="11"/>
                <w:szCs w:val="11"/>
                <w:color w:val="auto"/>
              </w:rPr>
            </w:pPr>
          </w:p>
        </w:tc>
        <w:tc>
          <w:tcPr>
            <w:tcW w:w="1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12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35</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17</w:t>
            </w:r>
          </w:p>
        </w:tc>
        <w:tc>
          <w:tcPr>
            <w:tcW w:w="100" w:type="dxa"/>
            <w:vAlign w:val="bottom"/>
          </w:tcPr>
          <w:p>
            <w:pPr>
              <w:spacing w:after="0"/>
              <w:rPr>
                <w:sz w:val="11"/>
                <w:szCs w:val="11"/>
                <w:color w:val="auto"/>
              </w:rPr>
            </w:pPr>
          </w:p>
        </w:tc>
        <w:tc>
          <w:tcPr>
            <w:tcW w:w="140" w:type="dxa"/>
            <w:vAlign w:val="bottom"/>
          </w:tcPr>
          <w:p>
            <w:pPr>
              <w:jc w:val="right"/>
              <w:ind w:right="25"/>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1,813</w:t>
            </w:r>
          </w:p>
        </w:tc>
        <w:tc>
          <w:tcPr>
            <w:tcW w:w="120" w:type="dxa"/>
            <w:vAlign w:val="bottom"/>
          </w:tcPr>
          <w:p>
            <w:pPr>
              <w:spacing w:after="0"/>
              <w:rPr>
                <w:sz w:val="11"/>
                <w:szCs w:val="11"/>
                <w:color w:val="auto"/>
              </w:rPr>
            </w:pPr>
          </w:p>
        </w:tc>
        <w:tc>
          <w:tcPr>
            <w:tcW w:w="200" w:type="dxa"/>
            <w:vAlign w:val="bottom"/>
          </w:tcPr>
          <w:p>
            <w:pPr>
              <w:jc w:val="right"/>
              <w:ind w:right="85"/>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2,890</w:t>
            </w:r>
          </w:p>
        </w:tc>
        <w:tc>
          <w:tcPr>
            <w:tcW w:w="0" w:type="dxa"/>
            <w:vAlign w:val="bottom"/>
          </w:tcPr>
          <w:p>
            <w:pPr>
              <w:spacing w:after="0"/>
              <w:rPr>
                <w:sz w:val="1"/>
                <w:szCs w:val="1"/>
                <w:color w:val="auto"/>
              </w:rPr>
            </w:pPr>
          </w:p>
        </w:tc>
      </w:tr>
      <w:tr>
        <w:trPr>
          <w:trHeight w:val="121"/>
        </w:trPr>
        <w:tc>
          <w:tcPr>
            <w:tcW w:w="262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3"/>
              </w:rPr>
              <w:t>Cash held at consolidated affiliated partnerships</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and restricted cash</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3,222</w:t>
            </w: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Arial" w:cs="Arial" w:eastAsia="Arial" w:hAnsi="Arial"/>
                <w:sz w:val="13"/>
                <w:szCs w:val="13"/>
                <w:color w:val="auto"/>
              </w:rPr>
              <w:t>Investments</w:t>
            </w: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3,185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101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3,300</w:t>
            </w:r>
          </w:p>
        </w:tc>
        <w:tc>
          <w:tcPr>
            <w:tcW w:w="0" w:type="dxa"/>
            <w:vAlign w:val="bottom"/>
          </w:tcPr>
          <w:p>
            <w:pPr>
              <w:spacing w:after="0"/>
              <w:rPr>
                <w:sz w:val="1"/>
                <w:szCs w:val="1"/>
                <w:color w:val="auto"/>
              </w:rPr>
            </w:pPr>
          </w:p>
        </w:tc>
      </w:tr>
      <w:tr>
        <w:trPr>
          <w:trHeight w:val="135"/>
        </w:trPr>
        <w:tc>
          <w:tcPr>
            <w:tcW w:w="26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Accounts receivable, net</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316</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517</w:t>
            </w: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Arial" w:cs="Arial" w:eastAsia="Arial" w:hAnsi="Arial"/>
                <w:sz w:val="13"/>
                <w:szCs w:val="13"/>
                <w:color w:val="auto"/>
              </w:rPr>
              <w:t>Inventories, net</w:t>
            </w:r>
          </w:p>
        </w:tc>
        <w:tc>
          <w:tcPr>
            <w:tcW w:w="14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610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249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114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87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1,085</w:t>
            </w:r>
          </w:p>
        </w:tc>
        <w:tc>
          <w:tcPr>
            <w:tcW w:w="0" w:type="dxa"/>
            <w:vAlign w:val="bottom"/>
          </w:tcPr>
          <w:p>
            <w:pPr>
              <w:spacing w:after="0"/>
              <w:rPr>
                <w:sz w:val="1"/>
                <w:szCs w:val="1"/>
                <w:color w:val="auto"/>
              </w:rPr>
            </w:pPr>
          </w:p>
        </w:tc>
      </w:tr>
      <w:tr>
        <w:trPr>
          <w:trHeight w:val="135"/>
        </w:trPr>
        <w:tc>
          <w:tcPr>
            <w:tcW w:w="26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Related party notes receivable, net</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Arial" w:cs="Arial" w:eastAsia="Arial" w:hAnsi="Arial"/>
                <w:sz w:val="13"/>
                <w:szCs w:val="13"/>
                <w:color w:val="auto"/>
              </w:rPr>
              <w:t>Property, plant and equipment, net</w:t>
            </w:r>
          </w:p>
        </w:tc>
        <w:tc>
          <w:tcPr>
            <w:tcW w:w="14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2,611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799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132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337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53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3,937</w:t>
            </w:r>
          </w:p>
        </w:tc>
        <w:tc>
          <w:tcPr>
            <w:tcW w:w="0" w:type="dxa"/>
            <w:vAlign w:val="bottom"/>
          </w:tcPr>
          <w:p>
            <w:pPr>
              <w:spacing w:after="0"/>
              <w:rPr>
                <w:sz w:val="1"/>
                <w:szCs w:val="1"/>
                <w:color w:val="auto"/>
              </w:rPr>
            </w:pPr>
          </w:p>
        </w:tc>
      </w:tr>
      <w:tr>
        <w:trPr>
          <w:trHeight w:val="135"/>
        </w:trPr>
        <w:tc>
          <w:tcPr>
            <w:tcW w:w="26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Goodwill and intangible assets, net</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184</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775</w:t>
            </w:r>
          </w:p>
        </w:tc>
        <w:tc>
          <w:tcPr>
            <w:tcW w:w="0" w:type="dxa"/>
            <w:vAlign w:val="bottom"/>
          </w:tcPr>
          <w:p>
            <w:pPr>
              <w:spacing w:after="0"/>
              <w:rPr>
                <w:sz w:val="1"/>
                <w:szCs w:val="1"/>
                <w:color w:val="auto"/>
              </w:rPr>
            </w:pPr>
          </w:p>
        </w:tc>
      </w:tr>
      <w:tr>
        <w:trPr>
          <w:trHeight w:val="135"/>
        </w:trPr>
        <w:tc>
          <w:tcPr>
            <w:tcW w:w="2620" w:type="dxa"/>
            <w:vAlign w:val="bottom"/>
            <w:tcBorders>
              <w:bottom w:val="single" w:sz="8" w:color="CCEEFF"/>
            </w:tcBorders>
          </w:tcPr>
          <w:p>
            <w:pPr>
              <w:ind w:left="20"/>
              <w:spacing w:after="0" w:line="135" w:lineRule="exact"/>
              <w:rPr>
                <w:sz w:val="20"/>
                <w:szCs w:val="20"/>
                <w:color w:val="auto"/>
              </w:rPr>
            </w:pPr>
            <w:r>
              <w:rPr>
                <w:rFonts w:ascii="Arial" w:cs="Arial" w:eastAsia="Arial" w:hAnsi="Arial"/>
                <w:sz w:val="13"/>
                <w:szCs w:val="13"/>
                <w:color w:val="auto"/>
              </w:rPr>
              <w:t>Other assets</w:t>
            </w: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4,824</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271</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462</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101</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84</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18</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204</w:t>
            </w:r>
          </w:p>
        </w:tc>
        <w:tc>
          <w:tcPr>
            <w:tcW w:w="1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5,972</w:t>
            </w:r>
          </w:p>
        </w:tc>
        <w:tc>
          <w:tcPr>
            <w:tcW w:w="0" w:type="dxa"/>
            <w:vAlign w:val="bottom"/>
          </w:tcPr>
          <w:p>
            <w:pPr>
              <w:spacing w:after="0"/>
              <w:rPr>
                <w:sz w:val="1"/>
                <w:szCs w:val="1"/>
                <w:color w:val="auto"/>
              </w:rPr>
            </w:pPr>
          </w:p>
        </w:tc>
      </w:tr>
      <w:tr>
        <w:trPr>
          <w:trHeight w:val="129"/>
        </w:trPr>
        <w:tc>
          <w:tcPr>
            <w:tcW w:w="2620" w:type="dxa"/>
            <w:vAlign w:val="bottom"/>
            <w:tcBorders>
              <w:bottom w:val="single" w:sz="8" w:color="CCEEFF"/>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Total assets</w:t>
            </w:r>
          </w:p>
        </w:tc>
        <w:tc>
          <w:tcPr>
            <w:tcW w:w="14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11,056</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4,989</w:t>
            </w: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2,009</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460</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494</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215</w:t>
            </w: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282</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2,252</w:t>
            </w: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21,757</w:t>
            </w:r>
          </w:p>
        </w:tc>
        <w:tc>
          <w:tcPr>
            <w:tcW w:w="0" w:type="dxa"/>
            <w:vAlign w:val="bottom"/>
          </w:tcPr>
          <w:p>
            <w:pPr>
              <w:spacing w:after="0"/>
              <w:rPr>
                <w:sz w:val="1"/>
                <w:szCs w:val="1"/>
                <w:color w:val="auto"/>
              </w:rPr>
            </w:pPr>
          </w:p>
        </w:tc>
      </w:tr>
      <w:tr>
        <w:trPr>
          <w:trHeight w:val="20"/>
        </w:trPr>
        <w:tc>
          <w:tcPr>
            <w:tcW w:w="2620" w:type="dxa"/>
            <w:vAlign w:val="bottom"/>
            <w:vMerge w:val="restart"/>
          </w:tcPr>
          <w:p>
            <w:pPr>
              <w:ind w:left="460"/>
              <w:spacing w:after="0"/>
              <w:rPr>
                <w:sz w:val="20"/>
                <w:szCs w:val="20"/>
                <w:color w:val="auto"/>
              </w:rPr>
            </w:pPr>
            <w:r>
              <w:rPr>
                <w:rFonts w:ascii="Arial" w:cs="Arial" w:eastAsia="Arial" w:hAnsi="Arial"/>
                <w:sz w:val="13"/>
                <w:szCs w:val="13"/>
                <w:b w:val="1"/>
                <w:bCs w:val="1"/>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6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2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4"/>
              </w:rPr>
              <w:t>Accounts payable, accrued expenses and other</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liabilities</w:t>
            </w: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1,753</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5"/>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5"/>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4,253</w:t>
            </w: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Arial" w:cs="Arial" w:eastAsia="Arial" w:hAnsi="Arial"/>
                <w:sz w:val="13"/>
                <w:szCs w:val="13"/>
                <w:color w:val="auto"/>
                <w:w w:val="95"/>
              </w:rPr>
              <w:t>Securities sold, not yet purchased, at fair value</w:t>
            </w: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3,801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3,801</w:t>
            </w:r>
          </w:p>
        </w:tc>
        <w:tc>
          <w:tcPr>
            <w:tcW w:w="0" w:type="dxa"/>
            <w:vAlign w:val="bottom"/>
          </w:tcPr>
          <w:p>
            <w:pPr>
              <w:spacing w:after="0"/>
              <w:rPr>
                <w:sz w:val="1"/>
                <w:szCs w:val="1"/>
                <w:color w:val="auto"/>
              </w:rPr>
            </w:pPr>
          </w:p>
        </w:tc>
      </w:tr>
      <w:tr>
        <w:trPr>
          <w:trHeight w:val="135"/>
        </w:trPr>
        <w:tc>
          <w:tcPr>
            <w:tcW w:w="26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Debt</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1,590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5,308</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7,075</w:t>
            </w:r>
          </w:p>
        </w:tc>
        <w:tc>
          <w:tcPr>
            <w:tcW w:w="0" w:type="dxa"/>
            <w:vAlign w:val="bottom"/>
          </w:tcPr>
          <w:p>
            <w:pPr>
              <w:spacing w:after="0"/>
              <w:rPr>
                <w:sz w:val="1"/>
                <w:szCs w:val="1"/>
                <w:color w:val="auto"/>
              </w:rPr>
            </w:pPr>
          </w:p>
        </w:tc>
      </w:tr>
      <w:tr>
        <w:trPr>
          <w:trHeight w:val="128"/>
        </w:trPr>
        <w:tc>
          <w:tcPr>
            <w:tcW w:w="2620" w:type="dxa"/>
            <w:vAlign w:val="bottom"/>
            <w:tcBorders>
              <w:bottom w:val="single" w:sz="8" w:color="CCEEFF"/>
            </w:tcBorders>
          </w:tcPr>
          <w:p>
            <w:pPr>
              <w:ind w:left="100"/>
              <w:spacing w:after="0" w:line="129" w:lineRule="exact"/>
              <w:rPr>
                <w:sz w:val="20"/>
                <w:szCs w:val="20"/>
                <w:color w:val="auto"/>
              </w:rPr>
            </w:pPr>
            <w:r>
              <w:rPr>
                <w:rFonts w:ascii="Arial" w:cs="Arial" w:eastAsia="Arial" w:hAnsi="Arial"/>
                <w:sz w:val="13"/>
                <w:szCs w:val="13"/>
                <w:color w:val="auto"/>
              </w:rPr>
              <w:t>Total liabilities</w:t>
            </w:r>
          </w:p>
        </w:tc>
        <w:tc>
          <w:tcPr>
            <w:tcW w:w="1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5,041</w:t>
            </w: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3,343</w:t>
            </w:r>
          </w:p>
        </w:tc>
        <w:tc>
          <w:tcPr>
            <w:tcW w:w="12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894</w:t>
            </w:r>
          </w:p>
        </w:tc>
        <w:tc>
          <w:tcPr>
            <w:tcW w:w="1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281</w:t>
            </w: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50</w:t>
            </w: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57</w:t>
            </w:r>
          </w:p>
        </w:tc>
        <w:tc>
          <w:tcPr>
            <w:tcW w:w="1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55</w:t>
            </w:r>
          </w:p>
        </w:tc>
        <w:tc>
          <w:tcPr>
            <w:tcW w:w="1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5,408</w:t>
            </w:r>
          </w:p>
        </w:tc>
        <w:tc>
          <w:tcPr>
            <w:tcW w:w="1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15,129</w:t>
            </w:r>
          </w:p>
        </w:tc>
        <w:tc>
          <w:tcPr>
            <w:tcW w:w="0" w:type="dxa"/>
            <w:vAlign w:val="bottom"/>
          </w:tcPr>
          <w:p>
            <w:pPr>
              <w:spacing w:after="0"/>
              <w:rPr>
                <w:sz w:val="1"/>
                <w:szCs w:val="1"/>
                <w:color w:val="auto"/>
              </w:rPr>
            </w:pPr>
          </w:p>
        </w:tc>
      </w:tr>
      <w:tr>
        <w:trPr>
          <w:trHeight w:val="128"/>
        </w:trPr>
        <w:tc>
          <w:tcPr>
            <w:tcW w:w="2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Arial" w:cs="Arial" w:eastAsia="Arial" w:hAnsi="Arial"/>
                <w:sz w:val="13"/>
                <w:szCs w:val="13"/>
                <w:color w:val="auto"/>
              </w:rPr>
              <w:t>Equity attributable to Icahn Enterprises</w:t>
            </w: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3,634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873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1,115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162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440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158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227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(3,156)</w:t>
            </w: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3,453</w:t>
            </w:r>
          </w:p>
        </w:tc>
        <w:tc>
          <w:tcPr>
            <w:tcW w:w="0" w:type="dxa"/>
            <w:vAlign w:val="bottom"/>
          </w:tcPr>
          <w:p>
            <w:pPr>
              <w:spacing w:after="0"/>
              <w:rPr>
                <w:sz w:val="1"/>
                <w:szCs w:val="1"/>
                <w:color w:val="auto"/>
              </w:rPr>
            </w:pPr>
          </w:p>
        </w:tc>
      </w:tr>
      <w:tr>
        <w:trPr>
          <w:trHeight w:val="135"/>
        </w:trPr>
        <w:tc>
          <w:tcPr>
            <w:tcW w:w="26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9"/>
              </w:rPr>
              <w:t>Equity attributable to non-controlling interests</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2,381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773</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3,175</w:t>
            </w:r>
          </w:p>
        </w:tc>
        <w:tc>
          <w:tcPr>
            <w:tcW w:w="0" w:type="dxa"/>
            <w:vAlign w:val="bottom"/>
          </w:tcPr>
          <w:p>
            <w:pPr>
              <w:spacing w:after="0"/>
              <w:rPr>
                <w:sz w:val="1"/>
                <w:szCs w:val="1"/>
                <w:color w:val="auto"/>
              </w:rPr>
            </w:pPr>
          </w:p>
        </w:tc>
      </w:tr>
      <w:tr>
        <w:trPr>
          <w:trHeight w:val="129"/>
        </w:trPr>
        <w:tc>
          <w:tcPr>
            <w:tcW w:w="2620" w:type="dxa"/>
            <w:vAlign w:val="bottom"/>
            <w:tcBorders>
              <w:bottom w:val="single" w:sz="8" w:color="CCEEFF"/>
            </w:tcBorders>
          </w:tcPr>
          <w:p>
            <w:pPr>
              <w:ind w:left="100"/>
              <w:spacing w:after="0" w:line="129" w:lineRule="exact"/>
              <w:rPr>
                <w:sz w:val="20"/>
                <w:szCs w:val="20"/>
                <w:color w:val="auto"/>
              </w:rPr>
            </w:pPr>
            <w:r>
              <w:rPr>
                <w:rFonts w:ascii="Arial" w:cs="Arial" w:eastAsia="Arial" w:hAnsi="Arial"/>
                <w:sz w:val="13"/>
                <w:szCs w:val="13"/>
                <w:color w:val="auto"/>
              </w:rPr>
              <w:t>Total equity</w:t>
            </w:r>
          </w:p>
        </w:tc>
        <w:tc>
          <w:tcPr>
            <w:tcW w:w="1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6,015</w:t>
            </w: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1,646</w:t>
            </w:r>
          </w:p>
        </w:tc>
        <w:tc>
          <w:tcPr>
            <w:tcW w:w="12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1,115</w:t>
            </w:r>
          </w:p>
        </w:tc>
        <w:tc>
          <w:tcPr>
            <w:tcW w:w="1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179</w:t>
            </w: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444</w:t>
            </w: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158</w:t>
            </w:r>
          </w:p>
        </w:tc>
        <w:tc>
          <w:tcPr>
            <w:tcW w:w="1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227</w:t>
            </w:r>
          </w:p>
        </w:tc>
        <w:tc>
          <w:tcPr>
            <w:tcW w:w="1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(3,156)</w:t>
            </w:r>
          </w:p>
        </w:tc>
        <w:tc>
          <w:tcPr>
            <w:tcW w:w="1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6,628</w:t>
            </w:r>
          </w:p>
        </w:tc>
        <w:tc>
          <w:tcPr>
            <w:tcW w:w="0" w:type="dxa"/>
            <w:vAlign w:val="bottom"/>
          </w:tcPr>
          <w:p>
            <w:pPr>
              <w:spacing w:after="0"/>
              <w:rPr>
                <w:sz w:val="1"/>
                <w:szCs w:val="1"/>
                <w:color w:val="auto"/>
              </w:rPr>
            </w:pPr>
          </w:p>
        </w:tc>
      </w:tr>
      <w:tr>
        <w:trPr>
          <w:trHeight w:val="128"/>
        </w:trPr>
        <w:tc>
          <w:tcPr>
            <w:tcW w:w="2620" w:type="dxa"/>
            <w:vAlign w:val="bottom"/>
            <w:tcBorders>
              <w:bottom w:val="single" w:sz="8" w:color="CCEEFF"/>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Total liabilities and equity</w:t>
            </w:r>
          </w:p>
        </w:tc>
        <w:tc>
          <w:tcPr>
            <w:tcW w:w="14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11,056</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4,989</w:t>
            </w: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2,009</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460</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494</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215</w:t>
            </w: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282</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2,252</w:t>
            </w: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21,757</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8"/>
          </w:tcPr>
          <w:p>
            <w:pPr>
              <w:jc w:val="right"/>
              <w:ind w:right="357"/>
              <w:spacing w:after="0"/>
              <w:rPr>
                <w:sz w:val="20"/>
                <w:szCs w:val="20"/>
                <w:color w:val="auto"/>
              </w:rPr>
            </w:pPr>
            <w:r>
              <w:rPr>
                <w:rFonts w:ascii="Arial" w:cs="Arial" w:eastAsia="Arial" w:hAnsi="Arial"/>
                <w:sz w:val="13"/>
                <w:szCs w:val="13"/>
                <w:b w:val="1"/>
                <w:bCs w:val="1"/>
                <w:color w:val="auto"/>
              </w:rPr>
              <w:t>December 31, 2022</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97"/>
              <w:spacing w:after="0" w:line="110" w:lineRule="exact"/>
              <w:rPr>
                <w:sz w:val="20"/>
                <w:szCs w:val="20"/>
                <w:color w:val="auto"/>
              </w:rPr>
            </w:pPr>
            <w:r>
              <w:rPr>
                <w:rFonts w:ascii="Arial" w:cs="Arial" w:eastAsia="Arial" w:hAnsi="Arial"/>
                <w:sz w:val="12"/>
                <w:szCs w:val="12"/>
                <w:b w:val="1"/>
                <w:bCs w:val="1"/>
                <w:color w:val="auto"/>
              </w:rPr>
              <w:t>Food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ind w:left="60"/>
              <w:spacing w:after="0" w:line="110" w:lineRule="exact"/>
              <w:rPr>
                <w:sz w:val="20"/>
                <w:szCs w:val="20"/>
                <w:color w:val="auto"/>
              </w:rPr>
            </w:pPr>
            <w:r>
              <w:rPr>
                <w:rFonts w:ascii="Arial" w:cs="Arial" w:eastAsia="Arial" w:hAnsi="Arial"/>
                <w:sz w:val="12"/>
                <w:szCs w:val="12"/>
                <w:b w:val="1"/>
                <w:bCs w:val="1"/>
                <w:color w:val="auto"/>
              </w:rPr>
              <w:t>Real</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ind w:right="97"/>
              <w:spacing w:after="0" w:line="110" w:lineRule="exact"/>
              <w:rPr>
                <w:sz w:val="20"/>
                <w:szCs w:val="20"/>
                <w:color w:val="auto"/>
              </w:rPr>
            </w:pPr>
            <w:r>
              <w:rPr>
                <w:rFonts w:ascii="Arial" w:cs="Arial" w:eastAsia="Arial" w:hAnsi="Arial"/>
                <w:sz w:val="12"/>
                <w:szCs w:val="12"/>
                <w:b w:val="1"/>
                <w:bCs w:val="1"/>
                <w:color w:val="auto"/>
              </w:rPr>
              <w:t>Home</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3"/>
          </w:tcPr>
          <w:p>
            <w:pPr>
              <w:jc w:val="center"/>
              <w:ind w:right="160"/>
              <w:spacing w:after="0" w:line="110" w:lineRule="exact"/>
              <w:rPr>
                <w:sz w:val="20"/>
                <w:szCs w:val="20"/>
                <w:color w:val="auto"/>
              </w:rPr>
            </w:pPr>
            <w:r>
              <w:rPr>
                <w:rFonts w:ascii="Arial" w:cs="Arial" w:eastAsia="Arial" w:hAnsi="Arial"/>
                <w:sz w:val="12"/>
                <w:szCs w:val="12"/>
                <w:b w:val="1"/>
                <w:bCs w:val="1"/>
                <w:color w:val="auto"/>
                <w:w w:val="98"/>
              </w:rPr>
              <w:t>Holding</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700" w:type="dxa"/>
            <w:vAlign w:val="bottom"/>
            <w:gridSpan w:val="3"/>
          </w:tcPr>
          <w:p>
            <w:pPr>
              <w:ind w:left="80"/>
              <w:spacing w:after="0"/>
              <w:rPr>
                <w:sz w:val="20"/>
                <w:szCs w:val="20"/>
                <w:color w:val="auto"/>
              </w:rPr>
            </w:pPr>
            <w:r>
              <w:rPr>
                <w:rFonts w:ascii="Arial" w:cs="Arial" w:eastAsia="Arial" w:hAnsi="Arial"/>
                <w:sz w:val="13"/>
                <w:szCs w:val="13"/>
                <w:b w:val="1"/>
                <w:bCs w:val="1"/>
                <w:color w:val="auto"/>
                <w:w w:val="87"/>
              </w:rPr>
              <w:t>Investment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7"/>
              <w:spacing w:after="0"/>
              <w:rPr>
                <w:sz w:val="20"/>
                <w:szCs w:val="20"/>
                <w:color w:val="auto"/>
              </w:rPr>
            </w:pPr>
            <w:r>
              <w:rPr>
                <w:rFonts w:ascii="Arial" w:cs="Arial" w:eastAsia="Arial" w:hAnsi="Arial"/>
                <w:sz w:val="13"/>
                <w:szCs w:val="13"/>
                <w:b w:val="1"/>
                <w:bCs w:val="1"/>
                <w:color w:val="auto"/>
                <w:w w:val="86"/>
              </w:rPr>
              <w:t>Energy</w:t>
            </w:r>
          </w:p>
        </w:tc>
        <w:tc>
          <w:tcPr>
            <w:tcW w:w="12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w w:val="86"/>
              </w:rPr>
              <w:t>Automotive</w:t>
            </w:r>
          </w:p>
        </w:tc>
        <w:tc>
          <w:tcPr>
            <w:tcW w:w="680" w:type="dxa"/>
            <w:vAlign w:val="bottom"/>
            <w:gridSpan w:val="3"/>
          </w:tcPr>
          <w:p>
            <w:pPr>
              <w:jc w:val="right"/>
              <w:spacing w:after="0"/>
              <w:rPr>
                <w:sz w:val="20"/>
                <w:szCs w:val="20"/>
                <w:color w:val="auto"/>
              </w:rPr>
            </w:pPr>
            <w:r>
              <w:rPr>
                <w:rFonts w:ascii="Arial" w:cs="Arial" w:eastAsia="Arial" w:hAnsi="Arial"/>
                <w:sz w:val="13"/>
                <w:szCs w:val="13"/>
                <w:b w:val="1"/>
                <w:bCs w:val="1"/>
                <w:color w:val="auto"/>
              </w:rPr>
              <w:t>Packaging</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Estate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b w:val="1"/>
                <w:bCs w:val="1"/>
                <w:color w:val="auto"/>
                <w:w w:val="84"/>
              </w:rPr>
              <w:t>Fashion</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b w:val="1"/>
                <w:bCs w:val="1"/>
                <w:color w:val="auto"/>
                <w:w w:val="87"/>
              </w:rPr>
              <w:t>Pharma</w:t>
            </w:r>
          </w:p>
        </w:tc>
        <w:tc>
          <w:tcPr>
            <w:tcW w:w="120" w:type="dxa"/>
            <w:vAlign w:val="bottom"/>
          </w:tcPr>
          <w:p>
            <w:pPr>
              <w:spacing w:after="0"/>
              <w:rPr>
                <w:sz w:val="13"/>
                <w:szCs w:val="13"/>
                <w:color w:val="auto"/>
              </w:rPr>
            </w:pPr>
          </w:p>
        </w:tc>
        <w:tc>
          <w:tcPr>
            <w:tcW w:w="6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7"/>
              </w:rPr>
              <w:t>Company</w:t>
            </w:r>
          </w:p>
        </w:tc>
        <w:tc>
          <w:tcPr>
            <w:tcW w:w="2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w w:val="82"/>
              </w:rPr>
              <w:t>Consolidated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3"/>
                <w:szCs w:val="13"/>
                <w:color w:val="auto"/>
                <w:w w:val="82"/>
              </w:rPr>
              <w:t>(in millions)</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ind w:left="960"/>
              <w:spacing w:after="0" w:line="135" w:lineRule="exact"/>
              <w:rPr>
                <w:sz w:val="20"/>
                <w:szCs w:val="20"/>
                <w:color w:val="auto"/>
              </w:rPr>
            </w:pPr>
            <w:r>
              <w:rPr>
                <w:rFonts w:ascii="Arial" w:cs="Arial" w:eastAsia="Arial" w:hAnsi="Arial"/>
                <w:sz w:val="13"/>
                <w:szCs w:val="13"/>
                <w:b w:val="1"/>
                <w:bCs w:val="1"/>
                <w:color w:val="auto"/>
              </w:rPr>
              <w:t>ASSETS</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Arial" w:cs="Arial" w:eastAsia="Arial" w:hAnsi="Arial"/>
                <w:sz w:val="13"/>
                <w:szCs w:val="13"/>
                <w:color w:val="auto"/>
              </w:rPr>
              <w:t>Cash and cash equivalents</w:t>
            </w:r>
          </w:p>
        </w:tc>
        <w:tc>
          <w:tcPr>
            <w:tcW w:w="22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19</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510</w:t>
            </w:r>
          </w:p>
        </w:tc>
        <w:tc>
          <w:tcPr>
            <w:tcW w:w="300" w:type="dxa"/>
            <w:vAlign w:val="bottom"/>
            <w:gridSpan w:val="2"/>
          </w:tcPr>
          <w:p>
            <w:pPr>
              <w:jc w:val="right"/>
              <w:ind w:right="64"/>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32</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9</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26</w:t>
            </w:r>
          </w:p>
        </w:tc>
        <w:tc>
          <w:tcPr>
            <w:tcW w:w="100" w:type="dxa"/>
            <w:vAlign w:val="bottom"/>
          </w:tcPr>
          <w:p>
            <w:pPr>
              <w:spacing w:after="0"/>
              <w:rPr>
                <w:sz w:val="11"/>
                <w:szCs w:val="11"/>
                <w:color w:val="auto"/>
              </w:rPr>
            </w:pPr>
          </w:p>
        </w:tc>
        <w:tc>
          <w:tcPr>
            <w:tcW w:w="80" w:type="dxa"/>
            <w:vAlign w:val="bottom"/>
            <w:gridSpan w:val="2"/>
          </w:tcPr>
          <w:p>
            <w:pPr>
              <w:jc w:val="right"/>
              <w:spacing w:after="0" w:line="135" w:lineRule="exact"/>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16</w:t>
            </w:r>
          </w:p>
        </w:tc>
        <w:tc>
          <w:tcPr>
            <w:tcW w:w="240" w:type="dxa"/>
            <w:vAlign w:val="bottom"/>
            <w:gridSpan w:val="2"/>
          </w:tcPr>
          <w:p>
            <w:pPr>
              <w:jc w:val="right"/>
              <w:ind w:right="4"/>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1,720</w:t>
            </w:r>
          </w:p>
        </w:tc>
        <w:tc>
          <w:tcPr>
            <w:tcW w:w="100" w:type="dxa"/>
            <w:vAlign w:val="bottom"/>
          </w:tcPr>
          <w:p>
            <w:pPr>
              <w:spacing w:after="0"/>
              <w:rPr>
                <w:sz w:val="11"/>
                <w:szCs w:val="11"/>
                <w:color w:val="auto"/>
              </w:rPr>
            </w:pPr>
          </w:p>
        </w:tc>
        <w:tc>
          <w:tcPr>
            <w:tcW w:w="220" w:type="dxa"/>
            <w:vAlign w:val="bottom"/>
            <w:gridSpan w:val="2"/>
          </w:tcPr>
          <w:p>
            <w:pPr>
              <w:jc w:val="right"/>
              <w:ind w:right="122"/>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2,337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88"/>
              </w:rPr>
              <w:t>Cash held at consolidated affiliated partnerships</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3"/>
                <w:szCs w:val="13"/>
                <w:color w:val="auto"/>
              </w:rPr>
              <w:t>and restricted cash</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Arial" w:cs="Arial" w:eastAsia="Arial" w:hAnsi="Arial"/>
                <w:sz w:val="13"/>
                <w:szCs w:val="13"/>
                <w:color w:val="auto"/>
              </w:rPr>
              <w:t>Investments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6,719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76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6,809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Accounts receivable, net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358</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Arial" w:cs="Arial" w:eastAsia="Arial" w:hAnsi="Arial"/>
                <w:sz w:val="13"/>
                <w:szCs w:val="13"/>
                <w:color w:val="auto"/>
              </w:rPr>
              <w:t>Inventories, net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624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686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103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90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1,531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Property, plant and equipment, net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2,664</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345</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Arial" w:cs="Arial" w:eastAsia="Arial" w:hAnsi="Arial"/>
                <w:sz w:val="13"/>
                <w:szCs w:val="13"/>
                <w:color w:val="auto"/>
              </w:rPr>
              <w:t>Goodwill and intangible assets, net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200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352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226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821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assets</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8,041</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296</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527</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110</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125</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9,223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60" w:type="dxa"/>
            <w:vAlign w:val="bottom"/>
            <w:tcBorders>
              <w:bottom w:val="single" w:sz="8" w:color="CCEEFF"/>
            </w:tcBorders>
          </w:tcPr>
          <w:p>
            <w:pPr>
              <w:ind w:left="80"/>
              <w:spacing w:after="0" w:line="129" w:lineRule="exact"/>
              <w:rPr>
                <w:sz w:val="20"/>
                <w:szCs w:val="20"/>
                <w:color w:val="auto"/>
              </w:rPr>
            </w:pPr>
            <w:r>
              <w:rPr>
                <w:rFonts w:ascii="Arial" w:cs="Arial" w:eastAsia="Arial" w:hAnsi="Arial"/>
                <w:sz w:val="13"/>
                <w:szCs w:val="13"/>
                <w:color w:val="auto"/>
              </w:rPr>
              <w:t>Total assets</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17,234</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4,735</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64"/>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2,532</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475</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507</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213</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302</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1,916</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122"/>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27,914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60" w:type="dxa"/>
            <w:vAlign w:val="bottom"/>
            <w:shd w:val="clear" w:color="auto" w:fill="CCEEFF"/>
          </w:tcPr>
          <w:p>
            <w:pPr>
              <w:ind w:left="400"/>
              <w:spacing w:after="0" w:line="116" w:lineRule="exact"/>
              <w:rPr>
                <w:sz w:val="20"/>
                <w:szCs w:val="20"/>
                <w:color w:val="auto"/>
              </w:rPr>
            </w:pPr>
            <w:r>
              <w:rPr>
                <w:rFonts w:ascii="Arial" w:cs="Arial" w:eastAsia="Arial" w:hAnsi="Arial"/>
                <w:sz w:val="13"/>
                <w:szCs w:val="13"/>
                <w:b w:val="1"/>
                <w:bCs w:val="1"/>
                <w:color w:val="auto"/>
              </w:rPr>
              <w:t>LIABILITIES AND EQUITY</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60" w:type="dxa"/>
            <w:vAlign w:val="bottom"/>
          </w:tcPr>
          <w:p>
            <w:pPr>
              <w:spacing w:after="0" w:line="121" w:lineRule="exact"/>
              <w:rPr>
                <w:sz w:val="20"/>
                <w:szCs w:val="20"/>
                <w:color w:val="auto"/>
              </w:rPr>
            </w:pPr>
            <w:r>
              <w:rPr>
                <w:rFonts w:ascii="Arial" w:cs="Arial" w:eastAsia="Arial" w:hAnsi="Arial"/>
                <w:sz w:val="13"/>
                <w:szCs w:val="13"/>
                <w:color w:val="auto"/>
                <w:w w:val="89"/>
              </w:rPr>
              <w:t>Accounts payable, accrued expenses and other</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80" w:type="dxa"/>
            <w:vAlign w:val="bottom"/>
            <w:gridSpan w:val="2"/>
          </w:tcPr>
          <w:p>
            <w:pPr>
              <w:spacing w:after="0"/>
              <w:rPr>
                <w:sz w:val="20"/>
                <w:szCs w:val="20"/>
                <w:color w:val="auto"/>
              </w:rPr>
            </w:pPr>
            <w:r>
              <w:rPr>
                <w:rFonts w:ascii="Arial" w:cs="Arial" w:eastAsia="Arial" w:hAnsi="Arial"/>
                <w:sz w:val="13"/>
                <w:szCs w:val="13"/>
                <w:color w:val="auto"/>
              </w:rPr>
              <w:t>liabilities</w:t>
            </w:r>
          </w:p>
        </w:tc>
        <w:tc>
          <w:tcPr>
            <w:tcW w:w="22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1,589</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1,823</w:t>
            </w:r>
          </w:p>
        </w:tc>
        <w:tc>
          <w:tcPr>
            <w:tcW w:w="300" w:type="dxa"/>
            <w:vAlign w:val="bottom"/>
            <w:gridSpan w:val="2"/>
          </w:tcPr>
          <w:p>
            <w:pPr>
              <w:jc w:val="right"/>
              <w:ind w:right="64"/>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981</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149</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2"/>
                <w:szCs w:val="12"/>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45</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61</w:t>
            </w:r>
          </w:p>
        </w:tc>
        <w:tc>
          <w:tcPr>
            <w:tcW w:w="240" w:type="dxa"/>
            <w:vAlign w:val="bottom"/>
            <w:gridSpan w:val="2"/>
          </w:tcPr>
          <w:p>
            <w:pPr>
              <w:jc w:val="right"/>
              <w:ind w:right="4"/>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70</w:t>
            </w:r>
          </w:p>
        </w:tc>
        <w:tc>
          <w:tcPr>
            <w:tcW w:w="100" w:type="dxa"/>
            <w:vAlign w:val="bottom"/>
          </w:tcPr>
          <w:p>
            <w:pPr>
              <w:spacing w:after="0"/>
              <w:rPr>
                <w:sz w:val="12"/>
                <w:szCs w:val="12"/>
                <w:color w:val="auto"/>
              </w:rPr>
            </w:pPr>
          </w:p>
        </w:tc>
        <w:tc>
          <w:tcPr>
            <w:tcW w:w="220" w:type="dxa"/>
            <w:vAlign w:val="bottom"/>
            <w:gridSpan w:val="2"/>
          </w:tcPr>
          <w:p>
            <w:pPr>
              <w:jc w:val="right"/>
              <w:ind w:right="122"/>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4,765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0"/>
              </w:rPr>
              <w:t>Securities sold, not yet purchased, at fair value</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6,495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Debt</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1,591</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21</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162</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12</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5,309</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7,096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Total liabilities</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8,084</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3,414</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1,002</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311</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48</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61</w:t>
            </w: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5,379</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18,356</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Equity attributable to Icahn Enterprises</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4,184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648</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1,530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455</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156</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(3,463)</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Arial" w:cs="Arial" w:eastAsia="Arial" w:hAnsi="Arial"/>
                <w:sz w:val="13"/>
                <w:szCs w:val="13"/>
                <w:color w:val="auto"/>
                <w:w w:val="93"/>
              </w:rPr>
              <w:t>Equity attributable to non-controlling interests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4,966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673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5,658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tcBorders>
              <w:top w:val="single" w:sz="8" w:color="CCEEFF"/>
            </w:tcBorders>
            <w:shd w:val="clear" w:color="auto" w:fill="CCEEFF"/>
          </w:tcPr>
          <w:p>
            <w:pPr>
              <w:ind w:left="80"/>
              <w:spacing w:after="0" w:line="129" w:lineRule="exact"/>
              <w:rPr>
                <w:sz w:val="20"/>
                <w:szCs w:val="20"/>
                <w:color w:val="auto"/>
              </w:rPr>
            </w:pPr>
            <w:r>
              <w:rPr>
                <w:rFonts w:ascii="Arial" w:cs="Arial" w:eastAsia="Arial" w:hAnsi="Arial"/>
                <w:sz w:val="13"/>
                <w:szCs w:val="13"/>
                <w:color w:val="auto"/>
              </w:rPr>
              <w:t>Total equity</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9,150</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1,321</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1,530</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164</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459</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156</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241</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(3,463)</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9,558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tcPr>
          <w:p>
            <w:pPr>
              <w:ind w:left="80"/>
              <w:spacing w:after="0" w:line="129" w:lineRule="exact"/>
              <w:rPr>
                <w:sz w:val="20"/>
                <w:szCs w:val="20"/>
                <w:color w:val="auto"/>
              </w:rPr>
            </w:pPr>
            <w:r>
              <w:rPr>
                <w:rFonts w:ascii="Arial" w:cs="Arial" w:eastAsia="Arial" w:hAnsi="Arial"/>
                <w:sz w:val="13"/>
                <w:szCs w:val="13"/>
                <w:color w:val="auto"/>
              </w:rPr>
              <w:t>Total liabilities and equity</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17,234</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4,735</w:t>
            </w:r>
          </w:p>
        </w:tc>
        <w:tc>
          <w:tcPr>
            <w:tcW w:w="120" w:type="dxa"/>
            <w:vAlign w:val="bottom"/>
          </w:tcPr>
          <w:p>
            <w:pPr>
              <w:spacing w:after="0"/>
              <w:rPr>
                <w:sz w:val="11"/>
                <w:szCs w:val="11"/>
                <w:color w:val="auto"/>
              </w:rPr>
            </w:pPr>
          </w:p>
        </w:tc>
        <w:tc>
          <w:tcPr>
            <w:tcW w:w="180" w:type="dxa"/>
            <w:vAlign w:val="bottom"/>
            <w:tcBorders>
              <w:bottom w:val="single" w:sz="8" w:color="auto"/>
            </w:tcBorders>
          </w:tcPr>
          <w:p>
            <w:pPr>
              <w:jc w:val="right"/>
              <w:ind w:right="64"/>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2,532</w:t>
            </w:r>
          </w:p>
        </w:tc>
        <w:tc>
          <w:tcPr>
            <w:tcW w:w="12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475</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507</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213</w:t>
            </w:r>
          </w:p>
        </w:tc>
        <w:tc>
          <w:tcPr>
            <w:tcW w:w="10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302</w:t>
            </w:r>
          </w:p>
        </w:tc>
        <w:tc>
          <w:tcPr>
            <w:tcW w:w="120" w:type="dxa"/>
            <w:vAlign w:val="bottom"/>
          </w:tcPr>
          <w:p>
            <w:pPr>
              <w:spacing w:after="0"/>
              <w:rPr>
                <w:sz w:val="11"/>
                <w:szCs w:val="11"/>
                <w:color w:val="auto"/>
              </w:rPr>
            </w:pPr>
          </w:p>
        </w:tc>
        <w:tc>
          <w:tcPr>
            <w:tcW w:w="12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1,916</w:t>
            </w: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ind w:right="122"/>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27,914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Income Taxes</w:t>
      </w:r>
    </w:p>
    <w:p>
      <w:pPr>
        <w:spacing w:after="0" w:line="229" w:lineRule="exact"/>
        <w:rPr>
          <w:sz w:val="20"/>
          <w:szCs w:val="20"/>
          <w:color w:val="auto"/>
        </w:rPr>
      </w:pPr>
    </w:p>
    <w:p>
      <w:pPr>
        <w:ind w:left="60" w:right="100" w:firstLine="324"/>
        <w:spacing w:after="0" w:line="259" w:lineRule="auto"/>
        <w:rPr>
          <w:sz w:val="20"/>
          <w:szCs w:val="20"/>
          <w:color w:val="auto"/>
        </w:rPr>
      </w:pPr>
      <w:r>
        <w:rPr>
          <w:rFonts w:ascii="Arial" w:cs="Arial" w:eastAsia="Arial" w:hAnsi="Arial"/>
          <w:sz w:val="18"/>
          <w:szCs w:val="18"/>
          <w:color w:val="auto"/>
        </w:rPr>
        <w:t>For the three months ended September 30, 2023, we recorded an income tax expense of $96 million on pre-tax income of $66 million compared to an income tax benefit of $7 million on pre-tax loss of $222 million for the three months ended September 30, 2022. Our effective income tax rate was 144% and 3.2% for the three months ended September 30, 2023 and 2022, respectively.</w:t>
      </w:r>
    </w:p>
    <w:p>
      <w:pPr>
        <w:spacing w:after="0" w:line="187" w:lineRule="exact"/>
        <w:rPr>
          <w:sz w:val="20"/>
          <w:szCs w:val="20"/>
          <w:color w:val="auto"/>
        </w:rPr>
      </w:pPr>
    </w:p>
    <w:p>
      <w:pPr>
        <w:ind w:left="60" w:right="280" w:firstLine="324"/>
        <w:spacing w:after="0" w:line="311" w:lineRule="auto"/>
        <w:rPr>
          <w:sz w:val="20"/>
          <w:szCs w:val="20"/>
          <w:color w:val="auto"/>
        </w:rPr>
      </w:pPr>
      <w:r>
        <w:rPr>
          <w:rFonts w:ascii="Arial" w:cs="Arial" w:eastAsia="Arial" w:hAnsi="Arial"/>
          <w:sz w:val="16"/>
          <w:szCs w:val="16"/>
          <w:color w:val="auto"/>
        </w:rPr>
        <w:t>For the three months ended September 30, 2023, the effective tax rate was higher than the statutory federal rate of 21%, for corporations, primarily due to partnership loss for which there was no tax benefit as such losses are allocated to the partners and from changes in the valuation allowance. For the three months ended September 30, 2022, the effective</w:t>
      </w: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308" w:lineRule="auto"/>
        <w:rPr>
          <w:sz w:val="20"/>
          <w:szCs w:val="20"/>
          <w:color w:val="auto"/>
        </w:rPr>
      </w:pPr>
      <w:r>
        <w:rPr>
          <w:rFonts w:ascii="Arial" w:cs="Arial" w:eastAsia="Arial" w:hAnsi="Arial"/>
          <w:sz w:val="17"/>
          <w:szCs w:val="17"/>
          <w:color w:val="auto"/>
        </w:rPr>
        <w:t>tax rate was lower than the statutory federal rate of 21%, for corporations, primarily due to partnership loss for which there was no tax benefit as such losses are allocated to the partners and from changes in the valuation allowance.</w:t>
      </w:r>
    </w:p>
    <w:p>
      <w:pPr>
        <w:spacing w:after="0" w:line="146" w:lineRule="exact"/>
        <w:rPr>
          <w:sz w:val="20"/>
          <w:szCs w:val="20"/>
          <w:color w:val="auto"/>
        </w:rPr>
      </w:pPr>
    </w:p>
    <w:p>
      <w:pPr>
        <w:ind w:left="60" w:right="79" w:firstLine="369"/>
        <w:spacing w:after="0" w:line="259" w:lineRule="auto"/>
        <w:rPr>
          <w:sz w:val="20"/>
          <w:szCs w:val="20"/>
          <w:color w:val="auto"/>
        </w:rPr>
      </w:pPr>
      <w:r>
        <w:rPr>
          <w:rFonts w:ascii="Arial" w:cs="Arial" w:eastAsia="Arial" w:hAnsi="Arial"/>
          <w:sz w:val="18"/>
          <w:szCs w:val="18"/>
          <w:color w:val="auto"/>
        </w:rPr>
        <w:t>For the nine months ended September 30, 2023, we recorded an income tax expense of $82 million on pre-tax loss of $725 million compared to an income tax expense of $93 million on pre-tax income of $476 million for the nine months ended September 30, 2022. Our effective income tax rate was (11.2%) and 19.5% for the nine months ended September 30, 2023 and 2022, respectively.</w:t>
      </w:r>
    </w:p>
    <w:p>
      <w:pPr>
        <w:spacing w:after="0" w:line="187"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For the nine months ended September 30, 2023 and 2022, the effective tax rate was lower than the statutory federal tax rate of 21%, for corporations, primarily due to partnership loss for which there was no tax benefit as such losses are allocated to the partners and from changes in the valuation allowance.</w:t>
      </w:r>
    </w:p>
    <w:p>
      <w:pPr>
        <w:spacing w:after="0" w:line="180" w:lineRule="exact"/>
        <w:rPr>
          <w:sz w:val="20"/>
          <w:szCs w:val="20"/>
          <w:color w:val="auto"/>
        </w:rPr>
      </w:pPr>
    </w:p>
    <w:p>
      <w:pPr>
        <w:ind w:left="360" w:hanging="310"/>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Accumulated Other Comprehensive Loss</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Changes in accumulated other comprehensive loss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6"/>
              </w:rPr>
              <w:t>Translation</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0"/>
              </w:rPr>
              <w:t>Post-Retirement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gridSpan w:val="4"/>
          </w:tcPr>
          <w:p>
            <w:pPr>
              <w:spacing w:after="0"/>
              <w:rPr>
                <w:sz w:val="20"/>
                <w:szCs w:val="20"/>
                <w:color w:val="auto"/>
              </w:rPr>
            </w:pPr>
            <w:r>
              <w:rPr>
                <w:rFonts w:ascii="Arial" w:cs="Arial" w:eastAsia="Arial" w:hAnsi="Arial"/>
                <w:sz w:val="18"/>
                <w:szCs w:val="18"/>
                <w:b w:val="1"/>
                <w:bCs w:val="1"/>
                <w:color w:val="auto"/>
                <w:w w:val="93"/>
              </w:rPr>
              <w:t>Adjustments, Net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9"/>
              </w:rPr>
              <w:t>Benefits, Net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of Tax</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of Tax</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29"/>
        </w:trPr>
        <w:tc>
          <w:tcPr>
            <w:tcW w:w="2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2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2"/>
        </w:trPr>
        <w:tc>
          <w:tcPr>
            <w:tcW w:w="4360" w:type="dxa"/>
            <w:vAlign w:val="bottom"/>
            <w:gridSpan w:val="4"/>
          </w:tcPr>
          <w:p>
            <w:pPr>
              <w:ind w:left="20"/>
              <w:spacing w:after="0" w:line="201" w:lineRule="exact"/>
              <w:rPr>
                <w:sz w:val="20"/>
                <w:szCs w:val="20"/>
                <w:color w:val="auto"/>
              </w:rPr>
            </w:pPr>
            <w:r>
              <w:rPr>
                <w:rFonts w:ascii="Arial" w:cs="Arial" w:eastAsia="Arial" w:hAnsi="Arial"/>
                <w:sz w:val="18"/>
                <w:szCs w:val="18"/>
                <w:color w:val="auto"/>
                <w:w w:val="90"/>
              </w:rPr>
              <w:t>Other comprehensive income (loss) before reclassifications,</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2"/>
              </w:rPr>
              <w:t>Other comprehensive income (loss), net of tax</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2960" w:type="dxa"/>
            <w:vAlign w:val="bottom"/>
          </w:tcPr>
          <w:p>
            <w:pPr>
              <w:ind w:left="20"/>
              <w:spacing w:after="0"/>
              <w:rPr>
                <w:sz w:val="20"/>
                <w:szCs w:val="20"/>
                <w:color w:val="auto"/>
              </w:rPr>
            </w:pPr>
            <w:r>
              <w:rPr>
                <w:rFonts w:ascii="Arial" w:cs="Arial" w:eastAsia="Arial" w:hAnsi="Arial"/>
                <w:sz w:val="18"/>
                <w:szCs w:val="18"/>
                <w:color w:val="auto"/>
              </w:rPr>
              <w:t>Balance, September 30, 2023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17. Other Loss, Net</w:t>
            </w: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40" w:type="dxa"/>
            <w:vAlign w:val="bottom"/>
            <w:gridSpan w:val="3"/>
          </w:tcPr>
          <w:p>
            <w:pPr>
              <w:ind w:left="340"/>
              <w:spacing w:after="0"/>
              <w:rPr>
                <w:sz w:val="20"/>
                <w:szCs w:val="20"/>
                <w:color w:val="auto"/>
              </w:rPr>
            </w:pPr>
            <w:r>
              <w:rPr>
                <w:rFonts w:ascii="Arial" w:cs="Arial" w:eastAsia="Arial" w:hAnsi="Arial"/>
                <w:sz w:val="18"/>
                <w:szCs w:val="18"/>
                <w:color w:val="auto"/>
                <w:w w:val="97"/>
              </w:rPr>
              <w:t>Other loss, net consists of the following:</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gridSpan w:val="8"/>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80" w:type="dxa"/>
            <w:vAlign w:val="bottom"/>
          </w:tcPr>
          <w:p>
            <w:pPr>
              <w:spacing w:after="0"/>
              <w:rPr>
                <w:sz w:val="24"/>
                <w:szCs w:val="24"/>
                <w:color w:val="auto"/>
              </w:rPr>
            </w:pPr>
          </w:p>
        </w:tc>
        <w:tc>
          <w:tcPr>
            <w:tcW w:w="2760" w:type="dxa"/>
            <w:vAlign w:val="bottom"/>
            <w:gridSpan w:val="8"/>
          </w:tcPr>
          <w:p>
            <w:pPr>
              <w:jc w:val="right"/>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2023</w:t>
            </w: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28"/>
        </w:trPr>
        <w:tc>
          <w:tcPr>
            <w:tcW w:w="2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580" w:type="dxa"/>
            <w:vAlign w:val="bottom"/>
            <w:gridSpan w:val="7"/>
          </w:tcPr>
          <w:p>
            <w:pPr>
              <w:jc w:val="right"/>
              <w:ind w:right="951"/>
              <w:spacing w:after="0" w:line="129" w:lineRule="exact"/>
              <w:rPr>
                <w:sz w:val="20"/>
                <w:szCs w:val="20"/>
                <w:color w:val="auto"/>
              </w:rPr>
            </w:pPr>
            <w:r>
              <w:rPr>
                <w:rFonts w:ascii="Arial" w:cs="Arial" w:eastAsia="Arial" w:hAnsi="Arial"/>
                <w:sz w:val="14"/>
                <w:szCs w:val="14"/>
                <w:color w:val="auto"/>
              </w:rPr>
              <w:t>(in millions)</w:t>
            </w:r>
          </w:p>
        </w:tc>
        <w:tc>
          <w:tcPr>
            <w:tcW w:w="2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Dividend expense</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2"/>
        </w:trPr>
        <w:tc>
          <w:tcPr>
            <w:tcW w:w="2960" w:type="dxa"/>
            <w:vAlign w:val="bottom"/>
          </w:tcPr>
          <w:p>
            <w:pPr>
              <w:spacing w:after="0" w:line="201" w:lineRule="exact"/>
              <w:rPr>
                <w:sz w:val="20"/>
                <w:szCs w:val="20"/>
                <w:color w:val="auto"/>
              </w:rPr>
            </w:pPr>
            <w:r>
              <w:rPr>
                <w:rFonts w:ascii="Arial" w:cs="Arial" w:eastAsia="Arial" w:hAnsi="Arial"/>
                <w:sz w:val="18"/>
                <w:szCs w:val="18"/>
                <w:color w:val="auto"/>
                <w:w w:val="95"/>
              </w:rPr>
              <w:t>Equity earnings from non-consolidated</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affiliates</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Gain on disposition of assets, net</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Foreign currency transaction gain</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Legal settlement loss</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Loss on extinguishment of debt, net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18"/>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25" w:lineRule="exact"/>
        <w:rPr>
          <w:sz w:val="20"/>
          <w:szCs w:val="20"/>
          <w:color w:val="auto"/>
        </w:rPr>
      </w:pPr>
    </w:p>
    <w:p>
      <w:pPr>
        <w:ind w:left="60" w:right="79" w:firstLine="324"/>
        <w:spacing w:after="0" w:line="275" w:lineRule="auto"/>
        <w:rPr>
          <w:sz w:val="20"/>
          <w:szCs w:val="20"/>
          <w:color w:val="auto"/>
        </w:rPr>
      </w:pPr>
      <w:r>
        <w:rPr>
          <w:rFonts w:ascii="Arial" w:cs="Arial" w:eastAsia="Arial" w:hAnsi="Arial"/>
          <w:sz w:val="17"/>
          <w:szCs w:val="17"/>
          <w:color w:val="auto"/>
        </w:rPr>
        <w:t>Due to the nature of our business, certain of our subsidiaries’ operations are subject to numerous existing and proposed laws and governmental regulations designed to protect human health and the environment, particularly regarding plant wastes and emissions and solid waste disposal. Our consolidated environmental liabilities on an undiscounted basis were $20 million and $22 million as of September 30, 2023 and December 31, 2022, respectively, primarily within our Energy segment, which are included in accrued expenses and other liabilities in our condensed</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color w:val="auto"/>
        </w:rPr>
        <w:t>consolidated balance sheets. We do not believe that environmental matters will have a material adverse impact on our consolidated results of operations and financial condition.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59" w:firstLine="324"/>
        <w:spacing w:after="0" w:line="285" w:lineRule="auto"/>
        <w:rPr>
          <w:sz w:val="20"/>
          <w:szCs w:val="20"/>
          <w:color w:val="auto"/>
        </w:rPr>
      </w:pPr>
      <w:r>
        <w:rPr>
          <w:rFonts w:ascii="Arial" w:cs="Arial" w:eastAsia="Arial" w:hAnsi="Arial"/>
          <w:sz w:val="16"/>
          <w:szCs w:val="16"/>
          <w:i w:val="1"/>
          <w:iCs w:val="1"/>
          <w:color w:val="auto"/>
        </w:rPr>
        <w:t xml:space="preserve">Clean Air Act Matter - </w:t>
      </w:r>
      <w:r>
        <w:rPr>
          <w:rFonts w:ascii="Arial" w:cs="Arial" w:eastAsia="Arial" w:hAnsi="Arial"/>
          <w:sz w:val="16"/>
          <w:szCs w:val="16"/>
          <w:color w:val="auto"/>
        </w:rPr>
        <w:t>CVR Energy’s indirect wholly-owned subsidiary, Coffeyville Resource Refining &amp;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LLC (“CRRM”) and certain of its affiliates have agreed to settle claims brought in the United States District Court for the District of Kansas (“D. Kan”) by the United States, on behalf of the EPA, and the State of Kansas, on behalf of the Kansas Department of Health and Environment (“KDHE”) which primarily relate to the CRRM refinery’s flares. The EPA and KDHE are seeking stipulated penalties under a 2012 Consent Decree (“CD”) (the “Stipulated Claims”), which amount CRRM previously deposited into a commercial escrow account and which escrowed funds are legally restricted for use and are included in Other assets in our condensed consolidated balance sheets. The EPA and KDHE also filed a complaint in the D. Kan alleging violations of the Clean Air Act, the Kansas State Implementation Plan, Kansas law, and CRRM’s permits seeking civil penalties, injunctive relief, and related relief in connection with these claims (collectively, the “Statutory Claims”). The parties have reached agreement to resolve the Stipulated Claims and the Statutory Claims subject to final approvals by the EPA and KDHE. The terms of the settlement will be set forth in a consent decree that is in the process of being executed by the parties, which consent decree is subject to the approval and entry by the D. Kan following a period for public notice and comment. Should the settlement and consent decree be finalized as agreed to between the parties, such settlement is not expected to have a material impact on CVR Energy’s financial position, results of operations, or cash flows. Should such settlement not be finalized as agreed to between the parties, CVR Energy cannot determine whether any subsequent enforcement or litigation relating thereto would have a material impact on the Company’s financial position, results of operations, or cash flows.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45Q Transaction</w:t>
      </w:r>
    </w:p>
    <w:p>
      <w:pPr>
        <w:spacing w:after="0" w:line="225" w:lineRule="exact"/>
        <w:rPr>
          <w:sz w:val="20"/>
          <w:szCs w:val="20"/>
          <w:color w:val="auto"/>
        </w:rPr>
      </w:pPr>
    </w:p>
    <w:p>
      <w:pPr>
        <w:ind w:left="60" w:right="119" w:firstLine="360"/>
        <w:spacing w:after="0" w:line="255" w:lineRule="auto"/>
        <w:rPr>
          <w:sz w:val="20"/>
          <w:szCs w:val="20"/>
          <w:color w:val="auto"/>
        </w:rPr>
      </w:pPr>
      <w:r>
        <w:rPr>
          <w:rFonts w:ascii="Arial" w:cs="Arial" w:eastAsia="Arial" w:hAnsi="Arial"/>
          <w:sz w:val="18"/>
          <w:szCs w:val="18"/>
          <w:color w:val="auto"/>
        </w:rPr>
        <w:t>In January 2023, CVR Energy and its obligated-party subsidiaries entered into a joint venture and related agreements with unaffiliated third-party investors and others intended to qualify for certain tax credits available under Section 45Q of the Internal Revenue Code. Under the agreements entered into in connection with the 45Q Transactions, CVR Partners and certain of its subsidiaries are obligated to meet certain minimum quantities of carbon dioxide supply each year during the term of the agreement and could be subject to fees of up to $15 million per year, with an overall cap at $45 million, should it fail to perform.</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Renewable Fuel Standards</w:t>
      </w:r>
    </w:p>
    <w:p>
      <w:pPr>
        <w:spacing w:after="0" w:line="225" w:lineRule="exact"/>
        <w:rPr>
          <w:sz w:val="20"/>
          <w:szCs w:val="20"/>
          <w:color w:val="auto"/>
        </w:rPr>
      </w:pPr>
    </w:p>
    <w:p>
      <w:pPr>
        <w:ind w:left="60" w:right="59" w:firstLine="324"/>
        <w:spacing w:after="0" w:line="285" w:lineRule="auto"/>
        <w:rPr>
          <w:sz w:val="20"/>
          <w:szCs w:val="20"/>
          <w:color w:val="auto"/>
        </w:rPr>
      </w:pPr>
      <w:r>
        <w:rPr>
          <w:rFonts w:ascii="Arial" w:cs="Arial" w:eastAsia="Arial" w:hAnsi="Arial"/>
          <w:sz w:val="16"/>
          <w:szCs w:val="16"/>
          <w:color w:val="auto"/>
        </w:rPr>
        <w:t>CVR Energy’s obligated-party subsidiaries are subject to the Renewable Fuel Standard (“RFS”) implemented primarily by the EPA which requires refiners to either blend renewable fuels into their transportation fuels or purchase renewable fuel credits, known as RINs, in lieu of blending. CVR Energy’s obligated party subsidiaries are not able to blend the substantial majority of their transportation fuels and, unless their obligations are waived by the EPA, have to purchase RINs on the open market and may have to obtain waiver credits for cellulosic biofuels or other exemptions from the EPA, to the extent available, in order to comply with the RFS. CVR Energy’s obligated-party subsidiaries have filed a number of petitions in the United States Court of Appeals for the Fifth Circuit (the “Fifth Circuit”) and the United States Court of Appeals for the District of Colombia Circuit (the “DC Circuit”) challenging certain actions taken by the EPA in April 2022 and June 2022 relating to the RFS including but not limited to the EPA’s denial of small refinery exemptions (“SREs”) sought by one of CVR Energy’s obligated-party subsidiaries, Wynnewood Refining Company, LLC (“WRC”), for the 2017 through 2021 compliance periods (the “SRE Denial”), and challenging the EPA’s Final Rule issued in July 2022 establishing renewable volume obligations (“RVO”). CVR Energy’s obligated-party subsidiaries have also intervened in an action filed by certain biofuels producers relating to the RFS. In March 2023, the Fifth Circuit granted WRC’s motion to stay enforcement of the RFS against WRC for the 2020 and 2021 compliance periods pending resolution of its underlying lawsuit relating to the denial; oral argument before the Fifth Circuit took place in October 2023. In July 2023, the EPA denied 26 petitions from small refineries seeking SREs for one or more of the compliance years between 2016 and 2023, including the SRE sought by WRC for 2022, which denial WRC has challenged in court. In October 2023, the Fifth Circuit granted WRC’s motion to stay enforcement of the RFS against WRC for the 2022 compliance period pending resolution of its underlying lawsuit against EPA relating to its denial. CVR Energy cannot yet determine at this time the outcomes of these matters. However, while CVR Energy intends to</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342" w:lineRule="auto"/>
        <w:rPr>
          <w:sz w:val="20"/>
          <w:szCs w:val="20"/>
          <w:color w:val="auto"/>
        </w:rPr>
      </w:pPr>
      <w:r>
        <w:rPr>
          <w:rFonts w:ascii="Arial" w:cs="Arial" w:eastAsia="Arial" w:hAnsi="Arial"/>
          <w:sz w:val="16"/>
          <w:szCs w:val="16"/>
          <w:color w:val="auto"/>
        </w:rPr>
        <w:t>prosecute these actions vigorously, if these matters are ultimately concluded in a manner adverse to CVR Energy, they could have a material effect on our Energy business’ financial position, results of operations, or cash flows.</w:t>
      </w:r>
    </w:p>
    <w:p>
      <w:pPr>
        <w:spacing w:after="0" w:line="124" w:lineRule="exact"/>
        <w:rPr>
          <w:sz w:val="20"/>
          <w:szCs w:val="20"/>
          <w:color w:val="auto"/>
        </w:rPr>
      </w:pPr>
    </w:p>
    <w:p>
      <w:pPr>
        <w:ind w:left="60" w:right="99" w:firstLine="324"/>
        <w:spacing w:after="0" w:line="286" w:lineRule="auto"/>
        <w:rPr>
          <w:sz w:val="20"/>
          <w:szCs w:val="20"/>
          <w:color w:val="auto"/>
        </w:rPr>
      </w:pPr>
      <w:r>
        <w:rPr>
          <w:rFonts w:ascii="Arial" w:cs="Arial" w:eastAsia="Arial" w:hAnsi="Arial"/>
          <w:sz w:val="16"/>
          <w:szCs w:val="16"/>
          <w:color w:val="auto"/>
        </w:rPr>
        <w:t>Our Energy segment recognized a benefit of approximately $135 million and an expense of approximately $86 million for the three months ended September 30, 2023 and 2022, respectively, for CVR Energy’s obligated-party subsidiaries’ compliance with the RFS (based on the 2020, 2021, 2022 and 2023 annual RVO for the respective periods, excluding the impacts of any exemptions or waivers to which the obligated-party subsidiaries may be entitled). For the nine months ended September 30, 2023 and 2022, such benefits were $99 million and such expenses were $328 million, respectively. These recognized amounts are included in cost of goods sold in the condensed consolidated statements of operations and represent costs to comply with the RFS obligation through purchasing of RINs not otherwise reduced by blending of ethanol, biodiesel, or renewable diesel. At each reporting period, to the extent RINs purchased or generated through blending are less than the RFS obligation (excluding the impact of exemptions or waivers to which CVR Refining, LP (“CVR Refining”) may be entitled), the remaining position is valued using RIN market prices at period end using each specific or closest vintage year. As of September 30, 2023 and December 31, 2022, CVR Energy’s obligated-party subsidiaries’ RFS position was $413 million and $692 million, respectively, and is included in accrued expenses and other liabilities in the condensed consolidated balance sheets.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left="60" w:right="279" w:firstLine="324"/>
        <w:spacing w:after="0" w:line="263" w:lineRule="auto"/>
        <w:rPr>
          <w:sz w:val="20"/>
          <w:szCs w:val="20"/>
          <w:color w:val="auto"/>
        </w:rPr>
      </w:pPr>
      <w:r>
        <w:rPr>
          <w:rFonts w:ascii="Arial" w:cs="Arial" w:eastAsia="Arial" w:hAnsi="Arial"/>
          <w:sz w:val="18"/>
          <w:szCs w:val="18"/>
          <w:color w:val="auto"/>
        </w:rPr>
        <w:t>From time to time, we and our subsidiaries are involved in various lawsuits arising in the normal course of business. We do not believe that such normal routine litigation will have a material effect on our financial condition or results of operations. See the matters described under the caption “Other” below.</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79" w:firstLine="324"/>
        <w:spacing w:after="0" w:line="268" w:lineRule="auto"/>
        <w:rPr>
          <w:sz w:val="20"/>
          <w:szCs w:val="20"/>
          <w:color w:val="auto"/>
        </w:rPr>
      </w:pPr>
      <w:r>
        <w:rPr>
          <w:rFonts w:ascii="Arial" w:cs="Arial" w:eastAsia="Arial" w:hAnsi="Arial"/>
          <w:sz w:val="17"/>
          <w:szCs w:val="17"/>
          <w:i w:val="1"/>
          <w:iCs w:val="1"/>
          <w:color w:val="auto"/>
        </w:rPr>
        <w:t xml:space="preserve">Call Option Coverage Case </w:t>
      </w:r>
      <w:r>
        <w:rPr>
          <w:rFonts w:ascii="Arial" w:cs="Arial" w:eastAsia="Arial" w:hAnsi="Arial"/>
          <w:sz w:val="17"/>
          <w:szCs w:val="17"/>
          <w:color w:val="auto"/>
        </w:rPr>
        <w:t>– In September 2023, the Superior Court of the State of Delaware (the “Delaware Court”)</w:t>
      </w:r>
      <w:r>
        <w:rPr>
          <w:rFonts w:ascii="Arial" w:cs="Arial" w:eastAsia="Arial" w:hAnsi="Arial"/>
          <w:sz w:val="17"/>
          <w:szCs w:val="17"/>
          <w:i w:val="1"/>
          <w:iCs w:val="1"/>
          <w:color w:val="auto"/>
        </w:rPr>
        <w:t xml:space="preserve"> </w:t>
      </w:r>
      <w:r>
        <w:rPr>
          <w:rFonts w:ascii="Arial" w:cs="Arial" w:eastAsia="Arial" w:hAnsi="Arial"/>
          <w:sz w:val="17"/>
          <w:szCs w:val="17"/>
          <w:color w:val="auto"/>
        </w:rPr>
        <w:t>denied the motion filed by the primary and excess insurers (the “Insurers”) of CVR Energy and certain of its affiliates (the “Call Defendants”) seeking to stay the Call Defendants’ action against the Insurers in relation to insurance policies that have coverage limits of $50 million (the “Policies”) alleging breach of contract and breach of the implied covenant of good faith and fair dealing relating to the Insurers’ denial of coverage of the Call Defendants’ defense expenses and indemnity, as well as other conduct of the Insurers, relating to the lawsuits filed by former unitholders of CVR Refining against the Call Defendants relating to CVR Energy’s exercise of the call option under the CVR Refining Amended and Restated Agreement of Limited Partnership assigned to it by CVR Refining’s general partner, which action was settled by the parties on August 19, 2022 (the “Call Option Lawsuits”). This ruling allows CVR Energy’s case against the Insurers to proceed in the Delaware Court. The 434th Judicial District Court of Fort Bend County, Texas (the “Texas Court”) granted summary judgment in the Insurers’ declaratory judgment action seeking determination that the Insurers owe no indemnity coverage in relation to the Policies for settlement of the Call Option Lawsuits, which CVR Energy intends to appeal once final judgment is entered.</w:t>
      </w:r>
    </w:p>
    <w:p>
      <w:pPr>
        <w:spacing w:after="0" w:line="186" w:lineRule="exact"/>
        <w:rPr>
          <w:sz w:val="20"/>
          <w:szCs w:val="20"/>
          <w:color w:val="auto"/>
        </w:rPr>
      </w:pPr>
    </w:p>
    <w:p>
      <w:pPr>
        <w:ind w:left="60" w:right="139" w:firstLine="324"/>
        <w:spacing w:after="0" w:line="286" w:lineRule="auto"/>
        <w:rPr>
          <w:sz w:val="20"/>
          <w:szCs w:val="20"/>
          <w:color w:val="auto"/>
        </w:rPr>
      </w:pPr>
      <w:r>
        <w:rPr>
          <w:rFonts w:ascii="Arial" w:cs="Arial" w:eastAsia="Arial" w:hAnsi="Arial"/>
          <w:sz w:val="17"/>
          <w:szCs w:val="17"/>
          <w:color w:val="auto"/>
        </w:rPr>
        <w:t>As CVR Energy’s potential appeal of the Texas Court’s summary judgment rulings and its Delaware Court lawsuit are not yet concluded, CVR Energy cannot determine at this time the outcome of these lawsuits, including whether the outcome would have a material impact on its financial position, results of operations, or cash flows.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Pension Obligations</w:t>
      </w:r>
    </w:p>
    <w:p>
      <w:pPr>
        <w:spacing w:after="0" w:line="225" w:lineRule="exact"/>
        <w:rPr>
          <w:sz w:val="20"/>
          <w:szCs w:val="20"/>
          <w:color w:val="auto"/>
        </w:rPr>
      </w:pPr>
    </w:p>
    <w:p>
      <w:pPr>
        <w:ind w:left="60" w:right="59" w:firstLine="324"/>
        <w:spacing w:after="0" w:line="293" w:lineRule="auto"/>
        <w:rPr>
          <w:sz w:val="20"/>
          <w:szCs w:val="20"/>
          <w:color w:val="auto"/>
        </w:rPr>
      </w:pPr>
      <w:r>
        <w:rPr>
          <w:rFonts w:ascii="Arial" w:cs="Arial" w:eastAsia="Arial" w:hAnsi="Arial"/>
          <w:sz w:val="16"/>
          <w:szCs w:val="16"/>
          <w:color w:val="auto"/>
        </w:rPr>
        <w:t>Mr. Icahn, through certain affiliates, owns 100% of Icahn Enterprises GP and approximately 85% of Icahn Enterprises’ outstanding depositary units as of September 30, 2023.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in the creation of liens in favor of the pension plan or the Pension Benefit Guaranty Corporation (the “PBGC”) against the assets of each member of the controlled group.</w:t>
      </w:r>
    </w:p>
    <w:p>
      <w:pPr>
        <w:spacing w:after="0" w:line="170" w:lineRule="exact"/>
        <w:rPr>
          <w:sz w:val="20"/>
          <w:szCs w:val="20"/>
          <w:color w:val="auto"/>
        </w:rPr>
      </w:pPr>
    </w:p>
    <w:p>
      <w:pPr>
        <w:ind w:left="60" w:right="99" w:firstLine="324"/>
        <w:spacing w:after="0" w:line="286" w:lineRule="auto"/>
        <w:rPr>
          <w:sz w:val="20"/>
          <w:szCs w:val="20"/>
          <w:color w:val="auto"/>
        </w:rPr>
      </w:pPr>
      <w:r>
        <w:rPr>
          <w:rFonts w:ascii="Arial" w:cs="Arial" w:eastAsia="Arial" w:hAnsi="Arial"/>
          <w:sz w:val="16"/>
          <w:szCs w:val="16"/>
          <w:color w:val="auto"/>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Viskase and ACF Industries LLC (“ACF”), an affiliate of Mr. Icahn. All the minimum funding requirements of the Internal Revenue Code, as amended, and the Employee Retirement Income Security Act of 1974, as amended, for the Viskase and ACF plans have been met as of September 30, 2023. If the plans were voluntarily terminated, they would be underfunded by an aggregate of approximately $35 million as of September 30, 2023.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Viskase or ACF to make ongoing pension contributions or to pay the unfunded liabilities upon a termination of the Viskase or ACF pension plans.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174" w:lineRule="exact"/>
        <w:rPr>
          <w:sz w:val="20"/>
          <w:szCs w:val="20"/>
          <w:color w:val="auto"/>
        </w:rPr>
      </w:pPr>
    </w:p>
    <w:p>
      <w:pPr>
        <w:ind w:left="60" w:right="219" w:firstLine="324"/>
        <w:spacing w:after="0" w:line="259" w:lineRule="auto"/>
        <w:rPr>
          <w:sz w:val="20"/>
          <w:szCs w:val="20"/>
          <w:color w:val="auto"/>
        </w:rPr>
      </w:pPr>
      <w:r>
        <w:rPr>
          <w:rFonts w:ascii="Arial" w:cs="Arial" w:eastAsia="Arial" w:hAnsi="Arial"/>
          <w:sz w:val="18"/>
          <w:szCs w:val="18"/>
          <w:color w:val="auto"/>
        </w:rPr>
        <w:t>The current underfunded status of the pension plans of Viskase and ACF requires them to notify the PBGC of certain “reportable events,” such as if we cease to be a member of the Viskase or ACF controlled group, or if we make certain extraordinary dividends or stock redemptions. The obligation to report could cause us to seek to delay or reconsider the occurrence of such reportable events.</w:t>
      </w:r>
    </w:p>
    <w:p>
      <w:pPr>
        <w:spacing w:after="0" w:line="187" w:lineRule="exact"/>
        <w:rPr>
          <w:sz w:val="20"/>
          <w:szCs w:val="20"/>
          <w:color w:val="auto"/>
        </w:rPr>
      </w:pPr>
    </w:p>
    <w:p>
      <w:pPr>
        <w:ind w:left="60" w:right="159" w:firstLine="324"/>
        <w:spacing w:after="0" w:line="273" w:lineRule="auto"/>
        <w:rPr>
          <w:sz w:val="20"/>
          <w:szCs w:val="20"/>
          <w:color w:val="auto"/>
        </w:rPr>
      </w:pPr>
      <w:r>
        <w:rPr>
          <w:rFonts w:ascii="Arial" w:cs="Arial" w:eastAsia="Arial" w:hAnsi="Arial"/>
          <w:sz w:val="17"/>
          <w:szCs w:val="17"/>
          <w:color w:val="auto"/>
        </w:rPr>
        <w:t>Starfire Holding Corporation (“Starfire”), which is 99.6%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including ACF.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left="60" w:right="119" w:firstLine="324"/>
        <w:spacing w:after="0" w:line="268" w:lineRule="auto"/>
        <w:rPr>
          <w:sz w:val="20"/>
          <w:szCs w:val="20"/>
          <w:color w:val="auto"/>
        </w:rPr>
      </w:pPr>
      <w:r>
        <w:rPr>
          <w:rFonts w:ascii="Arial" w:cs="Arial" w:eastAsia="Arial" w:hAnsi="Arial"/>
          <w:sz w:val="17"/>
          <w:szCs w:val="17"/>
          <w:color w:val="auto"/>
        </w:rPr>
        <w:t xml:space="preserve">Icahn Enterprises L.P. was contacted on May 3, 2023 by the U.S. Attorney’s office for the Southern District of New York and on June 21, 2023 by the staff of the Division of Enforcement of the U.S. Securities and Exchange Commission (the “SEC”), seeking production of information relating to the Company and certain of its affiliates’ corporate governance, capitalization, securities offerings, disclosure, dividends, valuation, marketing materials, due diligence and other materials. We are cooperating with these requests and investigations and are providing documents in response to these requests for information. In addition, two putative securities class action lawsuits have been filed against the Company in the U.S. District Court for the Southern District of Florida alleging violations of the federal securities laws, </w:t>
      </w:r>
      <w:r>
        <w:rPr>
          <w:rFonts w:ascii="Arial" w:cs="Arial" w:eastAsia="Arial" w:hAnsi="Arial"/>
          <w:sz w:val="17"/>
          <w:szCs w:val="17"/>
          <w:i w:val="1"/>
          <w:iCs w:val="1"/>
          <w:color w:val="auto"/>
        </w:rPr>
        <w:t>Okaro v. Icahn</w:t>
      </w:r>
      <w:r>
        <w:rPr>
          <w:rFonts w:ascii="Arial" w:cs="Arial" w:eastAsia="Arial" w:hAnsi="Arial"/>
          <w:sz w:val="17"/>
          <w:szCs w:val="17"/>
          <w:color w:val="auto"/>
        </w:rPr>
        <w:t xml:space="preserve"> </w:t>
      </w:r>
      <w:r>
        <w:rPr>
          <w:rFonts w:ascii="Arial" w:cs="Arial" w:eastAsia="Arial" w:hAnsi="Arial"/>
          <w:sz w:val="17"/>
          <w:szCs w:val="17"/>
          <w:i w:val="1"/>
          <w:iCs w:val="1"/>
          <w:color w:val="auto"/>
        </w:rPr>
        <w:t>Enterprises L.P. et al.</w:t>
      </w:r>
      <w:r>
        <w:rPr>
          <w:rFonts w:ascii="Arial" w:cs="Arial" w:eastAsia="Arial" w:hAnsi="Arial"/>
          <w:sz w:val="17"/>
          <w:szCs w:val="17"/>
          <w:color w:val="auto"/>
        </w:rPr>
        <w:t>, Case No. 23-21773 (S.D. Fl.), and</w:t>
      </w:r>
      <w:r>
        <w:rPr>
          <w:rFonts w:ascii="Arial" w:cs="Arial" w:eastAsia="Arial" w:hAnsi="Arial"/>
          <w:sz w:val="17"/>
          <w:szCs w:val="17"/>
          <w:i w:val="1"/>
          <w:iCs w:val="1"/>
          <w:color w:val="auto"/>
        </w:rPr>
        <w:t xml:space="preserve"> Levine v. Icahn Enterprises L.P. et al.</w:t>
      </w:r>
      <w:r>
        <w:rPr>
          <w:rFonts w:ascii="Arial" w:cs="Arial" w:eastAsia="Arial" w:hAnsi="Arial"/>
          <w:sz w:val="17"/>
          <w:szCs w:val="17"/>
          <w:color w:val="auto"/>
        </w:rPr>
        <w:t>, Case No. 23-22009 (S.D.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Fl.). These lawsuits have been consolidated but a lead plaintiff has not been appointed. A derivative complaint has also been filed in the U.S. District Court for the Southern District of Florida, naming the Company’s general partner, its directors, and certain current and former officers as defendants, and the Company as a nominal defendant, alleging breaches of fiduciary duties with respect to the Company’s disclosure, </w:t>
      </w:r>
      <w:r>
        <w:rPr>
          <w:rFonts w:ascii="Arial" w:cs="Arial" w:eastAsia="Arial" w:hAnsi="Arial"/>
          <w:sz w:val="17"/>
          <w:szCs w:val="17"/>
          <w:i w:val="1"/>
          <w:iCs w:val="1"/>
          <w:color w:val="auto"/>
        </w:rPr>
        <w:t>Patrick Pickney v. Icahn Enterprises G.P. Inc. Case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 1:23-cv-22932-KMW </w:t>
      </w:r>
      <w:r>
        <w:rPr>
          <w:rFonts w:ascii="Arial" w:cs="Arial" w:eastAsia="Arial" w:hAnsi="Arial"/>
          <w:sz w:val="17"/>
          <w:szCs w:val="17"/>
          <w:color w:val="auto"/>
        </w:rPr>
        <w:t>(S.D. Fl.).</w:t>
      </w:r>
    </w:p>
    <w:p>
      <w:pPr>
        <w:spacing w:after="0" w:line="186" w:lineRule="exact"/>
        <w:rPr>
          <w:sz w:val="20"/>
          <w:szCs w:val="20"/>
          <w:color w:val="auto"/>
        </w:rPr>
      </w:pPr>
    </w:p>
    <w:p>
      <w:pPr>
        <w:ind w:left="60" w:right="179" w:firstLine="324"/>
        <w:spacing w:after="0" w:line="263" w:lineRule="auto"/>
        <w:rPr>
          <w:sz w:val="20"/>
          <w:szCs w:val="20"/>
          <w:color w:val="auto"/>
        </w:rPr>
      </w:pPr>
      <w:r>
        <w:rPr>
          <w:rFonts w:ascii="Arial" w:cs="Arial" w:eastAsia="Arial" w:hAnsi="Arial"/>
          <w:sz w:val="18"/>
          <w:szCs w:val="18"/>
          <w:color w:val="auto"/>
        </w:rPr>
        <w:t>We believe that we maintain a strong compliance program and, while no assurances can be made, and we are still evaluating these matters, we do not currently believe that these inquiries and litigations will have a material impact on our business,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Arial" w:cs="Arial" w:eastAsia="Arial" w:hAnsi="Arial"/>
                <w:sz w:val="18"/>
                <w:szCs w:val="18"/>
                <w:b w:val="1"/>
                <w:bCs w:val="1"/>
                <w:color w:val="auto"/>
              </w:rPr>
              <w:t>19. Supplemental Cash Flow Information</w:t>
            </w: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5640" w:type="dxa"/>
            <w:vAlign w:val="bottom"/>
          </w:tcPr>
          <w:p>
            <w:pPr>
              <w:ind w:left="320"/>
              <w:spacing w:after="0"/>
              <w:rPr>
                <w:sz w:val="20"/>
                <w:szCs w:val="20"/>
                <w:color w:val="auto"/>
              </w:rPr>
            </w:pPr>
            <w:r>
              <w:rPr>
                <w:rFonts w:ascii="Arial" w:cs="Arial" w:eastAsia="Arial" w:hAnsi="Arial"/>
                <w:sz w:val="18"/>
                <w:szCs w:val="18"/>
                <w:color w:val="auto"/>
              </w:rPr>
              <w:t>Supplemental cash flow information consists of the following:</w:t>
            </w: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45"/>
        </w:trPr>
        <w:tc>
          <w:tcPr>
            <w:tcW w:w="5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6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09"/>
        </w:trPr>
        <w:tc>
          <w:tcPr>
            <w:tcW w:w="5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r>
      <w:tr>
        <w:trPr>
          <w:trHeight w:val="129"/>
        </w:trPr>
        <w:tc>
          <w:tcPr>
            <w:tcW w:w="5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gridSpan w:val="3"/>
          </w:tcPr>
          <w:p>
            <w:pPr>
              <w:jc w:val="right"/>
              <w:ind w:right="120"/>
              <w:spacing w:after="0" w:line="129" w:lineRule="exact"/>
              <w:rPr>
                <w:sz w:val="20"/>
                <w:szCs w:val="20"/>
                <w:color w:val="auto"/>
              </w:rPr>
            </w:pPr>
            <w:r>
              <w:rPr>
                <w:rFonts w:ascii="Arial" w:cs="Arial" w:eastAsia="Arial" w:hAnsi="Arial"/>
                <w:sz w:val="14"/>
                <w:szCs w:val="14"/>
                <w:color w:val="auto"/>
              </w:rPr>
              <w:t>(in millions)</w:t>
            </w:r>
          </w:p>
        </w:tc>
        <w:tc>
          <w:tcPr>
            <w:tcW w:w="920" w:type="dxa"/>
            <w:vAlign w:val="bottom"/>
          </w:tcPr>
          <w:p>
            <w:pPr>
              <w:spacing w:after="0"/>
              <w:rPr>
                <w:sz w:val="11"/>
                <w:szCs w:val="1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Cash payments for interest</w:t>
            </w:r>
          </w:p>
        </w:tc>
        <w:tc>
          <w:tcPr>
            <w:tcW w:w="13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(299)</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Cash payments for income taxes, net of payments</w:t>
            </w: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Partnership contributions receivable</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w w:val="99"/>
              </w:rPr>
              <w:t>Non-cash Investment segment contributions to non-controlling interests</w:t>
            </w: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Investment segment distributions to non-controlling interests</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 Subsequent Events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Icahn Enterprises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LP Unit Distribution</w:t>
      </w:r>
    </w:p>
    <w:p>
      <w:pPr>
        <w:spacing w:after="0" w:line="225" w:lineRule="exact"/>
        <w:rPr>
          <w:sz w:val="20"/>
          <w:szCs w:val="20"/>
          <w:color w:val="auto"/>
        </w:rPr>
      </w:pPr>
    </w:p>
    <w:p>
      <w:pPr>
        <w:ind w:left="60" w:right="99" w:firstLine="324"/>
        <w:spacing w:after="0" w:line="289" w:lineRule="auto"/>
        <w:rPr>
          <w:sz w:val="20"/>
          <w:szCs w:val="20"/>
          <w:color w:val="auto"/>
        </w:rPr>
      </w:pPr>
      <w:r>
        <w:rPr>
          <w:rFonts w:ascii="Arial" w:cs="Arial" w:eastAsia="Arial" w:hAnsi="Arial"/>
          <w:sz w:val="16"/>
          <w:szCs w:val="16"/>
          <w:color w:val="auto"/>
        </w:rPr>
        <w:t>On November 1, 2023, the Board of Directors of the general partner of Icahn Enterprises declared a quarterly distribution in the amount of $1.00 per depositary unit, which will be paid on or about December 27, 2023, to depositary unitholders of record at the close of business on November 17, 2023. Depositary unitholders will have until December 15, 2023,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December 22, 2023. Icahn Enterprises will make a cash payment in lieu of issuing fractional depositary units to any unitholders electing to receive (or who are deemed to have elected to receive) depositary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199" w:firstLine="324"/>
        <w:spacing w:after="0" w:line="296" w:lineRule="auto"/>
        <w:rPr>
          <w:sz w:val="20"/>
          <w:szCs w:val="20"/>
          <w:color w:val="auto"/>
        </w:rPr>
      </w:pPr>
      <w:r>
        <w:rPr>
          <w:rFonts w:ascii="Arial" w:cs="Arial" w:eastAsia="Arial" w:hAnsi="Arial"/>
          <w:sz w:val="16"/>
          <w:szCs w:val="16"/>
          <w:i w:val="1"/>
          <w:iCs w:val="1"/>
          <w:color w:val="auto"/>
        </w:rPr>
        <w:t>The following discussion is intended to assist you in understanding our present business and the results of operations together with our present financial condition. This section should be read in conjunction with our unaudited condensed consolidated financial statements and the accompanying notes contained in this Quarterly Report on Form 10-Q for the period ended September 30, 2023 (this “Report”), as well as our Annual Report on Form 10-K for the year ended December 31, 2022 filed with the Securities and Exchange Commission on February 24, 2023.</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Overview</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color w:val="auto"/>
        </w:rPr>
        <w:t>Icahn Enterprises L.P. (“Icahn Enterprises”) is a master limited partnership formed in Delaware on February 17, 1987 and headquartered in Sunny Isles Beach, Florida. We are a diversified holding company owning subsidiaries currently engaged in the following continuing operating businesses: Investment, Energy, Automotive, Food Packaging, Real Estate, Home Fashion and Pharma. We also report the results of our Holding Company, which includes the results of certain subsidiaries of Icahn Enterprises (unless otherwise noted), and investment activity and expenses associated with our Holding Company. References to “we,” “our,” “us” or “the Company” herein include Icahn Enterprises and its subsidiaries, unless the context otherwise requires.</w:t>
      </w:r>
    </w:p>
    <w:p>
      <w:pPr>
        <w:spacing w:after="0" w:line="177" w:lineRule="exact"/>
        <w:rPr>
          <w:sz w:val="20"/>
          <w:szCs w:val="20"/>
          <w:color w:val="auto"/>
        </w:rPr>
      </w:pPr>
    </w:p>
    <w:p>
      <w:pPr>
        <w:ind w:left="60" w:right="279" w:firstLine="324"/>
        <w:spacing w:after="0" w:line="272" w:lineRule="auto"/>
        <w:rPr>
          <w:sz w:val="20"/>
          <w:szCs w:val="20"/>
          <w:color w:val="auto"/>
        </w:rPr>
      </w:pPr>
      <w:r>
        <w:rPr>
          <w:rFonts w:ascii="Arial" w:cs="Arial" w:eastAsia="Arial" w:hAnsi="Arial"/>
          <w:sz w:val="17"/>
          <w:szCs w:val="17"/>
          <w:color w:val="auto"/>
        </w:rPr>
        <w:t>Icahn Enterprises owns a 99% limited partner interest in Icahn Enterprises Holdings L.P.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September 30, 2023, representing an aggregate 1.99% general partner interest in Icahn Enterprises and Icahn Enterprises Holdings. Mr. Icahn and his affiliates owned approximately 85% of Icahn Enterprises’ outstanding depositary units as of September 30, 2023.</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Significant Transactions and Developments</w:t>
      </w:r>
    </w:p>
    <w:p>
      <w:pPr>
        <w:spacing w:after="0" w:line="225" w:lineRule="exact"/>
        <w:rPr>
          <w:sz w:val="20"/>
          <w:szCs w:val="20"/>
          <w:color w:val="auto"/>
        </w:rPr>
      </w:pPr>
    </w:p>
    <w:p>
      <w:pPr>
        <w:ind w:left="60" w:right="139" w:firstLine="324"/>
        <w:spacing w:after="0" w:line="289" w:lineRule="auto"/>
        <w:rPr>
          <w:sz w:val="20"/>
          <w:szCs w:val="20"/>
          <w:color w:val="auto"/>
        </w:rPr>
      </w:pPr>
      <w:r>
        <w:rPr>
          <w:rFonts w:ascii="Arial" w:cs="Arial" w:eastAsia="Arial" w:hAnsi="Arial"/>
          <w:sz w:val="16"/>
          <w:szCs w:val="16"/>
          <w:color w:val="auto"/>
        </w:rPr>
        <w:t>On January 31, 2023, a subsidiary of Icahn Automotive Group LLC (“Icahn Automotive”), IEH Auto Parts Holding LLC and its subsidiaries (collectively “Auto Plus”), an Aftermarket Parts distributor held within our Automotive segment, filed voluntary petitions (the “Chapter 11 Cases”) in the United States Bankruptcy Court for the Southern District of Texas (the “Bankruptcy Court”) seeking relief under Chapter 11 of Title 11 of the United States Code. As a result of this filing, the Company has determined that it no longer controls Auto Plus under the criteria set out in Statement of Financial Accounting Standards ASC Topic 810, “Consolidation” and has deconsolidated its investment effective the date of the filing. As a result of Auto Plus’s bankruptcy, the Company recorded a non-cash charge of $246 million in the nine months ended September 30, 2023. We estimated our cash to be collected for the repayment of the note receivable to be $59 million at September 30, 2023, resulting in a write-off of $127 million during the nine months ended September 30, 2023.</w:t>
      </w:r>
    </w:p>
    <w:p>
      <w:pPr>
        <w:spacing w:after="0" w:line="3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Financial Results</w:t>
      </w:r>
    </w:p>
    <w:p>
      <w:pPr>
        <w:spacing w:after="0" w:line="225" w:lineRule="exact"/>
        <w:rPr>
          <w:sz w:val="20"/>
          <w:szCs w:val="20"/>
          <w:color w:val="auto"/>
        </w:rPr>
      </w:pPr>
    </w:p>
    <w:p>
      <w:pPr>
        <w:ind w:left="60" w:right="99" w:firstLine="324"/>
        <w:spacing w:after="0" w:line="291" w:lineRule="auto"/>
        <w:rPr>
          <w:sz w:val="20"/>
          <w:szCs w:val="20"/>
          <w:color w:val="auto"/>
        </w:rPr>
      </w:pPr>
      <w:r>
        <w:rPr>
          <w:rFonts w:ascii="Arial" w:cs="Arial" w:eastAsia="Arial" w:hAnsi="Arial"/>
          <w:sz w:val="16"/>
          <w:szCs w:val="16"/>
          <w:color w:val="auto"/>
        </w:rPr>
        <w:t>Our operating businesses comprise consolidated subsidiaries which operate in various industries and are managed on a decentralized basis. In addition to our Investment segment’s revenues from investment transactions, revenues for our operating businesses primarily consist of net sales of various products, services revenue, franchisor operations and leasing of real estate. Due to the structure and nature of our business, we primarily discuss the results of operations by individual reporting segment in order to better understand our consolidated operating performance. In addition to the summarized financial results below, refer to Note 14, “Segment Reporting,” to the condensed consolidated financial statements for a reconciliation of each of our reporting segment’s results of continuing operations to our consolidated results.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color w:val="auto"/>
        </w:rPr>
        <w:t>The war between Israel and Hamas, which began in October 2023, has the potential for broader regional conflict in the Middle East and, along with the ongoing Russian/Ukraine conflict, can significantly impact the global oil, fertilizer, and agriculture markets. Such conflicts pose significant geopolitical risks to global markets, raise concerns of major implications, such as enforcement of sanctions, can contribute to further oil inventory tightening and price volatility, and can disrupt the production and trade of fertilizer, grains, and feedstock supply through several means, including trade restrictions and supply chain disruptions. The ultimate outcome of these conflicts and any associated market disruptions are difficult to predict and may affect our business, operations, and cash flows in unforeseen ways.</w:t>
      </w:r>
    </w:p>
    <w:p>
      <w:pPr>
        <w:spacing w:after="0" w:line="177" w:lineRule="exact"/>
        <w:rPr>
          <w:sz w:val="20"/>
          <w:szCs w:val="20"/>
          <w:color w:val="auto"/>
        </w:rPr>
      </w:pPr>
    </w:p>
    <w:p>
      <w:pPr>
        <w:ind w:left="60" w:right="99" w:firstLine="324"/>
        <w:spacing w:after="0" w:line="286" w:lineRule="auto"/>
        <w:rPr>
          <w:sz w:val="20"/>
          <w:szCs w:val="20"/>
          <w:color w:val="auto"/>
        </w:rPr>
      </w:pPr>
      <w:r>
        <w:rPr>
          <w:rFonts w:ascii="Arial" w:cs="Arial" w:eastAsia="Arial" w:hAnsi="Arial"/>
          <w:sz w:val="16"/>
          <w:szCs w:val="16"/>
          <w:color w:val="auto"/>
        </w:rPr>
        <w:t>The comparability of our summarized consolidated financial results presented below is affected primarily by (i) the performance of the Investment Funds (as defined below), (ii) the results of operations of our Energy segment, impacted by the demand and pricing for its products and (iii) the deconsolidation of Auto Plus within our Automotive segment. Refer to our respective segment discussions and “Other Consolidated Results of Operations,” below for further discussion.</w:t>
      </w:r>
    </w:p>
    <w:tbl>
      <w:tblPr>
        <w:tblLayout w:type="fixed"/>
        <w:tblInd w:w="4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3"/>
            <w:vMerge w:val="restart"/>
          </w:tcPr>
          <w:p>
            <w:pPr>
              <w:jc w:val="right"/>
              <w:ind w:right="29"/>
              <w:spacing w:after="0"/>
              <w:rPr>
                <w:sz w:val="20"/>
                <w:szCs w:val="20"/>
                <w:color w:val="auto"/>
              </w:rPr>
            </w:pPr>
            <w:r>
              <w:rPr>
                <w:rFonts w:ascii="Arial" w:cs="Arial" w:eastAsia="Arial" w:hAnsi="Arial"/>
                <w:sz w:val="14"/>
                <w:szCs w:val="14"/>
                <w:b w:val="1"/>
                <w:bCs w:val="1"/>
                <w:color w:val="auto"/>
              </w:rPr>
              <w:t>Revenues</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5"/>
            <w:vMerge w:val="restart"/>
          </w:tcPr>
          <w:p>
            <w:pPr>
              <w:jc w:val="right"/>
              <w:ind w:right="720"/>
              <w:spacing w:after="0"/>
              <w:rPr>
                <w:sz w:val="20"/>
                <w:szCs w:val="20"/>
                <w:color w:val="auto"/>
              </w:rPr>
            </w:pPr>
            <w:r>
              <w:rPr>
                <w:rFonts w:ascii="Arial" w:cs="Arial" w:eastAsia="Arial" w:hAnsi="Arial"/>
                <w:sz w:val="14"/>
                <w:szCs w:val="14"/>
                <w:b w:val="1"/>
                <w:bCs w:val="1"/>
                <w:color w:val="auto"/>
              </w:rPr>
              <w:t>Net Income (Loss)</w:t>
            </w:r>
          </w:p>
        </w:tc>
        <w:tc>
          <w:tcPr>
            <w:tcW w:w="100" w:type="dxa"/>
            <w:vAlign w:val="bottom"/>
          </w:tcPr>
          <w:p>
            <w:pPr>
              <w:spacing w:after="0"/>
              <w:rPr>
                <w:sz w:val="12"/>
                <w:szCs w:val="12"/>
                <w:color w:val="auto"/>
              </w:rPr>
            </w:pPr>
          </w:p>
        </w:tc>
        <w:tc>
          <w:tcPr>
            <w:tcW w:w="2260" w:type="dxa"/>
            <w:vAlign w:val="bottom"/>
            <w:gridSpan w:val="5"/>
          </w:tcPr>
          <w:p>
            <w:pPr>
              <w:jc w:val="center"/>
              <w:ind w:right="100"/>
              <w:spacing w:after="0" w:line="141" w:lineRule="exact"/>
              <w:rPr>
                <w:sz w:val="20"/>
                <w:szCs w:val="20"/>
                <w:color w:val="auto"/>
              </w:rPr>
            </w:pPr>
            <w:r>
              <w:rPr>
                <w:rFonts w:ascii="Arial" w:cs="Arial" w:eastAsia="Arial" w:hAnsi="Arial"/>
                <w:sz w:val="14"/>
                <w:szCs w:val="14"/>
                <w:b w:val="1"/>
                <w:bCs w:val="1"/>
                <w:color w:val="auto"/>
                <w:w w:val="92"/>
              </w:rPr>
              <w:t>Net Income (Loss)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Attributable to Icahn Enterprises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80" w:type="dxa"/>
            <w:vAlign w:val="bottom"/>
            <w:tcBorders>
              <w:top w:val="single" w:sz="8" w:color="auto"/>
              <w:bottom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2"/>
                <w:szCs w:val="12"/>
                <w:color w:val="auto"/>
              </w:rPr>
            </w:pPr>
          </w:p>
        </w:tc>
        <w:tc>
          <w:tcPr>
            <w:tcW w:w="2300" w:type="dxa"/>
            <w:vAlign w:val="bottom"/>
            <w:tcBorders>
              <w:top w:val="single" w:sz="8" w:color="auto"/>
              <w:bottom w:val="single" w:sz="8" w:color="auto"/>
            </w:tcBorders>
            <w:gridSpan w:val="5"/>
          </w:tcPr>
          <w:p>
            <w:pPr>
              <w:ind w:left="20"/>
              <w:spacing w:after="0" w:line="142" w:lineRule="exact"/>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2"/>
                <w:szCs w:val="12"/>
                <w:color w:val="auto"/>
              </w:rPr>
            </w:pPr>
          </w:p>
        </w:tc>
        <w:tc>
          <w:tcPr>
            <w:tcW w:w="2340" w:type="dxa"/>
            <w:vAlign w:val="bottom"/>
            <w:tcBorders>
              <w:top w:val="single" w:sz="8" w:color="auto"/>
              <w:bottom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94"/>
              </w:rPr>
              <w:t>Three Months Ended September 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Investment</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(245)</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(137)</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(297)</w:t>
            </w:r>
          </w:p>
        </w:tc>
        <w:tc>
          <w:tcPr>
            <w:tcW w:w="3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(166)</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Arial" w:cs="Arial" w:eastAsia="Arial" w:hAnsi="Arial"/>
                <w:sz w:val="14"/>
                <w:szCs w:val="14"/>
                <w:color w:val="auto"/>
              </w:rPr>
              <w:t>Holding Company</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(91)</w:t>
            </w:r>
          </w:p>
        </w:tc>
        <w:tc>
          <w:tcPr>
            <w:tcW w:w="3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w:t>
            </w:r>
          </w:p>
        </w:tc>
        <w:tc>
          <w:tcPr>
            <w:tcW w:w="10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(91)</w:t>
            </w:r>
          </w:p>
        </w:tc>
        <w:tc>
          <w:tcPr>
            <w:tcW w:w="2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80" w:type="dxa"/>
            <w:vAlign w:val="bottom"/>
            <w:gridSpan w:val="3"/>
          </w:tcPr>
          <w:p>
            <w:pPr>
              <w:spacing w:after="0" w:line="135" w:lineRule="exact"/>
              <w:rPr>
                <w:sz w:val="20"/>
                <w:szCs w:val="20"/>
                <w:color w:val="auto"/>
              </w:rPr>
            </w:pPr>
            <w:r>
              <w:rPr>
                <w:rFonts w:ascii="Arial" w:cs="Arial" w:eastAsia="Arial" w:hAnsi="Arial"/>
                <w:sz w:val="14"/>
                <w:szCs w:val="14"/>
                <w:color w:val="auto"/>
              </w:rPr>
              <w:t>Other Operating</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color w:val="auto"/>
              </w:rPr>
              <w:t>Segments:</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Energy</w:t>
            </w:r>
          </w:p>
        </w:tc>
        <w:tc>
          <w:tcPr>
            <w:tcW w:w="1100" w:type="dxa"/>
            <w:vAlign w:val="bottom"/>
            <w:gridSpan w:val="2"/>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2,535</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2,704</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342</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235</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Arial" w:cs="Arial" w:eastAsia="Arial" w:hAnsi="Arial"/>
                <w:sz w:val="14"/>
                <w:szCs w:val="14"/>
                <w:color w:val="auto"/>
              </w:rPr>
              <w:t>Automotive</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448</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627</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w:t>
            </w: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Food Packaging</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Arial" w:cs="Arial" w:eastAsia="Arial" w:hAnsi="Arial"/>
                <w:sz w:val="14"/>
                <w:szCs w:val="14"/>
                <w:color w:val="auto"/>
              </w:rPr>
              <w:t>Real Estate</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Home Fashion</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3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Arial" w:cs="Arial" w:eastAsia="Arial" w:hAnsi="Arial"/>
                <w:sz w:val="14"/>
                <w:szCs w:val="14"/>
                <w:color w:val="auto"/>
              </w:rPr>
              <w:t>Pharma</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w:t>
            </w:r>
          </w:p>
        </w:tc>
        <w:tc>
          <w:tcPr>
            <w:tcW w:w="100" w:type="dxa"/>
            <w:vAlign w:val="bottom"/>
          </w:tcPr>
          <w:p>
            <w:pPr>
              <w:spacing w:after="0"/>
              <w:rPr>
                <w:sz w:val="12"/>
                <w:szCs w:val="12"/>
                <w:color w:val="auto"/>
              </w:rPr>
            </w:pP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Metals</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color w:val="auto"/>
              </w:rPr>
              <w:t>Other operating segments</w:t>
            </w: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3,210</w:t>
            </w:r>
          </w:p>
        </w:tc>
        <w:tc>
          <w:tcPr>
            <w:tcW w:w="2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3,533</w:t>
            </w:r>
          </w:p>
        </w:tc>
        <w:tc>
          <w:tcPr>
            <w:tcW w:w="1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358</w:t>
            </w:r>
          </w:p>
        </w:tc>
        <w:tc>
          <w:tcPr>
            <w:tcW w:w="2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w:t>
            </w: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251</w:t>
            </w:r>
          </w:p>
        </w:tc>
        <w:tc>
          <w:tcPr>
            <w:tcW w:w="2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Consolidated</w:t>
            </w:r>
          </w:p>
        </w:tc>
        <w:tc>
          <w:tcPr>
            <w:tcW w:w="22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2,989</w:t>
            </w: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3,404</w:t>
            </w:r>
          </w:p>
        </w:tc>
        <w:tc>
          <w:tcPr>
            <w:tcW w:w="1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w:t>
            </w:r>
          </w:p>
        </w:tc>
        <w:tc>
          <w:tcPr>
            <w:tcW w:w="2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(215)</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2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vMerge w:val="restart"/>
          </w:tcPr>
          <w:p>
            <w:pPr>
              <w:jc w:val="right"/>
              <w:ind w:right="28"/>
              <w:spacing w:after="0"/>
              <w:rPr>
                <w:sz w:val="20"/>
                <w:szCs w:val="20"/>
                <w:color w:val="auto"/>
              </w:rPr>
            </w:pPr>
            <w:r>
              <w:rPr>
                <w:rFonts w:ascii="Arial" w:cs="Arial" w:eastAsia="Arial" w:hAnsi="Arial"/>
                <w:sz w:val="14"/>
                <w:szCs w:val="14"/>
                <w:b w:val="1"/>
                <w:bCs w:val="1"/>
                <w:color w:val="auto"/>
              </w:rPr>
              <w:t>Revenues</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Net Income (Loss)</w:t>
            </w:r>
          </w:p>
        </w:tc>
        <w:tc>
          <w:tcPr>
            <w:tcW w:w="220" w:type="dxa"/>
            <w:vAlign w:val="bottom"/>
          </w:tcPr>
          <w:p>
            <w:pPr>
              <w:spacing w:after="0"/>
              <w:rPr>
                <w:sz w:val="14"/>
                <w:szCs w:val="14"/>
                <w:color w:val="auto"/>
              </w:rPr>
            </w:pPr>
          </w:p>
        </w:tc>
        <w:tc>
          <w:tcPr>
            <w:tcW w:w="2040" w:type="dxa"/>
            <w:vAlign w:val="bottom"/>
            <w:gridSpan w:val="5"/>
          </w:tcPr>
          <w:p>
            <w:pPr>
              <w:ind w:left="340"/>
              <w:spacing w:after="0"/>
              <w:rPr>
                <w:sz w:val="20"/>
                <w:szCs w:val="20"/>
                <w:color w:val="auto"/>
              </w:rPr>
            </w:pPr>
            <w:r>
              <w:rPr>
                <w:rFonts w:ascii="Arial" w:cs="Arial" w:eastAsia="Arial" w:hAnsi="Arial"/>
                <w:sz w:val="14"/>
                <w:szCs w:val="14"/>
                <w:b w:val="1"/>
                <w:bCs w:val="1"/>
                <w:color w:val="auto"/>
              </w:rPr>
              <w:t>Net Income (Loss)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5"/>
            <w:vMerge w:val="continue"/>
          </w:tcPr>
          <w:p>
            <w:pPr>
              <w:spacing w:after="0"/>
              <w:rPr>
                <w:sz w:val="14"/>
                <w:szCs w:val="14"/>
                <w:color w:val="auto"/>
              </w:rPr>
            </w:pPr>
          </w:p>
        </w:tc>
        <w:tc>
          <w:tcPr>
            <w:tcW w:w="22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4"/>
              </w:rPr>
              <w:t>Attributable to Icahn Enterprises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0" w:type="dxa"/>
            <w:vAlign w:val="bottom"/>
            <w:tcBorders>
              <w:top w:val="single" w:sz="8" w:color="auto"/>
              <w:bottom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w w:val="94"/>
              </w:rPr>
              <w:t>Nine Months Ended September 30,</w:t>
            </w:r>
          </w:p>
        </w:tc>
        <w:tc>
          <w:tcPr>
            <w:tcW w:w="140" w:type="dxa"/>
            <w:vAlign w:val="bottom"/>
          </w:tcPr>
          <w:p>
            <w:pPr>
              <w:spacing w:after="0"/>
              <w:rPr>
                <w:sz w:val="12"/>
                <w:szCs w:val="12"/>
                <w:color w:val="auto"/>
              </w:rPr>
            </w:pPr>
          </w:p>
        </w:tc>
        <w:tc>
          <w:tcPr>
            <w:tcW w:w="2220" w:type="dxa"/>
            <w:vAlign w:val="bottom"/>
            <w:tcBorders>
              <w:top w:val="single" w:sz="8" w:color="auto"/>
              <w:bottom w:val="single" w:sz="8" w:color="auto"/>
            </w:tcBorders>
            <w:gridSpan w:val="5"/>
          </w:tcPr>
          <w:p>
            <w:pPr>
              <w:ind w:left="20"/>
              <w:spacing w:after="0" w:line="142" w:lineRule="exact"/>
              <w:rPr>
                <w:sz w:val="20"/>
                <w:szCs w:val="20"/>
                <w:color w:val="auto"/>
              </w:rPr>
            </w:pPr>
            <w:r>
              <w:rPr>
                <w:rFonts w:ascii="Arial" w:cs="Arial" w:eastAsia="Arial" w:hAnsi="Arial"/>
                <w:sz w:val="14"/>
                <w:szCs w:val="14"/>
                <w:b w:val="1"/>
                <w:bCs w:val="1"/>
                <w:color w:val="auto"/>
                <w:w w:val="94"/>
              </w:rPr>
              <w:t>Nine Months Ended September 30,</w:t>
            </w:r>
          </w:p>
        </w:tc>
        <w:tc>
          <w:tcPr>
            <w:tcW w:w="140" w:type="dxa"/>
            <w:vAlign w:val="bottom"/>
          </w:tcPr>
          <w:p>
            <w:pPr>
              <w:spacing w:after="0"/>
              <w:rPr>
                <w:sz w:val="12"/>
                <w:szCs w:val="12"/>
                <w:color w:val="auto"/>
              </w:rPr>
            </w:pPr>
          </w:p>
        </w:tc>
        <w:tc>
          <w:tcPr>
            <w:tcW w:w="2240" w:type="dxa"/>
            <w:vAlign w:val="bottom"/>
            <w:tcBorders>
              <w:top w:val="single" w:sz="8" w:color="auto"/>
              <w:bottom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92"/>
              </w:rPr>
              <w:t>Nine Months Ended September 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Investment</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(956)</w:t>
            </w:r>
          </w:p>
        </w:tc>
        <w:tc>
          <w:tcPr>
            <w:tcW w:w="2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(1,107)</w:t>
            </w:r>
          </w:p>
        </w:tc>
        <w:tc>
          <w:tcPr>
            <w:tcW w:w="3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(552)</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Holding Company</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71</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(462)</w:t>
            </w:r>
          </w:p>
        </w:tc>
        <w:tc>
          <w:tcPr>
            <w:tcW w:w="3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(193)</w:t>
            </w:r>
          </w:p>
        </w:tc>
        <w:tc>
          <w:tcPr>
            <w:tcW w:w="22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(462)</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gridSpan w:val="3"/>
          </w:tcPr>
          <w:p>
            <w:pPr>
              <w:ind w:left="20"/>
              <w:spacing w:after="0" w:line="135" w:lineRule="exact"/>
              <w:rPr>
                <w:sz w:val="20"/>
                <w:szCs w:val="20"/>
                <w:color w:val="auto"/>
              </w:rPr>
            </w:pPr>
            <w:r>
              <w:rPr>
                <w:rFonts w:ascii="Arial" w:cs="Arial" w:eastAsia="Arial" w:hAnsi="Arial"/>
                <w:sz w:val="14"/>
                <w:szCs w:val="14"/>
                <w:color w:val="auto"/>
              </w:rPr>
              <w:t>Other Operating Segments:</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6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4"/>
                <w:szCs w:val="14"/>
                <w:color w:val="auto"/>
              </w:rPr>
              <w:t>Energy</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7,077</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8,137</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745</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436</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453</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Automotive</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1,333</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1,813</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w:t>
            </w:r>
          </w:p>
        </w:tc>
        <w:tc>
          <w:tcPr>
            <w:tcW w:w="3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(64)</w:t>
            </w:r>
          </w:p>
        </w:tc>
        <w:tc>
          <w:tcPr>
            <w:tcW w:w="22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Food Packaging</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Real Estate</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108</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91</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Home Fashion</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Pharma</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72</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w:t>
            </w:r>
          </w:p>
        </w:tc>
        <w:tc>
          <w:tcPr>
            <w:tcW w:w="3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w:t>
            </w:r>
          </w:p>
        </w:tc>
        <w:tc>
          <w:tcPr>
            <w:tcW w:w="22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Metals</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60" w:type="dxa"/>
            <w:vAlign w:val="bottom"/>
            <w:tcBorders>
              <w:bottom w:val="single" w:sz="8" w:color="CCEEFF"/>
            </w:tcBorders>
            <w:gridSpan w:val="3"/>
          </w:tcPr>
          <w:p>
            <w:pPr>
              <w:ind w:left="20"/>
              <w:spacing w:after="0" w:line="142" w:lineRule="exact"/>
              <w:rPr>
                <w:sz w:val="20"/>
                <w:szCs w:val="20"/>
                <w:color w:val="auto"/>
              </w:rPr>
            </w:pPr>
            <w:r>
              <w:rPr>
                <w:rFonts w:ascii="Arial" w:cs="Arial" w:eastAsia="Arial" w:hAnsi="Arial"/>
                <w:sz w:val="14"/>
                <w:szCs w:val="14"/>
                <w:color w:val="auto"/>
              </w:rPr>
              <w:t>Other operating segments</w:t>
            </w: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9,055</w:t>
            </w:r>
          </w:p>
        </w:tc>
        <w:tc>
          <w:tcPr>
            <w:tcW w:w="22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10,576</w:t>
            </w:r>
          </w:p>
        </w:tc>
        <w:tc>
          <w:tcPr>
            <w:tcW w:w="1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762</w:t>
            </w:r>
          </w:p>
        </w:tc>
        <w:tc>
          <w:tcPr>
            <w:tcW w:w="24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355</w:t>
            </w:r>
          </w:p>
        </w:tc>
        <w:tc>
          <w:tcPr>
            <w:tcW w:w="1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469</w:t>
            </w:r>
          </w:p>
        </w:tc>
        <w:tc>
          <w:tcPr>
            <w:tcW w:w="2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60" w:type="dxa"/>
            <w:vAlign w:val="bottom"/>
            <w:tcBorders>
              <w:bottom w:val="single" w:sz="8" w:color="CCEEFF"/>
            </w:tcBorders>
            <w:gridSpan w:val="3"/>
            <w:shd w:val="clear" w:color="auto" w:fill="CCEEFF"/>
          </w:tcPr>
          <w:p>
            <w:pPr>
              <w:ind w:left="20"/>
              <w:spacing w:after="0" w:line="142" w:lineRule="exact"/>
              <w:rPr>
                <w:sz w:val="20"/>
                <w:szCs w:val="20"/>
                <w:color w:val="auto"/>
              </w:rPr>
            </w:pPr>
            <w:r>
              <w:rPr>
                <w:rFonts w:ascii="Arial" w:cs="Arial" w:eastAsia="Arial" w:hAnsi="Arial"/>
                <w:sz w:val="14"/>
                <w:szCs w:val="14"/>
                <w:color w:val="auto"/>
              </w:rPr>
              <w:t>Consolidated</w:t>
            </w:r>
          </w:p>
        </w:tc>
        <w:tc>
          <w:tcPr>
            <w:tcW w:w="20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8,170</w:t>
            </w:r>
          </w:p>
        </w:tc>
        <w:tc>
          <w:tcPr>
            <w:tcW w:w="2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11,000</w:t>
            </w:r>
          </w:p>
        </w:tc>
        <w:tc>
          <w:tcPr>
            <w:tcW w:w="1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(807)</w:t>
            </w:r>
          </w:p>
        </w:tc>
        <w:tc>
          <w:tcPr>
            <w:tcW w:w="24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383</w:t>
            </w:r>
          </w:p>
        </w:tc>
        <w:tc>
          <w:tcPr>
            <w:tcW w:w="1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(545)</w:t>
            </w:r>
          </w:p>
        </w:tc>
        <w:tc>
          <w:tcPr>
            <w:tcW w:w="2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w:t>
      </w:r>
    </w:p>
    <w:p>
      <w:pPr>
        <w:spacing w:after="0" w:line="225"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color w:val="auto"/>
        </w:rPr>
        <w:t>We invest our proprietary capital through various private investment funds (“Investment Funds”). As of September 30, 2023 and December 31, 2022, we had investments with a fair market value of approximately $3.6 billion and $4.2 billion, respectively, in the Investment Funds. As of September 30, 2023 and December 31, 2022, the total fair market value of investments in the Investment Funds made by Mr. Icahn and his affiliates (excluding us and Brett Icahn) was approximately $2.3 billion and $4.9 billion, respectively. During the nine months ended September 30, 2023, Mr. Icahn and his affiliates (excluding us and Brett Icahn) redeemed $2,022 million from the Investment Funds.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Our Investment segment’s results of operations are reflected in net income in the condensed consolidated statements of operations. Our Investment segment’s net income (loss)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Mr. Icahn and his affiliates and by Brett Icahn, Mr. Icahn’s son.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 and long positions have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Refer to the “Investment Segment Liquidity” section of our “Liquidity and Capital Resources” discussion for additional information regarding our Investment segment’s exposure as of September 30, 2023.</w:t>
      </w:r>
    </w:p>
    <w:p>
      <w:pPr>
        <w:spacing w:after="0" w:line="179" w:lineRule="exact"/>
        <w:rPr>
          <w:sz w:val="20"/>
          <w:szCs w:val="20"/>
          <w:color w:val="auto"/>
        </w:rPr>
      </w:pPr>
    </w:p>
    <w:p>
      <w:pPr>
        <w:jc w:val="both"/>
        <w:ind w:left="60" w:right="299" w:firstLine="324"/>
        <w:spacing w:after="0" w:line="259" w:lineRule="auto"/>
        <w:rPr>
          <w:sz w:val="20"/>
          <w:szCs w:val="20"/>
          <w:color w:val="auto"/>
        </w:rPr>
      </w:pPr>
      <w:r>
        <w:rPr>
          <w:rFonts w:ascii="Arial" w:cs="Arial" w:eastAsia="Arial" w:hAnsi="Arial"/>
          <w:sz w:val="18"/>
          <w:szCs w:val="18"/>
          <w:color w:val="auto"/>
        </w:rPr>
        <w:t>For the three months ended September 30, 2023 and 2022, our Investment Funds’ returns were (4.4)% and (1.9)%, respectively. For the nine months ended September 30, 2023 and 2022, our Investment Funds’ returns were (13.3)% and 2.4%, respectively. Our Investment Funds’ returns represent a weighted-average composite of the average returns, net of expenses.</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performance attribution for the Investment Funds’ returns.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32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0"/>
              </w:rPr>
              <w:t>Three Months Ended September 30,</w:t>
            </w:r>
          </w:p>
        </w:tc>
        <w:tc>
          <w:tcPr>
            <w:tcW w:w="304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09"/>
        </w:trPr>
        <w:tc>
          <w:tcPr>
            <w:tcW w:w="25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8"/>
                <w:szCs w:val="18"/>
                <w:color w:val="auto"/>
              </w:rPr>
            </w:pPr>
          </w:p>
        </w:tc>
      </w:tr>
      <w:tr>
        <w:trPr>
          <w:trHeight w:val="210"/>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 positions</w:t>
            </w:r>
          </w:p>
        </w:tc>
        <w:tc>
          <w:tcPr>
            <w:tcW w:w="1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(4.9)%</w:t>
            </w:r>
          </w:p>
        </w:tc>
        <w:tc>
          <w:tcPr>
            <w:tcW w:w="1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16"/>
        </w:trPr>
        <w:tc>
          <w:tcPr>
            <w:tcW w:w="2580" w:type="dxa"/>
            <w:vAlign w:val="bottom"/>
          </w:tcPr>
          <w:p>
            <w:pPr>
              <w:ind w:left="20"/>
              <w:spacing w:after="0"/>
              <w:rPr>
                <w:sz w:val="20"/>
                <w:szCs w:val="20"/>
                <w:color w:val="auto"/>
              </w:rPr>
            </w:pPr>
            <w:r>
              <w:rPr>
                <w:rFonts w:ascii="Arial" w:cs="Arial" w:eastAsia="Arial" w:hAnsi="Arial"/>
                <w:sz w:val="18"/>
                <w:szCs w:val="18"/>
                <w:color w:val="auto"/>
              </w:rPr>
              <w:t>Short positions</w:t>
            </w:r>
          </w:p>
        </w:tc>
        <w:tc>
          <w:tcPr>
            <w:tcW w:w="1620" w:type="dxa"/>
            <w:vAlign w:val="bottom"/>
            <w:gridSpan w:val="2"/>
          </w:tcPr>
          <w:p>
            <w:pPr>
              <w:jc w:val="right"/>
              <w:ind w:right="10"/>
              <w:spacing w:after="0"/>
              <w:rPr>
                <w:sz w:val="20"/>
                <w:szCs w:val="20"/>
                <w:color w:val="auto"/>
              </w:rPr>
            </w:pPr>
            <w:r>
              <w:rPr>
                <w:rFonts w:ascii="Arial" w:cs="Arial" w:eastAsia="Arial" w:hAnsi="Arial"/>
                <w:sz w:val="18"/>
                <w:szCs w:val="18"/>
                <w:color w:val="auto"/>
              </w:rPr>
              <w:t>(3.4)%</w:t>
            </w:r>
          </w:p>
        </w:tc>
        <w:tc>
          <w:tcPr>
            <w:tcW w:w="1660" w:type="dxa"/>
            <w:vAlign w:val="bottom"/>
            <w:gridSpan w:val="2"/>
          </w:tcPr>
          <w:p>
            <w:pPr>
              <w:jc w:val="right"/>
              <w:ind w:right="190"/>
              <w:spacing w:after="0"/>
              <w:rPr>
                <w:sz w:val="20"/>
                <w:szCs w:val="20"/>
                <w:color w:val="auto"/>
              </w:rPr>
            </w:pPr>
            <w:r>
              <w:rPr>
                <w:rFonts w:ascii="Arial" w:cs="Arial" w:eastAsia="Arial" w:hAnsi="Arial"/>
                <w:sz w:val="18"/>
                <w:szCs w:val="18"/>
                <w:color w:val="auto"/>
              </w:rPr>
              <w:t>2.7 %</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(12.3)%</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10.9 %</w:t>
            </w:r>
          </w:p>
        </w:tc>
      </w:tr>
      <w:tr>
        <w:trPr>
          <w:trHeight w:val="216"/>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1.0 %</w:t>
            </w:r>
          </w:p>
        </w:tc>
        <w:tc>
          <w:tcPr>
            <w:tcW w:w="1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0.3 %</w:t>
            </w:r>
          </w:p>
        </w:tc>
        <w:tc>
          <w:tcPr>
            <w:tcW w:w="1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2.8 %</w:t>
            </w:r>
          </w:p>
        </w:tc>
        <w:tc>
          <w:tcPr>
            <w:tcW w:w="1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0.1 %</w:t>
            </w:r>
          </w:p>
        </w:tc>
      </w:tr>
      <w:tr>
        <w:trPr>
          <w:trHeight w:val="210"/>
        </w:trPr>
        <w:tc>
          <w:tcPr>
            <w:tcW w:w="25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r>
      <w:tr>
        <w:trPr>
          <w:trHeight w:val="20"/>
        </w:trPr>
        <w:tc>
          <w:tcPr>
            <w:tcW w:w="2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639" w:firstLine="324"/>
        <w:spacing w:after="0" w:line="277" w:lineRule="auto"/>
        <w:rPr>
          <w:sz w:val="20"/>
          <w:szCs w:val="20"/>
          <w:color w:val="auto"/>
        </w:rPr>
      </w:pPr>
      <w:r>
        <w:rPr>
          <w:rFonts w:ascii="Arial" w:cs="Arial" w:eastAsia="Arial" w:hAnsi="Arial"/>
          <w:sz w:val="18"/>
          <w:szCs w:val="18"/>
          <w:color w:val="auto"/>
        </w:rPr>
        <w:t>The following table presents net income (loss) for our Investment segment for the three and nine months ended September 30, 2023 and 2022, respectively.</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4"/>
          </w:tcPr>
          <w:p>
            <w:pPr>
              <w:jc w:val="right"/>
              <w:ind w:right="293"/>
              <w:spacing w:after="0"/>
              <w:rPr>
                <w:sz w:val="20"/>
                <w:szCs w:val="20"/>
                <w:color w:val="auto"/>
              </w:rPr>
            </w:pPr>
            <w:r>
              <w:rPr>
                <w:rFonts w:ascii="Arial" w:cs="Arial" w:eastAsia="Arial" w:hAnsi="Arial"/>
                <w:sz w:val="18"/>
                <w:szCs w:val="18"/>
                <w:b w:val="1"/>
                <w:bCs w:val="1"/>
                <w:color w:val="auto"/>
                <w:w w:val="98"/>
              </w:rPr>
              <w:t>Three Months Ended</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5"/>
          </w:tcPr>
          <w:p>
            <w:pPr>
              <w:jc w:val="right"/>
              <w:ind w:right="250"/>
              <w:spacing w:after="0"/>
              <w:rPr>
                <w:sz w:val="20"/>
                <w:szCs w:val="20"/>
                <w:color w:val="auto"/>
              </w:rPr>
            </w:pPr>
            <w:r>
              <w:rPr>
                <w:rFonts w:ascii="Arial" w:cs="Arial" w:eastAsia="Arial" w:hAnsi="Arial"/>
                <w:sz w:val="18"/>
                <w:szCs w:val="18"/>
                <w:b w:val="1"/>
                <w:bCs w:val="1"/>
                <w:color w:val="auto"/>
                <w:w w:val="95"/>
              </w:rPr>
              <w:t>Nine Months Ended</w:t>
            </w:r>
          </w:p>
        </w:tc>
      </w:tr>
      <w:tr>
        <w:trPr>
          <w:trHeight w:val="234"/>
        </w:trPr>
        <w:tc>
          <w:tcPr>
            <w:tcW w:w="26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5"/>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2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r>
      <w:tr>
        <w:trPr>
          <w:trHeight w:val="129"/>
        </w:trPr>
        <w:tc>
          <w:tcPr>
            <w:tcW w:w="26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3"/>
          </w:tcPr>
          <w:p>
            <w:pPr>
              <w:jc w:val="right"/>
              <w:ind w:right="7"/>
              <w:spacing w:after="0" w:line="129" w:lineRule="exact"/>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Long positions</w:t>
            </w:r>
          </w:p>
        </w:tc>
        <w:tc>
          <w:tcPr>
            <w:tcW w:w="17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4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Short positions</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938</w:t>
            </w: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5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2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r>
      <w:tr>
        <w:trPr>
          <w:trHeight w:val="20"/>
        </w:trPr>
        <w:tc>
          <w:tcPr>
            <w:tcW w:w="2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September 30, 2023 and 2022</w:t>
      </w:r>
    </w:p>
    <w:p>
      <w:pPr>
        <w:spacing w:after="0" w:line="225" w:lineRule="exact"/>
        <w:rPr>
          <w:sz w:val="20"/>
          <w:szCs w:val="20"/>
          <w:color w:val="auto"/>
        </w:rPr>
      </w:pPr>
    </w:p>
    <w:p>
      <w:pPr>
        <w:ind w:left="60" w:right="59" w:firstLine="324"/>
        <w:spacing w:after="0" w:line="254" w:lineRule="auto"/>
        <w:rPr>
          <w:sz w:val="20"/>
          <w:szCs w:val="20"/>
          <w:color w:val="auto"/>
        </w:rPr>
      </w:pPr>
      <w:r>
        <w:rPr>
          <w:rFonts w:ascii="Arial" w:cs="Arial" w:eastAsia="Arial" w:hAnsi="Arial"/>
          <w:sz w:val="18"/>
          <w:szCs w:val="18"/>
          <w:color w:val="auto"/>
        </w:rPr>
        <w:t>For the three months ended September 30, 2023, the Investment Funds’ negative performance was primarily driven by net losses in short positions. The negative performance of our Investment segment’s short positions was driven primarily by losses from several energy sector investments totaling $401 million and the negative performance of certain credit default swap positions of $102 million, offset in part by gains from a broad market hedge of $179 million and the aggregate performance of short equity and credit positions with net gains across various sectors of $158 million. The negative performance of our Investment segment’s long positions was driven primarily by losses from one healthcare sector investment of $115 million and two utility sector investments of $95 million, offset in part by gains on one energy sector investment of $98 million.</w:t>
      </w:r>
    </w:p>
    <w:p>
      <w:pPr>
        <w:spacing w:after="0" w:line="192" w:lineRule="exact"/>
        <w:rPr>
          <w:sz w:val="20"/>
          <w:szCs w:val="20"/>
          <w:color w:val="auto"/>
        </w:rPr>
      </w:pPr>
    </w:p>
    <w:p>
      <w:pPr>
        <w:ind w:left="60" w:right="119" w:firstLine="324"/>
        <w:spacing w:after="0" w:line="301" w:lineRule="auto"/>
        <w:rPr>
          <w:sz w:val="20"/>
          <w:szCs w:val="20"/>
          <w:color w:val="auto"/>
        </w:rPr>
      </w:pPr>
      <w:r>
        <w:rPr>
          <w:rFonts w:ascii="Arial" w:cs="Arial" w:eastAsia="Arial" w:hAnsi="Arial"/>
          <w:sz w:val="16"/>
          <w:szCs w:val="16"/>
          <w:color w:val="auto"/>
        </w:rPr>
        <w:t>For the three months ended September 30, 2022, the Investment Funds’ negative performance was primarily driven by net losses in long positions and credit default swaps, offset in part by other net gains in short positions. The negative performance of our Investment segment’s long positions was driven primarily by losses from a consumer, cyclical sector investment of $163 million and a utility sector investment of $133 million as well as the aggregate performance of long</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301" w:lineRule="auto"/>
        <w:rPr>
          <w:sz w:val="20"/>
          <w:szCs w:val="20"/>
          <w:color w:val="auto"/>
        </w:rPr>
      </w:pPr>
      <w:r>
        <w:rPr>
          <w:rFonts w:ascii="Arial" w:cs="Arial" w:eastAsia="Arial" w:hAnsi="Arial"/>
          <w:sz w:val="16"/>
          <w:szCs w:val="16"/>
          <w:color w:val="auto"/>
        </w:rPr>
        <w:t>positions with net losses across various sectors. The negative performance of our Investment segment’s long positions was offset in part by gains from two energy sector investments aggregating $196 million. The positive performance of our Investment segment’s short positions was driven primarily by the positive performance of broad market hedges of $398 million offset in part by the negative performance of certain credit default swap positions totaling $298 million.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Nine Months Ended September 30, 2023 and 2022</w:t>
      </w:r>
    </w:p>
    <w:p>
      <w:pPr>
        <w:spacing w:after="0" w:line="225" w:lineRule="exact"/>
        <w:rPr>
          <w:sz w:val="20"/>
          <w:szCs w:val="20"/>
          <w:color w:val="auto"/>
        </w:rPr>
      </w:pPr>
    </w:p>
    <w:p>
      <w:pPr>
        <w:ind w:left="60" w:right="99" w:firstLine="324"/>
        <w:spacing w:after="0" w:line="291" w:lineRule="auto"/>
        <w:rPr>
          <w:sz w:val="20"/>
          <w:szCs w:val="20"/>
          <w:color w:val="auto"/>
        </w:rPr>
      </w:pPr>
      <w:r>
        <w:rPr>
          <w:rFonts w:ascii="Arial" w:cs="Arial" w:eastAsia="Arial" w:hAnsi="Arial"/>
          <w:sz w:val="16"/>
          <w:szCs w:val="16"/>
          <w:color w:val="auto"/>
        </w:rPr>
        <w:t>For the nine months ended September 30, 2023, the Investment Funds’ negative performance was primarily driven by net losses in short and long positions. The negative performance of our Investment segment’s short positions was driven primarily by losses from a broad market hedge of $439 million, and several energy segment investments of $226 million as well as the aggregate performance of short equity positions with net losses across various sectors of $239 million. The negative performance of our Investment segment’s long positions was driven primarily by the negative performance of one healthcare sector investment of $163 million and one material sector investment of $145 million as well as the aggregate performance of investments with net losses across various sectors.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the nine months ended September 30, 2022, the Investment Funds’ positive performance was primarily driven by</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gains in their short positions, offset in part by net losses in certain long positions and credit default swaps. The positive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performance of our Investment segment’s short positions was driven primarily by a broad market hedge totaling $1.4</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billion and the aggregate performance of short positions with net gains across various sectors. The negative performance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our Investment segment’s long positions was driven primarily by the negative performance of one healthcare investment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approximately $1.2 billion and the aggregate performance of investments with net losses across various sectors accounted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 additional negative performance, offset in part by gains in two energy sector investments aggregating approximately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 billion. The positive performance of short positions was offset in part by the negative performance of an energy sector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hedge totaling $407 million and the negative performance of certain credit default swap positions of $704 million.</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Energy</w:t>
      </w:r>
    </w:p>
    <w:p>
      <w:pPr>
        <w:spacing w:after="0" w:line="225" w:lineRule="exact"/>
        <w:rPr>
          <w:sz w:val="20"/>
          <w:szCs w:val="20"/>
          <w:color w:val="auto"/>
        </w:rPr>
      </w:pPr>
    </w:p>
    <w:p>
      <w:pPr>
        <w:jc w:val="both"/>
        <w:ind w:left="60" w:right="179" w:firstLine="324"/>
        <w:spacing w:after="0" w:line="263" w:lineRule="auto"/>
        <w:rPr>
          <w:sz w:val="20"/>
          <w:szCs w:val="20"/>
          <w:color w:val="auto"/>
        </w:rPr>
      </w:pPr>
      <w:r>
        <w:rPr>
          <w:rFonts w:ascii="Arial" w:cs="Arial" w:eastAsia="Arial" w:hAnsi="Arial"/>
          <w:sz w:val="18"/>
          <w:szCs w:val="18"/>
          <w:color w:val="auto"/>
        </w:rPr>
        <w:t>Our Energy segment is primarily engaged in the petroleum refining and nitrogen fertilizer manufacturing businesses. The petroleum business accounted for approximately 92% and 92% of our Energy segment’s net sales for the nine months ended September 30, 2023 and 2022, respectively.</w:t>
      </w:r>
    </w:p>
    <w:p>
      <w:pPr>
        <w:spacing w:after="0" w:line="184"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The results of operations of the petroleum business are primarily affected by the relationship between refined product prices and the prices for crude oil and other feedstocks that are processed and blended into petroleum products, such as gasoline, diesel fuel and jet fuel that are produced by a refinery (“refined products”). The cost to acquire crude oil and other feedstocks and the price for which refined products are ultimately sold depend on factors beyond our Energy segment’s control, including the supply of and demand for crude oil, as well as gasoline and other refined products. This supply and demand depend on, among other factors, changes in domestic and foreign economies, weather conditions, domestic and foreign political affairs, production levels, the availability of imports, the marketing of competitive fuels and the extent of government regulation. Because the petroleum business applies first-in, first-out accounting to value its inventory, crude oil price movements may impact gross margin in the short-term fluctuations in the market price of inventory. The effect of changes in crude oil prices on the petroleum business’ results of operations is influenced by the rate at which the prices of refined products adjust to reflect these changes.</w:t>
      </w:r>
    </w:p>
    <w:p>
      <w:pPr>
        <w:spacing w:after="0" w:line="182" w:lineRule="exact"/>
        <w:rPr>
          <w:sz w:val="20"/>
          <w:szCs w:val="20"/>
          <w:color w:val="auto"/>
        </w:rPr>
      </w:pPr>
    </w:p>
    <w:p>
      <w:pPr>
        <w:ind w:left="60" w:right="79" w:firstLine="324"/>
        <w:spacing w:after="0" w:line="288" w:lineRule="auto"/>
        <w:rPr>
          <w:sz w:val="20"/>
          <w:szCs w:val="20"/>
          <w:color w:val="auto"/>
        </w:rPr>
      </w:pPr>
      <w:r>
        <w:rPr>
          <w:rFonts w:ascii="Arial" w:cs="Arial" w:eastAsia="Arial" w:hAnsi="Arial"/>
          <w:sz w:val="16"/>
          <w:szCs w:val="16"/>
          <w:color w:val="auto"/>
        </w:rPr>
        <w:t>In addition to recent market conditions, such as the war between Israel and Hamas and the impact of the Russia/Ukraine conflict, there are long-term factors that may impact the demand for refined products. These factors include mandated renewable fuels standards, proposed climate change laws and regulations, and increased mileage and emissions standards for vehicles. The petroleum business is also subject to the EPA’s Renewable Fuel Standard (“RFS”), which requires the operating companies in our Energy segment to either blend “renewable fuels” with their transportation fuels or purchase renewable identification numbers (“RINs”), to the extent available, in lieu of blending, or to seek other exemptions. The price of RINs has been extremely volatile and the future cost of RINs for the petroleum business is difficult to estimate. Additionally, the cost of RINs is dependent upon a variety of factors, which include the availability of RINs for purchase, the price at which RINs can be purchased, transportation fuel production levels, the mix of the petroleum business’ petroleum products, as well as the fuel blending performed at its refineries and</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308" w:lineRule="auto"/>
        <w:rPr>
          <w:sz w:val="20"/>
          <w:szCs w:val="20"/>
          <w:color w:val="auto"/>
        </w:rPr>
      </w:pPr>
      <w:r>
        <w:rPr>
          <w:rFonts w:ascii="Arial" w:cs="Arial" w:eastAsia="Arial" w:hAnsi="Arial"/>
          <w:sz w:val="17"/>
          <w:szCs w:val="17"/>
          <w:color w:val="auto"/>
        </w:rPr>
        <w:t>downstream terminals, all of which can vary significantly from period to period. Refer to Note 18, “Commitments and Contingencies,” to the condensed consolidated financial statements for further discussion of RINs.</w:t>
      </w:r>
    </w:p>
    <w:p>
      <w:pPr>
        <w:spacing w:after="0" w:line="146"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In April 2022, our Energy segment completed a renewable diesel project at one of its refineries, which converted the refinery’s hydrocracker to a renewable diesel unit (“RDU”) capable of producing up to 100 million gallons of renewable diesel per year at a total cost of $179 million. The renewable diesel facility produces renewable diesel and has a capacity of approximately 7,500 barrels per day. Further, the conversion enables our Energy segment to capture additional benefits associated with the existing blenders’ tax credit that is currently set to expire at the end of 2024 and low carbon fuel standard programs in states such as California. Our Energy segment has additional plans to add pretreating capabilities for the RDU, which is expected to be completed in the fourth quarter of 2023, at an estimated cost of $94 million. These collective renewable efforts could reduce our Energy segment’s RFS exposure. However, impacts from recent climate change initiatives under the Biden Administration, actions taken by the courts, resulting administration actions under the RFS, and market conditions, could significantly impact the amount by which our Energy segment’s renewables business could mitigate our costs to comply with the RFS, if at all.</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w w:val="98"/>
              </w:rPr>
              <w:t>Three Months Ended</w:t>
            </w:r>
          </w:p>
        </w:tc>
        <w:tc>
          <w:tcPr>
            <w:tcW w:w="220" w:type="dxa"/>
            <w:vAlign w:val="bottom"/>
          </w:tcPr>
          <w:p>
            <w:pPr>
              <w:spacing w:after="0"/>
              <w:rPr>
                <w:sz w:val="18"/>
                <w:szCs w:val="18"/>
                <w:color w:val="auto"/>
              </w:rPr>
            </w:pPr>
          </w:p>
        </w:tc>
        <w:tc>
          <w:tcPr>
            <w:tcW w:w="194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6"/>
              </w:rPr>
              <w:t>Nine Months Ended</w:t>
            </w:r>
          </w:p>
        </w:tc>
      </w:tr>
      <w:tr>
        <w:trPr>
          <w:trHeight w:val="234"/>
        </w:trPr>
        <w:tc>
          <w:tcPr>
            <w:tcW w:w="4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194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41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2023</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r>
      <w:tr>
        <w:trPr>
          <w:trHeight w:val="128"/>
        </w:trPr>
        <w:tc>
          <w:tcPr>
            <w:tcW w:w="4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3"/>
          </w:tcPr>
          <w:p>
            <w:pPr>
              <w:jc w:val="right"/>
              <w:ind w:right="7"/>
              <w:spacing w:after="0" w:line="129" w:lineRule="exact"/>
              <w:rPr>
                <w:sz w:val="20"/>
                <w:szCs w:val="20"/>
                <w:color w:val="auto"/>
              </w:rPr>
            </w:pPr>
            <w:r>
              <w:rPr>
                <w:rFonts w:ascii="Arial" w:cs="Arial" w:eastAsia="Arial" w:hAnsi="Arial"/>
                <w:sz w:val="14"/>
                <w:szCs w:val="14"/>
                <w:color w:val="auto"/>
              </w:rPr>
              <w:t>(in millions)</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8,216</w:t>
            </w:r>
          </w:p>
        </w:tc>
      </w:tr>
      <w:tr>
        <w:trPr>
          <w:trHeight w:val="216"/>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5,964</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7,407</w:t>
            </w:r>
          </w:p>
        </w:tc>
      </w:tr>
      <w:tr>
        <w:trPr>
          <w:trHeight w:val="21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r>
      <w:tr>
        <w:trPr>
          <w:trHeight w:val="20"/>
        </w:trPr>
        <w:tc>
          <w:tcPr>
            <w:tcW w:w="4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September 30, 2023 and 2022</w:t>
      </w:r>
    </w:p>
    <w:p>
      <w:pPr>
        <w:spacing w:after="0" w:line="225"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Net sales for our Energy segment decreased by $177 million (7%) for the three months ended September 30, 2023 as compared to the comparable prior year period partially due to a decrease in our petroleum business’ net sales, which decreased $151 million. The decrease in the petroleum business’ net sales was due to a decrease in refined product prices primarily due to lower crude oil prices as the onset of the Russia/Ukraine war disrupted global energy markets in the prior period coupled with recession concerns and slowing demand trends in the current period. The decrease in the Energy segment’s net sales was also partially due to a decline of our nitrogen fertilizer business’ net sales of $26 million, primarily due to a decrease in urea ammonium nitrate (“UAN”) and ammonia pricing conditions primarily due to lower natural gas prices and deferred fertilizer demand at the retail level, offset in part by increased sales volume, which was primarily attributable to increased production at both fertilizer facilities due to operating reliability after the planned turnarounds in the third quarter of 2022.</w:t>
      </w:r>
    </w:p>
    <w:p>
      <w:pPr>
        <w:spacing w:after="0" w:line="185"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Cost of goods sold for our Energy segment decreased by $521 million (20%) for the three months ended September 30, 2023 as compared to the comparable prior year period. The decrease was primarily due to our petroleum business as a result of a decrease in net sales due to lower crude oil prices, lower costs to comply with the RFS of $8 million, excluding revaluation expense variance of $211 million driven by a decline in RIN prices coupled with an increase in RINs generated by ethanol and biodiesel blending for the three months ended September 30, 2023 compared to the prior period. Gross margin for our Energy segment increased by $344 million for the three months ended September 30, 2023 as compared to the comparable prior year period. Gross margin as a percentage of net sales was 19% and 5% for the three months ended September 30, 2023 and 2022, respectively. The increase in gross margin as a percentage of net sales was primarily attributable to the petroleum business, which was primarily due to lower RFS costs and favorable inventory valuations within the petroleum business.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Nine Months Ended September 30, 2023 and 2022</w:t>
      </w:r>
    </w:p>
    <w:p>
      <w:pPr>
        <w:spacing w:after="0" w:line="225" w:lineRule="exact"/>
        <w:rPr>
          <w:sz w:val="20"/>
          <w:szCs w:val="20"/>
          <w:color w:val="auto"/>
        </w:rPr>
      </w:pPr>
    </w:p>
    <w:p>
      <w:pPr>
        <w:ind w:left="60" w:right="259" w:firstLine="324"/>
        <w:spacing w:after="0" w:line="301" w:lineRule="auto"/>
        <w:rPr>
          <w:sz w:val="20"/>
          <w:szCs w:val="20"/>
          <w:color w:val="auto"/>
        </w:rPr>
      </w:pPr>
      <w:r>
        <w:rPr>
          <w:rFonts w:ascii="Arial" w:cs="Arial" w:eastAsia="Arial" w:hAnsi="Arial"/>
          <w:sz w:val="16"/>
          <w:szCs w:val="16"/>
          <w:color w:val="auto"/>
        </w:rPr>
        <w:t>Net sales for our Energy segment decreased by $1,171 million (14%) for the nine months ended September 30, 2023 as compared to the comparable prior year period partially due to a decrease in our petroleum business’ net sales, which decreased $1,088 million, as well as a decrease in our nitrogen fertilizer business’ net sales, which decreased $83 million over the comparable periods. The decrease in the petroleum business’ net sales was due to a decrease in refined product</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prices primarily due to lower crude oil prices as the onset of the Russia/Ukraine war disrupted global energy markets in the prior period and recession concerns and slowing demand trends in the current period. The decrease in the Energy segment’s net sales was also partially due to a decline of our nitrogen fertilizer business’ net sales of $83 million, primarily due to a decrease in UAN and ammonia pricing conditions, offset in part by increased sales volumes, which was primarily attributable to increased production at both fertilizer facilities due to operating reliability after the planned turnarounds in the third quarter of 2022.</w:t>
      </w:r>
    </w:p>
    <w:p>
      <w:pPr>
        <w:spacing w:after="0" w:line="192" w:lineRule="exact"/>
        <w:rPr>
          <w:sz w:val="20"/>
          <w:szCs w:val="20"/>
          <w:color w:val="auto"/>
        </w:rPr>
      </w:pPr>
    </w:p>
    <w:p>
      <w:pPr>
        <w:ind w:left="60" w:right="79" w:firstLine="324"/>
        <w:spacing w:after="0" w:line="253" w:lineRule="auto"/>
        <w:rPr>
          <w:sz w:val="20"/>
          <w:szCs w:val="20"/>
          <w:color w:val="auto"/>
        </w:rPr>
      </w:pPr>
      <w:r>
        <w:rPr>
          <w:rFonts w:ascii="Arial" w:cs="Arial" w:eastAsia="Arial" w:hAnsi="Arial"/>
          <w:sz w:val="18"/>
          <w:szCs w:val="18"/>
          <w:color w:val="auto"/>
        </w:rPr>
        <w:t>Cost of goods sold for our Energy segment decreased by $1,443 million (19%) for the nine months ended September 30, 2023 as compared to the comparable prior year period. The decrease was primarily due to our petroleum business as a result of a decrease in net sales due to lower crude oil prices and a favorable RINs liability revaluation of $336 million driven by a decline in RIN prices and an increase in RINs generated from ethanol and biodiesel blending, offset in part by a higher renewable volume obligation. Gross margin for our Energy segment increased by $272 million for the nine months ended September 30, 2023 as compared to the comparable prior year period. Gross margin as a percentage of net sales was 15% and 10% for the nine months ended September 30, 2023 and 2022, respectively. The increase was primarily attributable to the petroleum business, which was primarily due to lower crack spreads and a favorable RINs liability revaluation.</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Our Automotive segment’s results of operations are generally driven by the demand for automotive service and maintenance, which is impacted by general economic factors, vehicle miles traveled, and the average age of vehicles on the road, among other factors.</w:t>
      </w:r>
    </w:p>
    <w:p>
      <w:pPr>
        <w:spacing w:after="0" w:line="184" w:lineRule="exact"/>
        <w:rPr>
          <w:sz w:val="20"/>
          <w:szCs w:val="20"/>
          <w:color w:val="auto"/>
        </w:rPr>
      </w:pPr>
    </w:p>
    <w:p>
      <w:pPr>
        <w:ind w:left="60" w:right="99" w:firstLine="324"/>
        <w:spacing w:after="0" w:line="291" w:lineRule="auto"/>
        <w:rPr>
          <w:sz w:val="20"/>
          <w:szCs w:val="20"/>
          <w:color w:val="auto"/>
        </w:rPr>
      </w:pPr>
      <w:r>
        <w:rPr>
          <w:rFonts w:ascii="Arial" w:cs="Arial" w:eastAsia="Arial" w:hAnsi="Arial"/>
          <w:sz w:val="16"/>
          <w:szCs w:val="16"/>
          <w:color w:val="auto"/>
        </w:rPr>
        <w:t>Our Automotive segment has been in the process of a multi-year transformation plan. As part of this plan, during the year ended December 31, 2022, our Automotive segment completed the separation of certain of its Automotive Services and Aftermarket Parts businesses into two separate operating companies. In January 2023, Auto Plus filed a voluntary bankruptcy petition seeking relief under Chapter 11 of the Bankruptcy Code, which has reduced our Automotive segment’s assets, reduced the sales of our Automotive segment in the nine months ended September 30, 2023, and will result in lower net sales from our Automotive segment in future periods. Our results of operations for the nine months ended September 30, 2023 include the results of Auto Plus prior to its January 31, 2023 bankruptcy petition.</w:t>
      </w:r>
    </w:p>
    <w:p>
      <w:pPr>
        <w:spacing w:after="0" w:line="166" w:lineRule="exact"/>
        <w:rPr>
          <w:sz w:val="20"/>
          <w:szCs w:val="20"/>
          <w:color w:val="auto"/>
        </w:rPr>
      </w:pPr>
    </w:p>
    <w:p>
      <w:pPr>
        <w:ind w:left="60" w:right="99" w:firstLine="324"/>
        <w:spacing w:after="0" w:line="277" w:lineRule="auto"/>
        <w:rPr>
          <w:sz w:val="20"/>
          <w:szCs w:val="20"/>
          <w:color w:val="auto"/>
        </w:rPr>
      </w:pPr>
      <w:r>
        <w:rPr>
          <w:rFonts w:ascii="Arial" w:cs="Arial" w:eastAsia="Arial" w:hAnsi="Arial"/>
          <w:sz w:val="18"/>
          <w:szCs w:val="18"/>
          <w:color w:val="auto"/>
        </w:rPr>
        <w:t>Our Automotive segment’s results include AEP PLC LLC (“AEP PLC”), which acquired $10 million in assets, mainly comprised of Aftermarket Parts inventory from the Auto Plus auction.</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Automotive segment’s priorities include:</w:t>
      </w:r>
    </w:p>
    <w:p>
      <w:pPr>
        <w:spacing w:after="0" w:line="225" w:lineRule="exact"/>
        <w:rPr>
          <w:sz w:val="20"/>
          <w:szCs w:val="20"/>
          <w:color w:val="auto"/>
        </w:rPr>
      </w:pPr>
    </w:p>
    <w:p>
      <w:pPr>
        <w:ind w:left="720" w:right="279" w:hanging="319"/>
        <w:spacing w:after="0" w:line="258"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Positioning the Automotive Services business to take advantage of opportunities in the do-it-for-me market and vehicle fleets;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Improving inventory management and tire distribution network;</w:t>
      </w:r>
    </w:p>
    <w:p>
      <w:pPr>
        <w:spacing w:after="0" w:line="9" w:lineRule="exact"/>
        <w:rPr>
          <w:rFonts w:ascii="Arial" w:cs="Arial" w:eastAsia="Arial" w:hAnsi="Arial"/>
          <w:sz w:val="18"/>
          <w:szCs w:val="18"/>
          <w:color w:val="auto"/>
        </w:rPr>
      </w:pPr>
    </w:p>
    <w:p>
      <w:pPr>
        <w:ind w:left="720" w:right="219" w:hanging="319"/>
        <w:spacing w:after="0" w:line="25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 in, and strategic review of, capital projects within Icahn Automotive’s owned and leased locations to increase leasing revenue, restructure lease liabilities, and reduce occupancy costs;</w:t>
      </w: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 in customer experience initiatives and selective upgrades in facilities;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 in employees with focus on training and career development; and</w:t>
      </w:r>
    </w:p>
    <w:p>
      <w:pPr>
        <w:spacing w:after="0" w:line="9" w:lineRule="exact"/>
        <w:rPr>
          <w:rFonts w:ascii="Arial" w:cs="Arial" w:eastAsia="Arial" w:hAnsi="Arial"/>
          <w:sz w:val="18"/>
          <w:szCs w:val="18"/>
          <w:color w:val="auto"/>
        </w:rPr>
      </w:pPr>
    </w:p>
    <w:p>
      <w:pPr>
        <w:ind w:left="720" w:right="839" w:hanging="319"/>
        <w:spacing w:after="0" w:line="26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process improvements, including investments in our supply chain and information technology capabilities.</w:t>
      </w:r>
    </w:p>
    <w:p>
      <w:pPr>
        <w:spacing w:after="0" w:line="185"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auto"/>
        </w:rPr>
        <w:t>The following table presents our Automotive segment’s operating revenue, cost of revenue and gross margin. Our Automotive segment’s results of operations include Automotive Services labor along with the sale of any installed parts or materials related to Automotive Services. Automotive Services labor revenues are included in other revenues from operations in our condensed consolidated statements of operations, however, the sales of any installed parts or materials related to Automotive Services are included in net sales. Rental revenues and related expenses for properties leased to third parties, which are included in other revenues from operations and related expenses which are included in other</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308" w:lineRule="auto"/>
        <w:rPr>
          <w:sz w:val="20"/>
          <w:szCs w:val="20"/>
          <w:color w:val="auto"/>
        </w:rPr>
      </w:pPr>
      <w:r>
        <w:rPr>
          <w:rFonts w:ascii="Arial" w:cs="Arial" w:eastAsia="Arial" w:hAnsi="Arial"/>
          <w:sz w:val="17"/>
          <w:szCs w:val="17"/>
          <w:color w:val="auto"/>
        </w:rPr>
        <w:t>expenses in our condensed consolidated statements of operations, are excluded from the table below. Therefore, we discuss the combined results of our Automotive net sales and Automotive Services labor revenues below.</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3040" w:type="dxa"/>
            <w:vAlign w:val="bottom"/>
            <w:gridSpan w:val="6"/>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2780" w:type="dxa"/>
            <w:vAlign w:val="bottom"/>
            <w:gridSpan w:val="5"/>
          </w:tcPr>
          <w:p>
            <w:pPr>
              <w:jc w:val="right"/>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09"/>
        </w:trPr>
        <w:tc>
          <w:tcPr>
            <w:tcW w:w="30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r>
      <w:tr>
        <w:trPr>
          <w:trHeight w:val="129"/>
        </w:trPr>
        <w:tc>
          <w:tcPr>
            <w:tcW w:w="3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gridSpan w:val="3"/>
          </w:tcPr>
          <w:p>
            <w:pPr>
              <w:ind w:left="740"/>
              <w:spacing w:after="0" w:line="129" w:lineRule="exact"/>
              <w:rPr>
                <w:sz w:val="20"/>
                <w:szCs w:val="20"/>
                <w:color w:val="auto"/>
              </w:rPr>
            </w:pPr>
            <w:r>
              <w:rPr>
                <w:rFonts w:ascii="Arial" w:cs="Arial" w:eastAsia="Arial" w:hAnsi="Arial"/>
                <w:sz w:val="14"/>
                <w:szCs w:val="14"/>
                <w:color w:val="auto"/>
              </w:rPr>
              <w:t>(in millions)</w:t>
            </w: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02"/>
        </w:trPr>
        <w:tc>
          <w:tcPr>
            <w:tcW w:w="30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sales and other revenues from</w:t>
            </w: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9"/>
              </w:rPr>
              <w:t>612</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r>
      <w:tr>
        <w:trPr>
          <w:trHeight w:val="202"/>
        </w:trPr>
        <w:tc>
          <w:tcPr>
            <w:tcW w:w="3080" w:type="dxa"/>
            <w:vAlign w:val="bottom"/>
          </w:tcPr>
          <w:p>
            <w:pPr>
              <w:ind w:left="20"/>
              <w:spacing w:after="0" w:line="201" w:lineRule="exact"/>
              <w:rPr>
                <w:sz w:val="20"/>
                <w:szCs w:val="20"/>
                <w:color w:val="auto"/>
              </w:rPr>
            </w:pPr>
            <w:r>
              <w:rPr>
                <w:rFonts w:ascii="Arial" w:cs="Arial" w:eastAsia="Arial" w:hAnsi="Arial"/>
                <w:sz w:val="18"/>
                <w:szCs w:val="18"/>
                <w:color w:val="auto"/>
                <w:w w:val="97"/>
              </w:rPr>
              <w:t>Cost of goods sold and other expenses</w:t>
            </w: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from operations</w:t>
            </w:r>
          </w:p>
        </w:tc>
        <w:tc>
          <w:tcPr>
            <w:tcW w:w="9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99"/>
              </w:rPr>
              <w:t>429</w:t>
            </w:r>
          </w:p>
        </w:tc>
        <w:tc>
          <w:tcPr>
            <w:tcW w:w="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w:t>
            </w:r>
          </w:p>
        </w:tc>
      </w:tr>
      <w:tr>
        <w:trPr>
          <w:trHeight w:val="21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99"/>
              </w:rPr>
              <w:t>183</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r>
      <w:tr>
        <w:trPr>
          <w:trHeight w:val="20"/>
        </w:trPr>
        <w:tc>
          <w:tcPr>
            <w:tcW w:w="3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September 30, 2023 and 2022</w:t>
      </w:r>
    </w:p>
    <w:p>
      <w:pPr>
        <w:spacing w:after="0" w:line="225" w:lineRule="exact"/>
        <w:rPr>
          <w:sz w:val="20"/>
          <w:szCs w:val="20"/>
          <w:color w:val="auto"/>
        </w:rPr>
      </w:pPr>
    </w:p>
    <w:p>
      <w:pPr>
        <w:ind w:left="60" w:right="259" w:firstLine="324"/>
        <w:spacing w:after="0" w:line="296" w:lineRule="auto"/>
        <w:rPr>
          <w:sz w:val="20"/>
          <w:szCs w:val="20"/>
          <w:color w:val="auto"/>
        </w:rPr>
      </w:pPr>
      <w:r>
        <w:rPr>
          <w:rFonts w:ascii="Arial" w:cs="Arial" w:eastAsia="Arial" w:hAnsi="Arial"/>
          <w:sz w:val="16"/>
          <w:szCs w:val="16"/>
          <w:color w:val="auto"/>
        </w:rPr>
        <w:t>Net sales and other revenues from operations for our Automotive segment for the three months ended September 30, 2023 decreased by $182 million (30%) as compared to the comparable prior year period. The decrease was primarily attributable to a decrease in Aftermarket Parts sales of $178 million (88%) due to the deconsolidation of Auto Plus as of January 31, 2023. The decrease in the Automotive segment’s net sales was also partially due to a decrease in Automotive Services revenue of $4 million (1%), mainly due to lower car counts primarily from closed stores.</w:t>
      </w:r>
    </w:p>
    <w:p>
      <w:pPr>
        <w:spacing w:after="0" w:line="161" w:lineRule="exact"/>
        <w:rPr>
          <w:sz w:val="20"/>
          <w:szCs w:val="20"/>
          <w:color w:val="auto"/>
        </w:rPr>
      </w:pPr>
    </w:p>
    <w:p>
      <w:pPr>
        <w:ind w:left="60" w:right="139" w:firstLine="324"/>
        <w:spacing w:after="0" w:line="273" w:lineRule="auto"/>
        <w:rPr>
          <w:sz w:val="20"/>
          <w:szCs w:val="20"/>
          <w:color w:val="auto"/>
        </w:rPr>
      </w:pPr>
      <w:r>
        <w:rPr>
          <w:rFonts w:ascii="Arial" w:cs="Arial" w:eastAsia="Arial" w:hAnsi="Arial"/>
          <w:sz w:val="17"/>
          <w:szCs w:val="17"/>
          <w:color w:val="auto"/>
        </w:rPr>
        <w:t>Cost of goods sold and other expenses from operations for the three months ended September 30, 2023 decreased by $131 million (31%) as compared to the comparable prior year period. The decrease was primarily driven by decreased Aftermarket Parts sales related to the deconsolidation of Auto Plus. Gross margin on net sales and other revenue from operations for the three months ended September 30, 2023 decreased from the comparable prior year period. Gross margin as a percentage of net sales and other revenue from operations was 31% and 30% for the three months ended September 30, 2023 and 2022, respectively.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Nine Months Ended September 30, 2023 and 2022</w:t>
      </w:r>
    </w:p>
    <w:p>
      <w:pPr>
        <w:spacing w:after="0" w:line="225" w:lineRule="exact"/>
        <w:rPr>
          <w:sz w:val="20"/>
          <w:szCs w:val="20"/>
          <w:color w:val="auto"/>
        </w:rPr>
      </w:pPr>
    </w:p>
    <w:p>
      <w:pPr>
        <w:ind w:left="60" w:right="159" w:firstLine="324"/>
        <w:spacing w:after="0" w:line="255" w:lineRule="auto"/>
        <w:rPr>
          <w:sz w:val="20"/>
          <w:szCs w:val="20"/>
          <w:color w:val="auto"/>
        </w:rPr>
      </w:pPr>
      <w:r>
        <w:rPr>
          <w:rFonts w:ascii="Arial" w:cs="Arial" w:eastAsia="Arial" w:hAnsi="Arial"/>
          <w:sz w:val="18"/>
          <w:szCs w:val="18"/>
          <w:color w:val="auto"/>
        </w:rPr>
        <w:t>Net sales and other revenues from operations for our Automotive segment for the nine months ended September 30, 2023 decreased by $491 million (28%) as compared to the comparable prior year period. The decrease was primarily attributable to a decrease in Aftermarket Parts sales of $502 million (81%), primarily related due to the deconsolidation of Auto Plus as of January 31, 2023. Partially offsetting this decrease was an increase in Automotive Services revenue of $11 million (1%), mainly due to pricing actions in late 2022 that saw benefit through 2023, offset in part by lower car counts primarily from closed stores.</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Cost of goods sold and other expenses from operations for the nine months ended September 30, 2023 decreased by</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$320 million (26%) as compared to the comparable prior year period. The decrease was primarily driven by decreased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Aftermarket Parts sales of $502 million, primarily related to the deconsolidation of Auto Plus. Gross margin on net sales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and other revenue from operations for the nine months ended September 30, 2023 decreased from the comparable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prior year period. Gross margin as a percentage of net sales and other revenue from operations was 30% and 31% for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nine months ended September 30, 2023 and 2022, respectively.</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Food Packaging</w:t>
      </w:r>
    </w:p>
    <w:p>
      <w:pPr>
        <w:spacing w:after="0" w:line="225" w:lineRule="exact"/>
        <w:rPr>
          <w:sz w:val="20"/>
          <w:szCs w:val="20"/>
          <w:color w:val="auto"/>
        </w:rPr>
      </w:pPr>
    </w:p>
    <w:p>
      <w:pPr>
        <w:jc w:val="both"/>
        <w:ind w:left="60" w:right="419" w:firstLine="324"/>
        <w:spacing w:after="0" w:line="263" w:lineRule="auto"/>
        <w:rPr>
          <w:sz w:val="20"/>
          <w:szCs w:val="20"/>
          <w:color w:val="auto"/>
        </w:rPr>
      </w:pPr>
      <w:r>
        <w:rPr>
          <w:rFonts w:ascii="Arial" w:cs="Arial" w:eastAsia="Arial" w:hAnsi="Arial"/>
          <w:sz w:val="18"/>
          <w:szCs w:val="18"/>
          <w:color w:val="auto"/>
        </w:rPr>
        <w:t>Our Food Packaging segment’s results of operations are primarily driven by the production and sale of cellulosic, fibrous and plastic casings for the processed meat and poultry industry and derives a majority of its total net sales from customers located outside the United States.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September 30, 2023 and 2022</w:t>
      </w:r>
    </w:p>
    <w:p>
      <w:pPr>
        <w:spacing w:after="0" w:line="225" w:lineRule="exact"/>
        <w:rPr>
          <w:sz w:val="20"/>
          <w:szCs w:val="20"/>
          <w:color w:val="auto"/>
        </w:rPr>
      </w:pPr>
    </w:p>
    <w:p>
      <w:pPr>
        <w:ind w:left="60" w:right="299" w:firstLine="324"/>
        <w:spacing w:after="0" w:line="311" w:lineRule="auto"/>
        <w:rPr>
          <w:sz w:val="20"/>
          <w:szCs w:val="20"/>
          <w:color w:val="auto"/>
        </w:rPr>
      </w:pPr>
      <w:r>
        <w:rPr>
          <w:rFonts w:ascii="Arial" w:cs="Arial" w:eastAsia="Arial" w:hAnsi="Arial"/>
          <w:sz w:val="16"/>
          <w:szCs w:val="16"/>
          <w:color w:val="auto"/>
        </w:rPr>
        <w:t>Net sales for the three months ended September 30, 2023 decreased $6 million (5%) as compared to the comparable prior year period. The decrease was primarily due to lower volumes of $16 million offset in part by an increase of $9 million in price and product mix and an increase of $1 million due to the favorable effects of foreign exchange rates.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color w:val="auto"/>
        </w:rPr>
        <w:t>Cost of goods sold for the three months ended September 30, 2023 decreased $9 million (10%) compared to the comparable prior year period primarily due to effects of lower volume and improved distribution costs offset by higher purchase price variance and manufacturing variances. Gross margin as a percentage of net sales was 21% and 17% for the three months ended September 30, 2023 and 2022, respectively.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Nine Months Ended September 30, 2023 and 2022</w:t>
      </w:r>
    </w:p>
    <w:p>
      <w:pPr>
        <w:spacing w:after="0" w:line="225" w:lineRule="exact"/>
        <w:rPr>
          <w:sz w:val="20"/>
          <w:szCs w:val="20"/>
          <w:color w:val="auto"/>
        </w:rPr>
      </w:pPr>
    </w:p>
    <w:p>
      <w:pPr>
        <w:ind w:left="60" w:right="119" w:firstLine="324"/>
        <w:spacing w:after="0" w:line="273" w:lineRule="auto"/>
        <w:rPr>
          <w:sz w:val="20"/>
          <w:szCs w:val="20"/>
          <w:color w:val="auto"/>
        </w:rPr>
      </w:pPr>
      <w:r>
        <w:rPr>
          <w:rFonts w:ascii="Arial" w:cs="Arial" w:eastAsia="Arial" w:hAnsi="Arial"/>
          <w:sz w:val="17"/>
          <w:szCs w:val="17"/>
          <w:color w:val="auto"/>
        </w:rPr>
        <w:t>Net sales for the nine months ended September 30, 2023 increased $18 million (6%) as compared to the comparable prior year period. The increase was primarily due to an increase of $37 million in price and product mix, offset in part by $19 million of lower volumes. Cost of goods sold for the nine months ended September 30, 2023 increased by $1 million (0%) as compared to the comparable prior year period primarily due to the effects of higher manufacturing variances offset by lower distribution costs and volumes. Gross margin as a percentage of net sales was 22% and 18% for the nine months ended September 30, 2023 and 2022, respectively.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Real Estate</w:t>
      </w:r>
    </w:p>
    <w:p>
      <w:pPr>
        <w:spacing w:after="0" w:line="225"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auto"/>
        </w:rPr>
        <w:t>Our Real Estate segment consists of investment properties which includes land, retail, office and industrial properties leased to corporate tenants, the development and sale of single-family homes, and the operations of a resort and a country club. Sales of single-family homes and investment properties are included in net sales in our consolidated statements of operations. Results from operations at investment properties and our country club are included in other revenues from operations in our consolidated statements of operations. Revenue from our real estate operations for each of the three months ended September 30, 2023 and 2022 were primarily derived from the sale of residential units and rental operations.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September 30, 2023 and 2022</w:t>
      </w:r>
    </w:p>
    <w:p>
      <w:pPr>
        <w:spacing w:after="0" w:line="225" w:lineRule="exact"/>
        <w:rPr>
          <w:sz w:val="20"/>
          <w:szCs w:val="20"/>
          <w:color w:val="auto"/>
        </w:rPr>
      </w:pPr>
    </w:p>
    <w:p>
      <w:pPr>
        <w:ind w:left="60" w:right="119" w:firstLine="324"/>
        <w:spacing w:after="0" w:line="255" w:lineRule="auto"/>
        <w:rPr>
          <w:sz w:val="20"/>
          <w:szCs w:val="20"/>
          <w:color w:val="auto"/>
        </w:rPr>
      </w:pPr>
      <w:r>
        <w:rPr>
          <w:rFonts w:ascii="Arial" w:cs="Arial" w:eastAsia="Arial" w:hAnsi="Arial"/>
          <w:sz w:val="18"/>
          <w:szCs w:val="18"/>
          <w:color w:val="auto"/>
        </w:rPr>
        <w:t>Net sales for the three months ended September 30, 2023 increased by $15 million (107%) as compared to the comparable prior year period primarily due to the sale of an investment property of $17 million during the three months ended September 30, 2023. Cost of goods sold for the three months ended September 30, 2023 increased $11 million (122%) compared to the prior year period primarily due to the sale of an investment property which had a cost basis of $11 million. Gross margin as a percentage of net sales was 31% and 36% for the three months ended September 30, 2023 and 2022, respectively.</w:t>
      </w:r>
    </w:p>
    <w:p>
      <w:pPr>
        <w:spacing w:after="0" w:line="192" w:lineRule="exact"/>
        <w:rPr>
          <w:sz w:val="20"/>
          <w:szCs w:val="20"/>
          <w:color w:val="auto"/>
        </w:rPr>
      </w:pPr>
    </w:p>
    <w:p>
      <w:pPr>
        <w:ind w:left="60" w:right="119" w:firstLine="324"/>
        <w:spacing w:after="0" w:line="259" w:lineRule="auto"/>
        <w:rPr>
          <w:sz w:val="20"/>
          <w:szCs w:val="20"/>
          <w:color w:val="auto"/>
        </w:rPr>
      </w:pPr>
      <w:r>
        <w:rPr>
          <w:rFonts w:ascii="Arial" w:cs="Arial" w:eastAsia="Arial" w:hAnsi="Arial"/>
          <w:sz w:val="18"/>
          <w:szCs w:val="18"/>
          <w:color w:val="auto"/>
        </w:rPr>
        <w:t>Other revenues from operations for the three months ended September 30, 2023 increased by $3 million (16%) as compared to the comparable prior year period primarily due to increased occupancy and hotel rates at our resort and increased membership fees at our country club. Other expenses from operations for the three months ended September 30, 2023 increased $1 million (6%) compared to the prior year period.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Nine Months Ended September 30, 2023 and 2022</w:t>
      </w:r>
    </w:p>
    <w:p>
      <w:pPr>
        <w:spacing w:after="0" w:line="225" w:lineRule="exact"/>
        <w:rPr>
          <w:sz w:val="20"/>
          <w:szCs w:val="20"/>
          <w:color w:val="auto"/>
        </w:rPr>
      </w:pPr>
    </w:p>
    <w:p>
      <w:pPr>
        <w:jc w:val="both"/>
        <w:ind w:left="60" w:right="139" w:firstLine="324"/>
        <w:spacing w:after="0" w:line="259" w:lineRule="auto"/>
        <w:rPr>
          <w:sz w:val="20"/>
          <w:szCs w:val="20"/>
          <w:color w:val="auto"/>
        </w:rPr>
      </w:pPr>
      <w:r>
        <w:rPr>
          <w:rFonts w:ascii="Arial" w:cs="Arial" w:eastAsia="Arial" w:hAnsi="Arial"/>
          <w:sz w:val="18"/>
          <w:szCs w:val="18"/>
          <w:color w:val="auto"/>
        </w:rPr>
        <w:t>Net sales for the nine months ended September 30, 2023 increased by $1 million (2%) as compared to the comparable prior year period. Cost of goods sold for the nine months ended September 30, 2023 increased $3 million (10%) compared to the prior year period. Gross margin as a percentage of net sales was 31% and 35% for the nine months ended September 30, 2023 and 2022, respectively.</w:t>
      </w:r>
    </w:p>
    <w:p>
      <w:pPr>
        <w:spacing w:after="0" w:line="187"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Other revenues from operations for the nine months ended September 30, 2023 increased by $15 million (35%) as compared to the comparable prior year period primarily due to a lease termination of $5 million on an investment property and increased related party leases of $3 million during the nine months ended September 30, 2023. Other expenses from operations for the nine months ended September 30, 2023 increased $7 million (17%) compared to the prior year period primarily due to higher expenses related to a lease default that occurred at an investment property in the nine months ended September 30, 2023.</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Home Fashion</w:t>
      </w:r>
    </w:p>
    <w:p>
      <w:pPr>
        <w:spacing w:after="0" w:line="225" w:lineRule="exact"/>
        <w:rPr>
          <w:sz w:val="20"/>
          <w:szCs w:val="20"/>
          <w:color w:val="auto"/>
        </w:rPr>
      </w:pPr>
    </w:p>
    <w:p>
      <w:pPr>
        <w:ind w:left="60" w:right="459" w:firstLine="324"/>
        <w:spacing w:after="0" w:line="277" w:lineRule="auto"/>
        <w:rPr>
          <w:sz w:val="20"/>
          <w:szCs w:val="20"/>
          <w:color w:val="auto"/>
        </w:rPr>
      </w:pPr>
      <w:r>
        <w:rPr>
          <w:rFonts w:ascii="Arial" w:cs="Arial" w:eastAsia="Arial" w:hAnsi="Arial"/>
          <w:sz w:val="18"/>
          <w:szCs w:val="18"/>
          <w:color w:val="auto"/>
        </w:rPr>
        <w:t>Our Home Fashion segment is significantly influenced by the overall economic environment, including consumer spending, at the retail level, for home textile products.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September 30, 2023 and 2022</w:t>
      </w:r>
    </w:p>
    <w:p>
      <w:pPr>
        <w:spacing w:after="0" w:line="225"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Net sales for the three months ended September 30, 2023 decreased by $3 million (6%) as compared to the comparable prior year period mostly due to normalized demand for our hospitality business in 2023 compared to a post pandemic related increase in demand in 2022 and a one-time textile award for the 2022 FIFA World Cup. Retail sales decreased as the soft home category has slowed, retailers have trimmed inventory and some retail customers have filed for bankruptcy. Cost of goods sold for the three months ended September 30, 2023 decreased by $5 million (12%) compared to the comparable prior year period mostly due to lower hospitality and retail sales along with lower material and freight costs. Gross margin as a percentage of net sales was 20% and 14% for the three months ended September 30, 2023 and 2022, respectively.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Nine Months Ended September 30, 2023 and 2022</w:t>
      </w:r>
    </w:p>
    <w:p>
      <w:pPr>
        <w:spacing w:after="0" w:line="225" w:lineRule="exact"/>
        <w:rPr>
          <w:sz w:val="20"/>
          <w:szCs w:val="20"/>
          <w:color w:val="auto"/>
        </w:rPr>
      </w:pPr>
    </w:p>
    <w:p>
      <w:pPr>
        <w:ind w:left="60" w:right="159" w:firstLine="324"/>
        <w:spacing w:after="0" w:line="271" w:lineRule="auto"/>
        <w:rPr>
          <w:sz w:val="20"/>
          <w:szCs w:val="20"/>
          <w:color w:val="auto"/>
        </w:rPr>
      </w:pPr>
      <w:r>
        <w:rPr>
          <w:rFonts w:ascii="Arial" w:cs="Arial" w:eastAsia="Arial" w:hAnsi="Arial"/>
          <w:sz w:val="17"/>
          <w:szCs w:val="17"/>
          <w:color w:val="auto"/>
        </w:rPr>
        <w:t>Net sales for the nine months ended September 30, 2023 decreased by $41 million (24%) as compared to the comparable prior year period mostly due to normalized demand for our hospitality business in 2023 compared to a post pandemic related increase in demand in 2022 and a one-time textile award for the 2022 FIFA World Cup. Retail sales decreased as the soft home category has slowed, retailers have trimmed inventory and some retail customers have filed for bankruptcy. Cost of goods sold for the nine months ended September 30, 2023 decreased by $40 million (28%) compared to the comparable prior year period mostly due to lower hospitality and retail sales along with lower material and freight costs. Gross margin as a percentage of net sales was 21% and 17% for the nine months ended September 30, 2023 and 2022, respectively.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Pharma</w:t>
      </w:r>
    </w:p>
    <w:p>
      <w:pPr>
        <w:spacing w:after="0" w:line="225"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Our Pharma segment derives revenues primarily from the sale of its products directly to customers, wholesalers and pharmacies.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September 30, 2023 and 2022</w:t>
      </w:r>
    </w:p>
    <w:p>
      <w:pPr>
        <w:spacing w:after="0" w:line="225" w:lineRule="exact"/>
        <w:rPr>
          <w:sz w:val="20"/>
          <w:szCs w:val="20"/>
          <w:color w:val="auto"/>
        </w:rPr>
      </w:pPr>
    </w:p>
    <w:p>
      <w:pPr>
        <w:ind w:left="60" w:right="179" w:firstLine="324"/>
        <w:spacing w:after="0" w:line="257" w:lineRule="auto"/>
        <w:rPr>
          <w:sz w:val="20"/>
          <w:szCs w:val="20"/>
          <w:color w:val="auto"/>
        </w:rPr>
      </w:pPr>
      <w:r>
        <w:rPr>
          <w:rFonts w:ascii="Arial" w:cs="Arial" w:eastAsia="Arial" w:hAnsi="Arial"/>
          <w:sz w:val="18"/>
          <w:szCs w:val="18"/>
          <w:color w:val="auto"/>
        </w:rPr>
        <w:t>Net sales for the three months ended September 30, 2023 increased by $12 million (92%) as compared to the comparable prior year period primarily due to higher prescription growth resulting in increased sales. Cost of goods sold for the three months ended September 30, 2023 increased $4 million (36%) compared to the comparable prior year period due to increased sales. Gross margin as a percentage of net sales was 40% and 15% for the three months ended September 30, 2023 and 2022, respectively.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Nine Months Ended September 30, 2023 and 2022</w:t>
      </w:r>
    </w:p>
    <w:p>
      <w:pPr>
        <w:spacing w:after="0" w:line="225" w:lineRule="exact"/>
        <w:rPr>
          <w:sz w:val="20"/>
          <w:szCs w:val="20"/>
          <w:color w:val="auto"/>
        </w:rPr>
      </w:pPr>
    </w:p>
    <w:p>
      <w:pPr>
        <w:ind w:left="60" w:right="299" w:firstLine="324"/>
        <w:spacing w:after="0" w:line="257" w:lineRule="auto"/>
        <w:rPr>
          <w:sz w:val="20"/>
          <w:szCs w:val="20"/>
          <w:color w:val="auto"/>
        </w:rPr>
      </w:pPr>
      <w:r>
        <w:rPr>
          <w:rFonts w:ascii="Arial" w:cs="Arial" w:eastAsia="Arial" w:hAnsi="Arial"/>
          <w:sz w:val="18"/>
          <w:szCs w:val="18"/>
          <w:color w:val="auto"/>
        </w:rPr>
        <w:t>Net sales for the nine months ended September 30, 2023 increased by $22 million (48%) as compared to the comparable prior year period primarily due to higher prescription growth resulting in increased sales. Cost of goods sold for the nine months ended September 30, 2023 increased $6 million (17%) compared to the prior year period due to increased sales. Gross margin as a percentage of net sales was 40% and 24% for the nine months ended September 30, 2023 and 2022, respectively.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Holding Company</w:t>
      </w:r>
    </w:p>
    <w:p>
      <w:pPr>
        <w:spacing w:after="0" w:line="225" w:lineRule="exact"/>
        <w:rPr>
          <w:sz w:val="20"/>
          <w:szCs w:val="20"/>
          <w:color w:val="auto"/>
        </w:rPr>
      </w:pPr>
    </w:p>
    <w:p>
      <w:pPr>
        <w:jc w:val="both"/>
        <w:ind w:left="60" w:right="299" w:firstLine="324"/>
        <w:spacing w:after="0" w:line="263" w:lineRule="auto"/>
        <w:rPr>
          <w:sz w:val="20"/>
          <w:szCs w:val="20"/>
          <w:color w:val="auto"/>
        </w:rPr>
      </w:pPr>
      <w:r>
        <w:rPr>
          <w:rFonts w:ascii="Arial" w:cs="Arial" w:eastAsia="Arial" w:hAnsi="Arial"/>
          <w:sz w:val="18"/>
          <w:szCs w:val="18"/>
          <w:color w:val="auto"/>
        </w:rPr>
        <w:t>Our Holding Company’s results of operations primarily reflect the loss on deconsolidation of one of its subsidiaries, credit loss on its related party note receivable, and net and interest expense on its senior unsecured notes for each of the three and nine months ended September 30, 2023 and 2022.</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Consolidated Results of Operations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Loss on deconsolidation of subsidiary</w:t>
      </w:r>
    </w:p>
    <w:p>
      <w:pPr>
        <w:spacing w:after="0" w:line="229" w:lineRule="exact"/>
        <w:rPr>
          <w:sz w:val="20"/>
          <w:szCs w:val="20"/>
          <w:color w:val="auto"/>
        </w:rPr>
      </w:pPr>
    </w:p>
    <w:p>
      <w:pPr>
        <w:jc w:val="both"/>
        <w:ind w:left="60" w:right="299" w:firstLine="360"/>
        <w:spacing w:after="0" w:line="263" w:lineRule="auto"/>
        <w:rPr>
          <w:sz w:val="20"/>
          <w:szCs w:val="20"/>
          <w:color w:val="auto"/>
        </w:rPr>
      </w:pPr>
      <w:r>
        <w:rPr>
          <w:rFonts w:ascii="Arial" w:cs="Arial" w:eastAsia="Arial" w:hAnsi="Arial"/>
          <w:sz w:val="18"/>
          <w:szCs w:val="18"/>
          <w:color w:val="auto"/>
        </w:rPr>
        <w:t>As discussed in Note 3, “Subsidiary Bankruptcy and Deconsolidation”, to the consolidated financial statements, we deconsolidated Auto Plus effective as of January 31, 2023, resulting in a pretax loss on deconsolidation of subsidiary of $246 million during the nine months ended September 30, 2023.</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Credit loss on related party note receivable</w:t>
      </w:r>
    </w:p>
    <w:p>
      <w:pPr>
        <w:spacing w:after="0" w:line="229" w:lineRule="exact"/>
        <w:rPr>
          <w:sz w:val="20"/>
          <w:szCs w:val="20"/>
          <w:color w:val="auto"/>
        </w:rPr>
      </w:pPr>
    </w:p>
    <w:p>
      <w:pPr>
        <w:ind w:left="60" w:right="179" w:firstLine="324"/>
        <w:spacing w:after="0" w:line="277" w:lineRule="auto"/>
        <w:rPr>
          <w:sz w:val="20"/>
          <w:szCs w:val="20"/>
          <w:color w:val="auto"/>
        </w:rPr>
      </w:pPr>
      <w:r>
        <w:rPr>
          <w:rFonts w:ascii="Arial" w:cs="Arial" w:eastAsia="Arial" w:hAnsi="Arial"/>
          <w:sz w:val="18"/>
          <w:szCs w:val="18"/>
          <w:color w:val="auto"/>
        </w:rPr>
        <w:t>Our credit loss on related party note receivable of $139 million for the nine months ended September 30, 2023 relates to the note receivable expected to be uncollectible.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September 30, 2023 and 2022</w:t>
      </w:r>
    </w:p>
    <w:p>
      <w:pPr>
        <w:spacing w:after="0" w:line="225" w:lineRule="exact"/>
        <w:rPr>
          <w:sz w:val="20"/>
          <w:szCs w:val="20"/>
          <w:color w:val="auto"/>
        </w:rPr>
      </w:pPr>
    </w:p>
    <w:p>
      <w:pPr>
        <w:ind w:left="60" w:right="299" w:firstLine="324"/>
        <w:spacing w:after="0" w:line="263" w:lineRule="auto"/>
        <w:rPr>
          <w:sz w:val="20"/>
          <w:szCs w:val="20"/>
          <w:color w:val="auto"/>
        </w:rPr>
      </w:pPr>
      <w:r>
        <w:rPr>
          <w:rFonts w:ascii="Arial" w:cs="Arial" w:eastAsia="Arial" w:hAnsi="Arial"/>
          <w:sz w:val="18"/>
          <w:szCs w:val="18"/>
          <w:color w:val="auto"/>
        </w:rPr>
        <w:t>Our consolidated selling, general and administrative costs during the three months ended September 30, 2023 decreased by $96 million (31%) as compared to the comparable prior year period primarily due to lower expenses of our Automotive segment mainly related to the deconsolidation of Auto Plus.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Nine Months Ended September 30, 2023 and 2022</w:t>
      </w:r>
    </w:p>
    <w:p>
      <w:pPr>
        <w:spacing w:after="0" w:line="225"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color w:val="auto"/>
        </w:rPr>
        <w:t>Our consolidated selling, general and administrative costs during the nine months ended September 30, 2023 decreased by $268 million (29%) as compared to the comparable prior year period primarily due to lower expenses of our Automotive segment mainly related to the deconsolidation of Auto Plus.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September 30, 2023 and 2022</w:t>
      </w:r>
    </w:p>
    <w:p>
      <w:pPr>
        <w:spacing w:after="0" w:line="225" w:lineRule="exact"/>
        <w:rPr>
          <w:sz w:val="20"/>
          <w:szCs w:val="20"/>
          <w:color w:val="auto"/>
        </w:rPr>
      </w:pPr>
    </w:p>
    <w:p>
      <w:pPr>
        <w:ind w:left="60" w:right="159" w:firstLine="324"/>
        <w:spacing w:after="0" w:line="311" w:lineRule="auto"/>
        <w:rPr>
          <w:sz w:val="20"/>
          <w:szCs w:val="20"/>
          <w:color w:val="auto"/>
        </w:rPr>
      </w:pPr>
      <w:r>
        <w:rPr>
          <w:rFonts w:ascii="Arial" w:cs="Arial" w:eastAsia="Arial" w:hAnsi="Arial"/>
          <w:sz w:val="16"/>
          <w:szCs w:val="16"/>
          <w:color w:val="auto"/>
        </w:rPr>
        <w:t>Our consolidated interest expense during the three months ended September 30, 2023 increased by $9 million (6%) as compared to the comparable prior year period. The increase was primarily due to higher interest expense for our Investment segment of $7 million due to higher rates on broker balances and increased short corporate bond exposure.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Nine Months Ended September 30, 2023 and 2022</w:t>
      </w:r>
    </w:p>
    <w:p>
      <w:pPr>
        <w:spacing w:after="0" w:line="225"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Our consolidated interest expense during the nine months ended September 30, 2023 increased by $2 million (0%) as compared to the comparable prior year period. The increase was primarily due to our Investment segment of $5 million mainly due to higher rates on broker balances and increased short corporate bond exposure, offset in part by lower interest expense for our Holding Company.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Certain of our subsidiaries are partnerships not subject to taxation in our condensed consolidated financial statements and certain other subsidiaries are corporations, or subsidiaries of corporations, subject to taxation in our condensed consolidated financial statements. Therefore, our consolidated effective tax rate generally differs from the statutory federal tax rate. Refer to Note 15, “Income Taxes,” to the condensed consolidated financial statements for a discussion of income taxes.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Holding Company Liquidity</w:t>
      </w:r>
    </w:p>
    <w:p>
      <w:pPr>
        <w:spacing w:after="0" w:line="225"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We are a holding company. Our cash flow and our ability to meet our debt service obligations and make distributions with respect to depositary units depends on the cash flow resulting from divestitures, equity offerings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and distributions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182" w:lineRule="exact"/>
        <w:rPr>
          <w:sz w:val="20"/>
          <w:szCs w:val="20"/>
          <w:color w:val="auto"/>
        </w:rPr>
      </w:pPr>
    </w:p>
    <w:p>
      <w:pPr>
        <w:ind w:left="60" w:right="59" w:firstLine="324"/>
        <w:spacing w:after="0" w:line="255" w:lineRule="auto"/>
        <w:rPr>
          <w:sz w:val="20"/>
          <w:szCs w:val="20"/>
          <w:color w:val="auto"/>
        </w:rPr>
      </w:pPr>
      <w:r>
        <w:rPr>
          <w:rFonts w:ascii="Arial" w:cs="Arial" w:eastAsia="Arial" w:hAnsi="Arial"/>
          <w:sz w:val="18"/>
          <w:szCs w:val="18"/>
          <w:color w:val="auto"/>
        </w:rPr>
        <w:t>As of September 30, 2023, our Holding Company had cash and cash equivalents of approximately $1.8 billion and total debt of approximately $5.3 billion. As of September 30, 2023, our Holding Company had investments in the Investment Funds with a total fair market value of approximately $3.6 billion. We may redeem our direct investment in the Investment Funds upon notice. See “Investment Segment Liquidity” below for additional information with respect to our Investment segment liquidity. See “Consolidated Cash Flows” below for additional information with respect to our Holding Company liquidity.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Holding Company Borrowings and Availability</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28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2022</w:t>
            </w:r>
          </w:p>
        </w:tc>
      </w:tr>
      <w:tr>
        <w:trPr>
          <w:trHeight w:val="128"/>
        </w:trPr>
        <w:tc>
          <w:tcPr>
            <w:tcW w:w="6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3"/>
          </w:tcPr>
          <w:p>
            <w:pPr>
              <w:ind w:left="600"/>
              <w:spacing w:after="0" w:line="129" w:lineRule="exact"/>
              <w:rPr>
                <w:sz w:val="20"/>
                <w:szCs w:val="20"/>
                <w:color w:val="auto"/>
              </w:rPr>
            </w:pPr>
            <w:r>
              <w:rPr>
                <w:rFonts w:ascii="Arial" w:cs="Arial" w:eastAsia="Arial" w:hAnsi="Arial"/>
                <w:sz w:val="14"/>
                <w:szCs w:val="14"/>
                <w:color w:val="auto"/>
              </w:rPr>
              <w:t>(in millions)</w:t>
            </w:r>
          </w:p>
        </w:tc>
        <w:tc>
          <w:tcPr>
            <w:tcW w:w="780" w:type="dxa"/>
            <w:vAlign w:val="bottom"/>
          </w:tcPr>
          <w:p>
            <w:pPr>
              <w:spacing w:after="0"/>
              <w:rPr>
                <w:sz w:val="11"/>
                <w:szCs w:val="1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4.750% senior unsecured notes due 2024</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6.375% senior unsecured notes due 2025</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749</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6.250% senior unsecured notes due 2026</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5.250% senior unsecured notes due 2027</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1,460</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4.375% senior unsecured notes due 2029</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r>
      <w:tr>
        <w:trPr>
          <w:trHeight w:val="210"/>
        </w:trPr>
        <w:tc>
          <w:tcPr>
            <w:tcW w:w="652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5,308</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5,309</w:t>
            </w:r>
          </w:p>
        </w:tc>
      </w:tr>
      <w:tr>
        <w:trPr>
          <w:trHeight w:val="20"/>
        </w:trPr>
        <w:tc>
          <w:tcPr>
            <w:tcW w:w="6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159" w:firstLine="324"/>
        <w:spacing w:after="0" w:line="263" w:lineRule="auto"/>
        <w:rPr>
          <w:sz w:val="20"/>
          <w:szCs w:val="20"/>
          <w:color w:val="auto"/>
        </w:rPr>
      </w:pPr>
      <w:r>
        <w:rPr>
          <w:rFonts w:ascii="Arial" w:cs="Arial" w:eastAsia="Arial" w:hAnsi="Arial"/>
          <w:sz w:val="18"/>
          <w:szCs w:val="18"/>
          <w:color w:val="auto"/>
        </w:rPr>
        <w:t>Holding Company debt consists of various issues of fixed-rate senior unsecured notes issued by Icahn Enterprises and Icahn Enterprises Finance Corp. (together the “Issuers”) and guaranteed by Icahn Enterprises Holdings (the “Guarantor”). Interest on each tranche of senior unsecured notes is payable semi-annually.</w:t>
      </w:r>
    </w:p>
    <w:p>
      <w:pPr>
        <w:spacing w:after="0" w:line="184" w:lineRule="exact"/>
        <w:rPr>
          <w:sz w:val="20"/>
          <w:szCs w:val="20"/>
          <w:color w:val="auto"/>
        </w:rPr>
      </w:pPr>
    </w:p>
    <w:p>
      <w:pPr>
        <w:ind w:left="60" w:right="119" w:firstLine="324"/>
        <w:spacing w:after="0" w:line="272" w:lineRule="auto"/>
        <w:rPr>
          <w:sz w:val="20"/>
          <w:szCs w:val="20"/>
          <w:color w:val="auto"/>
        </w:rPr>
      </w:pPr>
      <w:r>
        <w:rPr>
          <w:rFonts w:ascii="Arial" w:cs="Arial" w:eastAsia="Arial" w:hAnsi="Arial"/>
          <w:sz w:val="17"/>
          <w:szCs w:val="17"/>
          <w:color w:val="auto"/>
        </w:rPr>
        <w:t>Each of our senior unsecured notes and the related guarantees are the senior unsecured obligations of the Issuers and rank equally with all of the Issuers’ and the Guarantor’s existing and future senior unsecured indebtedness and senior to all of the Issuers’ and the Guarantor’s existing and future subordinated indebtedness. Each of our senior unsecured notes and the related guarantees are effectively subordinated to the Issuers’ and the Guarantor’s existing and future secured indebtedness to the extent of the collateral securing such indebtedness. Each of our senior unsecured notes and the related guarantees are also effectively subordinated to all indebtedness and other liabilities of the Issuers’ subsidiaries other than the Guarantor.</w:t>
      </w:r>
    </w:p>
    <w:p>
      <w:pPr>
        <w:spacing w:after="0" w:line="177" w:lineRule="exact"/>
        <w:rPr>
          <w:sz w:val="20"/>
          <w:szCs w:val="20"/>
          <w:color w:val="auto"/>
        </w:rPr>
      </w:pPr>
    </w:p>
    <w:p>
      <w:pPr>
        <w:ind w:left="60" w:right="159" w:firstLine="324"/>
        <w:spacing w:after="0" w:line="293" w:lineRule="auto"/>
        <w:rPr>
          <w:sz w:val="20"/>
          <w:szCs w:val="20"/>
          <w:color w:val="auto"/>
        </w:rPr>
      </w:pPr>
      <w:r>
        <w:rPr>
          <w:rFonts w:ascii="Arial" w:cs="Arial" w:eastAsia="Arial" w:hAnsi="Arial"/>
          <w:sz w:val="16"/>
          <w:szCs w:val="16"/>
          <w:color w:val="auto"/>
        </w:rPr>
        <w:t>The indentures governing our senior unsecured notes described above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Icahn Enterprises and the guarantor of the notes (currently only Icahn Enterprises Holdings) maintain certain minimum financial ratios, as defined therein. The indentures also restrict the creation of liens, mergers, consolidations and sales of</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311" w:lineRule="auto"/>
        <w:rPr>
          <w:sz w:val="20"/>
          <w:szCs w:val="20"/>
          <w:color w:val="auto"/>
        </w:rPr>
      </w:pPr>
      <w:r>
        <w:rPr>
          <w:rFonts w:ascii="Arial" w:cs="Arial" w:eastAsia="Arial" w:hAnsi="Arial"/>
          <w:sz w:val="16"/>
          <w:szCs w:val="16"/>
          <w:color w:val="auto"/>
        </w:rPr>
        <w:t>substantially all of our assets, and transactions with affiliates. Additionally, the 4.750% senior unsecured notes due 2024, the 6.375% senior unsecured notes due 2025 and the 6.250% senior unsecured notes due 2026 are subject to optional redemption premiums in the event we redeem any of the notes prior to certain dates as described in the indentures.</w:t>
      </w:r>
    </w:p>
    <w:p>
      <w:pPr>
        <w:spacing w:after="0" w:line="149" w:lineRule="exact"/>
        <w:rPr>
          <w:sz w:val="20"/>
          <w:szCs w:val="20"/>
          <w:color w:val="auto"/>
        </w:rPr>
      </w:pPr>
    </w:p>
    <w:p>
      <w:pPr>
        <w:jc w:val="both"/>
        <w:ind w:left="60" w:right="99" w:firstLine="324"/>
        <w:spacing w:after="0" w:line="279" w:lineRule="auto"/>
        <w:rPr>
          <w:sz w:val="20"/>
          <w:szCs w:val="20"/>
          <w:color w:val="auto"/>
        </w:rPr>
      </w:pPr>
      <w:r>
        <w:rPr>
          <w:rFonts w:ascii="Arial" w:cs="Arial" w:eastAsia="Arial" w:hAnsi="Arial"/>
          <w:sz w:val="17"/>
          <w:szCs w:val="17"/>
          <w:color w:val="auto"/>
        </w:rPr>
        <w:t>As of September 30, 2023 and December 31, 2022, we were in compliance with all covenants, including maintaining certain minimum financial ratios, as defined in the indentures. Additionally, as of September 30, 2023, based on covenants in the indentures governing our senior unsecured notes, we are not permitted to incur additional indebtedness; however, we are permitted to issue new notes in connection with debt refinancings of existing notes.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At-The-Market Offerings</w:t>
      </w:r>
    </w:p>
    <w:p>
      <w:pPr>
        <w:spacing w:after="0" w:line="225"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During the nine months ended September 30, 2023, Icahn Enterprises sold 3,395,353 depositary units pursuant to its Open Market Sale Agreement, resulting in gross proceeds of $175 million. We continue to have an Open Market Sale Agreement and Icahn Enterprises may sell its depositary units for up to an additional $149 million in aggregate gross sale proceeds pursuant to this agreement. No assurance can be made that any or all amounts will be sold during the term of the agreement, and we have no obligation to sell additional depositary units under the Open Market Sale Agreement. Depending on market conditions, we may continue to sell depositary units under the Open Market Sale Agreement, and, if appropriate, enter into a new Open Market Sale Agreement to continue our “at-the-market” sales program once we have sold the full amount of our existing Open Market Sale Agreement. Our ability to access remaining capital under our “at-the-market” program may be limited by market conditions at the time of any future potential sale. While we were able to sell depositary units during the nine months ended September 30, 2023 (all of which were completed during the three months ended March 31, 2023), there can be no assurance that any future capital will be available on acceptable terms or at all under this program.</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LP Unit Distributions</w:t>
      </w:r>
    </w:p>
    <w:p>
      <w:pPr>
        <w:spacing w:after="0" w:line="225" w:lineRule="exact"/>
        <w:rPr>
          <w:sz w:val="20"/>
          <w:szCs w:val="20"/>
          <w:color w:val="auto"/>
        </w:rPr>
      </w:pPr>
    </w:p>
    <w:p>
      <w:pPr>
        <w:ind w:left="60" w:right="99" w:firstLine="324"/>
        <w:spacing w:after="0" w:line="301" w:lineRule="auto"/>
        <w:rPr>
          <w:sz w:val="20"/>
          <w:szCs w:val="20"/>
          <w:color w:val="auto"/>
        </w:rPr>
      </w:pPr>
      <w:r>
        <w:rPr>
          <w:rFonts w:ascii="Arial" w:cs="Arial" w:eastAsia="Arial" w:hAnsi="Arial"/>
          <w:sz w:val="16"/>
          <w:szCs w:val="16"/>
          <w:color w:val="auto"/>
        </w:rPr>
        <w:t>During the nine months ended September 30, 2023, Icahn Enterprises declared three quarterly dividends aggregating $5.00 per depositary unit in which each depositary unitholder had the option to make an election to receive either cash or additional depositary units. In connection with these distributions, aggregate cash distributions to all depositary unitholders that made a timely election to receive cash was $190 million during the nine months ended September 30, 2023.</w:t>
      </w:r>
    </w:p>
    <w:p>
      <w:pPr>
        <w:spacing w:after="0" w:line="157" w:lineRule="exact"/>
        <w:rPr>
          <w:sz w:val="20"/>
          <w:szCs w:val="20"/>
          <w:color w:val="auto"/>
        </w:rPr>
      </w:pPr>
    </w:p>
    <w:p>
      <w:pPr>
        <w:ind w:left="60" w:right="99" w:firstLine="324"/>
        <w:spacing w:after="0" w:line="289" w:lineRule="auto"/>
        <w:rPr>
          <w:sz w:val="20"/>
          <w:szCs w:val="20"/>
          <w:color w:val="auto"/>
        </w:rPr>
      </w:pPr>
      <w:r>
        <w:rPr>
          <w:rFonts w:ascii="Arial" w:cs="Arial" w:eastAsia="Arial" w:hAnsi="Arial"/>
          <w:sz w:val="16"/>
          <w:szCs w:val="16"/>
          <w:color w:val="auto"/>
        </w:rPr>
        <w:t>On November 1, 2023, the Board of Directors of the general partner of Icahn Enterprises declared a quarterly distribution in the amount of $1.00 per depositary unit, which will be paid on or about December 27, 2023 to depositary unitholders of record at the close of business on November 17, 2023. Depositary unitholders will have until December 15, 2023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December 22, 2023. Icahn Enterprises will make a cash payment in lieu of issuing fractional depositary units to any unitholders electing to receive (or who are deemed to have elected to receive) depositary units.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Repurchase Authorization</w:t>
      </w:r>
    </w:p>
    <w:p>
      <w:pPr>
        <w:spacing w:after="0" w:line="225" w:lineRule="exact"/>
        <w:rPr>
          <w:sz w:val="20"/>
          <w:szCs w:val="20"/>
          <w:color w:val="auto"/>
        </w:rPr>
      </w:pPr>
    </w:p>
    <w:p>
      <w:pPr>
        <w:ind w:left="60" w:right="119" w:firstLine="324"/>
        <w:spacing w:after="0" w:line="289" w:lineRule="auto"/>
        <w:rPr>
          <w:sz w:val="20"/>
          <w:szCs w:val="20"/>
          <w:color w:val="auto"/>
        </w:rPr>
      </w:pPr>
      <w:r>
        <w:rPr>
          <w:rFonts w:ascii="Arial" w:cs="Arial" w:eastAsia="Arial" w:hAnsi="Arial"/>
          <w:sz w:val="16"/>
          <w:szCs w:val="16"/>
          <w:color w:val="auto"/>
        </w:rPr>
        <w:t>On May 9, 2023, the Board of Directors of Icahn Enterprises GP, the Company’s General Partner, approved a repurchase program which authorizes Icahn Enterprises or affiliates of Icahn Enterprises to repurchase up to an aggregate of $500 million worth of any of our outstanding fixed-rate senior unsecured notes issued by Icahn Enterprises and Icahn Enterprises Finance Corp. and up to an aggregate of $500 million worth of the depositary units issued by Icahn Enterprises (the “Repurchase Program”). The repurchases of senior notes or depositary units may be done for cash from time to time in the open market, through tender offers or in privately negotiated transactions upon such terms and at such prices as management may determine. The authorization of the Repurchase Program is for an indefinite term and does not expire until later terminated by the Board of Directors of Icahn Enterprises GP. As of September 30, 2023, the Company has not repurchased any of the Company’s depositary units or senior notes under the Repurchase Program.</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Partial Sale of Interests in Consolidated Subsidiaries</w:t>
      </w:r>
    </w:p>
    <w:p>
      <w:pPr>
        <w:spacing w:after="0" w:line="225" w:lineRule="exact"/>
        <w:rPr>
          <w:sz w:val="20"/>
          <w:szCs w:val="20"/>
          <w:color w:val="auto"/>
        </w:rPr>
      </w:pPr>
    </w:p>
    <w:p>
      <w:pPr>
        <w:ind w:left="60" w:right="119" w:firstLine="324"/>
        <w:spacing w:after="0" w:line="263" w:lineRule="auto"/>
        <w:rPr>
          <w:sz w:val="20"/>
          <w:szCs w:val="20"/>
          <w:color w:val="auto"/>
        </w:rPr>
      </w:pPr>
      <w:r>
        <w:rPr>
          <w:rFonts w:ascii="Arial" w:cs="Arial" w:eastAsia="Arial" w:hAnsi="Arial"/>
          <w:sz w:val="18"/>
          <w:szCs w:val="18"/>
          <w:color w:val="auto"/>
        </w:rPr>
        <w:t>During the third quarter of 2023, we decreased our ownership in CVR Energy through the sale of common stock resulting in proceeds of $158 million and as of September 30, 2023, we owned approximately 66% of the total outstanding common stock of CVR Energy, compared to 71% as of June 30, 2023.</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Captive Insurance Program</w:t>
      </w:r>
    </w:p>
    <w:p>
      <w:pPr>
        <w:spacing w:after="0" w:line="225" w:lineRule="exact"/>
        <w:rPr>
          <w:sz w:val="20"/>
          <w:szCs w:val="20"/>
          <w:color w:val="auto"/>
        </w:rPr>
      </w:pPr>
    </w:p>
    <w:p>
      <w:pPr>
        <w:ind w:left="60" w:right="399" w:firstLine="324"/>
        <w:spacing w:after="0" w:line="275" w:lineRule="auto"/>
        <w:rPr>
          <w:sz w:val="20"/>
          <w:szCs w:val="20"/>
          <w:color w:val="auto"/>
        </w:rPr>
      </w:pPr>
      <w:r>
        <w:rPr>
          <w:rFonts w:ascii="Arial" w:cs="Arial" w:eastAsia="Arial" w:hAnsi="Arial"/>
          <w:sz w:val="17"/>
          <w:szCs w:val="17"/>
          <w:color w:val="auto"/>
        </w:rPr>
        <w:t>On May 1, 2023, we established a captive insurance program to supplement the insurance coverage of the officers, directors, employees and agents of the Company, its subsidiaries and our general partner, in addition to our newly established commercial insurance program. As a result, our cash available to our Holding Company decreased by $100 million as these assets were transferred to restricted cash. If and when the captive insurance program is cancelled, previously restricted funds will be released and returned to the Holding Company.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Segment Liquidity</w:t>
      </w:r>
    </w:p>
    <w:p>
      <w:pPr>
        <w:spacing w:after="0" w:line="225" w:lineRule="exact"/>
        <w:rPr>
          <w:sz w:val="20"/>
          <w:szCs w:val="20"/>
          <w:color w:val="auto"/>
        </w:rPr>
      </w:pPr>
    </w:p>
    <w:p>
      <w:pPr>
        <w:ind w:left="60" w:right="79" w:firstLine="324"/>
        <w:spacing w:after="0" w:line="308" w:lineRule="auto"/>
        <w:rPr>
          <w:sz w:val="20"/>
          <w:szCs w:val="20"/>
          <w:color w:val="auto"/>
        </w:rPr>
      </w:pPr>
      <w:r>
        <w:rPr>
          <w:rFonts w:ascii="Arial" w:cs="Arial" w:eastAsia="Arial" w:hAnsi="Arial"/>
          <w:sz w:val="17"/>
          <w:szCs w:val="17"/>
          <w:color w:val="auto"/>
        </w:rPr>
        <w:t>In addition to investments by us and Mr. Icahn, the Investment Funds historically have access to significant amounts of cash available from prime brokerage lines of credit, subject to customary terms and market conditions.</w:t>
      </w:r>
    </w:p>
    <w:p>
      <w:pPr>
        <w:spacing w:after="0" w:line="146" w:lineRule="exact"/>
        <w:rPr>
          <w:sz w:val="20"/>
          <w:szCs w:val="20"/>
          <w:color w:val="auto"/>
        </w:rPr>
      </w:pPr>
    </w:p>
    <w:p>
      <w:pPr>
        <w:ind w:left="60" w:right="159" w:firstLine="324"/>
        <w:spacing w:after="0" w:line="296" w:lineRule="auto"/>
        <w:rPr>
          <w:sz w:val="20"/>
          <w:szCs w:val="20"/>
          <w:color w:val="auto"/>
        </w:rPr>
      </w:pPr>
      <w:r>
        <w:rPr>
          <w:rFonts w:ascii="Arial" w:cs="Arial" w:eastAsia="Arial" w:hAnsi="Arial"/>
          <w:sz w:val="16"/>
          <w:szCs w:val="16"/>
          <w:color w:val="auto"/>
        </w:rPr>
        <w:t>Additionally, our Investment segment liquidity is driven by the investment activities and performance of the Investment Funds. As of September 30, 2023, the Investment Funds had a net short notional exposure of 41%. The Investment Funds’ long exposure was 88% (84% long equity and 4% long credit) and its short exposure was 128% (108% short equity, 11% short credit and 9% short commodity). The notional exposure represents the ratio of the notional exposure of the Investment Funds’ invested capital to the net asset value of the Investment Funds at September 30, 2023.</w:t>
      </w:r>
    </w:p>
    <w:p>
      <w:pPr>
        <w:spacing w:after="0" w:line="161" w:lineRule="exact"/>
        <w:rPr>
          <w:sz w:val="20"/>
          <w:szCs w:val="20"/>
          <w:color w:val="auto"/>
        </w:rPr>
      </w:pPr>
    </w:p>
    <w:p>
      <w:pPr>
        <w:ind w:left="60" w:right="139" w:firstLine="324"/>
        <w:spacing w:after="0" w:line="279" w:lineRule="auto"/>
        <w:rPr>
          <w:sz w:val="20"/>
          <w:szCs w:val="20"/>
          <w:color w:val="auto"/>
        </w:rPr>
      </w:pPr>
      <w:r>
        <w:rPr>
          <w:rFonts w:ascii="Arial" w:cs="Arial" w:eastAsia="Arial" w:hAnsi="Arial"/>
          <w:sz w:val="17"/>
          <w:szCs w:val="17"/>
          <w:color w:val="auto"/>
        </w:rPr>
        <w:t>Of the Investment Funds’ 88% long exposure, 53% was comprised of the fair value of its long positions and 35% was comprised mostly of single name equity forward and swap contracts. Of the Investment Funds’ 128% short exposure, 63% was comprised of the fair value of its short positions (with certain adjustments) and 65% was comprised mostly of short broad market index swap derivative contracts and short credit default swap contracts.</w:t>
      </w:r>
    </w:p>
    <w:p>
      <w:pPr>
        <w:spacing w:after="0" w:line="171" w:lineRule="exact"/>
        <w:rPr>
          <w:sz w:val="20"/>
          <w:szCs w:val="20"/>
          <w:color w:val="auto"/>
        </w:rPr>
      </w:pPr>
    </w:p>
    <w:p>
      <w:pPr>
        <w:ind w:left="60" w:right="199" w:firstLine="324"/>
        <w:spacing w:after="0" w:line="275" w:lineRule="auto"/>
        <w:rPr>
          <w:sz w:val="20"/>
          <w:szCs w:val="20"/>
          <w:color w:val="auto"/>
        </w:rPr>
      </w:pPr>
      <w:r>
        <w:rPr>
          <w:rFonts w:ascii="Arial" w:cs="Arial" w:eastAsia="Arial" w:hAnsi="Arial"/>
          <w:sz w:val="17"/>
          <w:szCs w:val="17"/>
          <w:color w:val="auto"/>
        </w:rPr>
        <w:t>With respect to both our long positions that are not notionalized (53% long exposure) and our short positions that are not notionalized (63% short exposure),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w:t>
      </w:r>
    </w:p>
    <w:p>
      <w:pPr>
        <w:spacing w:after="0" w:line="176" w:lineRule="exact"/>
        <w:rPr>
          <w:sz w:val="20"/>
          <w:szCs w:val="20"/>
          <w:color w:val="auto"/>
        </w:rPr>
      </w:pPr>
    </w:p>
    <w:p>
      <w:pPr>
        <w:ind w:left="60" w:right="79" w:firstLine="324"/>
        <w:spacing w:after="0" w:line="296" w:lineRule="auto"/>
        <w:rPr>
          <w:sz w:val="20"/>
          <w:szCs w:val="20"/>
          <w:color w:val="auto"/>
        </w:rPr>
      </w:pPr>
      <w:r>
        <w:rPr>
          <w:rFonts w:ascii="Arial" w:cs="Arial" w:eastAsia="Arial" w:hAnsi="Arial"/>
          <w:sz w:val="16"/>
          <w:szCs w:val="16"/>
          <w:color w:val="auto"/>
        </w:rPr>
        <w:t>With respect to the notional value of our other short positions (65% short exposure), our liquidity would decrease by the balance sheet unrealized loss if we were to close the positions at quarter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342" w:lineRule="auto"/>
        <w:rPr>
          <w:sz w:val="20"/>
          <w:szCs w:val="20"/>
          <w:color w:val="auto"/>
        </w:rPr>
      </w:pPr>
      <w:r>
        <w:rPr>
          <w:rFonts w:ascii="Arial" w:cs="Arial" w:eastAsia="Arial" w:hAnsi="Arial"/>
          <w:sz w:val="16"/>
          <w:szCs w:val="16"/>
          <w:color w:val="auto"/>
        </w:rPr>
        <w:t>require cash as collateral and then post additional collateral equal to 100% of the mark to market on adverse changes in fair value. For our counterparties who do not require cash collateral, funds available from lines of credit would decrease.</w:t>
      </w:r>
    </w:p>
    <w:p>
      <w:pPr>
        <w:spacing w:after="0" w:line="124" w:lineRule="exact"/>
        <w:rPr>
          <w:sz w:val="20"/>
          <w:szCs w:val="20"/>
          <w:color w:val="auto"/>
        </w:rPr>
      </w:pPr>
    </w:p>
    <w:p>
      <w:pPr>
        <w:ind w:left="60" w:right="119" w:firstLine="324"/>
        <w:spacing w:after="0" w:line="342" w:lineRule="auto"/>
        <w:rPr>
          <w:sz w:val="20"/>
          <w:szCs w:val="20"/>
          <w:color w:val="auto"/>
        </w:rPr>
      </w:pPr>
      <w:r>
        <w:rPr>
          <w:rFonts w:ascii="Arial" w:cs="Arial" w:eastAsia="Arial" w:hAnsi="Arial"/>
          <w:sz w:val="16"/>
          <w:szCs w:val="16"/>
          <w:color w:val="auto"/>
        </w:rPr>
        <w:t>During the second quarter, our bearish view on the market shifted which has impacted and may continue to impact our net short position accordingly, which can be offset by exiting certain long positions and market performance.</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 Funds Redemption</w:t>
      </w:r>
    </w:p>
    <w:p>
      <w:pPr>
        <w:spacing w:after="0" w:line="225" w:lineRule="exact"/>
        <w:rPr>
          <w:sz w:val="20"/>
          <w:szCs w:val="20"/>
          <w:color w:val="auto"/>
        </w:rPr>
      </w:pPr>
    </w:p>
    <w:p>
      <w:pPr>
        <w:ind w:left="60" w:right="179" w:firstLine="324"/>
        <w:spacing w:after="0" w:line="275" w:lineRule="auto"/>
        <w:rPr>
          <w:sz w:val="20"/>
          <w:szCs w:val="20"/>
          <w:color w:val="auto"/>
        </w:rPr>
      </w:pPr>
      <w:r>
        <w:rPr>
          <w:rFonts w:ascii="Arial" w:cs="Arial" w:eastAsia="Arial" w:hAnsi="Arial"/>
          <w:sz w:val="17"/>
          <w:szCs w:val="17"/>
          <w:color w:val="auto"/>
        </w:rPr>
        <w:t>During the nine months ended September 30, 2023, Mr. Icahn and his affiliates (excluding us and Brett Icahn) redeemed $2,022 million from his personal interests in the Investment Funds included in the Investment segment. As of September 30, 2023 and December 31, 2022, the total fair market value of investments in the Investment Funds owned by the Company was approximately $3.6 billion and $4.2 billion, respectively, representing approximately 60% and 46% of the Investment Funds’ assets under management as of each respective date.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Segment Liquidity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Segment Cash and Cash Equivalents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Segment cash and cash equivalents (excluding our Investment segment)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6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29"/>
        </w:trPr>
        <w:tc>
          <w:tcPr>
            <w:tcW w:w="6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3"/>
          </w:tcPr>
          <w:p>
            <w:pPr>
              <w:ind w:left="620"/>
              <w:spacing w:after="0" w:line="129" w:lineRule="exact"/>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Fashion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Pharma</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64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0"/>
        </w:trPr>
        <w:tc>
          <w:tcPr>
            <w:tcW w:w="64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Segment Borrowings and Availability</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6460" w:type="dxa"/>
            <w:vAlign w:val="bottom"/>
          </w:tcPr>
          <w:p>
            <w:pPr>
              <w:ind w:left="340"/>
              <w:spacing w:after="0"/>
              <w:rPr>
                <w:sz w:val="20"/>
                <w:szCs w:val="20"/>
                <w:color w:val="auto"/>
              </w:rPr>
            </w:pPr>
            <w:r>
              <w:rPr>
                <w:rFonts w:ascii="Arial" w:cs="Arial" w:eastAsia="Arial" w:hAnsi="Arial"/>
                <w:sz w:val="18"/>
                <w:szCs w:val="18"/>
                <w:color w:val="auto"/>
              </w:rPr>
              <w:t>Segment debt consists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3980" w:type="dxa"/>
            <w:vAlign w:val="bottom"/>
            <w:gridSpan w:val="4"/>
          </w:tcPr>
          <w:p>
            <w:pPr>
              <w:ind w:left="2660"/>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gridSpan w:val="3"/>
          </w:tcPr>
          <w:p>
            <w:pPr>
              <w:jc w:val="right"/>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8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2022</w:t>
            </w:r>
          </w:p>
        </w:tc>
      </w:tr>
      <w:tr>
        <w:trPr>
          <w:trHeight w:val="128"/>
        </w:trPr>
        <w:tc>
          <w:tcPr>
            <w:tcW w:w="380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4"/>
          </w:tcPr>
          <w:p>
            <w:pPr>
              <w:jc w:val="right"/>
              <w:ind w:right="7"/>
              <w:spacing w:after="0" w:line="129" w:lineRule="exact"/>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1"/>
                <w:szCs w:val="1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Energy</w:t>
            </w:r>
          </w:p>
        </w:tc>
        <w:tc>
          <w:tcPr>
            <w:tcW w:w="29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Automotive</w:t>
            </w:r>
          </w:p>
        </w:tc>
        <w:tc>
          <w:tcPr>
            <w:tcW w:w="2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Food Packaging</w:t>
            </w:r>
          </w:p>
        </w:tc>
        <w:tc>
          <w:tcPr>
            <w:tcW w:w="2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Real Estate</w:t>
            </w:r>
          </w:p>
        </w:tc>
        <w:tc>
          <w:tcPr>
            <w:tcW w:w="2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Home Fashion</w:t>
            </w:r>
          </w:p>
        </w:tc>
        <w:tc>
          <w:tcPr>
            <w:tcW w:w="26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0"/>
        </w:trPr>
        <w:tc>
          <w:tcPr>
            <w:tcW w:w="38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w:t>
            </w:r>
          </w:p>
        </w:tc>
      </w:tr>
      <w:tr>
        <w:trPr>
          <w:trHeight w:val="20"/>
        </w:trPr>
        <w:tc>
          <w:tcPr>
            <w:tcW w:w="38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299" w:firstLine="324"/>
        <w:spacing w:after="0" w:line="263" w:lineRule="auto"/>
        <w:rPr>
          <w:sz w:val="20"/>
          <w:szCs w:val="20"/>
          <w:color w:val="auto"/>
        </w:rPr>
      </w:pPr>
      <w:r>
        <w:rPr>
          <w:rFonts w:ascii="Arial" w:cs="Arial" w:eastAsia="Arial" w:hAnsi="Arial"/>
          <w:sz w:val="18"/>
          <w:szCs w:val="18"/>
          <w:color w:val="auto"/>
        </w:rPr>
        <w:t>Refer to our Annual Report on Form 10-K for the year ended December 31, 2022 for information concerning terms, restrictions and covenants pertaining to our subsidiaries’ debt. As of September 30, 2023, all of our subsidiaries were in compliance with all debt covenants.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Our segments have additional borrowing availability under certain revolving credit facilities as summarized below:</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2"/>
              </w:rPr>
              <w:t>September 30,</w:t>
            </w:r>
          </w:p>
        </w:tc>
      </w:tr>
      <w:tr>
        <w:trPr>
          <w:trHeight w:val="234"/>
        </w:trPr>
        <w:tc>
          <w:tcPr>
            <w:tcW w:w="7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b w:val="1"/>
                <w:bCs w:val="1"/>
                <w:color w:val="auto"/>
              </w:rPr>
              <w:t>2023</w:t>
            </w:r>
          </w:p>
        </w:tc>
      </w:tr>
      <w:tr>
        <w:trPr>
          <w:trHeight w:val="142"/>
        </w:trPr>
        <w:tc>
          <w:tcPr>
            <w:tcW w:w="7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134"/>
              <w:spacing w:after="0" w:line="142" w:lineRule="exact"/>
              <w:rPr>
                <w:sz w:val="20"/>
                <w:szCs w:val="20"/>
                <w:color w:val="auto"/>
              </w:rPr>
            </w:pPr>
            <w:r>
              <w:rPr>
                <w:rFonts w:ascii="Arial" w:cs="Arial" w:eastAsia="Arial" w:hAnsi="Arial"/>
                <w:sz w:val="14"/>
                <w:szCs w:val="14"/>
                <w:color w:val="auto"/>
              </w:rPr>
              <w:t>(in millions)</w:t>
            </w: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16"/>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Food Packaging</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09"/>
        </w:trPr>
        <w:tc>
          <w:tcPr>
            <w:tcW w:w="77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0"/>
        </w:trPr>
        <w:tc>
          <w:tcPr>
            <w:tcW w:w="7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ind w:left="60" w:right="479" w:firstLine="324"/>
        <w:spacing w:after="0" w:line="260" w:lineRule="auto"/>
        <w:rPr>
          <w:sz w:val="20"/>
          <w:szCs w:val="20"/>
          <w:color w:val="auto"/>
        </w:rPr>
      </w:pPr>
      <w:r>
        <w:rPr>
          <w:rFonts w:ascii="Arial" w:cs="Arial" w:eastAsia="Arial" w:hAnsi="Arial"/>
          <w:sz w:val="18"/>
          <w:szCs w:val="18"/>
          <w:color w:val="auto"/>
        </w:rPr>
        <w:t>The above outstanding debt and borrowing availability with respect to each of our continuing operating segments reflects third-party obligations.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Subsidiary Stock Repurchase Program</w:t>
      </w:r>
    </w:p>
    <w:p>
      <w:pPr>
        <w:spacing w:after="0" w:line="225" w:lineRule="exact"/>
        <w:rPr>
          <w:sz w:val="20"/>
          <w:szCs w:val="20"/>
          <w:color w:val="auto"/>
        </w:rPr>
      </w:pPr>
    </w:p>
    <w:p>
      <w:pPr>
        <w:ind w:left="60" w:right="159" w:firstLine="324"/>
        <w:spacing w:after="0" w:line="291" w:lineRule="auto"/>
        <w:rPr>
          <w:sz w:val="20"/>
          <w:szCs w:val="20"/>
          <w:color w:val="auto"/>
        </w:rPr>
      </w:pPr>
      <w:r>
        <w:rPr>
          <w:rFonts w:ascii="Arial" w:cs="Arial" w:eastAsia="Arial" w:hAnsi="Arial"/>
          <w:sz w:val="16"/>
          <w:szCs w:val="16"/>
          <w:color w:val="auto"/>
        </w:rPr>
        <w:t>On May 6, 2020, the Board of Directors of CVR Partners’ general partner approved a unit repurchase program which would enable it to repurchase up to $10 million of its common units from time to time through open market transactions, block trades, privately negotiated transactions or otherwise in accordance with applicable securities laws. On February 22, 2021, the Board of Directors of CVR Partners authorized an additional $10 million under the unit repurchase program. During the nine months ended September 30, 2023, CVR Partners did not repurchase any common units. During the nine months ended September 30, 2022, CVR Partners repurchased 111,695 common units on the open market at a cost of $12 million. As of September 30, 2023, CVR Partners has a nominal amount remaining under its unit repurchase program.</w:t>
      </w:r>
    </w:p>
    <w:p>
      <w:pPr>
        <w:spacing w:after="0" w:line="166" w:lineRule="exact"/>
        <w:rPr>
          <w:sz w:val="20"/>
          <w:szCs w:val="20"/>
          <w:color w:val="auto"/>
        </w:rPr>
      </w:pPr>
    </w:p>
    <w:p>
      <w:pPr>
        <w:jc w:val="both"/>
        <w:ind w:left="60" w:right="399" w:firstLine="324"/>
        <w:spacing w:after="0" w:line="311" w:lineRule="auto"/>
        <w:rPr>
          <w:sz w:val="20"/>
          <w:szCs w:val="20"/>
          <w:color w:val="auto"/>
        </w:rPr>
      </w:pPr>
      <w:r>
        <w:rPr>
          <w:rFonts w:ascii="Arial" w:cs="Arial" w:eastAsia="Arial" w:hAnsi="Arial"/>
          <w:sz w:val="16"/>
          <w:szCs w:val="16"/>
          <w:color w:val="auto"/>
        </w:rPr>
        <w:t>On October 23, 2019, the Board of Directors of CVR Energy authorized a stock repurchase program, which would have enabled it to repurchase up to $300 million of its common stock. As of September 30, 2023, CVR Energy did not repurchase any common stock, and such program expired, in accordance with its terms, on October 22, 2023.</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Cash Flows</w:t>
      </w:r>
    </w:p>
    <w:p>
      <w:pPr>
        <w:spacing w:after="0" w:line="225" w:lineRule="exact"/>
        <w:rPr>
          <w:sz w:val="20"/>
          <w:szCs w:val="20"/>
          <w:color w:val="auto"/>
        </w:rPr>
      </w:pPr>
    </w:p>
    <w:p>
      <w:pPr>
        <w:ind w:left="60" w:right="199" w:firstLine="324"/>
        <w:spacing w:after="0" w:line="270" w:lineRule="auto"/>
        <w:rPr>
          <w:sz w:val="20"/>
          <w:szCs w:val="20"/>
          <w:color w:val="auto"/>
        </w:rPr>
      </w:pPr>
      <w:r>
        <w:rPr>
          <w:rFonts w:ascii="Arial" w:cs="Arial" w:eastAsia="Arial" w:hAnsi="Arial"/>
          <w:sz w:val="17"/>
          <w:szCs w:val="17"/>
          <w:color w:val="auto"/>
        </w:rPr>
        <w:t>Our consolidated cash flows are composed of the activities within our Holding Company, Investment segment and other operating segments. Our Holding Company’s cash flows are generally driven by cash flows resulting from our subsidiaries loans, dividends, distributions and contributions, as well as divestitures and acquisitions, equity offerings and debt financings, interest income and expense. Our Investment segment’s cash flows are primarily driven by investment transactions, which are included in net cash flows from operating activities due to the nature of its business, as well as contributions to and distributions from Mr. Icahn and his affiliates (including Icahn Enterprises and Icahn Enterprises Holdings) and Brett Icahn, which are included in net cash flows from financing activities. Our other operating segments’ cash flows are driven by the activities and performance of each business as well as transactions with our Holding Company, as discussed below.</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firstLine="324"/>
        <w:spacing w:after="0" w:line="277" w:lineRule="auto"/>
        <w:rPr>
          <w:sz w:val="20"/>
          <w:szCs w:val="20"/>
          <w:color w:val="auto"/>
        </w:rPr>
      </w:pPr>
      <w:r>
        <w:rPr>
          <w:rFonts w:ascii="Arial" w:cs="Arial" w:eastAsia="Arial" w:hAnsi="Arial"/>
          <w:sz w:val="18"/>
          <w:szCs w:val="18"/>
          <w:color w:val="auto"/>
        </w:rPr>
        <w:t>The following table summarizes cash flow information for Icahn Enterprises’ reporting segments and our Holding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3"/>
              </w:rPr>
              <w:t>Nine Months Ended September 30, 2023</w:t>
            </w:r>
          </w:p>
        </w:tc>
        <w:tc>
          <w:tcPr>
            <w:tcW w:w="80" w:type="dxa"/>
            <w:vAlign w:val="bottom"/>
          </w:tcPr>
          <w:p>
            <w:pPr>
              <w:spacing w:after="0"/>
              <w:rPr>
                <w:sz w:val="14"/>
                <w:szCs w:val="14"/>
                <w:color w:val="auto"/>
              </w:rPr>
            </w:pPr>
          </w:p>
        </w:tc>
        <w:tc>
          <w:tcPr>
            <w:tcW w:w="272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92"/>
              </w:rPr>
              <w:t>Nine Months Ended September 30, 2022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620" w:type="dxa"/>
            <w:vAlign w:val="bottom"/>
            <w:tcBorders>
              <w:top w:val="single" w:sz="8" w:color="auto"/>
              <w:bottom w:val="single" w:sz="8" w:color="auto"/>
            </w:tcBorders>
            <w:gridSpan w:val="7"/>
          </w:tcPr>
          <w:p>
            <w:pPr>
              <w:jc w:val="center"/>
              <w:ind w:right="14"/>
              <w:spacing w:after="0" w:line="142" w:lineRule="exact"/>
              <w:rPr>
                <w:sz w:val="20"/>
                <w:szCs w:val="20"/>
                <w:color w:val="auto"/>
              </w:rPr>
            </w:pPr>
            <w:r>
              <w:rPr>
                <w:rFonts w:ascii="Arial" w:cs="Arial" w:eastAsia="Arial" w:hAnsi="Arial"/>
                <w:sz w:val="14"/>
                <w:szCs w:val="14"/>
                <w:b w:val="1"/>
                <w:bCs w:val="1"/>
                <w:color w:val="auto"/>
                <w:w w:val="93"/>
              </w:rPr>
              <w:t>Net Cash Provided By (Used In)</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700" w:type="dxa"/>
            <w:vAlign w:val="bottom"/>
            <w:tcBorders>
              <w:top w:val="single" w:sz="8" w:color="auto"/>
              <w:bottom w:val="single" w:sz="8" w:color="auto"/>
            </w:tcBorders>
            <w:gridSpan w:val="7"/>
          </w:tcPr>
          <w:p>
            <w:pPr>
              <w:jc w:val="center"/>
              <w:spacing w:after="0" w:line="142" w:lineRule="exact"/>
              <w:rPr>
                <w:sz w:val="20"/>
                <w:szCs w:val="20"/>
                <w:color w:val="auto"/>
              </w:rPr>
            </w:pPr>
            <w:r>
              <w:rPr>
                <w:rFonts w:ascii="Arial" w:cs="Arial" w:eastAsia="Arial" w:hAnsi="Arial"/>
                <w:sz w:val="14"/>
                <w:szCs w:val="14"/>
                <w:b w:val="1"/>
                <w:bCs w:val="1"/>
                <w:color w:val="auto"/>
                <w:w w:val="94"/>
              </w:rPr>
              <w:t>Net Cash Provided By (Used In)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6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rPr>
              <w:t>Operating</w:t>
            </w:r>
          </w:p>
        </w:tc>
        <w:tc>
          <w:tcPr>
            <w:tcW w:w="120" w:type="dxa"/>
            <w:vAlign w:val="bottom"/>
          </w:tcPr>
          <w:p>
            <w:pPr>
              <w:spacing w:after="0"/>
              <w:rPr>
                <w:sz w:val="10"/>
                <w:szCs w:val="10"/>
                <w:color w:val="auto"/>
              </w:rPr>
            </w:pPr>
          </w:p>
        </w:tc>
        <w:tc>
          <w:tcPr>
            <w:tcW w:w="8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Investing</w:t>
            </w:r>
          </w:p>
        </w:tc>
        <w:tc>
          <w:tcPr>
            <w:tcW w:w="100" w:type="dxa"/>
            <w:vAlign w:val="bottom"/>
          </w:tcPr>
          <w:p>
            <w:pPr>
              <w:spacing w:after="0"/>
              <w:rPr>
                <w:sz w:val="10"/>
                <w:szCs w:val="10"/>
                <w:color w:val="auto"/>
              </w:rPr>
            </w:pPr>
          </w:p>
        </w:tc>
        <w:tc>
          <w:tcPr>
            <w:tcW w:w="7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7"/>
              </w:rPr>
              <w:t>Financing</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Operating</w:t>
            </w:r>
          </w:p>
        </w:tc>
        <w:tc>
          <w:tcPr>
            <w:tcW w:w="120" w:type="dxa"/>
            <w:vAlign w:val="bottom"/>
          </w:tcPr>
          <w:p>
            <w:pPr>
              <w:spacing w:after="0"/>
              <w:rPr>
                <w:sz w:val="10"/>
                <w:szCs w:val="10"/>
                <w:color w:val="auto"/>
              </w:rPr>
            </w:pPr>
          </w:p>
        </w:tc>
        <w:tc>
          <w:tcPr>
            <w:tcW w:w="8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Investing</w:t>
            </w:r>
          </w:p>
        </w:tc>
        <w:tc>
          <w:tcPr>
            <w:tcW w:w="120" w:type="dxa"/>
            <w:vAlign w:val="bottom"/>
          </w:tcPr>
          <w:p>
            <w:pPr>
              <w:spacing w:after="0"/>
              <w:rPr>
                <w:sz w:val="10"/>
                <w:szCs w:val="10"/>
                <w:color w:val="auto"/>
              </w:rPr>
            </w:pPr>
          </w:p>
        </w:tc>
        <w:tc>
          <w:tcPr>
            <w:tcW w:w="720" w:type="dxa"/>
            <w:vAlign w:val="bottom"/>
          </w:tcPr>
          <w:p>
            <w:pPr>
              <w:jc w:val="right"/>
              <w:ind w:right="13"/>
              <w:spacing w:after="0" w:line="119" w:lineRule="exact"/>
              <w:rPr>
                <w:sz w:val="20"/>
                <w:szCs w:val="20"/>
                <w:color w:val="auto"/>
              </w:rPr>
            </w:pPr>
            <w:r>
              <w:rPr>
                <w:rFonts w:ascii="Arial" w:cs="Arial" w:eastAsia="Arial" w:hAnsi="Arial"/>
                <w:sz w:val="13"/>
                <w:szCs w:val="13"/>
                <w:b w:val="1"/>
                <w:bCs w:val="1"/>
                <w:color w:val="auto"/>
                <w:w w:val="97"/>
              </w:rPr>
              <w:t>Financing</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Activities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3"/>
              </w:rPr>
              <w:t>Activities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3"/>
              </w:rPr>
              <w:t>Activities</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3"/>
              </w:rPr>
              <w:t>Activities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3"/>
              </w:rPr>
              <w:t>Activities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3"/>
              </w:rPr>
              <w:t>Activities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4"/>
          </w:tcPr>
          <w:p>
            <w:pPr>
              <w:jc w:val="right"/>
              <w:ind w:right="415"/>
              <w:spacing w:after="0" w:line="129" w:lineRule="exact"/>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Holding Company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ind w:left="20"/>
              <w:spacing w:after="0"/>
              <w:rPr>
                <w:sz w:val="20"/>
                <w:szCs w:val="20"/>
                <w:color w:val="auto"/>
              </w:rPr>
            </w:pPr>
            <w:r>
              <w:rPr>
                <w:rFonts w:ascii="Arial" w:cs="Arial" w:eastAsia="Arial" w:hAnsi="Arial"/>
                <w:sz w:val="18"/>
                <w:szCs w:val="18"/>
                <w:color w:val="auto"/>
              </w:rPr>
              <w:t>Investment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(2,033)</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Other Operating Segments: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Energy</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(424)</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Automotive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Food Packaging</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Real Estate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Home Fashion</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Pharma</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18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Other operating segments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Total before eliminations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(2,519)</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gridSpan w:val="3"/>
          </w:tcPr>
          <w:p>
            <w:pPr>
              <w:ind w:left="20"/>
              <w:spacing w:after="0"/>
              <w:rPr>
                <w:sz w:val="20"/>
                <w:szCs w:val="20"/>
                <w:color w:val="auto"/>
              </w:rPr>
            </w:pPr>
            <w:r>
              <w:rPr>
                <w:rFonts w:ascii="Arial" w:cs="Arial" w:eastAsia="Arial" w:hAnsi="Arial"/>
                <w:sz w:val="18"/>
                <w:szCs w:val="18"/>
                <w:color w:val="auto"/>
              </w:rPr>
              <w:t>Consolidated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3,621</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w:t>
            </w: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3,340</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Eliminations</w:t>
      </w:r>
    </w:p>
    <w:p>
      <w:pPr>
        <w:spacing w:after="0" w:line="225" w:lineRule="exact"/>
        <w:rPr>
          <w:sz w:val="20"/>
          <w:szCs w:val="20"/>
          <w:color w:val="auto"/>
        </w:rPr>
      </w:pPr>
    </w:p>
    <w:p>
      <w:pPr>
        <w:ind w:left="60" w:right="139" w:firstLine="324"/>
        <w:spacing w:after="0" w:line="255" w:lineRule="auto"/>
        <w:rPr>
          <w:sz w:val="20"/>
          <w:szCs w:val="20"/>
          <w:color w:val="auto"/>
        </w:rPr>
      </w:pPr>
      <w:r>
        <w:rPr>
          <w:rFonts w:ascii="Arial" w:cs="Arial" w:eastAsia="Arial" w:hAnsi="Arial"/>
          <w:sz w:val="18"/>
          <w:szCs w:val="18"/>
          <w:color w:val="auto"/>
        </w:rPr>
        <w:t>Eliminations in the table above relate to certain of our Holding Company’s transactions with our Investment and other operating segments. Our Holding Company’s net (investments in) distributions from the Investments Funds, when applicable, are included in cash flows from investing activities for our Holding Company and cash flows from financing activities for our Investment segment. Similarly, our Holding Company’s net distributions from (investments in) our other operating segments are included in cash flows from investing activities for our Holding Company and cash flows from financing activities for our other operating segments.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Holding Company</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6220" w:type="dxa"/>
            <w:vAlign w:val="bottom"/>
          </w:tcPr>
          <w:p>
            <w:pPr>
              <w:spacing w:after="0"/>
              <w:rPr>
                <w:sz w:val="19"/>
                <w:szCs w:val="19"/>
                <w:color w:val="auto"/>
              </w:rPr>
            </w:pPr>
          </w:p>
        </w:tc>
        <w:tc>
          <w:tcPr>
            <w:tcW w:w="2680" w:type="dxa"/>
            <w:vAlign w:val="bottom"/>
            <w:tcBorders>
              <w:bottom w:val="single" w:sz="8" w:color="auto"/>
            </w:tcBorders>
            <w:gridSpan w:val="5"/>
          </w:tcPr>
          <w:p>
            <w:pPr>
              <w:jc w:val="right"/>
              <w:spacing w:after="0"/>
              <w:rPr>
                <w:sz w:val="20"/>
                <w:szCs w:val="20"/>
                <w:color w:val="auto"/>
              </w:rPr>
            </w:pPr>
            <w:r>
              <w:rPr>
                <w:rFonts w:ascii="Arial" w:cs="Arial" w:eastAsia="Arial" w:hAnsi="Arial"/>
                <w:sz w:val="17"/>
                <w:szCs w:val="17"/>
                <w:b w:val="1"/>
                <w:bCs w:val="1"/>
                <w:color w:val="auto"/>
                <w:w w:val="94"/>
              </w:rPr>
              <w:t>Nine Months Ended September 30,</w:t>
            </w:r>
          </w:p>
        </w:tc>
        <w:tc>
          <w:tcPr>
            <w:tcW w:w="0" w:type="dxa"/>
            <w:vAlign w:val="bottom"/>
          </w:tcPr>
          <w:p>
            <w:pPr>
              <w:spacing w:after="0"/>
              <w:rPr>
                <w:sz w:val="1"/>
                <w:szCs w:val="1"/>
                <w:color w:val="auto"/>
              </w:rPr>
            </w:pPr>
          </w:p>
        </w:tc>
      </w:tr>
      <w:tr>
        <w:trPr>
          <w:trHeight w:val="211"/>
        </w:trPr>
        <w:tc>
          <w:tcPr>
            <w:tcW w:w="62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4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96"/>
        </w:trPr>
        <w:tc>
          <w:tcPr>
            <w:tcW w:w="6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Cash payments for interest on senior unsecured notes</w:t>
            </w:r>
          </w:p>
        </w:tc>
        <w:tc>
          <w:tcPr>
            <w:tcW w:w="800" w:type="dxa"/>
            <w:vAlign w:val="bottom"/>
          </w:tcPr>
          <w:p>
            <w:pPr>
              <w:jc w:val="right"/>
              <w:ind w:right="611"/>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(186)</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dividend income</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Net cash receipts for income taxes, net of payments</w:t>
            </w:r>
          </w:p>
        </w:tc>
        <w:tc>
          <w:tcPr>
            <w:tcW w:w="8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costs and other</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0"/>
        </w:trPr>
        <w:tc>
          <w:tcPr>
            <w:tcW w:w="622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(139)</w:t>
            </w:r>
          </w:p>
        </w:tc>
        <w:tc>
          <w:tcPr>
            <w:tcW w:w="2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197"/>
        </w:trPr>
        <w:tc>
          <w:tcPr>
            <w:tcW w:w="6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Investing Activities:</w:t>
            </w: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Proceeds from partial sale of interests in consolidated subsidiaries</w:t>
            </w:r>
          </w:p>
        </w:tc>
        <w:tc>
          <w:tcPr>
            <w:tcW w:w="800" w:type="dxa"/>
            <w:vAlign w:val="bottom"/>
          </w:tcPr>
          <w:p>
            <w:pPr>
              <w:jc w:val="right"/>
              <w:ind w:right="611"/>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and distributions from operating segments</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Contributions to operating segments</w:t>
            </w:r>
          </w:p>
        </w:tc>
        <w:tc>
          <w:tcPr>
            <w:tcW w:w="8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 net debt transactions</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Proceeds from sale of investments</w:t>
            </w:r>
          </w:p>
        </w:tc>
        <w:tc>
          <w:tcPr>
            <w:tcW w:w="80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9"/>
        </w:trPr>
        <w:tc>
          <w:tcPr>
            <w:tcW w:w="62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
        </w:trPr>
        <w:tc>
          <w:tcPr>
            <w:tcW w:w="62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2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 contributions</w:t>
            </w:r>
          </w:p>
        </w:tc>
        <w:tc>
          <w:tcPr>
            <w:tcW w:w="8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8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(191)</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of Holding Company senior unsecured notes</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50"/>
        </w:trPr>
        <w:tc>
          <w:tcPr>
            <w:tcW w:w="622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55"/>
        </w:trPr>
        <w:tc>
          <w:tcPr>
            <w:tcW w:w="622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w w:val="98"/>
              </w:rPr>
              <w:t>Increase (decrease) in cash and cash equivalents and restricted cash and restricted</w:t>
            </w:r>
          </w:p>
        </w:tc>
        <w:tc>
          <w:tcPr>
            <w:tcW w:w="800" w:type="dxa"/>
            <w:vAlign w:val="bottom"/>
            <w:vMerge w:val="restart"/>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7"/>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decrease in interest payments for the nine months ended September 30, 2023, over the comparable period is primarily due to the redemption of $500 million of senior unsecured notes in February 2022.</w:t>
      </w:r>
    </w:p>
    <w:p>
      <w:pPr>
        <w:spacing w:after="0" w:line="17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Proceeds from the partial sale of interests in consolidated subsidiaries and sale of investments includes the proceeds from equity investments.</w:t>
      </w:r>
    </w:p>
    <w:p>
      <w:pPr>
        <w:spacing w:after="0" w:line="17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Dividends and distributions from operating segments may include dividends and distributions paid to the Holding Company and are eliminated in consolidation.</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Contributions to operating segments are eliminated in consolidation.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Partnership net debt transactions includes proceeds and payments that are eliminated in consolidation.</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Partnership contributions represent sales in connection with our “at-the-market” offerings pursuant to our Open Market Sale Agreements entered into May 2019, as discussed above.</w:t>
      </w:r>
    </w:p>
    <w:p>
      <w:pPr>
        <w:spacing w:after="0" w:line="17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Partnership distributions represent cash paid to depositary unitholders in connection with our regularly quarterly distributions.</w:t>
      </w:r>
    </w:p>
    <w:p>
      <w:pPr>
        <w:spacing w:after="0" w:line="170"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Net debt transactions include the redemption of our $500 million aggregate principal amount of 6.750% senior unsecured notes due 2024.</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Borrowings</w:t>
      </w:r>
    </w:p>
    <w:p>
      <w:pPr>
        <w:spacing w:after="0" w:line="22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Over the next twelve months, our Holding Company has $1,102 million of debt maturing on our 4.750% senior unsecured notes due September 2024 and callable at par on June 15, 2024. We are currently in compliance with our debt covenants and have the ability to refinance at any time. As part of our ongoing evaluation, we are considering various strategies, such as refinancing or redeeming the notes. Interest rates have increased in recent periods, and there is no guarantee we will be able to refinance the notes on the same or favorable terms.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Subsidiary Dividends</w:t>
      </w:r>
    </w:p>
    <w:p>
      <w:pPr>
        <w:spacing w:after="0" w:line="225" w:lineRule="exact"/>
        <w:rPr>
          <w:sz w:val="20"/>
          <w:szCs w:val="20"/>
          <w:color w:val="auto"/>
        </w:rPr>
      </w:pPr>
    </w:p>
    <w:p>
      <w:pPr>
        <w:ind w:left="60" w:right="119" w:firstLine="324"/>
        <w:spacing w:after="0" w:line="259" w:lineRule="auto"/>
        <w:rPr>
          <w:sz w:val="20"/>
          <w:szCs w:val="20"/>
          <w:color w:val="auto"/>
        </w:rPr>
      </w:pPr>
      <w:r>
        <w:rPr>
          <w:rFonts w:ascii="Arial" w:cs="Arial" w:eastAsia="Arial" w:hAnsi="Arial"/>
          <w:sz w:val="18"/>
          <w:szCs w:val="18"/>
          <w:color w:val="auto"/>
        </w:rPr>
        <w:t>During the nine months ended September 30, 2023, we received $178 million in dividends from our Energy segment. Subsequent to September 30, 2023, our Energy segment declared a cash dividend of $0.50 per share and a special dividend of $1.50 per share, which is payable November 20, 2023 to shareholders of record as of November 13, 2023. Our portion of the dividends will include approximately $133 million in cash.</w:t>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Investment Segment</w:t>
      </w:r>
    </w:p>
    <w:p>
      <w:pPr>
        <w:spacing w:after="0" w:line="225"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Our Investment segment’s cash flows from operating activities for the comparable periods were attributable to its net investment transactions.</w:t>
      </w:r>
    </w:p>
    <w:p>
      <w:pPr>
        <w:spacing w:after="0" w:line="170" w:lineRule="exact"/>
        <w:rPr>
          <w:sz w:val="20"/>
          <w:szCs w:val="20"/>
          <w:color w:val="auto"/>
        </w:rPr>
      </w:pPr>
    </w:p>
    <w:p>
      <w:pPr>
        <w:ind w:left="60" w:right="59" w:firstLine="324"/>
        <w:spacing w:after="0" w:line="279" w:lineRule="auto"/>
        <w:rPr>
          <w:sz w:val="20"/>
          <w:szCs w:val="20"/>
          <w:color w:val="auto"/>
        </w:rPr>
      </w:pPr>
      <w:r>
        <w:rPr>
          <w:rFonts w:ascii="Arial" w:cs="Arial" w:eastAsia="Arial" w:hAnsi="Arial"/>
          <w:sz w:val="17"/>
          <w:szCs w:val="17"/>
          <w:color w:val="auto"/>
        </w:rPr>
        <w:t>Our Investment segment’s cash flows used in financing activities for the nine months ended September 30, 2023 was mainly attributable to redemptions paid to Mr. Icahn and his affiliates (excluding us and Brett Icahn) of $2,022 million. Our Investment segment’s cash flows used in financing activities for the nine months ended September 30, 2022 was mainly attributable to Brett Icahn’s net redemptions to the Investment Funds of $14 million.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Operating Segments</w:t>
      </w:r>
    </w:p>
    <w:p>
      <w:pPr>
        <w:spacing w:after="0" w:line="225" w:lineRule="exact"/>
        <w:rPr>
          <w:sz w:val="20"/>
          <w:szCs w:val="20"/>
          <w:color w:val="auto"/>
        </w:rPr>
      </w:pPr>
    </w:p>
    <w:p>
      <w:pPr>
        <w:ind w:left="60" w:right="179" w:firstLine="324"/>
        <w:spacing w:after="0" w:line="293" w:lineRule="auto"/>
        <w:rPr>
          <w:sz w:val="20"/>
          <w:szCs w:val="20"/>
          <w:color w:val="auto"/>
        </w:rPr>
      </w:pPr>
      <w:r>
        <w:rPr>
          <w:rFonts w:ascii="Arial" w:cs="Arial" w:eastAsia="Arial" w:hAnsi="Arial"/>
          <w:sz w:val="16"/>
          <w:szCs w:val="16"/>
          <w:color w:val="auto"/>
        </w:rPr>
        <w:t>Our other operating segments’ cash flows from operating activities included net cash flows from operating activities before changes in operating assets and liabilities of $1,182 million and $719 million for the nine months ended September 30, 2023 and 2022, respectively, primarily due to the results of our Energy segment during both periods. The change in cash flows from operating activities for the nine months ended September 30, 2023 as compared to the comparable prior year was primarily due to an increase in the operating results of our Energy segment primarily associated with decreased expenses resulting from lower crude oil prices and favorable RINs liability revaluation expense in 2023.</w:t>
      </w:r>
    </w:p>
    <w:p>
      <w:pPr>
        <w:spacing w:after="0" w:line="164" w:lineRule="exact"/>
        <w:rPr>
          <w:sz w:val="20"/>
          <w:szCs w:val="20"/>
          <w:color w:val="auto"/>
        </w:rPr>
      </w:pPr>
    </w:p>
    <w:p>
      <w:pPr>
        <w:jc w:val="both"/>
        <w:ind w:left="60" w:right="459" w:firstLine="324"/>
        <w:spacing w:after="0" w:line="286" w:lineRule="auto"/>
        <w:rPr>
          <w:sz w:val="20"/>
          <w:szCs w:val="20"/>
          <w:color w:val="auto"/>
        </w:rPr>
      </w:pPr>
      <w:r>
        <w:rPr>
          <w:rFonts w:ascii="Arial" w:cs="Arial" w:eastAsia="Arial" w:hAnsi="Arial"/>
          <w:sz w:val="17"/>
          <w:szCs w:val="17"/>
          <w:color w:val="auto"/>
        </w:rPr>
        <w:t>Our other operating segments’ cash flows from investing activities were primarily due to capital expenditures and turnaround expenditures in our Energy segment of $203 million in 2023 compared to $219 million in 2022 and capital expenditures within our Automotive segment of $38 million in 2023 compared to $85 million in 2022.</w:t>
      </w:r>
    </w:p>
    <w:p>
      <w:pPr>
        <w:spacing w:after="0" w:line="165" w:lineRule="exact"/>
        <w:rPr>
          <w:sz w:val="20"/>
          <w:szCs w:val="20"/>
          <w:color w:val="auto"/>
        </w:rPr>
      </w:pPr>
    </w:p>
    <w:p>
      <w:pPr>
        <w:ind w:left="60" w:right="79" w:firstLine="324"/>
        <w:spacing w:after="0" w:line="279" w:lineRule="auto"/>
        <w:rPr>
          <w:sz w:val="20"/>
          <w:szCs w:val="20"/>
          <w:color w:val="auto"/>
        </w:rPr>
      </w:pPr>
      <w:r>
        <w:rPr>
          <w:rFonts w:ascii="Arial" w:cs="Arial" w:eastAsia="Arial" w:hAnsi="Arial"/>
          <w:sz w:val="17"/>
          <w:szCs w:val="17"/>
          <w:color w:val="auto"/>
        </w:rPr>
        <w:t>Our other operating segments’ cash flows from financing activities were primarily due to our Energy segment. For the nine months ended September 30, 2023, our Energy segment paid a distribution to noncontrolling interests of $241 million, compared to $218 million paid in the nine months ended September 30, 2022. In addition, for the nine months ended September 30, 2022, our Energy segment redeemed senior notes of $65 million.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Capital Expenditures</w:t>
      </w:r>
    </w:p>
    <w:p>
      <w:pPr>
        <w:spacing w:after="0" w:line="225" w:lineRule="exact"/>
        <w:rPr>
          <w:sz w:val="20"/>
          <w:szCs w:val="20"/>
          <w:color w:val="auto"/>
        </w:rPr>
      </w:pPr>
    </w:p>
    <w:p>
      <w:pPr>
        <w:ind w:left="60" w:right="739" w:firstLine="324"/>
        <w:spacing w:after="0" w:line="342" w:lineRule="auto"/>
        <w:rPr>
          <w:sz w:val="20"/>
          <w:szCs w:val="20"/>
          <w:color w:val="auto"/>
        </w:rPr>
      </w:pPr>
      <w:r>
        <w:rPr>
          <w:rFonts w:ascii="Arial" w:cs="Arial" w:eastAsia="Arial" w:hAnsi="Arial"/>
          <w:sz w:val="16"/>
          <w:szCs w:val="16"/>
          <w:color w:val="auto"/>
        </w:rPr>
        <w:t>There have been no material changes to our planned capital expenditures as compared to the estimated capital expenditures for 2023 reported in our Annual Report on Form 10-K for the year ended December 31, 2022.</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60" w:right="79" w:firstLine="324"/>
        <w:spacing w:after="0" w:line="311" w:lineRule="auto"/>
        <w:rPr>
          <w:sz w:val="20"/>
          <w:szCs w:val="20"/>
          <w:color w:val="auto"/>
        </w:rPr>
      </w:pPr>
      <w:r>
        <w:rPr>
          <w:rFonts w:ascii="Arial" w:cs="Arial" w:eastAsia="Arial" w:hAnsi="Arial"/>
          <w:sz w:val="16"/>
          <w:szCs w:val="16"/>
          <w:color w:val="auto"/>
        </w:rPr>
        <w:t>The critical accounting estimates used in the preparation of our condensed consolidated financial statements that we believe affect our more significant judgments and estimates used in the preparation of our condensed consolidated financial statements presented in this Report are described in Management’s Discussion and Analysis of Financial</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color w:val="auto"/>
        </w:rPr>
        <w:t>Condition and Results of Operations and in the Notes to the consolidated financial statements included in our Annual Report on Form 10-K for the year ended December 31, 2022.</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left="60" w:right="879" w:firstLine="324"/>
        <w:spacing w:after="0" w:line="342" w:lineRule="auto"/>
        <w:rPr>
          <w:sz w:val="20"/>
          <w:szCs w:val="20"/>
          <w:color w:val="auto"/>
        </w:rPr>
      </w:pPr>
      <w:r>
        <w:rPr>
          <w:rFonts w:ascii="Arial" w:cs="Arial" w:eastAsia="Arial" w:hAnsi="Arial"/>
          <w:sz w:val="16"/>
          <w:szCs w:val="16"/>
          <w:color w:val="auto"/>
        </w:rPr>
        <w:t>Refer to Note 2, “Basis of Presentation and Summary of Significant Accounting Policies,” to the condensed consolidated financial statements for a discussion of recent accounting pronouncements applicable to us.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0" w:right="379" w:firstLine="324"/>
        <w:spacing w:after="0" w:line="342" w:lineRule="auto"/>
        <w:rPr>
          <w:sz w:val="20"/>
          <w:szCs w:val="20"/>
          <w:color w:val="auto"/>
        </w:rPr>
      </w:pPr>
      <w:r>
        <w:rPr>
          <w:rFonts w:ascii="Arial" w:cs="Arial" w:eastAsia="Arial" w:hAnsi="Arial"/>
          <w:sz w:val="16"/>
          <w:szCs w:val="16"/>
          <w:color w:val="auto"/>
        </w:rPr>
        <w:t>Except as discussed below, information about our quantitative and qualitative disclosures about market risk did not differ materially from those disclosed in our Annual Report on Form 10-K for the year ended December 31, 2022.</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Our predominant exposure to market risk is related to our Investment segment and the sensitivities to movements in the fair value of the Investment Funds’ investments.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auto"/>
        </w:rPr>
        <w:t>The fair value of the financial assets and liabilities of the Investment Funds primarily fluctuates in response to changes in the value of securities. The net effect of these fair value changes impacts the net gains from investment activities in our condensed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Investment segment.</w:t>
      </w:r>
    </w:p>
    <w:p>
      <w:pPr>
        <w:spacing w:after="0" w:line="164" w:lineRule="exact"/>
        <w:rPr>
          <w:sz w:val="20"/>
          <w:szCs w:val="20"/>
          <w:color w:val="auto"/>
        </w:rPr>
      </w:pPr>
    </w:p>
    <w:p>
      <w:pPr>
        <w:ind w:left="60" w:right="99" w:firstLine="324"/>
        <w:spacing w:after="0" w:line="271" w:lineRule="auto"/>
        <w:rPr>
          <w:sz w:val="20"/>
          <w:szCs w:val="20"/>
          <w:color w:val="auto"/>
        </w:rPr>
      </w:pPr>
      <w:r>
        <w:rPr>
          <w:rFonts w:ascii="Arial" w:cs="Arial" w:eastAsia="Arial" w:hAnsi="Arial"/>
          <w:sz w:val="17"/>
          <w:szCs w:val="17"/>
          <w:color w:val="auto"/>
        </w:rPr>
        <w:t>The Investment Funds hold investments that are reported at fair value as of the reporting date, which include securities owned, securities sold, not yet purchased and derivatives as reported on our condensed consolidated balance sheets. Based on their respective balances as of September 30, 2023, we estimate that in the event of a 10% adverse change in the fair value of these investments, the fair values of securities owned, securities sold, not yet purchased and derivatives would be negatively impacted by approximately $318 million, $380 million and $760 million, respectively. However, as of September 30, 2023, we estimate that the impact to our share of the net gain (loss) from investment activities reported in our condensed consolidated statement of operations would be less than the change in fair value since we have an interest of approximately 60% in the Investment Funds.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0" w:right="179" w:firstLine="324"/>
        <w:spacing w:after="0" w:line="289" w:lineRule="auto"/>
        <w:rPr>
          <w:sz w:val="20"/>
          <w:szCs w:val="20"/>
          <w:color w:val="auto"/>
        </w:rPr>
      </w:pPr>
      <w:r>
        <w:rPr>
          <w:rFonts w:ascii="Arial" w:cs="Arial" w:eastAsia="Arial" w:hAnsi="Arial"/>
          <w:sz w:val="16"/>
          <w:szCs w:val="16"/>
          <w:color w:val="auto"/>
        </w:rPr>
        <w:t>As of September 30, 2023, our management, including our Chief Executive Officer and Chief Financial Officer, evaluated the effectiveness of the design and operation of Icahn Enterprises’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Securities and Exchange Commission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359" w:firstLine="324"/>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September 30, 2023 that have materially affected, or are reasonably likely to materially affect, our internal control over financial reporting.</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0" w:right="179" w:firstLine="324"/>
        <w:spacing w:after="0" w:line="296" w:lineRule="auto"/>
        <w:rPr>
          <w:sz w:val="20"/>
          <w:szCs w:val="20"/>
          <w:color w:val="auto"/>
        </w:rPr>
      </w:pPr>
      <w:r>
        <w:rPr>
          <w:rFonts w:ascii="Arial" w:cs="Arial" w:eastAsia="Arial" w:hAnsi="Arial"/>
          <w:sz w:val="16"/>
          <w:szCs w:val="16"/>
          <w:color w:val="auto"/>
        </w:rPr>
        <w:t>We are, and will continue to be, subject to litigation from time to time in the ordinary course of business. Refer to Note 18, “Commitments and Contingencies” to the condensed consolidated financial statements, which is incorporated by reference into this Part II, Item 1 of this Report, for information regarding our lawsuits and proceedings. Except for the lawsuits and proceedings disclosed in Note 18, there were no material changes to our lawsuits and proceedings as compared to those reported in our Annual Report on Form 10-K for the year ended December 31, 2022.</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259" w:firstLine="324"/>
        <w:spacing w:after="0" w:line="263" w:lineRule="auto"/>
        <w:rPr>
          <w:sz w:val="20"/>
          <w:szCs w:val="20"/>
          <w:color w:val="auto"/>
        </w:rPr>
      </w:pPr>
      <w:r>
        <w:rPr>
          <w:rFonts w:ascii="Arial" w:cs="Arial" w:eastAsia="Arial" w:hAnsi="Arial"/>
          <w:sz w:val="18"/>
          <w:szCs w:val="18"/>
          <w:color w:val="auto"/>
        </w:rPr>
        <w:t>Other than as set forth below, there were no material changes to our risk factors during the three months ended September 30, 2023 as compared to those reported in our Annual Report on Form 10-K for the year ended December 31, 2022.</w:t>
      </w:r>
    </w:p>
    <w:p>
      <w:pPr>
        <w:spacing w:after="0" w:line="184"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b w:val="1"/>
          <w:bCs w:val="1"/>
          <w:i w:val="1"/>
          <w:iCs w:val="1"/>
          <w:color w:val="auto"/>
        </w:rPr>
        <w:t>Our general partner, and its control person, has significant influence over us, and sales by our controlling unitholder pursuant to a margin call or otherwise could cause our unit price or the value of our assets in the Investment Funds to decline or otherwise impact our liquidity.</w:t>
      </w:r>
    </w:p>
    <w:p>
      <w:pPr>
        <w:spacing w:after="0" w:line="184" w:lineRule="exact"/>
        <w:rPr>
          <w:sz w:val="20"/>
          <w:szCs w:val="20"/>
          <w:color w:val="auto"/>
        </w:rPr>
      </w:pPr>
    </w:p>
    <w:p>
      <w:pPr>
        <w:ind w:left="60" w:right="299" w:firstLine="324"/>
        <w:spacing w:after="0" w:line="263" w:lineRule="auto"/>
        <w:rPr>
          <w:sz w:val="20"/>
          <w:szCs w:val="20"/>
          <w:color w:val="auto"/>
        </w:rPr>
      </w:pPr>
      <w:r>
        <w:rPr>
          <w:rFonts w:ascii="Arial" w:cs="Arial" w:eastAsia="Arial" w:hAnsi="Arial"/>
          <w:sz w:val="18"/>
          <w:szCs w:val="18"/>
          <w:color w:val="auto"/>
        </w:rPr>
        <w:t>Mr. Icahn, through affiliates, owns 100% of Icahn Enterprises GP, the general partner of Icahn Enterprises, and approximately 85% of Icahn Enterprises’ outstanding depositary units as of September 30, 2023, and, as a result, has the ability to influence many aspects of our operations and affairs.</w:t>
      </w:r>
    </w:p>
    <w:p>
      <w:pPr>
        <w:spacing w:after="0" w:line="184" w:lineRule="exact"/>
        <w:rPr>
          <w:sz w:val="20"/>
          <w:szCs w:val="20"/>
          <w:color w:val="auto"/>
        </w:rPr>
      </w:pPr>
    </w:p>
    <w:p>
      <w:pPr>
        <w:ind w:left="60" w:right="99" w:firstLine="324"/>
        <w:spacing w:after="0" w:line="289" w:lineRule="auto"/>
        <w:rPr>
          <w:sz w:val="20"/>
          <w:szCs w:val="20"/>
          <w:color w:val="auto"/>
        </w:rPr>
      </w:pPr>
      <w:r>
        <w:rPr>
          <w:rFonts w:ascii="Arial" w:cs="Arial" w:eastAsia="Arial" w:hAnsi="Arial"/>
          <w:sz w:val="16"/>
          <w:szCs w:val="16"/>
          <w:color w:val="auto"/>
        </w:rPr>
        <w:t>Mr. Icahn’s estate plan has been designed to assure the stability and continuation of Icahn Enterprises and to minimize the need to monetize his interests for estate tax or other purposes. In the event of Mr. Icahn’s death, a substantial majority of Mr. Icahn’s interests in Icahn Enterprises and its general partner are expected to pass to trusts or charitable organizations that will be under the control of a group that will include Icahn family members and current or former senior Icahn Enterprises executives. However, there can be no assurance that such planning will be effective. Furthermore, if upon Mr. Icahn’s death control of Icahn Enterprises GP is not given to Brett Icahn, Brett Icahn will have the right to terminate the manager agreement between Brett Icahn and Icahn Enterprises. In addition, it is currently anticipated that Brett Icahn will succeed Carl Icahn as Chairman of the board of Icahn Enterprises GP and as Chief Executive Officer of the Investment segment following the end of the 7-year term of the manager agreement or earlier if Carl Icahn should so determine.</w:t>
      </w:r>
    </w:p>
    <w:p>
      <w:pPr>
        <w:spacing w:after="0" w:line="166" w:lineRule="exact"/>
        <w:rPr>
          <w:sz w:val="20"/>
          <w:szCs w:val="20"/>
          <w:color w:val="auto"/>
        </w:rPr>
      </w:pPr>
    </w:p>
    <w:p>
      <w:pPr>
        <w:ind w:left="60" w:right="99" w:firstLine="324"/>
        <w:spacing w:after="0" w:line="286" w:lineRule="auto"/>
        <w:rPr>
          <w:sz w:val="20"/>
          <w:szCs w:val="20"/>
          <w:color w:val="auto"/>
        </w:rPr>
      </w:pPr>
      <w:r>
        <w:rPr>
          <w:rFonts w:ascii="Arial" w:cs="Arial" w:eastAsia="Arial" w:hAnsi="Arial"/>
          <w:sz w:val="16"/>
          <w:szCs w:val="16"/>
          <w:color w:val="auto"/>
        </w:rPr>
        <w:t>In addition, in past years through the present, Mr. Icahn from time to time has had and currently has borrowings from lenders and has pledged assets he owns personally, directly or through his affiliates, to secure these loans, which pledged assets include Icahn Enterprises depositary units and interests in the Investment Funds. The number of depositary units and the amount of interests in the Investment Funds owned personally by Mr. Icahn, directly or through his affiliates, pledged to secure these loans has been substantial and has fluctuated over time as a result of the amount of outstanding principal amount of the loans, the market price of the depositary units, the value of the Investment Fund interests, and other factors. As of September 30, 2023, Mr. Icahn and his affiliates have pledged 335,617,140 depositary units and approximately $1.4 billion of interests in the Investment Funds. Neither Icahn Enterprises nor any of its subsidiaries are party to these loans. Mr. Icahn amended and restated his loan agreements in July of 2023 (as amended and restated, the “Loan Agreement”), extending the maturity of certain of the previous loans, amending certain covenants, and providing for a principal payment of $500 million that was made prior to September 1, 2023, quarterly principal payments of $87.5 million beginning in September 2024, and a final principal payment of $2.5 billion at the end of the term. The terms of the Loan Agreement require that distributions paid upon, or proceeds from sales of, pledged depositary units be used to prepay the loans or be pledged as additional collateral. Pursuant to the terms of the Loan Agreement, a margin call may only be triggered in the event that the loan-to-value ratio set forth in the Loan Agreement is not maintained.</w:t>
      </w:r>
    </w:p>
    <w:p>
      <w:pPr>
        <w:spacing w:after="0" w:line="167" w:lineRule="exact"/>
        <w:rPr>
          <w:sz w:val="20"/>
          <w:szCs w:val="20"/>
          <w:color w:val="auto"/>
        </w:rPr>
      </w:pPr>
    </w:p>
    <w:p>
      <w:pPr>
        <w:ind w:left="60" w:right="99" w:firstLine="324"/>
        <w:spacing w:after="0" w:line="342" w:lineRule="auto"/>
        <w:rPr>
          <w:sz w:val="20"/>
          <w:szCs w:val="20"/>
          <w:color w:val="auto"/>
        </w:rPr>
      </w:pPr>
      <w:r>
        <w:rPr>
          <w:rFonts w:ascii="Arial" w:cs="Arial" w:eastAsia="Arial" w:hAnsi="Arial"/>
          <w:sz w:val="16"/>
          <w:szCs w:val="16"/>
          <w:color w:val="auto"/>
        </w:rPr>
        <w:t>Unlike the previous loan agreements, for purposes of the loan-to-value ratio set forth in the Loan Agreement, the value of the pledged depositary units will be calculated based upon the Company’s indicative net asset value rather than</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the market price of the depositary units. Only a significant decline in the Company’s indicative net asset value, or the value of the interests in the Investment Funds, could result in margin calls. Declines in the trading price of the Company’s depositary units will no longer require Mr. Icahn to deposit additional funds or securities with the lenders or suffer foreclosure on or a forced sale of Mr. Icahn’s depositary units or other assets. While we are confident in our investment strategy and ability to continue to grow our investment portfolio through a refocused activist strategy, and in the effectiveness of our hedges, which are designed to avoid fluctuations in the value of our portfolio, successful execution of our activist investment activities and other aspects of our business involves many risks, some of which are out of our control.</w:t>
      </w:r>
    </w:p>
    <w:p>
      <w:pPr>
        <w:spacing w:after="0" w:line="192"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Mr. Icahn may sell depositary units or make withdrawals from the Investment Funds in order to satisfy payment obligations under the Loan Agreements. Mr. Icahn has made withdrawals from the Investment Funds in recent months, and may make additional withdrawals, in order to repay a portion of his loans and for other purposes. In the event Mr. Icahn makes withdrawal requests from the Investment Funds, the Investment Funds may satisfy such withdrawal requests with cash or cash equivalents on hand, proceeds from sales of assets held by the Investment Funds or capital contributions from the Company, which could adversely affect the value of the assets held by the Investment Funds as well as the liquidity available to the Company.</w:t>
      </w:r>
    </w:p>
    <w:p>
      <w:pPr>
        <w:spacing w:after="0" w:line="195" w:lineRule="exact"/>
        <w:rPr>
          <w:sz w:val="20"/>
          <w:szCs w:val="20"/>
          <w:color w:val="auto"/>
        </w:rPr>
      </w:pPr>
    </w:p>
    <w:p>
      <w:pPr>
        <w:ind w:left="60" w:right="59" w:firstLine="324"/>
        <w:spacing w:after="0" w:line="272" w:lineRule="auto"/>
        <w:rPr>
          <w:sz w:val="20"/>
          <w:szCs w:val="20"/>
          <w:color w:val="auto"/>
        </w:rPr>
      </w:pPr>
      <w:r>
        <w:rPr>
          <w:rFonts w:ascii="Arial" w:cs="Arial" w:eastAsia="Arial" w:hAnsi="Arial"/>
          <w:sz w:val="17"/>
          <w:szCs w:val="17"/>
          <w:color w:val="auto"/>
        </w:rPr>
        <w:t>The affirmative vote of unitholders holding more than 75% of the total number of all depositary units then outstanding, including depositary units held by Icahn Enterprises GP and its affiliates, is required to remove Icahn Enterprises GP as the general partner of Icahn Enterprises. Mr. Icahn, through affiliates, holds approximately 85% of Icahn Enterprises’ outstanding depositary units. If sales of depositary units held by Mr. Icahn and his affiliates, as a result of a margin call, foreclosure, changes in tax laws, changes to his estate, or otherwise, were to cause Mr. Icahn and his affiliates to no longer hold at least 25% of the outstanding depositary units, Icahn Enterprises GP could potentially be removed as the general partner of Icahn Enterprises without Mr. Icahn’s consent.</w:t>
      </w:r>
    </w:p>
    <w:p>
      <w:pPr>
        <w:spacing w:after="0" w:line="177" w:lineRule="exact"/>
        <w:rPr>
          <w:sz w:val="20"/>
          <w:szCs w:val="20"/>
          <w:color w:val="auto"/>
        </w:rPr>
      </w:pPr>
    </w:p>
    <w:p>
      <w:pPr>
        <w:ind w:left="60" w:right="219" w:firstLine="324"/>
        <w:spacing w:after="0" w:line="263" w:lineRule="auto"/>
        <w:rPr>
          <w:sz w:val="20"/>
          <w:szCs w:val="20"/>
          <w:color w:val="auto"/>
        </w:rPr>
      </w:pPr>
      <w:r>
        <w:rPr>
          <w:rFonts w:ascii="Arial" w:cs="Arial" w:eastAsia="Arial" w:hAnsi="Arial"/>
          <w:sz w:val="18"/>
          <w:szCs w:val="18"/>
          <w:color w:val="auto"/>
        </w:rPr>
        <w:t>Sales of a substantial number of depositary units held by Mr. Icahn and his affiliates could have a negative impact on the market price of our depositary units. Likewise, the market may anticipate sales by Mr. Icahn or his estate even if Mr. Icahn or his estate is not selling, or has no plans to sell, depositary units.</w:t>
      </w:r>
    </w:p>
    <w:p>
      <w:pPr>
        <w:spacing w:after="0" w:line="184"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b w:val="1"/>
          <w:bCs w:val="1"/>
          <w:i w:val="1"/>
          <w:iCs w:val="1"/>
          <w:color w:val="auto"/>
        </w:rPr>
        <w:t>We have become subject to, and may in the future be subject to, short selling strategies driving down the market price of our depositary units and increasing the volatility of the trading market for our depositary units, as well as regulatory investigations and litigation.</w:t>
      </w:r>
    </w:p>
    <w:p>
      <w:pPr>
        <w:spacing w:after="0" w:line="184" w:lineRule="exact"/>
        <w:rPr>
          <w:sz w:val="20"/>
          <w:szCs w:val="20"/>
          <w:color w:val="auto"/>
        </w:rPr>
      </w:pPr>
    </w:p>
    <w:p>
      <w:pPr>
        <w:ind w:left="60" w:right="59" w:firstLine="324"/>
        <w:spacing w:after="0" w:line="284" w:lineRule="auto"/>
        <w:rPr>
          <w:sz w:val="20"/>
          <w:szCs w:val="20"/>
          <w:color w:val="auto"/>
        </w:rPr>
      </w:pPr>
      <w:r>
        <w:rPr>
          <w:rFonts w:ascii="Arial" w:cs="Arial" w:eastAsia="Arial" w:hAnsi="Arial"/>
          <w:sz w:val="16"/>
          <w:szCs w:val="16"/>
          <w:color w:val="auto"/>
        </w:rPr>
        <w:t>On May 2, 2023, a firm published a report making allegations about the Company in an attempt to drive down the market price of our depositary units, and the price of our depositary units declined significantly after the publication of this report and the market for our depositary units has been highly volatile since the publication of the report. Short selling is the practice of selling securities that the seller does not own but may have borrowed with the intention of buying identical securities back at a later date. The short seller hopes to profit from a decline in the value of the securities between the time the securities are borrowed and the time they are replaced. As it is in the short seller’s best interests for the price of the securities to decline, many short sellers (sometime known as “disclosed shorts”) publish, or arrange for the publication of, negative opinions regarding the relevant issuer and its business prospects to create negative market momentum. Although traditionally these disclosed shorts were limited in their ability to access mainstream business media or to otherwise create negative market rumors, the rise of the Internet and technological advancements regarding document creation, videotaping and publication by weblog have allowed many disclosed shorts to publicly attack a company’s credibility, strategy and veracity by means of so-called “research reports” that mimic the type of investment analysis performed by large Wall Street firms and independent research analysts. These short attacks have, in the past, led to selling of securities in the market. Further, these short seller publications are not regulated by any governmental, self-regulatory organization or other official authority in the U.S. and they are not subject to certification requirements imposed by the SEC. Companies that are subject to unfavorable allegations, even if untrue, may have to expend a significant amount of resources to investigate such allegations and/or defend themselves, including securityholder suits against the company that may be prompted by such allegations, and we have already expended significant resources and management time in response to the short seller report. As further described below, as a result of the recent short seller report, we have become the subject of suits and government inquiries prompted by the allegations made by the short seller, and future short seller reports could prompt additional lawsuits or investigations.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84" w:lineRule="auto"/>
        <w:rPr>
          <w:sz w:val="20"/>
          <w:szCs w:val="20"/>
          <w:color w:val="auto"/>
        </w:rPr>
      </w:pPr>
      <w:r>
        <w:rPr>
          <w:rFonts w:ascii="Arial" w:cs="Arial" w:eastAsia="Arial" w:hAnsi="Arial"/>
          <w:sz w:val="16"/>
          <w:szCs w:val="16"/>
          <w:color w:val="auto"/>
        </w:rPr>
        <w:t xml:space="preserve">Since the publication of the short seller report in May of 2023, we have received two, and may receive additional, putative securities class action lawsuits. The two putative securities class action lawsuits were filed in the U.S. District Court for the Southern District of Florida, </w:t>
      </w:r>
      <w:r>
        <w:rPr>
          <w:rFonts w:ascii="Arial" w:cs="Arial" w:eastAsia="Arial" w:hAnsi="Arial"/>
          <w:sz w:val="16"/>
          <w:szCs w:val="16"/>
          <w:i w:val="1"/>
          <w:iCs w:val="1"/>
          <w:color w:val="auto"/>
        </w:rPr>
        <w:t>Okaro v. Icahn Enterprises L.P. et al.</w:t>
      </w:r>
      <w:r>
        <w:rPr>
          <w:rFonts w:ascii="Arial" w:cs="Arial" w:eastAsia="Arial" w:hAnsi="Arial"/>
          <w:sz w:val="16"/>
          <w:szCs w:val="16"/>
          <w:color w:val="auto"/>
        </w:rPr>
        <w:t xml:space="preserve">, Case No. 23-21773 (S.D. Fl.), and </w:t>
      </w:r>
      <w:r>
        <w:rPr>
          <w:rFonts w:ascii="Arial" w:cs="Arial" w:eastAsia="Arial" w:hAnsi="Arial"/>
          <w:sz w:val="16"/>
          <w:szCs w:val="16"/>
          <w:i w:val="1"/>
          <w:iCs w:val="1"/>
          <w:color w:val="auto"/>
        </w:rPr>
        <w:t>Levine</w:t>
      </w:r>
      <w:r>
        <w:rPr>
          <w:rFonts w:ascii="Arial" w:cs="Arial" w:eastAsia="Arial" w:hAnsi="Arial"/>
          <w:sz w:val="16"/>
          <w:szCs w:val="16"/>
          <w:color w:val="auto"/>
        </w:rPr>
        <w:t xml:space="preserve"> </w:t>
      </w:r>
      <w:r>
        <w:rPr>
          <w:rFonts w:ascii="Arial" w:cs="Arial" w:eastAsia="Arial" w:hAnsi="Arial"/>
          <w:sz w:val="16"/>
          <w:szCs w:val="16"/>
          <w:i w:val="1"/>
          <w:iCs w:val="1"/>
          <w:color w:val="auto"/>
        </w:rPr>
        <w:t>v. Icahn Enterprises L.P. et al.</w:t>
      </w:r>
      <w:r>
        <w:rPr>
          <w:rFonts w:ascii="Arial" w:cs="Arial" w:eastAsia="Arial" w:hAnsi="Arial"/>
          <w:sz w:val="16"/>
          <w:szCs w:val="16"/>
          <w:color w:val="auto"/>
        </w:rPr>
        <w:t>, Case No. 23-22009 (S.D. Fl.). These lawsuits have been consolidated but a lead plaintiff has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not been appointed. A derivative complaint has also been filed in the U.S. District Court for the Southern District of Florida, naming the Company’s general partner, its directors, and certain current and former officers as defendants, and the Company as a nominal defendant, </w:t>
      </w:r>
      <w:r>
        <w:rPr>
          <w:rFonts w:ascii="Arial" w:cs="Arial" w:eastAsia="Arial" w:hAnsi="Arial"/>
          <w:sz w:val="16"/>
          <w:szCs w:val="16"/>
          <w:i w:val="1"/>
          <w:iCs w:val="1"/>
          <w:color w:val="auto"/>
        </w:rPr>
        <w:t>Patrick Pickney v. Icahn Enterprises G.P. Inc. Case No. 1:23-cv-22932-KMW</w:t>
      </w:r>
      <w:r>
        <w:rPr>
          <w:rFonts w:ascii="Arial" w:cs="Arial" w:eastAsia="Arial" w:hAnsi="Arial"/>
          <w:sz w:val="16"/>
          <w:szCs w:val="16"/>
          <w:color w:val="auto"/>
        </w:rPr>
        <w:t xml:space="preserve"> (S.D. Fl.). In addition, we have received demands for inspection of our books and records from plaintiffs purporting to be record holders of our depositary units. We have also received requests for information from the staff of the Division of Enforcement of the SEC and the U.S. Attorney’s office for the Southern District of New York, relating to, among other things, our corporate governance, capitalization, securities offerings, the sufficiency of our disclosure, including with respect to Mr. Icahn’s loans and pledges of depositary units and other assets, dividends, the valuation of our assets, marketing materials, due diligence and other materials. See Item 1 of Part II, “Legal Proceedings,” of this Report. We can provide no assurance as to the outcome or resolution of any pending or potential legal or administrative actions or investigations, and such actions and investigations may result in administrative orders against us, the imposition of penalties and/or fines against us and/or the imposition of sanctions against certain of the Company's current or former officers, directors and/or employees. Resolution of these types of matters can be prolonged and costly, and the ultimate results or judgments are uncertain due to the inherent uncertainty in the outcomes of litigation and other proceedings. However, as we have stated, we believe that we maintain a strong compliance program and, while no assurances can be made, and we are still evaluating these matters, we do not currently believe that these inquiries and litigations will have a material impact on our business, financial condition, results of operations or cash flows.</w:t>
      </w:r>
    </w:p>
    <w:p>
      <w:pPr>
        <w:spacing w:after="0" w:line="180" w:lineRule="exact"/>
        <w:rPr>
          <w:sz w:val="20"/>
          <w:szCs w:val="20"/>
          <w:color w:val="auto"/>
        </w:rPr>
      </w:pPr>
    </w:p>
    <w:p>
      <w:pPr>
        <w:ind w:left="60" w:right="639"/>
        <w:spacing w:after="0" w:line="277" w:lineRule="auto"/>
        <w:rPr>
          <w:sz w:val="20"/>
          <w:szCs w:val="20"/>
          <w:color w:val="auto"/>
        </w:rPr>
      </w:pPr>
      <w:r>
        <w:rPr>
          <w:rFonts w:ascii="Arial" w:cs="Arial" w:eastAsia="Arial" w:hAnsi="Arial"/>
          <w:sz w:val="18"/>
          <w:szCs w:val="18"/>
          <w:b w:val="1"/>
          <w:bCs w:val="1"/>
          <w:i w:val="1"/>
          <w:iCs w:val="1"/>
          <w:color w:val="auto"/>
        </w:rPr>
        <w:t>We may become taxable as a corporation if we are no longer treated as a partnership for U.S. federal income tax purposes.</w:t>
      </w:r>
    </w:p>
    <w:p>
      <w:pPr>
        <w:spacing w:after="0" w:line="170" w:lineRule="exact"/>
        <w:rPr>
          <w:sz w:val="20"/>
          <w:szCs w:val="20"/>
          <w:color w:val="auto"/>
        </w:rPr>
      </w:pPr>
    </w:p>
    <w:p>
      <w:pPr>
        <w:ind w:left="60" w:right="99" w:firstLine="324"/>
        <w:spacing w:after="0" w:line="311" w:lineRule="auto"/>
        <w:rPr>
          <w:sz w:val="20"/>
          <w:szCs w:val="20"/>
          <w:color w:val="auto"/>
        </w:rPr>
      </w:pPr>
      <w:r>
        <w:rPr>
          <w:rFonts w:ascii="Arial" w:cs="Arial" w:eastAsia="Arial" w:hAnsi="Arial"/>
          <w:sz w:val="16"/>
          <w:szCs w:val="16"/>
          <w:color w:val="auto"/>
        </w:rPr>
        <w:t>We believe that we have been and are properly treated as a partnership for U.S. federal income tax purposes. This allows us to pass through our income and deductions to our partners. However, the Internal Revenue Service (“IRS”) could challenge our partnership status and we could fail to qualify as a partnership for past years as well as future years.</w:t>
      </w:r>
    </w:p>
    <w:p>
      <w:pPr>
        <w:spacing w:after="0" w:line="149" w:lineRule="exact"/>
        <w:rPr>
          <w:sz w:val="20"/>
          <w:szCs w:val="20"/>
          <w:color w:val="auto"/>
        </w:rPr>
      </w:pPr>
    </w:p>
    <w:p>
      <w:pPr>
        <w:ind w:left="60" w:right="119" w:firstLine="324"/>
        <w:spacing w:after="0" w:line="285" w:lineRule="auto"/>
        <w:rPr>
          <w:sz w:val="20"/>
          <w:szCs w:val="20"/>
          <w:color w:val="auto"/>
        </w:rPr>
      </w:pPr>
      <w:r>
        <w:rPr>
          <w:rFonts w:ascii="Arial" w:cs="Arial" w:eastAsia="Arial" w:hAnsi="Arial"/>
          <w:sz w:val="16"/>
          <w:szCs w:val="16"/>
          <w:color w:val="auto"/>
        </w:rPr>
        <w:t>Qualification as a partnership involves the application of highly technical and complex provisions of the Internal Revenue Code, as amended. For example, a publicly traded partnership is generally taxable as a corporation unless 90% or more of its gross income is “qualifying” income, which includes interest, dividends, oil and gas revenues, real property rents, gains from the sale or other disposition of real property, gain from the sale or other disposition of capital assets held for the production of interest or dividends, and certain other items. We believe that in all prior years of our existence at least 90% of our gross income was “qualifying” income and we intend to structure our business in a manner such that at least 90% of our gross income will constitute “qualifying” income this year and in the future. However, there can be no assurance that such structuring will be effective in all events to avoid the receipt of more than 10% of non-qualifying income. The Board of Directors of our General Partner has approved the repurchase by the Company of up to $500 million of our outstanding senior notes, and if any such debt is repurchased at a discount, we may recognize cancellation of indebtedness (“COD”) income, which, in some circumstances, may not be considered “qualifying” income. If less than 90% of our gross income constitutes “qualifying” income, we may be subject to corporate tax on our net income plus possible state taxes. Further, if less than 90% of our gross income constituted “qualifying” income for past years, we may be subject to corporate level tax plus interest and possibly penalties. In addition, if we become required to register under the Investment Company Act, it is likely that we would be treated as a corporation for U.S. federal income tax purposes. The cost of paying federal and possibly state income tax, either for past years or going forward could be a significant liability and would reduce our funds available to make distributions to holders of units, and to make interest and principal payments on our debt securities. To meet the “qualifying” income test, we may structure transactions in a manner which is less advantageous than if this were not a consideration, or we may avoid otherwise economically desirable transactions.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340" w:lineRule="auto"/>
        <w:rPr>
          <w:sz w:val="20"/>
          <w:szCs w:val="20"/>
          <w:color w:val="auto"/>
        </w:rPr>
      </w:pPr>
      <w:r>
        <w:rPr>
          <w:rFonts w:ascii="Arial" w:cs="Arial" w:eastAsia="Arial" w:hAnsi="Arial"/>
          <w:sz w:val="15"/>
          <w:szCs w:val="15"/>
          <w:b w:val="1"/>
          <w:bCs w:val="1"/>
          <w:i w:val="1"/>
          <w:iCs w:val="1"/>
          <w:color w:val="auto"/>
        </w:rPr>
        <w:t>Our subsidiaries’ competitors may be larger and have greater financial resources and operational capabilities than our subsidiaries do, which may require them or us to invest significant additional capital in order to effectively compete. Our investments, or our subsidiaries’ investments, may not achieve desired results and may become impaired.</w:t>
      </w:r>
    </w:p>
    <w:p>
      <w:pPr>
        <w:spacing w:after="0" w:line="131" w:lineRule="exact"/>
        <w:rPr>
          <w:sz w:val="20"/>
          <w:szCs w:val="20"/>
          <w:color w:val="auto"/>
        </w:rPr>
      </w:pPr>
    </w:p>
    <w:p>
      <w:pPr>
        <w:ind w:left="60" w:right="79" w:firstLine="324"/>
        <w:spacing w:after="0" w:line="285" w:lineRule="auto"/>
        <w:rPr>
          <w:sz w:val="20"/>
          <w:szCs w:val="20"/>
          <w:color w:val="auto"/>
        </w:rPr>
      </w:pPr>
      <w:r>
        <w:rPr>
          <w:rFonts w:ascii="Arial" w:cs="Arial" w:eastAsia="Arial" w:hAnsi="Arial"/>
          <w:sz w:val="16"/>
          <w:szCs w:val="16"/>
          <w:color w:val="auto"/>
        </w:rPr>
        <w:t>Our operating subsidiaries face competitive pressures within markets in which they operate. We manage our subsidiaries with the objective of growing their value over time by, among other means, investing in and strengthening our subsidiaries’ competitive advantages. Many factors, including availability of financial resources, supply chain capabilities and local market changes, may limit our ability to strengthen our subsidiaries’ competitive advantages. In addition, competitors may be significantly larger than our subsidiaries are and may have greater financial resources and operational capabilities. Accordingly, our subsidiaries may require significant additional resources, which may not be available to them through internally generated cash flows, and a decline in these businesses could result in an impairment charge. With respect to our Automotive segment, we have invested significant resources in various initiatives to remain competitive and stimulate growth. Despite these efforts, in January 2023, Auto Plus filed the Chapter 11 Cases in Bankruptcy Court. As a result of this filing, the Company has determined that it no longer controls Auto Plus and has deconsolidated its investment in Auto Plus effective as of January 31, 2023 resulting in a non-cash charge of $246 million recorded in the nine months ended September 30, 2023 and determined that our remaining equity investment in Auto Plus is now worth $0. Such events have had and continue to have a negative impact on the results of operations and balance sheet of our Automotive segment. In addition, we will continue to consider strategic alternatives in our automotive Aftermarket Parts business to maximize value. If we are unable to implement these initiatives efficiently and effectively, or if these initiatives are unsuccessful, our consolidated financial condition, results of operations and cash flows could be adversely affected.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Future cash distributions to Icahn Enterprises’ unitholders, if any, can be affected by numerous factors.</w:t>
      </w:r>
    </w:p>
    <w:p>
      <w:pPr>
        <w:spacing w:after="0" w:line="225"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While we made cash distributions to Icahn Enterprises’ unitholders in each of the four quarters of 2022 and the first three quarters of 2023, the payment of future distributions will be determined by the board of directors of Icahn Enterprises GP, our General Partner, quarterly, based on a review of a number of factors, including those described below and other factors that it deems relevant at the time that declaration of a distribution is considered. For our quarterly distribution declared on November 1, 2023, we have continued to provide an option for unitholders to receive a distribution in either depositary units or cash; however, similar to the quarterly distribution declared on August 4, 2023, for this distribution, unitholders will receive a distribution of $1.00 per unit payable in depositary units and/or cash at the election of the unitholder.</w:t>
      </w:r>
    </w:p>
    <w:p>
      <w:pPr>
        <w:spacing w:after="0" w:line="192" w:lineRule="exact"/>
        <w:rPr>
          <w:sz w:val="20"/>
          <w:szCs w:val="20"/>
          <w:color w:val="auto"/>
        </w:rPr>
      </w:pPr>
    </w:p>
    <w:p>
      <w:pPr>
        <w:ind w:left="60" w:right="59" w:firstLine="324"/>
        <w:spacing w:after="0" w:line="269" w:lineRule="auto"/>
        <w:rPr>
          <w:sz w:val="20"/>
          <w:szCs w:val="20"/>
          <w:color w:val="auto"/>
        </w:rPr>
      </w:pPr>
      <w:r>
        <w:rPr>
          <w:rFonts w:ascii="Arial" w:cs="Arial" w:eastAsia="Arial" w:hAnsi="Arial"/>
          <w:sz w:val="17"/>
          <w:szCs w:val="17"/>
          <w:color w:val="auto"/>
        </w:rPr>
        <w:t>Our ability to pay distributions will depend on numerous factors, including the availability of adequate cash flow from operations; the proceeds, if any, from divestitures; our capital requirements and other obligations; restrictions contained in our financing arrangements, including the indentures governing our senior notes; and our issuances of additional equity and debt securities. Mr. Icahn and his affiliates own approximately 85% of our outstanding depositary units, and he has generally elected to take his quarterly distribution in units instead of cash. We anticipate that Mr. Icahn will elect to take his distributions in a mix of cash and units with respect to future distributions, which could further reduce the ability of the Company to maintain its current or historical cash distribution amounts. The availability of cash flow in the future depends as well upon events and circumstances outside our control, including prevailing economic and industry conditions and financial, business and similar factors. No assurance can be given that we will be able to make distributions or as to the timing of any distribution. Even if distributions are made, there can be no assurance that holders of depositary units will not be required to recognize taxable income in excess of cash distributions made in respect of the period in which a distribution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0" w:right="139" w:firstLine="324"/>
        <w:spacing w:after="0" w:line="291" w:lineRule="auto"/>
        <w:rPr>
          <w:sz w:val="20"/>
          <w:szCs w:val="20"/>
          <w:color w:val="auto"/>
        </w:rPr>
      </w:pPr>
      <w:r>
        <w:rPr>
          <w:rFonts w:ascii="Arial" w:cs="Arial" w:eastAsia="Arial" w:hAnsi="Arial"/>
          <w:sz w:val="16"/>
          <w:szCs w:val="16"/>
          <w:color w:val="auto"/>
        </w:rPr>
        <w:t>During our last fiscal quarter, no director or officer, as defined in Rule 16a-f(1), adopted or terminated a “Rule 10b5-1 trading arrangement” or a “non-Rule 10b5-1 trading arrangement,” each as defined in Regulation S-K Item 408.</w:t>
      </w: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Exhibit No.</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0" w:type="dxa"/>
            <w:vAlign w:val="bottom"/>
            <w:gridSpan w:val="6"/>
          </w:tcPr>
          <w:p>
            <w:pPr>
              <w:ind w:left="29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102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20" w:type="dxa"/>
            <w:vAlign w:val="bottom"/>
          </w:tcPr>
          <w:p>
            <w:pPr>
              <w:jc w:val="center"/>
              <w:spacing w:after="0" w:line="169" w:lineRule="exact"/>
              <w:rPr>
                <w:sz w:val="20"/>
                <w:szCs w:val="20"/>
                <w:color w:val="auto"/>
              </w:rPr>
            </w:pPr>
            <w:r>
              <w:rPr>
                <w:rFonts w:ascii="Arial" w:cs="Arial" w:eastAsia="Arial" w:hAnsi="Arial"/>
                <w:sz w:val="18"/>
                <w:szCs w:val="18"/>
                <w:color w:val="auto"/>
                <w:w w:val="91"/>
              </w:rPr>
              <w:t>31.1</w:t>
            </w:r>
          </w:p>
        </w:tc>
        <w:tc>
          <w:tcPr>
            <w:tcW w:w="2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600" w:type="dxa"/>
            <w:vAlign w:val="bottom"/>
            <w:gridSpan w:val="7"/>
          </w:tcPr>
          <w:p>
            <w:pPr>
              <w:spacing w:after="0" w:line="169" w:lineRule="exact"/>
              <w:rPr>
                <w:sz w:val="20"/>
                <w:szCs w:val="20"/>
                <w:color w:val="auto"/>
              </w:rPr>
            </w:pPr>
            <w:r>
              <w:rPr>
                <w:rFonts w:ascii="Arial" w:cs="Arial" w:eastAsia="Arial" w:hAnsi="Arial"/>
                <w:sz w:val="18"/>
                <w:szCs w:val="18"/>
                <w:color w:val="0000EE"/>
                <w:w w:val="94"/>
              </w:rPr>
              <w:t>Certification of Chief Executive Officer pursuant to Section 302(a) of the Sarbanes-Oxley Act of 2002</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8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and Rule 13a-14(a) of the Securities Exchange Act of 1934.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3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2"/>
              </w:rPr>
              <w:t>Certification of Chief Financial Officer pursuant to Section 302(a) of the Sarbanes-Oxley Act of 2002</w:t>
            </w:r>
          </w:p>
        </w:tc>
        <w:tc>
          <w:tcPr>
            <w:tcW w:w="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0" w:type="dxa"/>
            <w:vAlign w:val="bottom"/>
            <w:gridSpan w:val="7"/>
          </w:tcPr>
          <w:p>
            <w:pPr>
              <w:spacing w:after="0" w:line="196" w:lineRule="exact"/>
              <w:rPr>
                <w:sz w:val="20"/>
                <w:szCs w:val="20"/>
                <w:color w:val="auto"/>
              </w:rPr>
            </w:pPr>
            <w:r>
              <w:rPr>
                <w:rFonts w:ascii="Arial" w:cs="Arial" w:eastAsia="Arial" w:hAnsi="Arial"/>
                <w:sz w:val="18"/>
                <w:szCs w:val="18"/>
                <w:color w:val="0000EE"/>
              </w:rPr>
              <w:t>and Rule 13a-14(a) of the Securities Exchange Act of 1934.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0" w:type="dxa"/>
            <w:vAlign w:val="bottom"/>
            <w:gridSpan w:val="7"/>
          </w:tcPr>
          <w:p>
            <w:pPr>
              <w:spacing w:after="0"/>
              <w:rPr>
                <w:sz w:val="20"/>
                <w:szCs w:val="20"/>
                <w:color w:val="auto"/>
              </w:rPr>
            </w:pPr>
            <w:r>
              <w:rPr>
                <w:rFonts w:ascii="Arial" w:cs="Arial" w:eastAsia="Arial" w:hAnsi="Arial"/>
                <w:sz w:val="18"/>
                <w:szCs w:val="18"/>
                <w:color w:val="0000EE"/>
                <w:w w:val="99"/>
              </w:rPr>
              <w:t>Certification of Chief Executive Officer and Chief Financial Officer pursuant to Section 906 of the</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7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0" w:type="dxa"/>
            <w:vAlign w:val="bottom"/>
            <w:gridSpan w:val="7"/>
          </w:tcPr>
          <w:p>
            <w:pPr>
              <w:spacing w:after="0" w:line="196" w:lineRule="exact"/>
              <w:rPr>
                <w:sz w:val="20"/>
                <w:szCs w:val="20"/>
                <w:color w:val="auto"/>
              </w:rPr>
            </w:pPr>
            <w:r>
              <w:rPr>
                <w:rFonts w:ascii="Arial" w:cs="Arial" w:eastAsia="Arial" w:hAnsi="Arial"/>
                <w:sz w:val="18"/>
                <w:szCs w:val="18"/>
                <w:color w:val="0000EE"/>
                <w:w w:val="95"/>
              </w:rPr>
              <w:t>Sarbanes-Oxley Act of 2002 (18 U.S.C. 1350) and Rule 13a-14(b) of the Securities Exchange Act of</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1934.</w:t>
            </w:r>
          </w:p>
        </w:tc>
        <w:tc>
          <w:tcPr>
            <w:tcW w:w="3900" w:type="dxa"/>
            <w:vAlign w:val="bottom"/>
            <w:tcBorders>
              <w:top w:val="single" w:sz="8" w:color="0000EE"/>
            </w:tcBorders>
          </w:tcPr>
          <w:p>
            <w:pPr>
              <w:spacing w:after="0"/>
              <w:rPr>
                <w:sz w:val="17"/>
                <w:szCs w:val="17"/>
                <w:color w:val="auto"/>
              </w:rPr>
            </w:pPr>
          </w:p>
        </w:tc>
        <w:tc>
          <w:tcPr>
            <w:tcW w:w="28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101.SCH</w:t>
            </w:r>
          </w:p>
        </w:tc>
        <w:tc>
          <w:tcPr>
            <w:tcW w:w="40" w:type="dxa"/>
            <w:vAlign w:val="bottom"/>
          </w:tcPr>
          <w:p>
            <w:pPr>
              <w:spacing w:after="0"/>
              <w:rPr>
                <w:sz w:val="21"/>
                <w:szCs w:val="21"/>
                <w:color w:val="auto"/>
              </w:rPr>
            </w:pPr>
          </w:p>
        </w:tc>
        <w:tc>
          <w:tcPr>
            <w:tcW w:w="760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7"/>
              </w:rPr>
              <w:t>101.CAL</w:t>
            </w:r>
          </w:p>
        </w:tc>
        <w:tc>
          <w:tcPr>
            <w:tcW w:w="40" w:type="dxa"/>
            <w:vAlign w:val="bottom"/>
          </w:tcPr>
          <w:p>
            <w:pPr>
              <w:spacing w:after="0"/>
              <w:rPr>
                <w:sz w:val="23"/>
                <w:szCs w:val="23"/>
                <w:color w:val="auto"/>
              </w:rPr>
            </w:pPr>
          </w:p>
        </w:tc>
        <w:tc>
          <w:tcPr>
            <w:tcW w:w="760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8"/>
              </w:rPr>
              <w:t>101.LAB</w:t>
            </w:r>
          </w:p>
        </w:tc>
        <w:tc>
          <w:tcPr>
            <w:tcW w:w="40" w:type="dxa"/>
            <w:vAlign w:val="bottom"/>
          </w:tcPr>
          <w:p>
            <w:pPr>
              <w:spacing w:after="0"/>
              <w:rPr>
                <w:sz w:val="23"/>
                <w:szCs w:val="23"/>
                <w:color w:val="auto"/>
              </w:rPr>
            </w:pPr>
          </w:p>
        </w:tc>
        <w:tc>
          <w:tcPr>
            <w:tcW w:w="760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101.PRE</w:t>
            </w:r>
          </w:p>
        </w:tc>
        <w:tc>
          <w:tcPr>
            <w:tcW w:w="40" w:type="dxa"/>
            <w:vAlign w:val="bottom"/>
          </w:tcPr>
          <w:p>
            <w:pPr>
              <w:spacing w:after="0"/>
              <w:rPr>
                <w:sz w:val="23"/>
                <w:szCs w:val="23"/>
                <w:color w:val="auto"/>
              </w:rPr>
            </w:pPr>
          </w:p>
        </w:tc>
        <w:tc>
          <w:tcPr>
            <w:tcW w:w="760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101.DEF</w:t>
            </w:r>
          </w:p>
        </w:tc>
        <w:tc>
          <w:tcPr>
            <w:tcW w:w="40" w:type="dxa"/>
            <w:vAlign w:val="bottom"/>
          </w:tcPr>
          <w:p>
            <w:pPr>
              <w:spacing w:after="0"/>
              <w:rPr>
                <w:sz w:val="23"/>
                <w:szCs w:val="23"/>
                <w:color w:val="auto"/>
              </w:rPr>
            </w:pPr>
          </w:p>
        </w:tc>
        <w:tc>
          <w:tcPr>
            <w:tcW w:w="760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340" w:hanging="918"/>
        <w:spacing w:after="0"/>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399" w:firstLine="324"/>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42"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Icahn Enterprises L.P.</w:t>
      </w:r>
    </w:p>
    <w:p>
      <w:pPr>
        <w:spacing w:after="0" w:line="200" w:lineRule="exact"/>
        <w:rPr>
          <w:sz w:val="20"/>
          <w:szCs w:val="20"/>
          <w:color w:val="auto"/>
        </w:rPr>
      </w:pPr>
    </w:p>
    <w:p>
      <w:pPr>
        <w:spacing w:after="0" w:line="245"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tab/>
        <w:t>Icahn Enterprises G.P. Inc., its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tab/>
        <w:t>/s/ David Willetts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14605</wp:posOffset>
            </wp:positionV>
            <wp:extent cx="23577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David Willetts,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President, Chief Executive Officer and Director</w:t>
      </w:r>
    </w:p>
    <w:p>
      <w:pPr>
        <w:spacing w:after="0" w:line="200" w:lineRule="exact"/>
        <w:rPr>
          <w:sz w:val="20"/>
          <w:szCs w:val="20"/>
          <w:color w:val="auto"/>
        </w:rPr>
      </w:pPr>
    </w:p>
    <w:p>
      <w:pPr>
        <w:spacing w:after="0" w:line="238"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tab/>
        <w:t>Icahn Enterprises G.P. Inc., its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tab/>
        <w:t>/s/ 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14605</wp:posOffset>
            </wp:positionV>
            <wp:extent cx="23577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Ted Papapostolou,</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Chief Financial Officer, Chief Accounting Officer</w:t>
      </w:r>
    </w:p>
    <w:p>
      <w:pPr>
        <w:spacing w:after="0" w:line="3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and Director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Willetts, certify that:</w:t>
      </w:r>
    </w:p>
    <w:p>
      <w:pPr>
        <w:spacing w:after="0" w:line="225" w:lineRule="exact"/>
        <w:rPr>
          <w:sz w:val="20"/>
          <w:szCs w:val="20"/>
          <w:color w:val="auto"/>
        </w:rPr>
      </w:pPr>
    </w:p>
    <w:p>
      <w:pPr>
        <w:ind w:left="500" w:hanging="179"/>
        <w:spacing w:after="0"/>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Icahn Enterprises L.P. for the period ended September 30, 2023;</w:t>
      </w:r>
    </w:p>
    <w:p>
      <w:pPr>
        <w:spacing w:after="0" w:line="248" w:lineRule="exact"/>
        <w:rPr>
          <w:rFonts w:ascii="Arial" w:cs="Arial" w:eastAsia="Arial" w:hAnsi="Arial"/>
          <w:sz w:val="16"/>
          <w:szCs w:val="16"/>
          <w:color w:val="auto"/>
        </w:rPr>
      </w:pPr>
    </w:p>
    <w:p>
      <w:pPr>
        <w:ind w:right="80" w:firstLine="321"/>
        <w:spacing w:after="0" w:line="263"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321"/>
        <w:spacing w:after="0" w:line="263"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80" w:firstLine="321"/>
        <w:spacing w:after="0" w:line="263"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3" w:lineRule="exact"/>
        <w:rPr>
          <w:rFonts w:ascii="Arial" w:cs="Arial" w:eastAsia="Arial" w:hAnsi="Arial"/>
          <w:sz w:val="18"/>
          <w:szCs w:val="18"/>
          <w:color w:val="auto"/>
        </w:rPr>
      </w:pPr>
    </w:p>
    <w:p>
      <w:pPr>
        <w:ind w:left="320" w:right="120" w:firstLine="325"/>
        <w:spacing w:after="0" w:line="311" w:lineRule="auto"/>
        <w:tabs>
          <w:tab w:leader="none" w:pos="829"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320" w:right="240" w:firstLine="325"/>
        <w:spacing w:after="0" w:line="311" w:lineRule="auto"/>
        <w:tabs>
          <w:tab w:leader="none" w:pos="839"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320" w:right="20" w:firstLine="325"/>
        <w:spacing w:after="0" w:line="263" w:lineRule="auto"/>
        <w:tabs>
          <w:tab w:leader="none" w:pos="829"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320" w:right="140" w:firstLine="325"/>
        <w:spacing w:after="0" w:line="311" w:lineRule="auto"/>
        <w:tabs>
          <w:tab w:leader="none" w:pos="839"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Arial" w:cs="Arial" w:eastAsia="Arial" w:hAnsi="Arial"/>
          <w:sz w:val="16"/>
          <w:szCs w:val="16"/>
          <w:color w:val="auto"/>
        </w:rPr>
      </w:pPr>
    </w:p>
    <w:p>
      <w:pPr>
        <w:ind w:right="220" w:firstLine="321"/>
        <w:spacing w:after="0" w:line="263"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320" w:right="440" w:firstLine="325"/>
        <w:spacing w:after="0" w:line="263" w:lineRule="auto"/>
        <w:tabs>
          <w:tab w:leader="none" w:pos="829"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320" w:right="280" w:firstLine="325"/>
        <w:spacing w:after="0" w:line="277" w:lineRule="auto"/>
        <w:tabs>
          <w:tab w:leader="none" w:pos="839"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/s/ David Willetts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14605</wp:posOffset>
            </wp:positionV>
            <wp:extent cx="331787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17875" cy="25400"/>
                    </a:xfrm>
                    <a:prstGeom prst="rect">
                      <a:avLst/>
                    </a:prstGeom>
                    <a:noFill/>
                  </pic:spPr>
                </pic:pic>
              </a:graphicData>
            </a:graphic>
          </wp:anchor>
        </w:drawing>
      </w:r>
    </w:p>
    <w:p>
      <w:pPr>
        <w:spacing w:after="0" w:line="70"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David Willetts</w:t>
      </w:r>
    </w:p>
    <w:p>
      <w:pPr>
        <w:spacing w:after="0" w:line="63" w:lineRule="exact"/>
        <w:rPr>
          <w:sz w:val="20"/>
          <w:szCs w:val="20"/>
          <w:color w:val="auto"/>
        </w:rPr>
      </w:pPr>
    </w:p>
    <w:p>
      <w:pPr>
        <w:ind w:left="4240" w:right="240"/>
        <w:spacing w:after="0" w:line="235" w:lineRule="auto"/>
        <w:rPr>
          <w:sz w:val="20"/>
          <w:szCs w:val="20"/>
          <w:color w:val="auto"/>
        </w:rPr>
      </w:pPr>
      <w:r>
        <w:rPr>
          <w:rFonts w:ascii="Arial" w:cs="Arial" w:eastAsia="Arial" w:hAnsi="Arial"/>
          <w:sz w:val="18"/>
          <w:szCs w:val="18"/>
          <w:color w:val="auto"/>
        </w:rPr>
        <w:t>President and Chief Executive Officer of Icahn Enterprises G.P. Inc., the general partner of Icahn Enterprises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98360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20"/>
          </w:cols>
          <w:pgMar w:left="1240" w:top="121" w:right="1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Ted Papapostolou, certify that:</w:t>
      </w:r>
    </w:p>
    <w:p>
      <w:pPr>
        <w:spacing w:after="0" w:line="225" w:lineRule="exact"/>
        <w:rPr>
          <w:sz w:val="20"/>
          <w:szCs w:val="20"/>
          <w:color w:val="auto"/>
        </w:rPr>
      </w:pPr>
    </w:p>
    <w:p>
      <w:pPr>
        <w:ind w:left="500" w:hanging="179"/>
        <w:spacing w:after="0"/>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Icahn Enterprises L.P. for the period ended September 30, 2023;</w:t>
      </w:r>
    </w:p>
    <w:p>
      <w:pPr>
        <w:spacing w:after="0" w:line="248" w:lineRule="exact"/>
        <w:rPr>
          <w:rFonts w:ascii="Arial" w:cs="Arial" w:eastAsia="Arial" w:hAnsi="Arial"/>
          <w:sz w:val="16"/>
          <w:szCs w:val="16"/>
          <w:color w:val="auto"/>
        </w:rPr>
      </w:pPr>
    </w:p>
    <w:p>
      <w:pPr>
        <w:ind w:right="80" w:firstLine="321"/>
        <w:spacing w:after="0" w:line="263" w:lineRule="auto"/>
        <w:tabs>
          <w:tab w:leader="none" w:pos="5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321"/>
        <w:spacing w:after="0" w:line="263" w:lineRule="auto"/>
        <w:tabs>
          <w:tab w:leader="none" w:pos="5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80" w:firstLine="321"/>
        <w:spacing w:after="0" w:line="263" w:lineRule="auto"/>
        <w:tabs>
          <w:tab w:leader="none" w:pos="5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3" w:lineRule="exact"/>
        <w:rPr>
          <w:rFonts w:ascii="Arial" w:cs="Arial" w:eastAsia="Arial" w:hAnsi="Arial"/>
          <w:sz w:val="18"/>
          <w:szCs w:val="18"/>
          <w:color w:val="auto"/>
        </w:rPr>
      </w:pPr>
    </w:p>
    <w:p>
      <w:pPr>
        <w:ind w:left="320" w:right="120" w:firstLine="325"/>
        <w:spacing w:after="0" w:line="311" w:lineRule="auto"/>
        <w:tabs>
          <w:tab w:leader="none" w:pos="829"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320" w:right="240" w:firstLine="325"/>
        <w:spacing w:after="0" w:line="311" w:lineRule="auto"/>
        <w:tabs>
          <w:tab w:leader="none" w:pos="839"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320" w:right="20" w:firstLine="325"/>
        <w:spacing w:after="0" w:line="263" w:lineRule="auto"/>
        <w:tabs>
          <w:tab w:leader="none" w:pos="829"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320" w:right="140" w:firstLine="325"/>
        <w:spacing w:after="0" w:line="311" w:lineRule="auto"/>
        <w:tabs>
          <w:tab w:leader="none" w:pos="839"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Arial" w:cs="Arial" w:eastAsia="Arial" w:hAnsi="Arial"/>
          <w:sz w:val="16"/>
          <w:szCs w:val="16"/>
          <w:color w:val="auto"/>
        </w:rPr>
      </w:pPr>
    </w:p>
    <w:p>
      <w:pPr>
        <w:ind w:right="20" w:firstLine="321"/>
        <w:spacing w:after="0" w:line="263" w:lineRule="auto"/>
        <w:tabs>
          <w:tab w:leader="none" w:pos="5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320" w:right="440" w:firstLine="325"/>
        <w:spacing w:after="0" w:line="263" w:lineRule="auto"/>
        <w:tabs>
          <w:tab w:leader="none" w:pos="829"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320" w:right="280" w:firstLine="325"/>
        <w:spacing w:after="0" w:line="277" w:lineRule="auto"/>
        <w:tabs>
          <w:tab w:leader="none" w:pos="839"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 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14605</wp:posOffset>
            </wp:positionV>
            <wp:extent cx="338645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Ted Papapostolou</w:t>
      </w:r>
    </w:p>
    <w:p>
      <w:pPr>
        <w:spacing w:after="0" w:line="50" w:lineRule="exact"/>
        <w:rPr>
          <w:sz w:val="20"/>
          <w:szCs w:val="20"/>
          <w:color w:val="auto"/>
        </w:rPr>
      </w:pPr>
    </w:p>
    <w:p>
      <w:pPr>
        <w:ind w:left="4120" w:right="580"/>
        <w:spacing w:after="0" w:line="235" w:lineRule="auto"/>
        <w:rPr>
          <w:sz w:val="20"/>
          <w:szCs w:val="20"/>
          <w:color w:val="auto"/>
        </w:rPr>
      </w:pPr>
      <w:r>
        <w:rPr>
          <w:rFonts w:ascii="Arial" w:cs="Arial" w:eastAsia="Arial" w:hAnsi="Arial"/>
          <w:sz w:val="18"/>
          <w:szCs w:val="18"/>
          <w:color w:val="auto"/>
        </w:rPr>
        <w:t>Chief Financial Officer of Icahn Enterprises G.P. Inc., the general partner of Icahn Enterprises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98360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20"/>
          </w:cols>
          <w:pgMar w:left="1240" w:top="121" w:right="1239" w:bottom="1440" w:gutter="0" w:footer="0" w:header="0"/>
        </w:sectPr>
      </w:pPr>
    </w:p>
    <w:bookmarkStart w:id="65" w:name="page66"/>
    <w:bookmarkEnd w:id="65"/>
    <w:p>
      <w:pPr>
        <w:ind w:left="828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In connection with the quarterly report on Form 10-Q of Icahn Enterprises L.P., for the period ended September 30, 2023, the undersigned certify that, to the best of his knowledge, based upon a review of the Icahn Enterprises L.P. quarterly report on Form 10-Q for the period ended September 30, 2023:</w:t>
      </w:r>
    </w:p>
    <w:p>
      <w:pPr>
        <w:spacing w:after="0" w:line="184" w:lineRule="exact"/>
        <w:rPr>
          <w:sz w:val="20"/>
          <w:szCs w:val="20"/>
          <w:color w:val="auto"/>
        </w:rPr>
      </w:pPr>
    </w:p>
    <w:p>
      <w:pPr>
        <w:ind w:right="460" w:firstLine="321"/>
        <w:spacing w:after="0" w:line="277" w:lineRule="auto"/>
        <w:tabs>
          <w:tab w:leader="none" w:pos="57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right="500" w:firstLine="321"/>
        <w:spacing w:after="0" w:line="277" w:lineRule="auto"/>
        <w:tabs>
          <w:tab w:leader="none" w:pos="57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 David Willetts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2566670</wp:posOffset>
            </wp:positionH>
            <wp:positionV relativeFrom="paragraph">
              <wp:posOffset>14605</wp:posOffset>
            </wp:positionV>
            <wp:extent cx="341185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11855" cy="25400"/>
                    </a:xfrm>
                    <a:prstGeom prst="rect">
                      <a:avLst/>
                    </a:prstGeom>
                    <a:noFill/>
                  </pic:spPr>
                </pic:pic>
              </a:graphicData>
            </a:graphic>
          </wp:anchor>
        </w:drawing>
      </w:r>
    </w:p>
    <w:p>
      <w:pPr>
        <w:spacing w:after="0" w:line="70"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David Willetts</w:t>
      </w:r>
    </w:p>
    <w:p>
      <w:pPr>
        <w:spacing w:after="0" w:line="63" w:lineRule="exact"/>
        <w:rPr>
          <w:sz w:val="20"/>
          <w:szCs w:val="20"/>
          <w:color w:val="auto"/>
        </w:rPr>
      </w:pPr>
    </w:p>
    <w:p>
      <w:pPr>
        <w:ind w:left="4080" w:right="120"/>
        <w:spacing w:after="0" w:line="235" w:lineRule="auto"/>
        <w:rPr>
          <w:sz w:val="20"/>
          <w:szCs w:val="20"/>
          <w:color w:val="auto"/>
        </w:rPr>
      </w:pPr>
      <w:r>
        <w:rPr>
          <w:rFonts w:ascii="Arial" w:cs="Arial" w:eastAsia="Arial" w:hAnsi="Arial"/>
          <w:sz w:val="18"/>
          <w:szCs w:val="18"/>
          <w:color w:val="auto"/>
        </w:rPr>
        <w:t>President and Chief Executive Officer of Icahn Enterprises G.P. Inc., the general partner of Icahn Enterprises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2023</w:t>
      </w:r>
    </w:p>
    <w:p>
      <w:pPr>
        <w:spacing w:after="0" w:line="27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 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14605</wp:posOffset>
            </wp:positionV>
            <wp:extent cx="338645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86455" cy="26035"/>
                    </a:xfrm>
                    <a:prstGeom prst="rect">
                      <a:avLst/>
                    </a:prstGeom>
                    <a:noFill/>
                  </pic:spPr>
                </pic:pic>
              </a:graphicData>
            </a:graphic>
          </wp:anchor>
        </w:drawing>
      </w:r>
    </w:p>
    <w:p>
      <w:pPr>
        <w:spacing w:after="0" w:line="70"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Ted Papapostolou</w:t>
      </w:r>
    </w:p>
    <w:p>
      <w:pPr>
        <w:spacing w:after="0" w:line="63" w:lineRule="exact"/>
        <w:rPr>
          <w:sz w:val="20"/>
          <w:szCs w:val="20"/>
          <w:color w:val="auto"/>
        </w:rPr>
      </w:pPr>
    </w:p>
    <w:p>
      <w:pPr>
        <w:ind w:left="4120" w:right="580"/>
        <w:spacing w:after="0" w:line="235" w:lineRule="auto"/>
        <w:rPr>
          <w:sz w:val="20"/>
          <w:szCs w:val="20"/>
          <w:color w:val="auto"/>
        </w:rPr>
      </w:pPr>
      <w:r>
        <w:rPr>
          <w:rFonts w:ascii="Arial" w:cs="Arial" w:eastAsia="Arial" w:hAnsi="Arial"/>
          <w:sz w:val="18"/>
          <w:szCs w:val="18"/>
          <w:color w:val="auto"/>
        </w:rPr>
        <w:t>Chief Financial Officer of Icahn Enterprises G.P. Inc., the general partner of Icahn Enterprises L.P</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98360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sectPr>
      <w:pgSz w:w="11900" w:h="16838" w:orient="portrait"/>
      <w:cols w:equalWidth="0" w:num="1">
        <w:col w:w="9420"/>
      </w:cols>
      <w:pgMar w:left="1240" w:top="121"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0"/>
    </w:lvl>
  </w:abstractNum>
  <w:abstractNum w:abstractNumId="7">
    <w:nsid w:val="1F16E9E8"/>
    <w:multiLevelType w:val="hybridMultilevel"/>
    <w:lvl w:ilvl="0">
      <w:lvlJc w:val="left"/>
      <w:lvlText w:val="%1."/>
      <w:numFmt w:val="decimal"/>
      <w:start w:val="13"/>
    </w:lvl>
  </w:abstractNum>
  <w:abstractNum w:abstractNumId="8">
    <w:nsid w:val="1190CDE7"/>
    <w:multiLevelType w:val="hybridMultilevel"/>
    <w:lvl w:ilvl="0">
      <w:lvlJc w:val="left"/>
      <w:lvlText w:val="%1."/>
      <w:numFmt w:val="decimal"/>
      <w:start w:val="16"/>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04"/>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2023-11-03T16:09:44Z</dcterms:created>
  <dcterms:modified xsi:type="dcterms:W3CDTF">2023-11-03T16:09:44Z</dcterms:modified>
</cp:coreProperties>
</file>