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700" w:right="2720" w:hanging="3690"/>
        <w:spacing w:after="0" w:line="424" w:lineRule="auto"/>
        <w:tabs>
          <w:tab w:leader="none" w:pos="1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2022</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8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3300" w:type="dxa"/>
            <w:vAlign w:val="bottom"/>
          </w:tcPr>
          <w:p>
            <w:pPr>
              <w:jc w:val="center"/>
              <w:ind w:right="608"/>
              <w:spacing w:after="0"/>
              <w:rPr>
                <w:sz w:val="20"/>
                <w:szCs w:val="20"/>
                <w:color w:val="auto"/>
              </w:rPr>
            </w:pPr>
            <w:r>
              <w:rPr>
                <w:rFonts w:ascii="Arial" w:cs="Arial" w:eastAsia="Arial" w:hAnsi="Arial"/>
                <w:sz w:val="14"/>
                <w:szCs w:val="14"/>
                <w:color w:val="auto"/>
                <w:w w:val="94"/>
              </w:rPr>
              <w:t>(Commission File Number)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5"/>
                <w:szCs w:val="15"/>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311"/>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r>
      <w:tr>
        <w:trPr>
          <w:trHeight w:val="246"/>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51"/>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25"/>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3300" w:type="dxa"/>
            <w:vAlign w:val="bottom"/>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0" w:lineRule="exact"/>
        <w:rPr>
          <w:sz w:val="24"/>
          <w:szCs w:val="24"/>
          <w:color w:val="auto"/>
        </w:rPr>
      </w:pPr>
    </w:p>
    <w:p>
      <w:pPr>
        <w:spacing w:after="0" w:line="249" w:lineRule="exact"/>
        <w:rPr>
          <w:sz w:val="24"/>
          <w:szCs w:val="24"/>
          <w:color w:val="auto"/>
        </w:rPr>
      </w:pPr>
    </w:p>
    <w:p>
      <w:pPr>
        <w:ind w:left="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79" w:lineRule="exact"/>
        <w:rPr>
          <w:sz w:val="24"/>
          <w:szCs w:val="24"/>
          <w:color w:val="auto"/>
        </w:rPr>
      </w:pPr>
    </w:p>
    <w:p>
      <w:pPr>
        <w:ind w:left="20"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8" w:lineRule="exact"/>
        <w:rPr>
          <w:sz w:val="24"/>
          <w:szCs w:val="24"/>
          <w:color w:val="auto"/>
        </w:rPr>
      </w:pPr>
    </w:p>
    <w:p>
      <w:pPr>
        <w:ind w:left="20"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0"/>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7"/>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90"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3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4, 2022, there were 322,756,454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503555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6"/>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4780" w:type="dxa"/>
            <w:vAlign w:val="bottom"/>
            <w:gridSpan w:val="4"/>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Borders>
              <w:bottom w:val="single" w:sz="8" w:color="0000EE"/>
            </w:tcBorders>
            <w:gridSpan w:val="6"/>
            <w:vMerge w:val="continue"/>
          </w:tcPr>
          <w:p>
            <w:pPr>
              <w:spacing w:after="0"/>
              <w:rPr>
                <w:sz w:val="15"/>
                <w:szCs w:val="15"/>
                <w:color w:val="auto"/>
              </w:rPr>
            </w:pPr>
          </w:p>
        </w:tc>
        <w:tc>
          <w:tcPr>
            <w:tcW w:w="4780" w:type="dxa"/>
            <w:vAlign w:val="bottom"/>
            <w:gridSpan w:val="4"/>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80" w:type="dxa"/>
            <w:vAlign w:val="bottom"/>
            <w:gridSpan w:val="2"/>
          </w:tcPr>
          <w:p>
            <w:pPr>
              <w:spacing w:after="0"/>
              <w:rPr>
                <w:sz w:val="16"/>
                <w:szCs w:val="16"/>
                <w:color w:val="auto"/>
              </w:rPr>
            </w:pPr>
          </w:p>
        </w:tc>
        <w:tc>
          <w:tcPr>
            <w:tcW w:w="24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4480" w:type="dxa"/>
            <w:vAlign w:val="bottom"/>
            <w:gridSpan w:val="3"/>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480" w:type="dxa"/>
            <w:vAlign w:val="bottom"/>
            <w:gridSpan w:val="2"/>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4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6900" w:type="dxa"/>
            <w:vAlign w:val="bottom"/>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900" w:type="dxa"/>
            <w:vAlign w:val="bottom"/>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492"/>
        </w:trPr>
        <w:tc>
          <w:tcPr>
            <w:tcW w:w="4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1.</w:t>
              </w:r>
            </w:hyperlink>
          </w:p>
        </w:tc>
        <w:tc>
          <w:tcPr>
            <w:tcW w:w="480" w:type="dxa"/>
            <w:vAlign w:val="bottom"/>
            <w:gridSpan w:val="2"/>
          </w:tcPr>
          <w:p>
            <w:pPr>
              <w:spacing w:after="0"/>
              <w:rPr>
                <w:sz w:val="16"/>
                <w:szCs w:val="16"/>
                <w:color w:val="auto"/>
              </w:rPr>
            </w:pPr>
          </w:p>
        </w:tc>
        <w:tc>
          <w:tcPr>
            <w:tcW w:w="13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5560" w:type="dxa"/>
            <w:vAlign w:val="bottom"/>
            <w:gridSpan w:val="6"/>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6900" w:type="dxa"/>
            <w:vAlign w:val="bottom"/>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360" w:type="dxa"/>
            <w:vAlign w:val="bottom"/>
          </w:tcPr>
          <w:p>
            <w:pPr>
              <w:spacing w:after="0"/>
              <w:rPr>
                <w:sz w:val="17"/>
                <w:szCs w:val="17"/>
                <w:color w:val="auto"/>
              </w:rPr>
            </w:pPr>
          </w:p>
        </w:tc>
        <w:tc>
          <w:tcPr>
            <w:tcW w:w="6900" w:type="dxa"/>
            <w:vAlign w:val="bottom"/>
            <w:gridSpan w:val="1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480" w:type="dxa"/>
            <w:vAlign w:val="bottom"/>
            <w:gridSpan w:val="2"/>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Other Information</w:t>
              </w:r>
            </w:hyperlink>
          </w:p>
        </w:tc>
        <w:tc>
          <w:tcPr>
            <w:tcW w:w="558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48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6300" w:type="dxa"/>
            <w:vAlign w:val="bottom"/>
            <w:gridSpan w:val="9"/>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9"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2021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jc w:val="center"/>
              <w:ind w:left="229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3"/>
              </w:rPr>
              <w:t>(in millions, except</w:t>
            </w:r>
          </w:p>
        </w:tc>
        <w:tc>
          <w:tcPr>
            <w:tcW w:w="110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322,756,454 units issued and outstanding at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June 30, 2022 and 293,403,243 units issued and outstanding at December 31, 2021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tcPr>
          <w:p>
            <w:pPr>
              <w:spacing w:after="0"/>
              <w:rPr>
                <w:sz w:val="24"/>
                <w:szCs w:val="24"/>
                <w:color w:val="auto"/>
              </w:rPr>
            </w:pPr>
          </w:p>
        </w:tc>
        <w:tc>
          <w:tcPr>
            <w:tcW w:w="19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76"/>
              </w:rPr>
              <w:t>(in</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color w:val="auto"/>
                <w:w w:val="86"/>
              </w:rPr>
              <w:t>per unit amounts)</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3,796</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6,764</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(loss) gain from investment activities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 allocated to:</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Basic (loss) income per LP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7"/>
        </w:trPr>
        <w:tc>
          <w:tcPr>
            <w:tcW w:w="52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income per LP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 average LP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Distributions declared per LP unit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18"/>
                <w:szCs w:val="18"/>
                <w:color w:val="auto"/>
              </w:rPr>
            </w:pPr>
          </w:p>
        </w:tc>
        <w:tc>
          <w:tcPr>
            <w:tcW w:w="16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2021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2021</w:t>
            </w:r>
          </w:p>
        </w:tc>
      </w:tr>
      <w:tr>
        <w:trPr>
          <w:trHeight w:val="128"/>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4"/>
          </w:tcPr>
          <w:p>
            <w:pPr>
              <w:jc w:val="right"/>
              <w:ind w:right="39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02"/>
        </w:trPr>
        <w:tc>
          <w:tcPr>
            <w:tcW w:w="5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Less: Comprehensive (loss)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197"/>
        </w:trPr>
        <w:tc>
          <w:tcPr>
            <w:tcW w:w="5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2"/>
        </w:trPr>
        <w:tc>
          <w:tcPr>
            <w:tcW w:w="526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allocated to:</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5"/>
              </w:rPr>
              <w:t>Equity Attributable to Icahn Enterprises</w:t>
            </w:r>
          </w:p>
        </w:tc>
        <w:tc>
          <w:tcPr>
            <w:tcW w:w="8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880" w:type="dxa"/>
            <w:vAlign w:val="bottom"/>
            <w:tcBorders>
              <w:top w:val="single" w:sz="8" w:color="auto"/>
            </w:tcBorders>
            <w:gridSpan w:val="4"/>
          </w:tcPr>
          <w:p>
            <w:pPr>
              <w:ind w:left="40"/>
              <w:spacing w:after="0" w:line="187" w:lineRule="exact"/>
              <w:rPr>
                <w:sz w:val="20"/>
                <w:szCs w:val="20"/>
                <w:color w:val="auto"/>
              </w:rPr>
            </w:pPr>
            <w:r>
              <w:rPr>
                <w:rFonts w:ascii="Arial" w:cs="Arial" w:eastAsia="Arial" w:hAnsi="Arial"/>
                <w:sz w:val="18"/>
                <w:szCs w:val="18"/>
                <w:b w:val="1"/>
                <w:bCs w:val="1"/>
                <w:color w:val="auto"/>
              </w:rPr>
              <w:t>General</w:t>
            </w:r>
          </w:p>
        </w:tc>
        <w:tc>
          <w:tcPr>
            <w:tcW w:w="880" w:type="dxa"/>
            <w:vAlign w:val="bottom"/>
            <w:tcBorders>
              <w:top w:val="single" w:sz="8" w:color="auto"/>
            </w:tcBorders>
            <w:gridSpan w:val="3"/>
          </w:tcPr>
          <w:p>
            <w:pPr>
              <w:ind w:left="20"/>
              <w:spacing w:after="0" w:line="187" w:lineRule="exact"/>
              <w:rPr>
                <w:sz w:val="20"/>
                <w:szCs w:val="20"/>
                <w:color w:val="auto"/>
              </w:rPr>
            </w:pPr>
            <w:r>
              <w:rPr>
                <w:rFonts w:ascii="Arial" w:cs="Arial" w:eastAsia="Arial" w:hAnsi="Arial"/>
                <w:sz w:val="18"/>
                <w:szCs w:val="18"/>
                <w:b w:val="1"/>
                <w:bCs w:val="1"/>
                <w:color w:val="auto"/>
              </w:rPr>
              <w:t>Limited</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Partners’</w:t>
            </w: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 Partners’</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March 31, 2022</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3,443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(3)</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(125)</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(128)</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(159)</w:t>
            </w:r>
          </w:p>
        </w:tc>
        <w:tc>
          <w:tcPr>
            <w:tcW w:w="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(287)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distributions from non-controlling 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2022</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4,027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w w:val="95"/>
              </w:rPr>
              <w:t>Equity Attributable to Icahn Enterprises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General</w:t>
            </w:r>
          </w:p>
        </w:tc>
        <w:tc>
          <w:tcPr>
            <w:tcW w:w="80" w:type="dxa"/>
            <w:vAlign w:val="bottom"/>
          </w:tcPr>
          <w:p>
            <w:pPr>
              <w:spacing w:after="0"/>
              <w:rPr>
                <w:sz w:val="10"/>
                <w:szCs w:val="10"/>
                <w:color w:val="auto"/>
              </w:rPr>
            </w:pPr>
          </w:p>
        </w:tc>
        <w:tc>
          <w:tcPr>
            <w:tcW w:w="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Limited</w:t>
            </w: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Partners’</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Partners’</w:t>
            </w:r>
          </w:p>
        </w:tc>
        <w:tc>
          <w:tcPr>
            <w:tcW w:w="1160" w:type="dxa"/>
            <w:vAlign w:val="bottom"/>
            <w:gridSpan w:val="3"/>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(489)</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Balance, March 31, 2021</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(856)</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4,086</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3,230</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6,352</w:t>
            </w:r>
          </w:p>
        </w:tc>
        <w:tc>
          <w:tcPr>
            <w:tcW w:w="1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income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2021</w:t>
            </w:r>
          </w:p>
        </w:tc>
        <w:tc>
          <w:tcPr>
            <w:tcW w:w="80" w:type="dxa"/>
            <w:vAlign w:val="bottom"/>
            <w:tcBorders>
              <w:top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4"/>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40" w:type="dxa"/>
            <w:vAlign w:val="bottom"/>
          </w:tcPr>
          <w:p>
            <w:pPr>
              <w:spacing w:after="0"/>
              <w:rPr>
                <w:sz w:val="24"/>
                <w:szCs w:val="2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income to net cash provided by (used in)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Net gain from securities transactions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expenditures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82"/>
        </w:trPr>
        <w:tc>
          <w:tcPr>
            <w:tcW w:w="6740" w:type="dxa"/>
            <w:vAlign w:val="bottom"/>
          </w:tcPr>
          <w:p>
            <w:pPr>
              <w:ind w:left="20"/>
              <w:spacing w:after="0" w:line="182" w:lineRule="exact"/>
              <w:rPr>
                <w:sz w:val="20"/>
                <w:szCs w:val="20"/>
                <w:color w:val="auto"/>
              </w:rPr>
            </w:pPr>
            <w:r>
              <w:rPr>
                <w:rFonts w:ascii="Arial" w:cs="Arial" w:eastAsia="Arial" w:hAnsi="Arial"/>
                <w:sz w:val="18"/>
                <w:szCs w:val="18"/>
                <w:color w:val="auto"/>
                <w:w w:val="96"/>
              </w:rPr>
              <w:t>Effect of exchange rate changes on cash and cash equivalents and restricted cash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5"/>
              </w:rPr>
              <w:t>Net increase in cash and cash equivalents and restricted cash and restricted cash</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equivalents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and cash equivalents and restricted cash and restricted cash equivalents, beginning</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 period</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Cash and cash equivalents and restricted cash and restricted cash equivalents, end of</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References to “we,” “our” or “us” herein include both Icahn Enterprises and Icahn Enterprises Holdings and their subsidiaries, unless the context otherwise requires.</w:t>
      </w:r>
    </w:p>
    <w:p>
      <w:pPr>
        <w:spacing w:after="0" w:line="184"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2022, representing an aggregate 1.99% general partner interest in Icahn Enterprises Holdings and us. Mr. Icahn and his affiliates owned approximately 86% of our outstanding depositary units as of June 30,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359" w:firstLine="324"/>
        <w:spacing w:after="0" w:line="254"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Real Estate, Home Fashion and Pharma. In addition, we operated our Metals segment until sold in December 2021.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$4.5 billion and $4.2 billion as of June 30, 2022 and December 31, 2021,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37% outstanding common units of CVR Partners as of June 30, 2022. As of June 30, 2022, we owned approximately 71% of the total outstanding common stock of CVR Energy.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We conduct our Automotive segment through our wholly owned subsidiary, Icahn Automotive Group LLC (“Icahn Automotive”). Icahn Automotive is engaged in the retail and wholesale distribution of automotive parts in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management team.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June 30, 2022,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Vivus is a specialty pharmaceutical company with two approved therapies and one product candidate in active clinical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We conducted our Metals segment through our wholly owned subsidiary, PSC Metals LLC (“PSC Metals”). PSC Metals was principally engaged in the business of collecting, processing and selling ferrous and non-ferrous metals, as well as the processing and distribution of steel pipe and plate products. PSC Metals collected industrial and obsolete scrap metal, processed it into reusable forms and supplied the recycled metals to its customers.</w:t>
      </w:r>
    </w:p>
    <w:p>
      <w:pPr>
        <w:spacing w:after="0" w:line="171"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On December 7, 2021, we closed on the previously announced sale of 100% of the equity interests in PSC Metals. As a result of the sale of PSC Metals, we no longer operate a Metals segment at December 31, 2021 and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2021.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81"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59" w:firstLine="324"/>
        <w:spacing w:after="0" w:line="31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2022 was approximately $7.1 billion and $6.5 billion, respectively. The carrying value and estimated fair value of our long-term debt as of December 31, 2021 was approximately $7.7 billion and $7.8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$2,893 million and $102 million as of June 30, 2022 and December 31, 2021,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157"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Our restricted cash balance was $1,323 million and $2,013 million as of June 30, 2022 and December 31, 2021, respectively. Restricted cash includes, but is not limited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of our Investment segment’s and our Holding Company’s revenues, and our Real Estate segment’s leasing revenue,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is generally derived from contracts with customers in accordance with U.S. GAAP. Such revenue from contracts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customers is included in net sales and other revenues from operations in the condensed consolidated statements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however, our Real Estate segment’s leasing revenue, as disclosed in Note 9, “Leases,” is also included in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revenues from operations. Related contract assets are included in accounts receivable, net or other assets and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contract liabilities are included in accrued expenses and other liabilities in the condensed consolidated balance sheets.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disaggregation of revenue information includes our net sales and other revenues from operations for each of our reporting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segments as well as additional disaggregation of revenue information for our Energy and Automotive segments.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12, “Segment Reporting,” for our complete disaggregation of revenue information. In addition, we disclose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with respect to revenue from contracts with customers and contract balances for our Energy and Automotive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segments below.</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Our Energy segment had deferred revenue of $4 million and $87 million as of June 30, 2022 and December 31, 2021, respectively. For the six months ended June 30, 2022 and 2021, our Energy segment recorded revenue of $84 million and $30 million, respectively, with respect to deferred revenue outstanding as of the beginning of each respective period.</w:t>
      </w:r>
    </w:p>
    <w:p>
      <w:pPr>
        <w:spacing w:after="0" w:line="181" w:lineRule="exact"/>
        <w:rPr>
          <w:sz w:val="20"/>
          <w:szCs w:val="20"/>
          <w:color w:val="auto"/>
        </w:rPr>
      </w:pPr>
    </w:p>
    <w:p>
      <w:pPr>
        <w:jc w:val="both"/>
        <w:ind w:left="60" w:right="279" w:firstLine="324"/>
        <w:spacing w:after="0" w:line="286" w:lineRule="auto"/>
        <w:rPr>
          <w:sz w:val="20"/>
          <w:szCs w:val="20"/>
          <w:color w:val="auto"/>
        </w:rPr>
      </w:pPr>
      <w:r>
        <w:rPr>
          <w:rFonts w:ascii="Arial" w:cs="Arial" w:eastAsia="Arial" w:hAnsi="Arial"/>
          <w:sz w:val="17"/>
          <w:szCs w:val="17"/>
          <w:color w:val="auto"/>
        </w:rPr>
        <w:t>As of June 30, 2022, our Energy segment had $8 million of remaining performance obligations for contracts with an original expected duration of more than one year. Our Energy segment expects to recognize approximately $4 million of these performance obligations as revenue by the end of 2022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$42 million at each of June 30, 2022 and December 31, 2021, which are included in accrued expenses and other liabilities on the condensed consolidated balance sheets. For the six months ended June 30, 2022 and 2021, our Automotive segment recorded revenue of $12 million and $12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amends FASB ASC Topic 848,</w:t>
      </w:r>
      <w:r>
        <w:rPr>
          <w:rFonts w:ascii="Arial" w:cs="Arial" w:eastAsia="Arial" w:hAnsi="Arial"/>
          <w:sz w:val="16"/>
          <w:szCs w:val="16"/>
          <w:i w:val="1"/>
          <w:iCs w:val="1"/>
          <w:color w:val="auto"/>
        </w:rPr>
        <w:t xml:space="preserve"> Reference Rate Reform</w:t>
      </w:r>
      <w:r>
        <w:rPr>
          <w:rFonts w:ascii="Arial" w:cs="Arial" w:eastAsia="Arial" w:hAnsi="Arial"/>
          <w:sz w:val="16"/>
          <w:szCs w:val="16"/>
          <w:color w:val="auto"/>
        </w:rPr>
        <w:t>. By June 30 2023, banks will no longer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adopting this new accounting standard and do not expect it to have a material impact on our condensed consolidated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jc w:val="both"/>
        <w:ind w:left="60" w:right="119" w:firstLine="324"/>
        <w:spacing w:after="0" w:line="311" w:lineRule="auto"/>
        <w:rPr>
          <w:sz w:val="20"/>
          <w:szCs w:val="20"/>
          <w:color w:val="auto"/>
        </w:rPr>
      </w:pPr>
      <w:r>
        <w:rPr>
          <w:rFonts w:ascii="Arial" w:cs="Arial" w:eastAsia="Arial" w:hAnsi="Arial"/>
          <w:sz w:val="16"/>
          <w:szCs w:val="16"/>
          <w:color w:val="auto"/>
        </w:rPr>
        <w:t>As of June 30, 2022 and December 31, 2021, the total fair market value of investments in the Investment Funds made by Mr. Icahn and his affiliates (excluding us and Brett Icahn) was approximately $5.3 billion and $5.0 billion, respectively, representing approximately 54% and 54% of the Investment Funds’ assets under management as of each respective date.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June 30, 2022 and 2021, $3 million and $4 million, respectively, was allocated to the Investment Funds based on this expense-sharing arrangement and for the six months ended June 30, 2022 and 2021, $6 million and $8 million, respectively, was allocated to the Investment Funds based on this expense-sharing arrangement.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2022, Brett Icahn contributed $3 million in accordance with the manager agreement and in the six months ended June 30, 2021 he contributed $46 million. As of June 30, 2022 and December 31, 2021 he had investments in the Investment Funds with a total fair market value of $70 million and $93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659" w:firstLine="324"/>
        <w:spacing w:after="0" w:line="311"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carrying value and detail by security type, including business sector for equity securities, with respect to investments and securities sold, not yet purchased held by our Investment segment consist of the following:</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r>
      <w:tr>
        <w:trPr>
          <w:trHeight w:val="129"/>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Communications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09"/>
        </w:trPr>
        <w:tc>
          <w:tcPr>
            <w:tcW w:w="6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0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6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w:t>
            </w:r>
          </w:p>
        </w:tc>
      </w:tr>
      <w:tr>
        <w:trPr>
          <w:trHeight w:val="197"/>
        </w:trPr>
        <w:tc>
          <w:tcPr>
            <w:tcW w:w="662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0"/>
        </w:trPr>
        <w:tc>
          <w:tcPr>
            <w:tcW w:w="6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19" w:firstLine="324"/>
        <w:spacing w:after="0" w:line="286" w:lineRule="auto"/>
        <w:rPr>
          <w:sz w:val="20"/>
          <w:szCs w:val="20"/>
          <w:color w:val="auto"/>
        </w:rPr>
      </w:pPr>
      <w:r>
        <w:rPr>
          <w:rFonts w:ascii="Arial" w:cs="Arial" w:eastAsia="Arial" w:hAnsi="Arial"/>
          <w:sz w:val="17"/>
          <w:szCs w:val="17"/>
          <w:color w:val="auto"/>
        </w:rPr>
        <w:t>The portion of unrealized (losses) and gains that relates to securities still held by our Investment segment, primarily equity securities, was $(894) million and $491 million for the three months ended June 30, 2022 and 2021, respectively, and $(694) million and $1,593 million for the six months ended June 30, 2022 and 2021.</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98"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6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The portion of unrealized gains that relates to equity securities still held by our other segments and Holding Company was $3 million and zero for each of the three months ended June 30, 2022 and 2021, respectively, and $61 million and $44 million for the six months ended June 30, 2022 and 2021,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24"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196"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47"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44"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8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June 30, 2022</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3"/>
          </w:tcPr>
          <w:p>
            <w:pPr>
              <w:jc w:val="right"/>
              <w:ind w:right="212"/>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90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Investments (Note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$ 5,645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$ 5,723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$ 8,905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9,060</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 (Note 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r>
      <w:tr>
        <w:trPr>
          <w:trHeight w:val="249"/>
        </w:trPr>
        <w:tc>
          <w:tcPr>
            <w:tcW w:w="29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$ 5,645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42</w:t>
            </w:r>
          </w:p>
        </w:tc>
        <w:tc>
          <w:tcPr>
            <w:tcW w:w="16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$ 6,619</w:t>
            </w:r>
          </w:p>
        </w:tc>
        <w:tc>
          <w:tcPr>
            <w:tcW w:w="16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$ 8,905</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20" w:type="dxa"/>
            <w:vAlign w:val="bottom"/>
          </w:tcPr>
          <w:p>
            <w:pPr>
              <w:spacing w:after="0"/>
              <w:rPr>
                <w:sz w:val="21"/>
                <w:szCs w:val="21"/>
                <w:color w:val="auto"/>
              </w:rPr>
            </w:pPr>
          </w:p>
        </w:tc>
      </w:tr>
      <w:tr>
        <w:trPr>
          <w:trHeight w:val="197"/>
        </w:trPr>
        <w:tc>
          <w:tcPr>
            <w:tcW w:w="2900" w:type="dxa"/>
            <w:vAlign w:val="bottom"/>
            <w:shd w:val="clear" w:color="auto" w:fill="CCEEFF"/>
          </w:tcPr>
          <w:p>
            <w:pPr>
              <w:ind w:left="1000"/>
              <w:spacing w:after="0" w:line="196"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900" w:type="dxa"/>
            <w:vAlign w:val="bottom"/>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$ 4,062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$ 4,062</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$ 5,340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Pr>
          <w:p>
            <w:pPr>
              <w:spacing w:after="0"/>
              <w:rPr>
                <w:sz w:val="20"/>
                <w:szCs w:val="20"/>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RFS obligations (Note 16)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r>
      <w:tr>
        <w:trPr>
          <w:trHeight w:val="209"/>
        </w:trPr>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$ 5,592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2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June 30, 2022 and December 31, 2021.</w:t>
      </w:r>
    </w:p>
    <w:p>
      <w:pPr>
        <w:spacing w:after="0" w:line="176"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6"/>
              </w:rPr>
              <w:t>December 31, 2021</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5,986</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1" w:lineRule="exact"/>
        <w:rPr>
          <w:sz w:val="20"/>
          <w:szCs w:val="20"/>
          <w:color w:val="auto"/>
        </w:rPr>
      </w:pPr>
    </w:p>
    <w:p>
      <w:pPr>
        <w:ind w:left="380" w:right="27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$5.9 billion at June 30, 2022. However, because credit spreads cannot compress below zero, our downside short notional exposure to loss is approximately $1.3 billion as of June 30, 2022. The short notional amount on our credit default swap positions was approximately $6.6 billion as of December 31, 2021. However, because credit spreads cannot compress below zero, our downside short notional exposure to loss is approximately $2.1 billion as of December 31, 2021.</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Derivative Liabilities</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June 30, 2022  December 31, 2021</w:t>
            </w:r>
          </w:p>
        </w:tc>
        <w:tc>
          <w:tcPr>
            <w:tcW w:w="20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June 30, 2022  December 31, 2021</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1,317</w:t>
            </w:r>
          </w:p>
        </w:tc>
        <w:tc>
          <w:tcPr>
            <w:tcW w:w="20" w:type="dxa"/>
            <w:vAlign w:val="bottom"/>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3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1,317</w:t>
            </w:r>
          </w:p>
        </w:tc>
        <w:tc>
          <w:tcPr>
            <w:tcW w:w="20" w:type="dxa"/>
            <w:vAlign w:val="bottom"/>
          </w:tcPr>
          <w:p>
            <w:pPr>
              <w:spacing w:after="0"/>
              <w:rPr>
                <w:sz w:val="18"/>
                <w:szCs w:val="18"/>
                <w:color w:val="auto"/>
              </w:rPr>
            </w:pPr>
          </w:p>
        </w:tc>
      </w:tr>
      <w:tr>
        <w:trPr>
          <w:trHeight w:val="216"/>
        </w:trPr>
        <w:tc>
          <w:tcPr>
            <w:tcW w:w="32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3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8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10"/>
        </w:trPr>
        <w:tc>
          <w:tcPr>
            <w:tcW w:w="328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139" w:hanging="330"/>
        <w:spacing w:after="0" w:line="185"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3"/>
          <w:szCs w:val="13"/>
          <w:color w:val="auto"/>
        </w:rPr>
        <w:t>Excludes netting of cash collateral received and posted. The total collateral posted at June 30, 2022 and December 31, 2021 was $1,224 million and $1,906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 xml:space="preserve">Gain (loss) Recognized in Income </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100"/>
              <w:spacing w:after="0" w:line="191"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(loss) gain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CVR Energy’s businesses are subject to fluctuations of commodity prices caused by supply conditions, weather, economic conditions, interest rates, and other factors. To manage the impact of price fluctuations of crude oil and other commodities in our results of operations and certain inventories, and to fix margins on future sales and purchases, CVR Refining regularly enters into various commodity derivative transactions. CVR Refining holds derivative instruments, such as futures and swaps,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As of June 30, 2022 and December 31, 2021, CVR Refining had 1 million and no outstanding forward contract positions, respectively. As of June 30, 2022 and December 31, 2021, CVR Refining had future contracts for less than 1 million barrels at each date, respectively. As of June 30, 2022 and December 31, 2021, CVR Refining had swap contracts for 1 million barrels and no barrels at each date. As of June 30, 2022 and December 31, 2021, CVR Refining had open fixed-price commitments to purchase a net 19 million and 2 million RINs, respectively.</w:t>
      </w:r>
    </w:p>
    <w:p>
      <w:pPr>
        <w:spacing w:after="0" w:line="176"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June 30, 2022, our Energy segment had net asset derivatives of $5 million and net liability derivatives of $20 million and as of December 31, 2021, our Energy segment had net asset derivatives of $1 million and net liability derivatives of $2 million. Losses recognized on derivatives for our Energy segment were $68 million and $2 million for the three months ended</w:t>
      </w:r>
    </w:p>
    <w:p>
      <w:pPr>
        <w:spacing w:after="0" w:line="2"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June 30, 2022 and 2021, respectively, and $66 million and $34 million for the six months ended June 30, 2022 and 2021, respectively. Losses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7. Inventories,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gridSpan w:val="4"/>
          </w:tcPr>
          <w:p>
            <w:pPr>
              <w:ind w:left="32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96"/>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8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1,787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8. Goodwill and Intangible Assets,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w w:val="98"/>
              </w:rPr>
              <w:t>Goodwill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5"/>
              </w:rPr>
              <w:t>June 30, 2022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4"/>
              </w:rPr>
              <w:t>December 31, 2021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7"/>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gridSpan w:val="23"/>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5"/>
          </w:tcPr>
          <w:p>
            <w:pPr>
              <w:jc w:val="right"/>
              <w:ind w:right="347"/>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Food Packaging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Pharma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2021</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was $16 million and $17 million for the three months ended June 30, 2022 and 2021, respectively, and $29 million and $32 million for the six months ended June 30, 2022 and 2021, respectively.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utilize the straight-line method of amortization, recognized over the estimated useful lives of the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r>
      <w:tr>
        <w:trPr>
          <w:trHeight w:val="128"/>
        </w:trPr>
        <w:tc>
          <w:tcPr>
            <w:tcW w:w="6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June 30, 2022 and December 31, 2021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June 30, 2022</w:t>
            </w:r>
          </w:p>
        </w:tc>
        <w:tc>
          <w:tcPr>
            <w:tcW w:w="200" w:type="dxa"/>
            <w:vAlign w:val="bottom"/>
          </w:tcPr>
          <w:p>
            <w:pPr>
              <w:spacing w:after="0"/>
              <w:rPr>
                <w:sz w:val="20"/>
                <w:szCs w:val="20"/>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right="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4.0 years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4.4 years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10.3 years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2021</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jc w:val="right"/>
              <w:ind w:right="37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4.1 years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4.9 years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10.5 years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and Holding Company</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vMerge w:val="restart"/>
          </w:tcPr>
          <w:p>
            <w:pPr>
              <w:jc w:val="right"/>
              <w:ind w:right="33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For the three months ended June 30, 2022 and 2021, lease cost was comprised of (i) operating lease cost of $51 million and $50 million, respectively, (ii) amortization of financing lease right-of-use assets of $1 million and $2 million, respectively, and (iii) interest expense on financing lease liabilities of $1 million and $2 million, respectively. For the six months ended June 30, 2022 and 2021, lease cost was comprised of (i) operating lease cost of $98 million and $101 million, respectively, (ii) amortization of financing lease right-of-use assets of $4 million and $5 million, respectively, and</w:t>
      </w:r>
    </w:p>
    <w:p>
      <w:pPr>
        <w:spacing w:after="0" w:line="2" w:lineRule="exact"/>
        <w:rPr>
          <w:sz w:val="20"/>
          <w:szCs w:val="20"/>
          <w:color w:val="auto"/>
        </w:rPr>
      </w:pPr>
    </w:p>
    <w:p>
      <w:pPr>
        <w:ind w:left="60" w:right="539" w:hanging="10"/>
        <w:spacing w:after="0" w:line="255"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$2 million and $3 million, respectively. Our automotive segment accounted for $81 million and $84 million of total lease cost for the six months ended June 30, 2022 and 2021, respectively.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Our Automotive segment leases certain retail locations under long-term operating leases. Our Automotive segment’s revenues from operating leases were $13 million and zero for the three months ended June 30, 2022 and 2021, respectively, and $22 million and zero for the six months ended June 30, 2022 and 2021, respectively. Revenues from operating leases are included in other revenue from operations in the condensed consolidated statements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June 30, 2022 and December 31, 2021, our Real Estate segment had assets leased to others included in property, plant and equipment of $252 million and $251 million, respectively, net of accumulated depreciation. Our Real Estate segment’s revenue from operating leases were $1 million and $1 million for the three months ended June 30, 2022 and 2021, respectively, and $3 million and $6 million for the six months ended June 30, 2022 and 2021, respectively. Revenues from operating leases are included in other revenue from operations in the condensed consolidated statements of operations.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Energy</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9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80" w:type="dxa"/>
            <w:vAlign w:val="bottom"/>
            <w:vMerge w:val="restart"/>
          </w:tcPr>
          <w:p>
            <w:pPr>
              <w:jc w:val="right"/>
              <w:ind w:right="19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jc w:val="both"/>
        <w:ind w:left="60" w:right="179" w:firstLine="324"/>
        <w:spacing w:after="0" w:line="342" w:lineRule="auto"/>
        <w:rPr>
          <w:sz w:val="20"/>
          <w:szCs w:val="20"/>
          <w:color w:val="auto"/>
        </w:rPr>
      </w:pPr>
      <w:r>
        <w:rPr>
          <w:rFonts w:ascii="Arial" w:cs="Arial" w:eastAsia="Arial" w:hAnsi="Arial"/>
          <w:sz w:val="16"/>
          <w:szCs w:val="16"/>
          <w:color w:val="auto"/>
        </w:rPr>
        <w:t>In February 2022, we redeemed all of our $500 million aggregate principal amount of 6.750% senior unsecured notes due 2024 at par. As a result of this transaction, Icahn Enterprises recorded a loss on extinguishment of debt of $1 million.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As a result of this transaction, CVR Partners recognized a loss on extinguishment of debt of $1 million.</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April 2022, in connection with the Petroleum ABL (as defined below), a new wholly owned subsidiary of CVR Energy, CVR Renewables, LLC (“CVR Renew”), delivered to Wells Fargo Bank, National Association, as administrative and collateral agent for the secured parties, a Joinder Agreement pursuant to which CVR Renew became a borrower for all purposes under the Petroleum ABL and other Credit Documents</w:t>
      </w:r>
    </w:p>
    <w:p>
      <w:pPr>
        <w:spacing w:after="0" w:line="187"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June 2022, CVR Refining and certain of its subsidiaries (the “Credit Parties”) entered into Amendment No. 3 to the Amended and Restated ABL Credit Agreement dated December 20, 2012 (the “Amendment”, and as amended, the “Petroleum ABL”), with a group of lenders and Wells Fargo Bank, National Association, as administrative agent and collateral agent (the “Agent”). The Petroleum ABL is a senior secured asset based revolving credit facility in an aggregate principle amount of up to $275 million with a $125 million incremental facility, which is subject to additional lender commitments and certain other conditions. The proceeds of the loans may be used for capital expenditures, working capital and general corporate purposes of the Credit Parties and their subsidiaries. The Petroleum ABL provides for loans and letters of credit in an amount up to the aggregate availability under the facility, subject to certain borrowing base conditions, with sub-limits of $30 million for swingline loans and $60 million (or $100 million if increased by the Agent) for letters of credit. The Petroleum ABL is scheduled to mature on June 30, 2027.</w:t>
      </w:r>
    </w:p>
    <w:p>
      <w:pPr>
        <w:spacing w:after="0" w:line="18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As of June 30, 2022 and December 31, 2021, total availability under CVR Refining and CVR Partners variable rate asset based revolving credit facilities aggregated $281 million and $396 million, respectively. CVR Refining also had $29 million and $39 million of letters of credit outstanding as of June 30, 2022 and December 31, 2021,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The amortization of deferred financing costs and debt discounts and premiums included in interest expense in the condensed consolidated statements of operations were $1 million and zero for the three months ended June 30, 2022 and 2021, respectively, and $2 million and $1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computation of basic and diluted income per LP unit of Icahn Enterprises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60" w:type="dxa"/>
            <w:vAlign w:val="bottom"/>
            <w:gridSpan w:val="6"/>
          </w:tcPr>
          <w:p>
            <w:pPr>
              <w:ind w:left="280"/>
              <w:spacing w:after="0"/>
              <w:rPr>
                <w:sz w:val="20"/>
                <w:szCs w:val="20"/>
                <w:color w:val="auto"/>
              </w:rPr>
            </w:pPr>
            <w:r>
              <w:rPr>
                <w:rFonts w:ascii="Arial" w:cs="Arial" w:eastAsia="Arial" w:hAnsi="Arial"/>
                <w:sz w:val="18"/>
                <w:szCs w:val="18"/>
                <w:b w:val="1"/>
                <w:bCs w:val="1"/>
                <w:color w:val="auto"/>
                <w:w w:val="92"/>
              </w:rPr>
              <w:t>Three Months Ended June 30,</w:t>
            </w:r>
          </w:p>
        </w:tc>
        <w:tc>
          <w:tcPr>
            <w:tcW w:w="140" w:type="dxa"/>
            <w:vAlign w:val="bottom"/>
          </w:tcPr>
          <w:p>
            <w:pPr>
              <w:spacing w:after="0"/>
              <w:rPr>
                <w:sz w:val="20"/>
                <w:szCs w:val="20"/>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00" w:type="dxa"/>
            <w:vAlign w:val="bottom"/>
            <w:gridSpan w:val="5"/>
          </w:tcPr>
          <w:p>
            <w:pPr>
              <w:jc w:val="right"/>
              <w:spacing w:after="0" w:line="129" w:lineRule="exact"/>
              <w:rPr>
                <w:sz w:val="20"/>
                <w:szCs w:val="20"/>
                <w:color w:val="auto"/>
              </w:rPr>
            </w:pPr>
            <w:r>
              <w:rPr>
                <w:rFonts w:ascii="Arial" w:cs="Arial" w:eastAsia="Arial" w:hAnsi="Arial"/>
                <w:sz w:val="14"/>
                <w:szCs w:val="14"/>
                <w:color w:val="auto"/>
                <w:w w:val="96"/>
              </w:rPr>
              <w:t>(in millions, except per unit amounts)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income attributable to Icahn Enterprises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Net (loss) income attributable to Icahn Enterprises</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4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allocated to limited partners (98.01% allocation)</w:t>
            </w:r>
          </w:p>
        </w:tc>
        <w:tc>
          <w:tcPr>
            <w:tcW w:w="4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Basic (loss) income per LP unit:</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LP unit: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LP units outstanding</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On February 23, 2022, we declared a quarterly distribution in the amount of $2.00 per depositary unit in which each depositary unitholder had the option to make an election to receive either cash or additional depositary units.</w:t>
      </w:r>
    </w:p>
    <w:p>
      <w:pPr>
        <w:spacing w:after="0" w:line="146"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On May 6, 2022, we declared a quarterly dividend distribution in the amount of $2.00 per depository unit in which each depository unitholder had the option to make an election to receive either cash or additional depository units.</w:t>
      </w:r>
    </w:p>
    <w:p>
      <w:pPr>
        <w:spacing w:after="0" w:line="124"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As a result of the above distributions declared, during the six months ended June 30, 2022, we distributed an aggregate 21,793,349 depositary units to unitholders who did not elect to receive cash, of which an aggregate of 20,606,398 depositary units were distributed to Mr. Icahn and his affiliates. In connection with these distributions, aggregate cash distributions to all depositary unitholders that made a timely election to receive cash was $100 million for the six months ended June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During the three months ended June 30, 2022, we sold 4,110,226 depositary units pursuant to our Open Market Sale Agreement, resulting in gross proceeds of $212 million. During the six months ended June 30, 2022, we sold 7,546,779 depository units pursuant to the Open Market Sale Agreement, resulting in gross proceeds of $394 million. As of June 30, 2022, we continue to have an active Open Market Sale Agreement and Icahn Enterprises may sell its depositary units for up to an additional $291 million in aggregate gross sale proceeds pursuant to this agreement.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During the six months ended June 30, 2022, Icahn Enterprises distributed 13,083 depositary units, net of payroll withholdings, with respect to certain restricted depositary units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7"/>
              </w:rPr>
              <w:t>Three Months Ended June 30, 2022</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3,144</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438</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69</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3,796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(loss) gain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3,070</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69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3,503</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2,715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57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2,782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69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3,788</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(Loss) income before income tax (expense)</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288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(493)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(loss) income attributable to Icahn</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40" w:type="dxa"/>
            <w:vAlign w:val="bottom"/>
            <w:vMerge w:val="continue"/>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(218)</w:t>
            </w:r>
          </w:p>
        </w:tc>
        <w:tc>
          <w:tcPr>
            <w:tcW w:w="14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(15)</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8"/>
                <w:szCs w:val="8"/>
                <w:color w:val="auto"/>
              </w:rPr>
            </w:pPr>
          </w:p>
        </w:tc>
        <w:tc>
          <w:tcPr>
            <w:tcW w:w="260" w:type="dxa"/>
            <w:vAlign w:val="bottom"/>
            <w:vMerge w:val="restart"/>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w w:val="91"/>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36" w:lineRule="exact"/>
              <w:rPr>
                <w:sz w:val="20"/>
                <w:szCs w:val="20"/>
                <w:color w:val="auto"/>
              </w:rPr>
            </w:pPr>
            <w:r>
              <w:rPr>
                <w:rFonts w:ascii="Arial" w:cs="Arial" w:eastAsia="Arial" w:hAnsi="Arial"/>
                <w:sz w:val="13"/>
                <w:szCs w:val="13"/>
                <w:color w:val="auto"/>
              </w:rPr>
              <w:t>Enterprises</w:t>
            </w: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7"/>
              </w:rPr>
              <w:t>Three Months Ended June 30, 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1,783</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51</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153</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2,612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1,797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1,757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1,821</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684</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53</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146</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01"/>
        </w:trPr>
        <w:tc>
          <w:tcPr>
            <w:tcW w:w="264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(Loss) income before income tax benefit</w:t>
            </w: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21"/>
        </w:trPr>
        <w:tc>
          <w:tcPr>
            <w:tcW w:w="2640" w:type="dxa"/>
            <w:vAlign w:val="bottom"/>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controlling interests</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20"/>
              <w:spacing w:after="0" w:line="121" w:lineRule="exact"/>
              <w:rPr>
                <w:sz w:val="20"/>
                <w:szCs w:val="20"/>
                <w:color w:val="auto"/>
              </w:rPr>
            </w:pPr>
            <w:r>
              <w:rPr>
                <w:rFonts w:ascii="Arial" w:cs="Arial" w:eastAsia="Arial" w:hAnsi="Arial"/>
                <w:sz w:val="13"/>
                <w:szCs w:val="13"/>
                <w:color w:val="auto"/>
              </w:rPr>
              <w:t>Net (loss) income attributable to Icahn</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40" w:type="dxa"/>
            <w:vAlign w:val="bottom"/>
            <w:vMerge w:val="continue"/>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(38)</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(156)</w:t>
            </w: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36"/>
        </w:trPr>
        <w:tc>
          <w:tcPr>
            <w:tcW w:w="26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Enterprises</w:t>
            </w:r>
          </w:p>
        </w:tc>
        <w:tc>
          <w:tcPr>
            <w:tcW w:w="22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0"/>
        </w:trPr>
        <w:tc>
          <w:tcPr>
            <w:tcW w:w="26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88</w:t>
            </w:r>
          </w:p>
        </w:tc>
        <w:tc>
          <w:tcPr>
            <w:tcW w:w="1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9"/>
          </w:tcPr>
          <w:p>
            <w:pPr>
              <w:ind w:left="100"/>
              <w:spacing w:after="0"/>
              <w:rPr>
                <w:sz w:val="20"/>
                <w:szCs w:val="20"/>
                <w:color w:val="auto"/>
              </w:rPr>
            </w:pPr>
            <w:r>
              <w:rPr>
                <w:rFonts w:ascii="Arial" w:cs="Arial" w:eastAsia="Arial" w:hAnsi="Arial"/>
                <w:sz w:val="13"/>
                <w:szCs w:val="13"/>
                <w:b w:val="1"/>
                <w:bCs w:val="1"/>
                <w:color w:val="auto"/>
                <w:w w:val="87"/>
              </w:rPr>
              <w:t>Six Months Ended June 30, 2022</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5,517</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211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33</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6,764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(85)</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5,433</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36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7,596</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4,838</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24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5,712</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20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4,974</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44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6,898</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(107)</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402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368</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(127)</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income (loss) attributable to Icahn</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171</w:t>
            </w:r>
          </w:p>
        </w:tc>
        <w:tc>
          <w:tcPr>
            <w:tcW w:w="14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(43)</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8"/>
                <w:szCs w:val="8"/>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(127)</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36" w:lineRule="exact"/>
              <w:rPr>
                <w:sz w:val="20"/>
                <w:szCs w:val="20"/>
                <w:color w:val="auto"/>
              </w:rPr>
            </w:pPr>
            <w:r>
              <w:rPr>
                <w:rFonts w:ascii="Arial" w:cs="Arial" w:eastAsia="Arial" w:hAnsi="Arial"/>
                <w:sz w:val="13"/>
                <w:szCs w:val="13"/>
                <w:color w:val="auto"/>
              </w:rPr>
              <w:t>Enterprises</w:t>
            </w:r>
          </w:p>
        </w:tc>
        <w:tc>
          <w:tcPr>
            <w:tcW w:w="2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9"/>
          </w:tcPr>
          <w:p>
            <w:pPr>
              <w:ind w:left="80"/>
              <w:spacing w:after="0"/>
              <w:rPr>
                <w:sz w:val="20"/>
                <w:szCs w:val="20"/>
                <w:color w:val="auto"/>
              </w:rPr>
            </w:pPr>
            <w:r>
              <w:rPr>
                <w:rFonts w:ascii="Arial" w:cs="Arial" w:eastAsia="Arial" w:hAnsi="Arial"/>
                <w:sz w:val="13"/>
                <w:szCs w:val="13"/>
                <w:b w:val="1"/>
                <w:bCs w:val="1"/>
                <w:color w:val="auto"/>
                <w:w w:val="88"/>
              </w:rPr>
              <w:t>Six Months Ended June 30, 2021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86"/>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1"/>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3"/>
                <w:szCs w:val="13"/>
                <w:b w:val="1"/>
                <w:bCs w:val="1"/>
                <w:color w:val="auto"/>
                <w:w w:val="88"/>
              </w:rPr>
              <w:t>Metals</w:t>
            </w:r>
          </w:p>
        </w:tc>
        <w:tc>
          <w:tcPr>
            <w:tcW w:w="140" w:type="dxa"/>
            <w:vAlign w:val="bottom"/>
          </w:tcPr>
          <w:p>
            <w:pPr>
              <w:spacing w:after="0"/>
              <w:rPr>
                <w:sz w:val="13"/>
                <w:szCs w:val="13"/>
                <w:color w:val="auto"/>
              </w:rPr>
            </w:pPr>
          </w:p>
        </w:tc>
        <w:tc>
          <w:tcPr>
            <w:tcW w:w="1320" w:type="dxa"/>
            <w:vAlign w:val="bottom"/>
            <w:gridSpan w:val="5"/>
          </w:tcPr>
          <w:p>
            <w:pPr>
              <w:spacing w:after="0"/>
              <w:rPr>
                <w:sz w:val="20"/>
                <w:szCs w:val="20"/>
                <w:color w:val="auto"/>
              </w:rPr>
            </w:pPr>
            <w:r>
              <w:rPr>
                <w:rFonts w:ascii="Arial" w:cs="Arial" w:eastAsia="Arial" w:hAnsi="Arial"/>
                <w:sz w:val="13"/>
                <w:szCs w:val="13"/>
                <w:b w:val="1"/>
                <w:bCs w:val="1"/>
                <w:color w:val="auto"/>
                <w:w w:val="89"/>
              </w:rPr>
              <w:t>Company Consolidated</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37"/>
              <w:spacing w:after="0" w:line="115"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3,246</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937</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3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273</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gain from investment activities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3,329</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6,372</w:t>
            </w:r>
          </w:p>
        </w:tc>
        <w:tc>
          <w:tcPr>
            <w:tcW w:w="0" w:type="dxa"/>
            <w:vAlign w:val="bottom"/>
          </w:tcPr>
          <w:p>
            <w:pPr>
              <w:spacing w:after="0"/>
              <w:rPr>
                <w:sz w:val="1"/>
                <w:szCs w:val="1"/>
                <w:color w:val="auto"/>
              </w:rPr>
            </w:pPr>
          </w:p>
        </w:tc>
      </w:tr>
      <w:tr>
        <w:trPr>
          <w:trHeight w:val="128"/>
        </w:trPr>
        <w:tc>
          <w:tcPr>
            <w:tcW w:w="260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3,336</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4,537</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164</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28"/>
        </w:trPr>
        <w:tc>
          <w:tcPr>
            <w:tcW w:w="2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3,466</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1,339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195</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262</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182</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9"/>
              </w:rPr>
              <w:t>Income (loss) before income tax benefit (expense)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(152)</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29"/>
        </w:trPr>
        <w:tc>
          <w:tcPr>
            <w:tcW w:w="2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21"/>
        </w:trPr>
        <w:tc>
          <w:tcPr>
            <w:tcW w:w="2600" w:type="dxa"/>
            <w:vAlign w:val="bottom"/>
          </w:tcPr>
          <w:p>
            <w:pPr>
              <w:spacing w:after="0" w:line="121" w:lineRule="exact"/>
              <w:rPr>
                <w:sz w:val="20"/>
                <w:szCs w:val="20"/>
                <w:color w:val="auto"/>
              </w:rPr>
            </w:pPr>
            <w:r>
              <w:rPr>
                <w:rFonts w:ascii="Arial" w:cs="Arial" w:eastAsia="Arial" w:hAnsi="Arial"/>
                <w:sz w:val="13"/>
                <w:szCs w:val="13"/>
                <w:color w:val="auto"/>
              </w:rPr>
              <w:t>Less: net income (loss) attributable to 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controlling interests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01"/>
        </w:trPr>
        <w:tc>
          <w:tcPr>
            <w:tcW w:w="260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(loss) income attributable to Icahn</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8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6"/>
        </w:trPr>
        <w:tc>
          <w:tcPr>
            <w:tcW w:w="2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Enterprises</w:t>
            </w:r>
          </w:p>
        </w:tc>
        <w:tc>
          <w:tcPr>
            <w:tcW w:w="24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3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170</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44</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3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gridSpan w:val="9"/>
          </w:tcPr>
          <w:p>
            <w:pPr>
              <w:ind w:left="2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7"/>
          </w:tcPr>
          <w:p>
            <w:pPr>
              <w:ind w:left="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5"/>
          </w:tcPr>
          <w:p>
            <w:pPr>
              <w:ind w:left="50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30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60" w:type="dxa"/>
            <w:vAlign w:val="bottom"/>
          </w:tcPr>
          <w:p>
            <w:pPr>
              <w:spacing w:after="0"/>
              <w:rPr>
                <w:sz w:val="24"/>
                <w:szCs w:val="24"/>
                <w:color w:val="auto"/>
              </w:rPr>
            </w:pPr>
          </w:p>
        </w:tc>
        <w:tc>
          <w:tcPr>
            <w:tcW w:w="3460" w:type="dxa"/>
            <w:vAlign w:val="bottom"/>
            <w:gridSpan w:val="10"/>
          </w:tcPr>
          <w:p>
            <w:pPr>
              <w:ind w:left="1080"/>
              <w:spacing w:after="0"/>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24"/>
                <w:szCs w:val="24"/>
                <w:color w:val="auto"/>
              </w:rPr>
            </w:pPr>
          </w:p>
        </w:tc>
        <w:tc>
          <w:tcPr>
            <w:tcW w:w="2200" w:type="dxa"/>
            <w:vAlign w:val="bottom"/>
            <w:gridSpan w:val="8"/>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5"/>
          </w:tcPr>
          <w:p>
            <w:pPr>
              <w:ind w:left="500"/>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13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347</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290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9"/>
              </w:rPr>
              <w:t>637</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82"/>
              </w:rPr>
              <w:t>June 30, 2022</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3"/>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85"/>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893</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1,446</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2,453</w:t>
            </w: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5,720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5,812</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728</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1,787</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4,043</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851</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5,988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7,005</w:t>
            </w:r>
          </w:p>
        </w:tc>
      </w:tr>
      <w:tr>
        <w:trPr>
          <w:trHeight w:val="168"/>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15,846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26,895</w:t>
            </w:r>
          </w:p>
        </w:tc>
      </w:tr>
      <w:tr>
        <w:trPr>
          <w:trHeight w:val="116"/>
        </w:trPr>
        <w:tc>
          <w:tcPr>
            <w:tcW w:w="2620" w:type="dxa"/>
            <w:vAlign w:val="bottom"/>
            <w:shd w:val="clear" w:color="auto" w:fill="CCEEFF"/>
          </w:tcPr>
          <w:p>
            <w:pPr>
              <w:ind w:left="4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tcPr>
          <w:p>
            <w:pPr>
              <w:ind w:left="20"/>
              <w:spacing w:after="0" w:line="121" w:lineRule="exact"/>
              <w:rPr>
                <w:sz w:val="20"/>
                <w:szCs w:val="20"/>
                <w:color w:val="auto"/>
              </w:rPr>
            </w:pPr>
            <w:r>
              <w:rPr>
                <w:rFonts w:ascii="Arial" w:cs="Arial" w:eastAsia="Arial" w:hAnsi="Arial"/>
                <w:sz w:val="13"/>
                <w:szCs w:val="13"/>
                <w:color w:val="auto"/>
                <w:w w:val="94"/>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6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2,112</w:t>
            </w:r>
          </w:p>
        </w:tc>
        <w:tc>
          <w:tcPr>
            <w:tcW w:w="1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146</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5,541</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4,062</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5,310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7,134</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6,050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3,706</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5,396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16,737</w:t>
            </w:r>
          </w:p>
        </w:tc>
      </w:tr>
      <w:tr>
        <w:trPr>
          <w:trHeight w:val="12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(3,859)</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4,027</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w w:val="99"/>
              </w:rPr>
              <w:t>Equity attributable to non-controlling interests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5,327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786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6,131</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9,796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(3,859)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10,158</w:t>
            </w:r>
          </w:p>
        </w:tc>
      </w:tr>
      <w:tr>
        <w:trPr>
          <w:trHeight w:val="128"/>
        </w:trPr>
        <w:tc>
          <w:tcPr>
            <w:tcW w:w="26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15,846</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5,320</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2,661</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519</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1,537</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26,895</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color w:val="auto"/>
                <w:w w:val="82"/>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1,707</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and restricted cash</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8,952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6,156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rPr>
                <w:sz w:val="20"/>
                <w:szCs w:val="20"/>
                <w:color w:val="auto"/>
              </w:rPr>
            </w:pPr>
            <w:r>
              <w:rPr>
                <w:rFonts w:ascii="Arial" w:cs="Arial" w:eastAsia="Arial" w:hAnsi="Arial"/>
                <w:sz w:val="13"/>
                <w:szCs w:val="13"/>
                <w:color w:val="auto"/>
              </w:rPr>
              <w:t>liabilities</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2,405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1,579</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w:t>
            </w:r>
          </w:p>
        </w:tc>
        <w:tc>
          <w:tcPr>
            <w:tcW w:w="24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1,660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7,745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662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5,799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476</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(3,994)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280" w:firstLine="324"/>
        <w:spacing w:after="0" w:line="259" w:lineRule="auto"/>
        <w:rPr>
          <w:sz w:val="20"/>
          <w:szCs w:val="20"/>
          <w:color w:val="auto"/>
        </w:rPr>
      </w:pPr>
      <w:r>
        <w:rPr>
          <w:rFonts w:ascii="Arial" w:cs="Arial" w:eastAsia="Arial" w:hAnsi="Arial"/>
          <w:sz w:val="18"/>
          <w:szCs w:val="18"/>
          <w:color w:val="auto"/>
        </w:rPr>
        <w:t>For the three months ended June 30, 2022, we recorded an income tax expense of $2 million on pre-tax loss of $285 million compared to an income tax expense of $59 million on pre-tax loss of $3 million for the three months ended June 30, 2021. Our effective income tax rate was 0.7% and (1,966.7%) for the three months ended June 30, 2022 and 2021, respectively.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For the three months ended June 30, 2022, the effective tax rate was lower than the statutory federal rate of 21%, for corporations, primarily due to partnership loss for which there was no tax expense, as such income is allocated to the partners. For the three months ended June 30, 2021, the effective tax rate was lower than the statutory federal tax rate of 21%, primarily due to permanent differences on dividends and changes in the valuation allowance.</w:t>
      </w:r>
    </w:p>
    <w:p>
      <w:pPr>
        <w:spacing w:after="0" w:line="157" w:lineRule="exact"/>
        <w:rPr>
          <w:sz w:val="20"/>
          <w:szCs w:val="20"/>
          <w:color w:val="auto"/>
        </w:rPr>
      </w:pPr>
    </w:p>
    <w:p>
      <w:pPr>
        <w:jc w:val="both"/>
        <w:ind w:left="60" w:right="419" w:firstLine="324"/>
        <w:spacing w:after="0" w:line="259" w:lineRule="auto"/>
        <w:rPr>
          <w:sz w:val="20"/>
          <w:szCs w:val="20"/>
          <w:color w:val="auto"/>
        </w:rPr>
      </w:pPr>
      <w:r>
        <w:rPr>
          <w:rFonts w:ascii="Arial" w:cs="Arial" w:eastAsia="Arial" w:hAnsi="Arial"/>
          <w:sz w:val="18"/>
          <w:szCs w:val="18"/>
          <w:color w:val="auto"/>
        </w:rPr>
        <w:t>For the six months ended June 30, 2022, we recorded an income tax expense of $100 million on pre-tax income of $698 million compared to an income tax expense of $76 million on pre-tax income of $613 million for the six months ended June 30, 2021. Our effective income tax rate was 14.3% and 12.4% for the six months ended June 30, 2022 and 2021, respectively.</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six months ended June 30, 2022 and 2021, the effective tax rate was lower than the statutory federal rate of 21%, for corporations, primarily due to partnership income for which there was no tax expense, as such income is allocated to the partners.</w:t>
      </w:r>
    </w:p>
    <w:p>
      <w:pPr>
        <w:spacing w:after="0" w:line="180"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Translation</w:t>
            </w: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5"/>
          </w:tcPr>
          <w:p>
            <w:pPr>
              <w:ind w:left="20"/>
              <w:spacing w:after="0"/>
              <w:rPr>
                <w:sz w:val="20"/>
                <w:szCs w:val="20"/>
                <w:color w:val="auto"/>
              </w:rPr>
            </w:pPr>
            <w:r>
              <w:rPr>
                <w:rFonts w:ascii="Arial" w:cs="Arial" w:eastAsia="Arial" w:hAnsi="Arial"/>
                <w:sz w:val="18"/>
                <w:szCs w:val="18"/>
                <w:b w:val="1"/>
                <w:bCs w:val="1"/>
                <w:color w:val="auto"/>
              </w:rPr>
              <w:t>Adjustments, Net</w:t>
            </w: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Benefits 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of Tax</w:t>
            </w: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Other, Net of Tax</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Borders>
              <w:top w:val="single" w:sz="8" w:color="auto"/>
            </w:tcBorders>
            <w:gridSpan w:val="4"/>
          </w:tcPr>
          <w:p>
            <w:pPr>
              <w:jc w:val="right"/>
              <w:ind w:right="310"/>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Other comprehensive (loss) income before reclassifications,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Reclassifications from accumulated other comprehensive</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to earnings, net of tax</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15. Other (Loss) Income, Net</w:t>
            </w: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tcPr>
          <w:p>
            <w:pPr>
              <w:ind w:left="340"/>
              <w:spacing w:after="0"/>
              <w:rPr>
                <w:sz w:val="20"/>
                <w:szCs w:val="20"/>
                <w:color w:val="auto"/>
              </w:rPr>
            </w:pPr>
            <w:r>
              <w:rPr>
                <w:rFonts w:ascii="Arial" w:cs="Arial" w:eastAsia="Arial" w:hAnsi="Arial"/>
                <w:sz w:val="18"/>
                <w:szCs w:val="18"/>
                <w:color w:val="auto"/>
                <w:w w:val="96"/>
              </w:rPr>
              <w:t>Other (loss) income, net consists of the following:</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7"/>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4"/>
                <w:szCs w:val="24"/>
                <w:color w:val="auto"/>
              </w:rPr>
            </w:pPr>
          </w:p>
        </w:tc>
        <w:tc>
          <w:tcPr>
            <w:tcW w:w="2180" w:type="dxa"/>
            <w:vAlign w:val="bottom"/>
            <w:gridSpan w:val="9"/>
          </w:tcPr>
          <w:p>
            <w:pPr>
              <w:jc w:val="right"/>
              <w:ind w:right="8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44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72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Equity earnings from non-consolidated affiliates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disposition of assets, net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loss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Gain (loss) on extinguishment of debt, net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1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$25 million and $13 million as of June 30, 2022 and December 31, 2021,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 wholly-owned subsidiary of CVR Refining is party to proceedings pending before the United States District Court for the District of Kansas (“D. Kan.”) relating to claims by United States Department of Justice (the “DOJ”) on behalf of the U.S. Environmental Protection Agency (the “EPA”) and the Kansas Department of Health and Environment (“KDHE”)</w:t>
      </w:r>
    </w:p>
    <w:p>
      <w:pPr>
        <w:spacing w:after="0" w:line="2" w:lineRule="exact"/>
        <w:rPr>
          <w:sz w:val="20"/>
          <w:szCs w:val="20"/>
          <w:color w:val="auto"/>
        </w:rPr>
      </w:pPr>
    </w:p>
    <w:p>
      <w:pPr>
        <w:ind w:left="60" w:right="99" w:hanging="10"/>
        <w:spacing w:after="0" w:line="284" w:lineRule="auto"/>
        <w:tabs>
          <w:tab w:leader="none" w:pos="305"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alleging violations of the Clean Air Act and a 2012 Consent Decree (“CD”) between CVR Refining, the United States (on behalf of the EPA) and KDHE at its Coffeyville refinery primarily relating to flares and seeking stipulated penalties under the CD (the “Stipulated Claims”) and (b) alleging violations of the CAA, the Kansas State Implementation Plan, Kansas law, Part 63 of the National Emission Standards for Hazardous Air Pollutants from Petroleum Refineries Subparts CC and R (“NESHAP”) and CRRM’s permits relating to flares, heaters, and related matters and seeking civil penalties, injunctive and related relief under an amended complaint filed by the United States (on behalf of the EPA) and KDHE on February 17, 2022 (collectively, the “Statutory Claims”). On March 30, 2022, D. Kan. denied CVR Refining’s petition for judicial review of approximately $6.8 million in Stipulated Claims, which amount CVR Refining previously deposited into a commercial escrow account. CVR Refining is currently evaluating its response to this denial, including its appeal rights. The escrowed funds are legally restricted for use and are included within Prepaid expenses and other current assets on CVR Energy’s consolidated balance sheets. On March 21, 2022, CVR Refining filed with D. Kan. a Motion to Dismiss the Statutory Claims, which motion is currently pending before the court.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176"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color w:val="auto"/>
        </w:rPr>
        <w:t>As of June 30, 2022 and December 31, 2021, our Energy segment had environmental accruals of $24 million and $12 million, respectively, representing estimated costs for future remediation efforts at certain sites.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CVR Refining is subject to the Renewable Fuel Standard (“RFS”) implemented primarily by the EPA which requires refiners to either blend renewable fuels into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or other exemptions from the EPA, to the extent available, in order to comply with the RFS. Wholly owned subsidiaries of CVR Refining are or expect to be party to or have interest in various lawsuits relating to the RFS, including a lawsuit against the EPA for damages sustained by the EPA’s failure to timely issue small refinery exemptions (“SREs”) to its Wynnewood refinery. In April 2022, the EPA denied the SRE previously granted to certain small refineries for 2018, including Wynnewood, and also issued an alternate compliance ruling that would allow such small refineries to meet their compliance obligations without purchasing or redeeming additional RFS though is not requiring it to purchase or redeem additional RFS credits (the “Alternate Compliance Ruling”). In June 2022, Wynnewood filed petitions challenging the EPA’s improper denial of WRC’s 2018 SRE and the Alternate Compliance Ruling. In July and August 2022, Wynnewood filed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99"/>
        <w:spacing w:after="0" w:line="293" w:lineRule="auto"/>
        <w:rPr>
          <w:sz w:val="20"/>
          <w:szCs w:val="20"/>
          <w:color w:val="auto"/>
        </w:rPr>
      </w:pPr>
      <w:r>
        <w:rPr>
          <w:rFonts w:ascii="Arial" w:cs="Arial" w:eastAsia="Arial" w:hAnsi="Arial"/>
          <w:sz w:val="16"/>
          <w:szCs w:val="16"/>
          <w:color w:val="auto"/>
        </w:rPr>
        <w:t>petitions challenging the EPA’s improper denial of WRC’s SREs for the 2017 and 2019 to 2021 compliance periods and also intervened in an action filed by certain biofuels producers against the EPA relating to the Alternate Compliance Ruling. As these actions are in their earliest stages, we cannot currently estimate the outcome, impact or timing of resolution of these matters. However, while CVR Refining firmly believe the EPA’s actions are unlawful and intends to pursue all available legal remedies, if these matters are ultimately concluded in a manner adverse to CVR Refining, they could have a material effect on our Energy business’ financial position, results of operations, or cash flows.</w:t>
      </w:r>
    </w:p>
    <w:p>
      <w:pPr>
        <w:spacing w:after="0" w:line="164"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For the three months ended June 30, 2022 and 2021, our Energy segment recognized an expense of $153 million and $173 million, respectively, for CVR Refining’s compliance with the RFS (based on our Energy segment’s revised 2020 and finalized 2021 and 2022 annual renewal volume obligation (“RVO”) and excluding the impacts of any exemptions or waivers to which our Energy segment may be entitled). For the six months ended June 30 2022 and 2021, such expenses were $259 million and $351 million, respectively. These recognized amounts are included in cost of goods sold in the condensed consolidated statements of operations and represent costs to comply with the RFS obligation through purchasing of RINs not otherwise reduced by blending of ethanol or biodiesel. At each reporting period, to the extent RINs purchased or generated through blending are less than the RFS obligation (excluding the impact of exemptions or waivers to which CVR Refining may be entitled), the remaining position is marked-to-market using RIN market prices at period end. As of June 30, 2022 and December 31, 2021, CVR Refining’s RFS position was $708 million and $494 million, respectively, and is included in accrued expenses and other liabilities in the condensed consolidated balance sheets.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i w:val="1"/>
          <w:iCs w:val="1"/>
          <w:color w:val="auto"/>
        </w:rPr>
        <w:t xml:space="preserve">Call Option Lawsuits </w:t>
      </w:r>
      <w:r>
        <w:rPr>
          <w:rFonts w:ascii="Arial" w:cs="Arial" w:eastAsia="Arial" w:hAnsi="Arial"/>
          <w:sz w:val="16"/>
          <w:szCs w:val="16"/>
          <w:color w:val="auto"/>
        </w:rPr>
        <w:t>– On July 20, 2022, CVR Energy and certain of its affiliates (the “Call Defendants”)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to the consolidated lawsuits (collectively, the “Call Option Lawsuits”) pending before the Delaware Court of Chancery (the “Chancery Court”) primarily alleging breach of contract, tortious interference and breach of the implied covenant of good faith and fair dealing and seeking monetary damages and attorneys’ fees, among other remedies, filed by purported former unitholders of CVR Refining on behalf of themselves and an alleged class of similarly situated unitholders relating to CVR Energy’s exercise of the call option (“Call Option”) under the CVR Refining Amended and Restated Agreement of Limited Partnership assigned to it by CVR Refining’s general partner, entered into a confidential, binding term sheet pursuant to which CVR Energy, the Call Defendants and plaintiffs are expected to execute a final agreement to settle the Call Option Lawsuits for $79 million, subject to approval by the Chancery Court and other conditions contained therein. If finalized, settlement of the Call Option Lawsuits is not currently expected to have any further impact on our Energy business’ financial position or results of operations beyond the $79 million recognized within Other current liabilities and Other (expense) income, net as of June 30, 2022 to reflect the estimated probable loss.</w:t>
      </w:r>
    </w:p>
    <w:p>
      <w:pPr>
        <w:spacing w:after="0" w:line="166"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The lawsuits relating to insurance coverage for the Call Option Lawsuits, one filed on January 27, 2021, in the 434</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Judicial District Court of Fort Bend County, Texas by the Call Defendants’ primary and excess insurers (the “Insurers”) seeking a declaratory judgment determining that they owe no indemnity coverage for the Call Option Lawsuits in relation to insurance policies that have coverage limits of $50 million, and another filed on January 30, 2022, in the Superior Court of the State of Delaware by the Call Defendants against the Insurers for anticipatory breach of contract and breach of the implied covenant of good faith and fair dealing (the “Delaware Coverage Case”), remain pending, and pre-trial proceedings are in process. CVR Energy intends to vigorously pursue recovery of the $79 million it expects to pay in settlement of the Call Options Lawsuits and other damages allowed by law from its primary and excess insurers in the event the Chancery Court approves the settlement. As both lawsuits are in their early stages, CVR Energy cannot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determine at this time the outcome of these lawsuits, including whether the outcome would have a material impact on our Energy business’ financial position, results of operations, or cash flows.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86% of Icahn Enterprises’ outstanding depositary units as of June 30,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June 30, 2022. If the plans were voluntarily terminated, they would be underfunded by an aggregate of approximately $82 million as of June 30,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183"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consists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r>
      <w:tr>
        <w:trPr>
          <w:trHeight w:val="128"/>
        </w:trPr>
        <w:tc>
          <w:tcPr>
            <w:tcW w:w="5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right"/>
              <w:ind w:right="4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(payments) receipts for income taxes, net of payments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Non-cash dividends to non-controlling interests in subsidiary</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Partnership contributions receivable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August 3, 2022, the Board of Directors of the general partner of Icahn Enterprises declared a quarterly distribution in the amount of $2.00 per depositary unit, which will be paid on or about September 28, 2022 to depositary unitholders of record at the close of business on August 19, 2022. Depositary unitholders will have until September 16,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23, 2022.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2022 (this “Report”), as well as our Annual Report on Form 10-K for the year ended December 31, 2021 filed with the Securities and Exchange Commission on February 25,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In addition, we operated our Metals segment until it was sold in December 2021. We also report the 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66"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2022, representing an aggregate 1.99% general partner interest in Icahn Enterprises Holdings and us. Mr. Icahn and his affiliates owned approximately 86% of Icahn Enterprises’ outstanding depositary units as of June 30, 2022.</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On October 27, 2021, IEP Utility Holdings LLC (“IEP Utility”),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On March 14, 2022, IEP Utility amended its SWX Tender Offer purchase price to $82.50 per share. On May 23, 2022, IEP Utility announced the completion of the SWX Tender Offer resulting in the acquisition by IEP Utility of 2,191,027 shares of Southwest Gas tendered representing approximately 3.3% of the outstanding shares of Southwest Gas, as of April 29, 2022.</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Repayments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 February 2022, we redeemed all of our $500 million aggregate principal amount of 6.750% senior unsecured notes due 2024 at par.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39"/>
        <w:spacing w:after="0" w:line="259" w:lineRule="auto"/>
        <w:rPr>
          <w:sz w:val="20"/>
          <w:szCs w:val="20"/>
          <w:color w:val="auto"/>
        </w:rPr>
      </w:pPr>
      <w:r>
        <w:rPr>
          <w:rFonts w:ascii="Arial" w:cs="Arial" w:eastAsia="Arial" w:hAnsi="Arial"/>
          <w:sz w:val="18"/>
          <w:szCs w:val="18"/>
          <w:color w:val="auto"/>
        </w:rPr>
        <w:t>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87"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Throughout 2020, 2021 and continuing in 2022, the COVID-19 pandemic, and actions taken by governments and others in response thereto, has negatively impacted the global economy, financial markets, and certain of the industries in which our subsidiaries operate. Our consolidated results of operations and financial condition have been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and 2022 as more governments reduce restrictions and more businesses resume operations.</w:t>
      </w:r>
    </w:p>
    <w:p>
      <w:pPr>
        <w:spacing w:after="0" w:line="16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In February 2022, Russia invaded Ukraine, disrupting the global oil, fertilizer, and agriculture markets, and leading to heightened uncertainty in the worldwide economy recovering from the COVID-19 pandemic. In response, many Western countries have formally or informally adopted sanctions on a number of Russian exports, including Russian oil and natural gas, and individuals affiliated with Russian government leadership. These sanctions, thus far, have resulted in higher oil prices and continued elevation of natural gas prices, and are likely to continue to impact commodity prices in the near-term, which could have a material effect on our financial condition, cash flows, or results of operations. A global recession stemming from market volatility could result in a reduction in demand, thereby lowering commodity prices. The ultimate outcome of the Russia-Ukraine conflict and any associated market disruptions are difficult to predict and may materially affect our business, operations, and cash flows in unforeseen ways.</w:t>
      </w:r>
    </w:p>
    <w:p>
      <w:pPr>
        <w:spacing w:after="0" w:line="166"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and the results of operations of our Energy segment, impacted by the demand and pricing for its products. Refer to our respective segment discussions and “Other Consolidated Results of Operations,” below for further discussion.</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Pr>
          <w:p>
            <w:pPr>
              <w:spacing w:after="0"/>
              <w:rPr>
                <w:sz w:val="12"/>
                <w:szCs w:val="12"/>
                <w:color w:val="auto"/>
              </w:rPr>
            </w:pPr>
          </w:p>
        </w:tc>
        <w:tc>
          <w:tcPr>
            <w:tcW w:w="174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Six Months Ended June 30,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jc w:val="right"/>
              <w:ind w:right="188"/>
              <w:spacing w:after="0" w:line="142" w:lineRule="exact"/>
              <w:rPr>
                <w:sz w:val="20"/>
                <w:szCs w:val="20"/>
                <w:color w:val="auto"/>
              </w:rPr>
            </w:pPr>
            <w:r>
              <w:rPr>
                <w:rFonts w:ascii="Arial" w:cs="Arial" w:eastAsia="Arial" w:hAnsi="Arial"/>
                <w:sz w:val="14"/>
                <w:szCs w:val="14"/>
                <w:b w:val="1"/>
                <w:bCs w:val="1"/>
                <w:color w:val="auto"/>
                <w:w w:val="97"/>
              </w:rPr>
              <w:t>Six Months Ended 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vMerge w:val="restart"/>
          </w:tcPr>
          <w:p>
            <w:pPr>
              <w:spacing w:after="0"/>
              <w:rPr>
                <w:sz w:val="20"/>
                <w:szCs w:val="20"/>
                <w:color w:val="auto"/>
              </w:rPr>
            </w:pPr>
            <w:r>
              <w:rPr>
                <w:rFonts w:ascii="Arial" w:cs="Arial" w:eastAsia="Arial" w:hAnsi="Arial"/>
                <w:sz w:val="14"/>
                <w:szCs w:val="14"/>
                <w:color w:val="auto"/>
              </w:rPr>
              <w:t>(in</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color w:val="auto"/>
              </w:rPr>
              <w:t>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(313)</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3,329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1,186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1,232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Home Fashion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Pharma</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Metals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7,043</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5,219</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7,596</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6,372</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537</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2022 and December 31, 2021, we had investments with a fair market value of approximately $4.4 billion and $4.2 billion, respectively, in the Investment Funds. As of June 30, 2022 and December 31, 2021, the total fair market value of investments in the Investment Funds made by Mr. Icahn and his affiliates (excluding us and Brett Icahn) was approximately $5.3 billion and $5.0 billion,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2022.</w:t>
      </w:r>
    </w:p>
    <w:p>
      <w:pPr>
        <w:spacing w:after="0" w:line="172" w:lineRule="exact"/>
        <w:rPr>
          <w:sz w:val="20"/>
          <w:szCs w:val="20"/>
          <w:color w:val="auto"/>
        </w:rPr>
      </w:pPr>
    </w:p>
    <w:p>
      <w:pPr>
        <w:ind w:left="60" w:right="499" w:firstLine="324"/>
        <w:spacing w:after="0" w:line="259" w:lineRule="auto"/>
        <w:rPr>
          <w:sz w:val="20"/>
          <w:szCs w:val="20"/>
          <w:color w:val="auto"/>
        </w:rPr>
      </w:pPr>
      <w:r>
        <w:rPr>
          <w:rFonts w:ascii="Arial" w:cs="Arial" w:eastAsia="Arial" w:hAnsi="Arial"/>
          <w:sz w:val="18"/>
          <w:szCs w:val="18"/>
          <w:color w:val="auto"/>
        </w:rPr>
        <w:t>For the three months ended June 30, 2022 and 2021, our Investment Funds’ returns were (4.8)% and 1.4%, respectively. For the six months ended June 30, 2022 and 2021, our Investment Funds’ returns were 4.3% and 10.8%, respectively. Our Investment Funds’ returns represent a weighted-average composite of the average returns, net of expenses.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8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0"/>
              </w:rPr>
              <w:t>Three Months Ended June 30,</w:t>
            </w:r>
          </w:p>
        </w:tc>
        <w:tc>
          <w:tcPr>
            <w:tcW w:w="24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5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Short positions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16.1 %</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(5.1)%</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9.1 %</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(19.3)%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09"/>
        </w:trPr>
        <w:tc>
          <w:tcPr>
            <w:tcW w:w="35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3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six months ended June 30, 2022 and 2021, respectively.</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39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20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128"/>
        </w:trPr>
        <w:tc>
          <w:tcPr>
            <w:tcW w:w="2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7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Short positions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For the three months ended June 30, 2022, the Investment Funds’ negative performance was primarily driven by net losses in long positions, offset in part by net gains in short positions. The negative performance of our Investment segment’s long positions was driven primarily by losses from one healthcare sector investment of approximately $819 million and one industrial sector investment of approximately $307 million. The aggregate performance of investments with net losses across various other sectors accounted for an additional negative performance of our Investment segment’s long positions. The positive performance of our Investment segment’s short positions was driven primarily by the positive performance of broad market hedges of $758 million.</w:t>
      </w:r>
    </w:p>
    <w:p>
      <w:pPr>
        <w:spacing w:after="0" w:line="177"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For the three months ended June 30, 2021, the Investment Funds’ positive performance was driven by net gains in their long positions, offset in part by net losses in their short positions. The positive performance of our Investment segment’s long positions was driven primarily by gains from two energy sector investments aggregating $494 million and a technology sector investment of $193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3" w:lineRule="auto"/>
        <w:rPr>
          <w:sz w:val="20"/>
          <w:szCs w:val="20"/>
          <w:color w:val="auto"/>
        </w:rPr>
      </w:pPr>
      <w:r>
        <w:rPr>
          <w:rFonts w:ascii="Arial" w:cs="Arial" w:eastAsia="Arial" w:hAnsi="Arial"/>
          <w:sz w:val="18"/>
          <w:szCs w:val="18"/>
          <w:color w:val="auto"/>
        </w:rPr>
        <w:t>broad market hedges of $338 million and an energy sector investment of $256 million. The aggregate performance of investments with net losses across various sectors accounted for an additional negative performance of our Investment segment’s short positions.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six months ended June 30, 2022, the Investments Funds’ positive performance was driven by net gains in their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 positions, offset in part by net losses in certain long positions and credit default swaps. The positive performance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Investment segment’s short positions was driven primarily by a broad market hedge totaling $1.0 billion and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aggregate performance of short positions with net gains across various sectors. The negative performance of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segment’s long positions was driven primarily by the negative performance of one healthcare investment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$1.1 billion and the aggregate performance of investments with net losses across various sectors accounted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negative performance, offset in part by gains in two energy sector investments aggregating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 billion. The positive performance of short positions was offset in part by the negative performance of an energy sector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hedge totaling $400 million and the negative performance of certain credit default swap positions of $406 million.</w:t>
      </w:r>
    </w:p>
    <w:p>
      <w:pPr>
        <w:spacing w:after="0" w:line="222"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For the six months ended June 30, 2021, the Investment Funds’ positive performance was driven by net gains in their long positions, offset in part by net losses in their short positions. The positive performance of our Investment segment’s long positions was driven primarily by gains from two energy sector investments aggregating $1.6 billion.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$751 million and broad market hedges of $667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$191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92% and 94% of our Energy segment’s net sales for the six months ended June 30, 2022 and 2021,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71"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170 to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 mitigates our costs to comply with the RFS, if at all.</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ind w:left="520"/>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r>
      <w:tr>
        <w:trPr>
          <w:trHeight w:val="21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June 30, 2022 and 2021</w:t>
      </w:r>
    </w:p>
    <w:p>
      <w:pPr>
        <w:spacing w:after="0" w:line="22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Net sales for our Energy segment increased by $1.4 billion (76%) for the three months ended June 30, 2022 as compared to the comparable prior year period due to an increase in our petroleum business’ net sales, which increased $1.3 billion, as well as an increase in our nitrogen fertilizer business’ net sales, which increased $106 million over the comparable periods. The increase in the petroleum business’ net sales was primarily due to an increase in prices of gasoline and distillates mainly attributable to the ongoing conflict in Ukraine resulting in a global increase in commodity prices. Volumes were lower in the comparable prior year period due to the reduced utilization of the refineries resulting from the startup of the RDU and minor plant outages in the current period. Our nitrogen fertilizer business’ net sales increased primarily due to an increase in urea ammonium nitrate (“UAN”) sales primarily due to favorable pricing conditions.</w:t>
      </w:r>
    </w:p>
    <w:p>
      <w:pPr>
        <w:spacing w:after="0" w:line="16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Cost of goods sold for our Energy segment increased by $1.0 billion (55%) for the three months ended June 30, 2022 as compared to the comparable prior year period. The increase was primarily due to our petroleum business as a result of higher cost of consumed crude oil. The higher cost of consumed crude oil was due to an increase in higher crude oil prices and lower derivative performance of $66 million compared to the prior period. Gross margin for our Energy segment improved by $403 million for the three months ended June 30, 2022 as compared to the comparable prior year period. Gross margin as a percentage of net sales was 14% and 1% for the three months ended June 30, 2022 and 2021, respectively. The improvement in the gross margin as a percentage of net sales was primarily attributable to the petroleum business, which was primarily due to higher crack spreads, in addition to higher net sales and pricing in the nitrogen fertilizer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June 30, 2022 and 2021</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Net sales for our Energy segment increased by $2.3 billion (70%) for the six months ended June 30, 2022 as compared to the comparable prior year period due to an increase in our petroleum business’ net sales, which increased $2.0 billion, as well as an increase in our nitrogen fertilizer business’ net sales, which increased $268 million over the comparable periods. The increase in the petroleum business’ net sales was primarily due to an increase in prices of gasoline and distillates mainly attributable to the ongoing conflict in Ukraine resulting in a global increase in commodity prices. Volumes were lower in the current year period due to the planned turnaround at one of the refineries, the startup</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of the RDU, and minor plant outages. Our nitrogen fertilizer business’ net sales increased primarily due to an increase in urea ammonium nitrate (“UAN”) sales primarily due to favorable pricing conditions.</w:t>
      </w:r>
    </w:p>
    <w:p>
      <w:pPr>
        <w:spacing w:after="0" w:line="170"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Cost of goods sold for our Energy segment increased by $1.5 billion (45%) for the six months ended June 30, 2022 as compared to the comparable prior year period. The increase was primarily due to our petroleum business as a result of higher cost of consumed crude oil. The higher cost of consumed crude oil was due to an increase in higher crude oil prices offset in part by a decrease in the net cost of RINs compared to the prior period. Gross margin for our Energy segment improved by $769 million for the six months ended June 30, 2022 as compared to the comparable prior year period. Gross margin as a percentage of net sales was 12% and (3)% for the six months ended June 30, 2022 and 2021, respectively. The improvement in the gross margin as a percentage of net sales was primarily attributable to the petroleum business, which was primarily due to higher crack spreads, in addition to higher net sales and pricing in the nitrogen fertilizer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demand for automotive service and maintenance and the distribution and installation of automotive aftermarket parts, and is affected by the relative strength of automotive part replacement trends, among other factors.</w:t>
      </w:r>
    </w:p>
    <w:p>
      <w:pPr>
        <w:spacing w:after="0" w:line="184"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Our Automotive segment has been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in 2021 Icahn Automotive entered into an agreement to sell certain inventory assets relating to its aftermarket parts business at 109 locations and a distribution center in California and certain other inventory and fixed assets in California. Costs to implement the transformation plan include restructuring charges, which are recorded when specific plans are approved, and which may be significant.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Optimizing the value of the commercial parts distribution business in certain high-volume core markets;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Automotive rental revenues are included in other revenues from operations in our condensed consolidated statements of operations, however, are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excluded from the table below. Therefore, we discuss the combined results of our automotive net sales and automotive services labor revenues below.</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4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128"/>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revenues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1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Cost of goods sold and other expenses from operations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0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Net sales and other revenues from operations for our Automotive segment for the three months ended June 30, 2022 decreased by $29 million (5%) as compared to the comparable prior year period. The decrease was attributable to a decrease in aftermarket parts sales of $75 million (26%), offset in part by an increase in automotive services revenue of $46 million (13%). The decrease in aftermarket part sales included a decrease in commercial sales of $25 million (15%) compared to the prior period.</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Cost of goods sold and other expenses from operations for the three months ended June 30, 2022 decreased by $39 million (8%) as compared to the comparable prior year period. The decrease was primarily due to lower costs attributable to lower aftermarket parts sales which exceeded higher costs associated with higher services revenues. Gross margin on net sales and other revenue from operations for the three months ended June 30, 2022 increased by $10 million (6%) as compared to the comparable prior year period. Gross margin as a percentage of net sales and other revenue from operations was 31% and 28% for the three months ended June 30, 2022 and 2021,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Net sales and other revenues from operations for our Automotive segment for the six months ended June 30, 2022 decreased by $73 million (6%) as compared to the comparable prior year period. The decrease was attributable to a decrease in aftermarket parts sales of $150 million (27%), offset in part by an increase in automotive services revenue of $77 million (12%). The decrease in aftermarket parts is mainly related to a decrease in commercial sales of $24 million (15%).</w:t>
      </w:r>
    </w:p>
    <w:p>
      <w:pPr>
        <w:spacing w:after="0" w:line="18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Cost of goods sold and other expenses from operations for the six months ended June 30, 2022 decreased by $71 million (8%) as compared to the comparable prior year period. The decrease was primarily due to lower costs attributable to lower aftermarket part sales which exceeded higher costs associated with higher services revenues. Gross margin on net sales and other revenue from operations for the six months ended June 30, 2022 decreased by $2 million (1%) as compared to the comparable prior year period. Gross margin as a percentage of net sales and other revenue from operations was 30% and 28% for the six months ended June 30, 2022 and 2021,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June 30, 2022 increased $4 million (4%) as compared to the comparable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The increase was due to an increase of $13 million in price and product mix, offset by a decrease of $2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due to unfavorable effects of foreign exchange and a decrease of $7 million due to lower volumes. Cost of goods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sold for the three months ended June 30, 2022 increased by $2 million (2%) as compared to the comparable prior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period due to the effects of raw material price inflation, manufacturing inefficiencies and distribution costs, offset in part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by lower volumes. Gross margin as a percentage of net sales was 18% and 17% for the three months ended June 30, 2022 and 2021,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Net sales for the six months ended June 30, 2022 increased $4 million (2%) as compared to the comparable prior year period. The increase was mostly due to an increase of $26 million in price and product mix, offset by a decrease of $5 million due to unfavorable effects of foreign exchange and a decrease of $16 million due to lower volumes. Cost of goods sold for the six months ended June 30, 2022 increased by $3 million (2%) as compared to the comparable prior year period due to the effects of raw material price inflation, manufacturing inefficiencies and distribution costs. Gross margin as a percentage of net sales was 19% for the six months ended June 30, 2022 and 2021,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six months ended June 30, 2022 and 2021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June 30, 2022 increased by $18 million (35%) compared to the comparable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primarily due to an increase in demand as leisure and business travel have increased due to the reduced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impact of the COVID-19 pandemic on our Home Fashion segment’s hospitality business. Cost of goods sold for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months ended June 30, 2022 increased $16 million (39%) compared to the comparable prior year period due to higher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material and freight costs. Gross margin as a percentage of net sales was 17% and 20% for the three months ended June 30,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 and 2021, respectively. The decrease is due to higher material and freight costs.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299" w:firstLine="324"/>
        <w:spacing w:after="0" w:line="287" w:lineRule="auto"/>
        <w:rPr>
          <w:sz w:val="20"/>
          <w:szCs w:val="20"/>
          <w:color w:val="auto"/>
        </w:rPr>
      </w:pPr>
      <w:r>
        <w:rPr>
          <w:rFonts w:ascii="Arial" w:cs="Arial" w:eastAsia="Arial" w:hAnsi="Arial"/>
          <w:sz w:val="16"/>
          <w:szCs w:val="16"/>
          <w:color w:val="auto"/>
        </w:rPr>
        <w:t>Net sales for the six months ended June 30, 2022 increased by $32 million (35%) compared to the comparable prior year period primarily due to an increase in demand as leisure and business travel have increased due to the reduced impact of the COVID-19 pandemic on our Home Fashion segment’s hospitality business. Cost of goods sold for the</w:t>
      </w:r>
    </w:p>
    <w:p>
      <w:pPr>
        <w:spacing w:after="0" w:line="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six months ended June 30, 2022 increased $27 million (36%) compared to the comparable prior year period due to higher material and freight costs. Gross margin as a percentage of net sales was 18% for both six months ended June 30, 2022 and 2021.</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Net sales for the three months ended June 30, 2022 was flat compared to the comparable prior year period. Cost of goods sold for the three months ended June 30, 2022 was flat compared to the prior year period. Gross margin as a percentage of net sales was 33% for both of three months ending June 30, 2022 and 2021, respectively.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Net sales for the six months ended June 30, 2022 decreased $14 million (30%) compared to the comparable prior year period primarily due to the absence of a $13 million one-time sale of product to a single customer in the first quarter of 2021. Cost of goods sold for the six months ended June 30, 2022 decreased $2 million (8%) compared to the prior year period due to lower volumes. Gross margin as a percentage of net sales was 27% and 45% for the six months ending June 30, 2022 and 2021, respectively. The decrease is due to the absence of the one-time sale in the first quarter of 2021 mentioned above.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the interest expense on its senior unsecured notes and investment gains and losses from equity investments for each of the three months ended June 30, 2022 and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Our consolidated selling, general and administrative costs during the three months ended June 30, 2022 increased by $11 million (4%) as compared to the comparable prior year period primarily due to higher expenses of our Energy segment mainly related to increased personnel costs driven by higher share-based compensation.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Our consolidated selling, general and administrative costs during the six months ended June 30, 2022 decreased by $4 million (1%) as compared to the comparable prior year period primarily due to lower expenses of our Automotive segment mainly related to its transformation plan offset in part by higher expenses at our Energy segment mainly related to increased personnel costs driven by higher share-based compensation.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2022 and 2021</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Our consolidated interest expense during the three months ended June 30, 2022 decreased by $7 million (4%) as compared to the comparable prior year period. The decrease was primarily due to lower interest expense for our Holding Company due to the $500 million debt repayment in February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2022 and 2021</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consolidated interest expense during the six months ended June 30, 2022 decreased by $68 million (19%) as compared to the comparable prior year period. The decrease was primarily due to lower interest expense from our Investment segment due to lower balances on margin accounts and lower interest expense for our Holding Company due to the $500 million debt repayment in February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As of June 30, 2022, our Holding Company had cash and cash equivalents of approximately $1.4 billion and total debt of approximately $5.3 billion. As of June 30, 2022, our Holding Company had investments in the Investment Funds with a total fair market value of approximately $4.4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r>
      <w:tr>
        <w:trPr>
          <w:trHeight w:val="128"/>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09"/>
        </w:trPr>
        <w:tc>
          <w:tcPr>
            <w:tcW w:w="6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In February 2022, we redeemed all of our $500 million in aggregate principal amount of 6.750% senior unsecured notes due 2024 at par. This transaction is expected to result in annual savings of approximately $34 million in future interest expense.</w:t>
      </w:r>
    </w:p>
    <w:p>
      <w:pPr>
        <w:spacing w:after="0" w:line="184"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June 30, 2022,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pacing w:after="0" w:line="178"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As of June 30, 2022 and December 31, 2021, we were in compliance with all covenants, including maintaining certain minimum financial ratios, as defined in the indentures. Additionally, as of June 30, 2022,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During the six months ended June 30, 2022, Icahn Enterprises sold 7,546,779 depositary units pursuant to its Open Market Sale Agreement, resulting in gross proceeds of $394 million. As of June 30, 2022, we continue to have an active Open Market Sale Agreement and Icahn Enterprises may sell its depositary units for up to an additional $291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shares during the six months ended June 30, 2022, there can be no assurance that any future capital will be available on acceptable terms or at all under this program.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During the six months ended June, 30, 2022, Icahn Enterprises declared two quarterly distributions aggregating $4.00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$100 million during the six months ended June 30, 2022.</w:t>
      </w:r>
    </w:p>
    <w:p>
      <w:pPr>
        <w:spacing w:after="0" w:line="171"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August 3, 2022, the Board of Directors of the general partner of Icahn Enterprises declared a quarterly distribution in the amount of $2.00 per depositary unit, which will be paid on or about September 28, 2022 to depositary unitholders of record at the close of business on August 20, 2022. Depositary unitholders will have until September 16,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23, 2022. Icahn Enterprises will make a cash payment in lieu of issuing fractional depositary units to any unitholders electing to receive (or who are deemed to have elected to receive) depositary units.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Investments</w:t>
      </w:r>
    </w:p>
    <w:p>
      <w:pPr>
        <w:spacing w:after="0" w:line="22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During the six months ended June 30, 2022, we received proceeds of $153 million from the sale of equity investments held by the Holding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June 30, 2022, the Investment Funds had a net short notional exposure of 28%. The Investment Funds’ long exposure was 72% (71% long equity and 1% long credit) and its short exposure was 100% (86% short equity and 14% short credit). The notional exposure represents the ratio of the notional exposure of the Investment Funds’ invested capital to the net asset value of the Investment Funds at June 30, 2022.</w:t>
      </w:r>
    </w:p>
    <w:p>
      <w:pPr>
        <w:spacing w:after="0" w:line="176"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Of the Investment Funds’ 72% long exposure, 59% was comprised of the fair value of its long positions and 13% was comprised of single name equity forward contracts and credit contracts. Of the Investment Funds’ 100% short exposure, 41% was comprised of the fair value of its short positions (with certain adjustments) and 59% was comprised of single name equity forward contracts and credit contracts.</w:t>
      </w:r>
    </w:p>
    <w:p>
      <w:pPr>
        <w:spacing w:after="0" w:line="187"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(59% long exposure) and our short positions that are not notionalized (41%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(59%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w:t>
            </w:r>
          </w:p>
        </w:tc>
        <w:tc>
          <w:tcPr>
            <w:tcW w:w="3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60" w:type="dxa"/>
            <w:vAlign w:val="bottom"/>
            <w:vMerge w:val="restart"/>
          </w:tcPr>
          <w:p>
            <w:pPr>
              <w:jc w:val="right"/>
              <w:ind w:right="19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7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490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7"/>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4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r>
      <w:tr>
        <w:trPr>
          <w:trHeight w:val="129"/>
        </w:trPr>
        <w:tc>
          <w:tcPr>
            <w:tcW w:w="49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Automotive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4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4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2021 for information concerning terms, restrictions and covenants pertaining to our subsidiaries’ debt. As of June 30, 2022, all of our subsidiaries were in compliance with all debt covenants.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Energy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Food Packaging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Home Fashion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248"/>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ind w:left="408"/>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228"/>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281</w:t>
      </w:r>
    </w:p>
    <w:p>
      <w:pPr>
        <w:spacing w:after="0" w:line="30" w:lineRule="exact"/>
        <w:rPr>
          <w:rFonts w:ascii="Arial" w:cs="Arial" w:eastAsia="Arial" w:hAnsi="Arial"/>
          <w:sz w:val="16"/>
          <w:szCs w:val="16"/>
          <w:color w:val="auto"/>
        </w:rPr>
      </w:pPr>
    </w:p>
    <w:p>
      <w:pPr>
        <w:ind w:left="1028"/>
        <w:spacing w:after="0"/>
        <w:rPr>
          <w:rFonts w:ascii="Arial" w:cs="Arial" w:eastAsia="Arial" w:hAnsi="Arial"/>
          <w:sz w:val="16"/>
          <w:szCs w:val="16"/>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13335</wp:posOffset>
            </wp:positionV>
            <wp:extent cx="56489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948"/>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46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2" w:lineRule="exact"/>
        <w:rPr>
          <w:sz w:val="20"/>
          <w:szCs w:val="20"/>
          <w:color w:val="auto"/>
        </w:rPr>
      </w:pPr>
    </w:p>
    <w:p>
      <w:pPr>
        <w:ind w:left="848" w:hanging="848"/>
        <w:spacing w:after="0"/>
        <w:tabs>
          <w:tab w:leader="none" w:pos="8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7" w:right="1440" w:bottom="1440" w:gutter="0" w:footer="0" w:header="0"/>
          <w:type w:val="continuous"/>
        </w:sectPr>
      </w:pPr>
    </w:p>
    <w:p>
      <w:pPr>
        <w:spacing w:after="0" w:line="88"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This transaction is expected to result in annual savings of approximately $6 million in future interest expense.</w:t>
      </w:r>
    </w:p>
    <w:p>
      <w:pPr>
        <w:spacing w:after="0" w:line="184"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As of June 30, 2022 and December 31, 2021, total availability under CVR Refining and CVR Partners variable rate asset based revolving credit facilities aggregated $281 million and $396 million, respectively. CVR Refining also had $29 million and $39 million of letters of credit outstanding as of June 30, 2022 and December 31, 2021,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three months ended June 30, 2022 and 2021, CVR Partners did not repurchase any common units. During the six months ended June 30, 2022 and 2021, CVR Partners repurchased 111,695 and 24,378 common units, respectively, on the open market at a cost of $12 million and $1 million, respectively. As of June 30, 2022, CVR Partners has a nominal amount remaining under its unit repurchase program.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w:t>
      </w:r>
    </w:p>
    <w:p>
      <w:pPr>
        <w:spacing w:after="0" w:line="225"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For the first quarter of 2022, our Energy segment paid a cash dividend of $0.40 per share, which was paid May 23, 2022 to shareholders of record as of May 13, 2022. Our portion of the dividend included approximately $28 million in cash.</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second quarter of 2022, our Energy segment declared a cash dividend of $0.40 per share, or $40 million, which is payable August 22, 2022 to shareholders of record as of August 12, 2022. Our portion of the dividend will include approximately $28 million in cash.</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addition, for the second quarter of 2022, our Energy segment declared a special dividend of $2.60 per share, or $261 million, which is payable August 22, 2022 to shareholders of record as of August 12, 2022. Our portion of the dividend will include approximately $185 million in cash.</w:t>
      </w:r>
    </w:p>
    <w:p>
      <w:pPr>
        <w:spacing w:after="0" w:line="184"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For the second quarter of 2022, CVR Partners declared a distribution of $10.05 per common unit, or $106 million, which is payable August 22, 2022 to shareholders of record as of August 12, 2022. Of this amount, CVR Energy will receive approximately $39 million in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6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2"/>
              </w:rPr>
              <w:t>Six Months Ended June 30, 2022</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Six Months Ended June 30,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Holding Company’s cash flows from operating activities for each of six months ended June 30, 2022 and 2021 were primarily attributable to our semi-annual interest payments on our senior unsecured notes. The decrease in interest payments over the comparable period is primarily due to the redemption of $500 million of senior unsecured notes in February 2022.</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Holding Company’s cash flows from investing activities for the six months ended June 30, 2022 were primarily attributable to proceeds from the sale of equity investments aggregating $153 million. Our Holding Company’s cash flows from investing activities for the six months ended June 30, 2021 were primarily attributable to proceeds from the sale of equity investments of $376 million and dividends from our Energy segment of $171 million offset in part by investments in/contributions to our operating subsidiaries aggregating $47 million.</w:t>
      </w:r>
    </w:p>
    <w:p>
      <w:pPr>
        <w:spacing w:after="0" w:line="1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Holding Company’s cash flows used in financing activities for the six months ended June 30, 2022 were due to the redemption of $500 million of senior unsecured notes offset in part by proceeds from our “at-the-market” offering. Our Holding Company’s cash flows from financing activities for the six months ended June 30, 2021 were due to proceeds from our “at-the-market” offering, offset in part by the net effect of a debt refinancing transaction.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Our Investment segment’s cash flows from financing activities for the six months ended June 30, 2022 and 2021 were attributable to Brett Icahn’s contribution to the Funds of $5 million and $46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$597 million and $(74) million for the six months ended June 30, 2022 and 2021, respectively, primarily due to the results of our Energy segment during both periods. The change in cash flows from operating activities for the six months ended June 30, 2022 as compared to the comparable prior year was primarily due to an increase in the operating results of our Energy segment primarily associated with increased crude oil prices during 2022.</w:t>
      </w:r>
    </w:p>
    <w:p>
      <w:pPr>
        <w:spacing w:after="0" w:line="192" w:lineRule="exact"/>
        <w:rPr>
          <w:sz w:val="20"/>
          <w:szCs w:val="20"/>
          <w:color w:val="auto"/>
        </w:rPr>
      </w:pPr>
    </w:p>
    <w:p>
      <w:pPr>
        <w:jc w:val="both"/>
        <w:ind w:left="60" w:right="439" w:firstLine="324"/>
        <w:spacing w:after="0" w:line="301" w:lineRule="auto"/>
        <w:rPr>
          <w:sz w:val="20"/>
          <w:szCs w:val="20"/>
          <w:color w:val="auto"/>
        </w:rPr>
      </w:pPr>
      <w:r>
        <w:rPr>
          <w:rFonts w:ascii="Arial" w:cs="Arial" w:eastAsia="Arial" w:hAnsi="Arial"/>
          <w:sz w:val="16"/>
          <w:szCs w:val="16"/>
          <w:color w:val="auto"/>
        </w:rPr>
        <w:t>Our other operating segments’ cash flows from investing activities were primarily due to capital expenditures and turnaround expenditures of $156 million in 2022 compared to $128 million in 2021 in our Energy segment and capital expenditures of $51 million in 2022 compared to $20 million in 2021 within our Automotive segment. In addition, our Energy segment acquired a pipeline for cash consideration of $20 million in the first quarter of 2021.</w:t>
      </w:r>
    </w:p>
    <w:p>
      <w:pPr>
        <w:spacing w:after="0" w:line="157"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Our other operating segments’ cash flows from financing activities were primarily due to our Energy segment. For the six months ended June 30, 2022, our Energy segment redeemed senior notes of $65 million, compared to proceeds from senior notes of $500 million for the six months ended June 30, 2021. In addition, our Energy segment paid a distribution to noncontrolling interests of $62 million and $70 million for the six months ended June 30, 2022 and 2021, respectively.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2022 reported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2021.</w:t>
      </w:r>
    </w:p>
    <w:p>
      <w:pPr>
        <w:spacing w:after="0" w:line="188" w:lineRule="exact"/>
        <w:rPr>
          <w:sz w:val="20"/>
          <w:szCs w:val="20"/>
          <w:color w:val="auto"/>
        </w:rPr>
      </w:pPr>
    </w:p>
    <w:p>
      <w:pPr>
        <w:jc w:val="both"/>
        <w:ind w:left="60" w:right="25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three months ended June 30, 2022 as compared to those reported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2022, we estimate that in the event of a 10% adverse change in the fair value of these investments, the fair values of securities owned, securities sold, not yet purchased and derivatives would be negatively impacted by approximately $572 million, $406 million and $943 million, respectively. However, as of June 30, 2022, we estimate that the impact to our share of the net gain (loss) from investment activities reported in our condensed consolidated statement of operations would be less than the change in fair value since we have an interest of approximately 45% in the Investment Funds.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As of June 30, 2022,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Except for the risk factors updated below there were no material changes to our risk factors during the six months ended June 30, 2022 as compared to those reported in our Annual Report on Form 10-K for the year ended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 in Ukraine has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spacing w:after="0" w:line="17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70"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Further,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We do not have a publicly announced repurchase plan or program in effect. The table below summarizes other repurchases of our depositary units during the quarter ended June 30, 2022, all of which represent units withheld to pay taxes on the vesting of restricted depositary units.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Total Number of Units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(or Approximate Dollar</w:t>
            </w:r>
          </w:p>
        </w:tc>
      </w:t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Purchased as Part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3"/>
              </w:rPr>
              <w:t>Value) of Units that May</w:t>
            </w:r>
          </w:p>
        </w:tc>
      </w:tr>
      <w:tr>
        <w:trPr>
          <w:trHeight w:val="203"/>
        </w:trPr>
        <w:tc>
          <w:tcPr>
            <w:tcW w:w="218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Number of Units</w:t>
            </w:r>
          </w:p>
        </w:tc>
        <w:tc>
          <w:tcPr>
            <w:tcW w:w="1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Average Price</w:t>
            </w: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Publicly Announced</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w:t>
            </w:r>
          </w:p>
        </w:tc>
      </w:tr>
      <w:tr>
        <w:trPr>
          <w:trHeight w:val="213"/>
        </w:trPr>
        <w:tc>
          <w:tcPr>
            <w:tcW w:w="2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Repurchased</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Per Unit</w:t>
            </w: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Plans or Programs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199"/>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3 through January 31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2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tcPr>
          <w:p>
            <w:pPr>
              <w:ind w:left="20"/>
              <w:spacing w:after="0"/>
              <w:rPr>
                <w:sz w:val="20"/>
                <w:szCs w:val="20"/>
                <w:color w:val="auto"/>
              </w:rPr>
            </w:pPr>
            <w:r>
              <w:rPr>
                <w:rFonts w:ascii="Arial" w:cs="Arial" w:eastAsia="Arial" w:hAnsi="Arial"/>
                <w:sz w:val="16"/>
                <w:szCs w:val="16"/>
                <w:color w:val="auto"/>
                <w:w w:val="94"/>
              </w:rPr>
              <w:t>February 1 through February 28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60" w:type="dxa"/>
            <w:vAlign w:val="bottom"/>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through March 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tcPr>
          <w:p>
            <w:pPr>
              <w:ind w:left="20"/>
              <w:spacing w:after="0"/>
              <w:rPr>
                <w:sz w:val="20"/>
                <w:szCs w:val="20"/>
                <w:color w:val="auto"/>
              </w:rPr>
            </w:pPr>
            <w:r>
              <w:rPr>
                <w:rFonts w:ascii="Arial" w:cs="Arial" w:eastAsia="Arial" w:hAnsi="Arial"/>
                <w:sz w:val="16"/>
                <w:szCs w:val="16"/>
                <w:color w:val="auto"/>
              </w:rPr>
              <w:t>April 1 through April 30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60" w:type="dxa"/>
            <w:vAlign w:val="bottom"/>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 through May 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w:t>
            </w: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color w:val="auto"/>
              </w:rPr>
              <w:t>June 1 through June 30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60" w:type="dxa"/>
            <w:vAlign w:val="bottom"/>
          </w:tcPr>
          <w:p>
            <w:pPr>
              <w:ind w:left="166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President, Chief Executive Officer and Director</w:t>
      </w:r>
    </w:p>
    <w:p>
      <w:pPr>
        <w:spacing w:after="0" w:line="200" w:lineRule="exact"/>
        <w:rPr>
          <w:sz w:val="20"/>
          <w:szCs w:val="20"/>
          <w:color w:val="auto"/>
        </w:rPr>
      </w:pPr>
    </w:p>
    <w:p>
      <w:pPr>
        <w:spacing w:after="0" w:line="238"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Financial Officer, Chief Accounting Officer</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June 30, 2022;</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2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120" w:right="8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June 30, 2022;</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7" w:name="page58"/>
    <w:bookmarkEnd w:id="57"/>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connection with the quarterly report on Form 10-Q of Icahn Enterprises L.P., for the period ended June 30, 2022, the undersigned certify that, to the best of his knowledge, based upon a review of the Icahn Enterprises L.P. quarterly report on Form 10-Q for the period ended June 30, 2022:</w:t>
      </w:r>
    </w:p>
    <w:p>
      <w:pPr>
        <w:spacing w:after="0" w:line="184" w:lineRule="exact"/>
        <w:rPr>
          <w:sz w:val="20"/>
          <w:szCs w:val="20"/>
          <w:color w:val="auto"/>
        </w:rPr>
      </w:pPr>
    </w:p>
    <w:p>
      <w:pPr>
        <w:ind w:right="460" w:firstLine="321"/>
        <w:spacing w:after="0" w:line="277" w:lineRule="auto"/>
        <w:tabs>
          <w:tab w:leader="none" w:pos="5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14605</wp:posOffset>
            </wp:positionV>
            <wp:extent cx="34118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080" w:right="12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Roman"/>
      <w:start w:val="3"/>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4"/>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17"/>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2022-08-05T16:35:39Z</dcterms:created>
  <dcterms:modified xsi:type="dcterms:W3CDTF">2022-08-05T16:35:39Z</dcterms:modified>
</cp:coreProperties>
</file>