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411480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(Mark one)</w:t>
      </w:r>
    </w:p>
    <w:p>
      <w:pPr>
        <w:spacing w:after="0" w:line="12" w:lineRule="exact"/>
        <w:rPr>
          <w:sz w:val="24"/>
          <w:szCs w:val="24"/>
          <w:color w:val="auto"/>
        </w:rPr>
      </w:pPr>
    </w:p>
    <w:p>
      <w:pPr>
        <w:ind w:left="3640" w:right="2720" w:hanging="3630"/>
        <w:spacing w:after="0" w:line="427" w:lineRule="auto"/>
        <w:tabs>
          <w:tab w:leader="none" w:pos="182"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2023</w:t>
      </w:r>
    </w:p>
    <w:p>
      <w:pPr>
        <w:spacing w:after="0" w:line="211"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30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w:t>
            </w: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1"/>
        </w:trPr>
        <w:tc>
          <w:tcPr>
            <w:tcW w:w="3300" w:type="dxa"/>
            <w:vAlign w:val="bottom"/>
          </w:tcPr>
          <w:p>
            <w:pPr>
              <w:spacing w:after="0"/>
              <w:rPr>
                <w:sz w:val="24"/>
                <w:szCs w:val="24"/>
                <w:color w:val="auto"/>
              </w:rPr>
            </w:pPr>
          </w:p>
        </w:tc>
        <w:tc>
          <w:tcPr>
            <w:tcW w:w="3520" w:type="dxa"/>
            <w:vAlign w:val="bottom"/>
            <w:gridSpan w:val="5"/>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10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(State or Other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3520" w:type="dxa"/>
            <w:vAlign w:val="bottom"/>
            <w:gridSpan w:val="5"/>
            <w:vMerge w:val="continue"/>
          </w:tcPr>
          <w:p>
            <w:pPr>
              <w:spacing w:after="0"/>
              <w:rPr>
                <w:sz w:val="12"/>
                <w:szCs w:val="12"/>
                <w:color w:val="auto"/>
              </w:rPr>
            </w:pPr>
          </w:p>
        </w:tc>
        <w:tc>
          <w:tcPr>
            <w:tcW w:w="2100" w:type="dxa"/>
            <w:vAlign w:val="bottom"/>
          </w:tcPr>
          <w:p>
            <w:pPr>
              <w:jc w:val="center"/>
              <w:ind w:left="808"/>
              <w:spacing w:after="0" w:line="149" w:lineRule="exact"/>
              <w:rPr>
                <w:sz w:val="20"/>
                <w:szCs w:val="20"/>
                <w:color w:val="auto"/>
              </w:rPr>
            </w:pPr>
            <w:r>
              <w:rPr>
                <w:rFonts w:ascii="Times New Roman" w:cs="Times New Roman" w:eastAsia="Times New Roman" w:hAnsi="Times New Roman"/>
                <w:sz w:val="14"/>
                <w:szCs w:val="14"/>
                <w:color w:val="auto"/>
              </w:rPr>
              <w:t>Jurisdiction of</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48"/>
        </w:trPr>
        <w:tc>
          <w:tcPr>
            <w:tcW w:w="3300" w:type="dxa"/>
            <w:vAlign w:val="bottom"/>
            <w:vMerge w:val="restart"/>
          </w:tcPr>
          <w:p>
            <w:pPr>
              <w:jc w:val="center"/>
              <w:ind w:right="608"/>
              <w:spacing w:after="0"/>
              <w:rPr>
                <w:sz w:val="20"/>
                <w:szCs w:val="20"/>
                <w:color w:val="auto"/>
              </w:rPr>
            </w:pPr>
            <w:r>
              <w:rPr>
                <w:rFonts w:ascii="Times New Roman" w:cs="Times New Roman" w:eastAsia="Times New Roman" w:hAnsi="Times New Roman"/>
                <w:sz w:val="14"/>
                <w:szCs w:val="14"/>
                <w:color w:val="auto"/>
              </w:rPr>
              <w:t>(Commission File Number)</w:t>
            </w:r>
          </w:p>
        </w:tc>
        <w:tc>
          <w:tcPr>
            <w:tcW w:w="3520" w:type="dxa"/>
            <w:vAlign w:val="bottom"/>
            <w:gridSpan w:val="5"/>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2100" w:type="dxa"/>
            <w:vAlign w:val="bottom"/>
          </w:tcPr>
          <w:p>
            <w:pPr>
              <w:jc w:val="center"/>
              <w:ind w:left="808"/>
              <w:spacing w:after="0" w:line="149" w:lineRule="exact"/>
              <w:rPr>
                <w:sz w:val="20"/>
                <w:szCs w:val="20"/>
                <w:color w:val="auto"/>
              </w:rPr>
            </w:pPr>
            <w:r>
              <w:rPr>
                <w:rFonts w:ascii="Times New Roman" w:cs="Times New Roman" w:eastAsia="Times New Roman" w:hAnsi="Times New Roman"/>
                <w:sz w:val="14"/>
                <w:szCs w:val="14"/>
                <w:color w:val="auto"/>
              </w:rPr>
              <w:t>Incorporation or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(Telephone Number)</w:t>
            </w:r>
          </w:p>
        </w:tc>
        <w:tc>
          <w:tcPr>
            <w:tcW w:w="500" w:type="dxa"/>
            <w:vAlign w:val="bottom"/>
          </w:tcPr>
          <w:p>
            <w:pPr>
              <w:spacing w:after="0"/>
              <w:rPr>
                <w:sz w:val="16"/>
                <w:szCs w:val="16"/>
                <w:color w:val="auto"/>
              </w:rPr>
            </w:pPr>
          </w:p>
        </w:tc>
        <w:tc>
          <w:tcPr>
            <w:tcW w:w="21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rPr>
              <w:t>Organization)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11"/>
        </w:trPr>
        <w:tc>
          <w:tcPr>
            <w:tcW w:w="3300" w:type="dxa"/>
            <w:vAlign w:val="bottom"/>
          </w:tcPr>
          <w:p>
            <w:pPr>
              <w:jc w:val="right"/>
              <w:ind w:right="1728"/>
              <w:spacing w:after="0"/>
              <w:rPr>
                <w:sz w:val="20"/>
                <w:szCs w:val="20"/>
                <w:color w:val="auto"/>
              </w:rPr>
            </w:pPr>
            <w:r>
              <w:rPr>
                <w:rFonts w:ascii="Times New Roman" w:cs="Times New Roman" w:eastAsia="Times New Roman" w:hAnsi="Times New Roman"/>
                <w:sz w:val="14"/>
                <w:szCs w:val="14"/>
                <w:b w:val="1"/>
                <w:bCs w:val="1"/>
                <w:color w:val="auto"/>
              </w:rPr>
              <w:t>1-9516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ICAHN ENTERPRISES L.P.</w:t>
            </w: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13-3398766</w:t>
            </w:r>
          </w:p>
        </w:tc>
        <w:tc>
          <w:tcPr>
            <w:tcW w:w="0" w:type="dxa"/>
            <w:vAlign w:val="bottom"/>
          </w:tcPr>
          <w:p>
            <w:pPr>
              <w:spacing w:after="0"/>
              <w:rPr>
                <w:sz w:val="1"/>
                <w:szCs w:val="1"/>
                <w:color w:val="auto"/>
              </w:rPr>
            </w:pPr>
          </w:p>
        </w:tc>
      </w:tr>
      <w:tr>
        <w:trPr>
          <w:trHeight w:val="242"/>
        </w:trPr>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16690 Collins Avenue, PH-1</w:t>
            </w:r>
          </w:p>
        </w:tc>
        <w:tc>
          <w:tcPr>
            <w:tcW w:w="5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3520" w:type="dxa"/>
            <w:vAlign w:val="bottom"/>
            <w:gridSpan w:val="5"/>
          </w:tcPr>
          <w:p>
            <w:pPr>
              <w:jc w:val="center"/>
              <w:ind w:left="4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330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00" w:type="dxa"/>
            <w:vAlign w:val="bottom"/>
          </w:tcPr>
          <w:p>
            <w:pPr>
              <w:spacing w:after="0"/>
              <w:rPr>
                <w:sz w:val="24"/>
                <w:szCs w:val="24"/>
                <w:color w:val="auto"/>
              </w:rPr>
            </w:pPr>
          </w:p>
        </w:tc>
        <w:tc>
          <w:tcPr>
            <w:tcW w:w="3400" w:type="dxa"/>
            <w:vAlign w:val="bottom"/>
            <w:gridSpan w:val="2"/>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30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Depositary Units of Icahn Enterprises L.P.</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5"/>
              </w:rPr>
              <w:t>IEP</w:t>
            </w:r>
          </w:p>
        </w:tc>
        <w:tc>
          <w:tcPr>
            <w:tcW w:w="500" w:type="dxa"/>
            <w:vAlign w:val="bottom"/>
          </w:tcPr>
          <w:p>
            <w:pPr>
              <w:spacing w:after="0"/>
              <w:rPr>
                <w:sz w:val="19"/>
                <w:szCs w:val="19"/>
                <w:color w:val="auto"/>
              </w:rPr>
            </w:pPr>
          </w:p>
        </w:tc>
        <w:tc>
          <w:tcPr>
            <w:tcW w:w="3400" w:type="dxa"/>
            <w:vAlign w:val="bottom"/>
            <w:gridSpan w:val="2"/>
          </w:tcPr>
          <w:p>
            <w:pPr>
              <w:jc w:val="center"/>
              <w:ind w:right="408"/>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88"/>
        </w:trPr>
        <w:tc>
          <w:tcPr>
            <w:tcW w:w="330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Representing Limited Partner Interests</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9" w:lineRule="exact"/>
        <w:rPr>
          <w:sz w:val="24"/>
          <w:szCs w:val="24"/>
          <w:color w:val="auto"/>
        </w:rPr>
      </w:pPr>
    </w:p>
    <w:p>
      <w:pPr>
        <w:jc w:val="both"/>
        <w:ind w:left="20"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73" w:lineRule="exact"/>
        <w:rPr>
          <w:sz w:val="24"/>
          <w:szCs w:val="24"/>
          <w:color w:val="auto"/>
        </w:rPr>
      </w:pPr>
    </w:p>
    <w:p>
      <w:pPr>
        <w:ind w:left="20" w:right="2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33" w:lineRule="exact"/>
        <w:rPr>
          <w:sz w:val="24"/>
          <w:szCs w:val="24"/>
          <w:color w:val="auto"/>
        </w:rPr>
      </w:pPr>
    </w:p>
    <w:p>
      <w:pPr>
        <w:ind w:left="20" w:right="2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3" w:lineRule="exact"/>
        <w:rPr>
          <w:sz w:val="24"/>
          <w:szCs w:val="24"/>
          <w:color w:val="auto"/>
        </w:rPr>
      </w:pPr>
    </w:p>
    <w:tbl>
      <w:tblPr>
        <w:tblLayout w:type="fixed"/>
        <w:tblInd w:w="940" w:type="dxa"/>
        <w:tblCellMar>
          <w:top w:w="0" w:type="dxa"/>
          <w:left w:w="0" w:type="dxa"/>
          <w:bottom w:w="0" w:type="dxa"/>
          <w:right w:w="0" w:type="dxa"/>
        </w:tblCellMar>
      </w:tblPr>
      <w:tr>
        <w:trPr>
          <w:trHeight w:val="324"/>
        </w:trPr>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Non-accelerated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86" w:lineRule="exact"/>
        <w:rPr>
          <w:sz w:val="24"/>
          <w:szCs w:val="24"/>
          <w:color w:val="auto"/>
        </w:rPr>
      </w:pPr>
    </w:p>
    <w:p>
      <w:pPr>
        <w:ind w:left="20"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3"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highlight w:val="black"/>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32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May 9, 2023, there were 369,197,424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506095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128905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5"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80" w:type="dxa"/>
            <w:vAlign w:val="bottom"/>
            <w:gridSpan w:val="10"/>
            <w:vMerge w:val="restart"/>
          </w:tcPr>
          <w:p>
            <w:pPr>
              <w:ind w:left="200"/>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 No</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80" w:type="dxa"/>
            <w:vAlign w:val="bottom"/>
            <w:gridSpan w:val="10"/>
            <w:vMerge w:val="continue"/>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20" w:type="dxa"/>
            <w:vAlign w:val="bottom"/>
            <w:gridSpan w:val="5"/>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0"/>
              </w:rPr>
              <w:t>Item 1.</w:t>
            </w:r>
          </w:p>
        </w:tc>
        <w:tc>
          <w:tcPr>
            <w:tcW w:w="320" w:type="dxa"/>
            <w:vAlign w:val="bottom"/>
            <w:gridSpan w:val="2"/>
          </w:tcPr>
          <w:p>
            <w:pPr>
              <w:spacing w:after="0"/>
              <w:rPr>
                <w:sz w:val="16"/>
                <w:szCs w:val="16"/>
                <w:color w:val="auto"/>
              </w:rPr>
            </w:pPr>
          </w:p>
        </w:tc>
        <w:tc>
          <w:tcPr>
            <w:tcW w:w="7080" w:type="dxa"/>
            <w:vAlign w:val="bottom"/>
            <w:gridSpan w:val="10"/>
          </w:tcPr>
          <w:p>
            <w:pPr>
              <w:ind w:left="200"/>
              <w:spacing w:after="0" w:line="194"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9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320" w:type="dxa"/>
            <w:vAlign w:val="bottom"/>
            <w:gridSpan w:val="2"/>
          </w:tcPr>
          <w:p>
            <w:pPr>
              <w:spacing w:after="0"/>
              <w:rPr>
                <w:sz w:val="17"/>
                <w:szCs w:val="17"/>
                <w:color w:val="auto"/>
              </w:rPr>
            </w:pPr>
          </w:p>
        </w:tc>
        <w:tc>
          <w:tcPr>
            <w:tcW w:w="708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320" w:type="dxa"/>
            <w:vAlign w:val="bottom"/>
            <w:gridSpan w:val="2"/>
          </w:tcPr>
          <w:p>
            <w:pPr>
              <w:spacing w:after="0"/>
              <w:rPr>
                <w:sz w:val="17"/>
                <w:szCs w:val="17"/>
                <w:color w:val="auto"/>
              </w:rPr>
            </w:pPr>
          </w:p>
        </w:tc>
        <w:tc>
          <w:tcPr>
            <w:tcW w:w="708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r>
              <w:rPr>
                <w:rFonts w:ascii="Times New Roman" w:cs="Times New Roman" w:eastAsia="Times New Roman" w:hAnsi="Times New Roman"/>
                <w:sz w:val="18"/>
                <w:szCs w:val="18"/>
                <w:color w:val="000000"/>
              </w:rPr>
              <w:t>.</w:t>
            </w:r>
          </w:p>
        </w:tc>
        <w:tc>
          <w:tcPr>
            <w:tcW w:w="708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488"/>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120" w:type="dxa"/>
            <w:vAlign w:val="bottom"/>
            <w:gridSpan w:val="5"/>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0"/>
              </w:rPr>
              <w:t>Item 1.</w:t>
            </w:r>
          </w:p>
        </w:tc>
        <w:tc>
          <w:tcPr>
            <w:tcW w:w="320" w:type="dxa"/>
            <w:vAlign w:val="bottom"/>
            <w:gridSpan w:val="2"/>
          </w:tcPr>
          <w:p>
            <w:pPr>
              <w:spacing w:after="0"/>
              <w:rPr>
                <w:sz w:val="16"/>
                <w:szCs w:val="16"/>
                <w:color w:val="auto"/>
              </w:rPr>
            </w:pPr>
          </w:p>
        </w:tc>
        <w:tc>
          <w:tcPr>
            <w:tcW w:w="7080" w:type="dxa"/>
            <w:vAlign w:val="bottom"/>
            <w:gridSpan w:val="10"/>
          </w:tcPr>
          <w:p>
            <w:pPr>
              <w:ind w:left="200"/>
              <w:spacing w:after="0" w:line="194" w:lineRule="exact"/>
              <w:rPr>
                <w:sz w:val="20"/>
                <w:szCs w:val="20"/>
                <w:color w:val="auto"/>
              </w:rPr>
            </w:pPr>
            <w:r>
              <w:rPr>
                <w:rFonts w:ascii="Times New Roman" w:cs="Times New Roman" w:eastAsia="Times New Roman" w:hAnsi="Times New Roman"/>
                <w:sz w:val="18"/>
                <w:szCs w:val="18"/>
                <w:color w:val="0000EE"/>
              </w:rPr>
              <w:t>Legal Proceedings</w:t>
            </w:r>
          </w:p>
        </w:tc>
        <w:tc>
          <w:tcPr>
            <w:tcW w:w="9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580" w:type="dxa"/>
            <w:vAlign w:val="bottom"/>
            <w:tcBorders>
              <w:left w:val="single" w:sz="8" w:color="0000EE"/>
            </w:tcBorders>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80" w:type="dxa"/>
            <w:vAlign w:val="bottom"/>
          </w:tcPr>
          <w:p>
            <w:pPr>
              <w:spacing w:after="0"/>
              <w:rPr>
                <w:sz w:val="17"/>
                <w:szCs w:val="17"/>
                <w:color w:val="auto"/>
              </w:rPr>
            </w:pPr>
          </w:p>
        </w:tc>
        <w:tc>
          <w:tcPr>
            <w:tcW w:w="708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8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320" w:type="dxa"/>
            <w:vAlign w:val="bottom"/>
            <w:gridSpan w:val="2"/>
          </w:tcPr>
          <w:p>
            <w:pPr>
              <w:spacing w:after="0"/>
              <w:rPr>
                <w:sz w:val="17"/>
                <w:szCs w:val="17"/>
                <w:color w:val="auto"/>
              </w:rPr>
            </w:pPr>
          </w:p>
        </w:tc>
        <w:tc>
          <w:tcPr>
            <w:tcW w:w="708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92"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risks related to the severity, magnitude and duration of the COVID-19 pandemic and its impact on the global economy, financial markets and industries in which our subsidiaries operate; the impacts from the Russia/Ukraine conflict, including economic volatility and the impacts of export controls and other economic sanctions; risks related to our investment activities, including the nature of the investments made by the private funds in which we invest, declines in the fair value of our investments as a result of the COVID-19 pandemic, losses in the private funds and loss of key employees; risks related to our ability to continue to conduct our activities in a manner so as to not be deemed an investment company under the Investment Company Act of 1940, as amended, or be taxed as a corporation; risks relating to short sellers and associated litigation and regulatory inquires;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the success of the proposed spin-off of the fertilizer business; risks related to our automotive activities and exposure to adverse conditions in the automotive industry, including as a result of the COVID-19 pandemic and the Chapter 11 filing of our automotive parts subsidiary;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including as a result of the Russia/Ukraine conflict; interest rate increases; labor shortages and workforce availability; risks related to our real estate activities, including the extent of any tenant bankruptcies and insolvencies; risks related to our home fashion operations, including changes in the availability and price of raw materials, and changes in transportation costs and delivery times. These risks and uncertainties also include the risks and uncertainties described in our Annual Report on Form 10-K for the year ended December 31, 2022 and below in Item 1A. Risk Factors, of Part II of this Quarterly Report on Form 10-Q.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6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56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ICAHN ENTERPRISES L.P. AND SUBSIDIARIES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800" w:type="dxa"/>
            <w:vAlign w:val="bottom"/>
            <w:gridSpan w:val="4"/>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3"/>
        </w:trPr>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r>
      <w:tr>
        <w:trPr>
          <w:trHeight w:val="128"/>
        </w:trPr>
        <w:tc>
          <w:tcPr>
            <w:tcW w:w="6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 except</w:t>
            </w:r>
          </w:p>
        </w:tc>
        <w:tc>
          <w:tcPr>
            <w:tcW w:w="1100" w:type="dxa"/>
            <w:vAlign w:val="bottom"/>
            <w:gridSpan w:val="2"/>
          </w:tcPr>
          <w:p>
            <w:pPr>
              <w:jc w:val="right"/>
              <w:ind w:right="90"/>
              <w:spacing w:after="0" w:line="129" w:lineRule="exact"/>
              <w:rPr>
                <w:sz w:val="20"/>
                <w:szCs w:val="20"/>
                <w:color w:val="auto"/>
              </w:rPr>
            </w:pPr>
            <w:r>
              <w:rPr>
                <w:rFonts w:ascii="Times New Roman" w:cs="Times New Roman" w:eastAsia="Times New Roman" w:hAnsi="Times New Roman"/>
                <w:sz w:val="14"/>
                <w:szCs w:val="14"/>
                <w:color w:val="auto"/>
              </w:rPr>
              <w:t>unit amounts)</w:t>
            </w:r>
          </w:p>
        </w:tc>
        <w:tc>
          <w:tcPr>
            <w:tcW w:w="20" w:type="dxa"/>
            <w:vAlign w:val="bottom"/>
          </w:tcPr>
          <w:p>
            <w:pPr>
              <w:spacing w:after="0"/>
              <w:rPr>
                <w:sz w:val="11"/>
                <w:szCs w:val="11"/>
                <w:color w:val="auto"/>
              </w:rPr>
            </w:pPr>
          </w:p>
        </w:tc>
      </w:tr>
      <w:tr>
        <w:trPr>
          <w:trHeight w:val="216"/>
        </w:trPr>
        <w:tc>
          <w:tcPr>
            <w:tcW w:w="656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0" w:type="dxa"/>
            <w:vAlign w:val="bottom"/>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brokers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20" w:type="dxa"/>
            <w:vAlign w:val="bottom"/>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receivable,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20" w:type="dxa"/>
            <w:vAlign w:val="bottom"/>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0" w:type="dxa"/>
            <w:vAlign w:val="bottom"/>
          </w:tcPr>
          <w:p>
            <w:pPr>
              <w:spacing w:after="0"/>
              <w:rPr>
                <w:sz w:val="18"/>
                <w:szCs w:val="18"/>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26,269</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27,914</w:t>
            </w:r>
          </w:p>
        </w:tc>
        <w:tc>
          <w:tcPr>
            <w:tcW w:w="20" w:type="dxa"/>
            <w:vAlign w:val="bottom"/>
          </w:tcPr>
          <w:p>
            <w:pPr>
              <w:spacing w:after="0"/>
              <w:rPr>
                <w:sz w:val="21"/>
                <w:szCs w:val="21"/>
                <w:color w:val="auto"/>
              </w:rPr>
            </w:pPr>
          </w:p>
        </w:tc>
      </w:tr>
      <w:tr>
        <w:trPr>
          <w:trHeight w:val="196"/>
        </w:trPr>
        <w:tc>
          <w:tcPr>
            <w:tcW w:w="6560" w:type="dxa"/>
            <w:vAlign w:val="bottom"/>
            <w:shd w:val="clear" w:color="auto" w:fill="CCEEFF"/>
          </w:tcPr>
          <w:p>
            <w:pPr>
              <w:ind w:left="20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0" w:type="dxa"/>
            <w:vAlign w:val="bottom"/>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brokers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0" w:type="dxa"/>
            <w:vAlign w:val="bottom"/>
          </w:tcPr>
          <w:p>
            <w:pPr>
              <w:spacing w:after="0"/>
              <w:rPr>
                <w:sz w:val="18"/>
                <w:szCs w:val="18"/>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20" w:type="dxa"/>
            <w:vAlign w:val="bottom"/>
          </w:tcPr>
          <w:p>
            <w:pPr>
              <w:spacing w:after="0"/>
              <w:rPr>
                <w:sz w:val="18"/>
                <w:szCs w:val="18"/>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20" w:type="dxa"/>
            <w:vAlign w:val="bottom"/>
          </w:tcPr>
          <w:p>
            <w:pPr>
              <w:spacing w:after="0"/>
              <w:rPr>
                <w:sz w:val="18"/>
                <w:szCs w:val="18"/>
                <w:color w:val="auto"/>
              </w:rPr>
            </w:pPr>
          </w:p>
        </w:tc>
      </w:tr>
      <w:tr>
        <w:trPr>
          <w:trHeight w:val="209"/>
        </w:trPr>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65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Limited partners: Depositary units: 356,967,535 units issued and outstanding at</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31, 2023 and 353,572,182 units issued and outstanding at December 31, 2022</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0" w:type="dxa"/>
            <w:vAlign w:val="bottom"/>
          </w:tcPr>
          <w:p>
            <w:pPr>
              <w:spacing w:after="0"/>
              <w:rPr>
                <w:sz w:val="20"/>
                <w:szCs w:val="20"/>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 w:type="dxa"/>
            <w:vAlign w:val="bottom"/>
          </w:tcPr>
          <w:p>
            <w:pPr>
              <w:spacing w:after="0"/>
              <w:rPr>
                <w:sz w:val="18"/>
                <w:szCs w:val="18"/>
                <w:color w:val="auto"/>
              </w:rPr>
            </w:pPr>
          </w:p>
        </w:tc>
      </w:tr>
      <w:tr>
        <w:trPr>
          <w:trHeight w:val="20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attributable to Icahn Enterprises</w:t>
            </w: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0" w:type="dxa"/>
            <w:vAlign w:val="bottom"/>
          </w:tcPr>
          <w:p>
            <w:pPr>
              <w:spacing w:after="0"/>
              <w:rPr>
                <w:sz w:val="18"/>
                <w:szCs w:val="18"/>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20" w:type="dxa"/>
            <w:vAlign w:val="bottom"/>
          </w:tcPr>
          <w:p>
            <w:pPr>
              <w:spacing w:after="0"/>
              <w:rPr>
                <w:sz w:val="18"/>
                <w:szCs w:val="18"/>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20" w:type="dxa"/>
            <w:vAlign w:val="bottom"/>
          </w:tcPr>
          <w:p>
            <w:pPr>
              <w:spacing w:after="0"/>
              <w:rPr>
                <w:sz w:val="18"/>
                <w:szCs w:val="18"/>
                <w:color w:val="auto"/>
              </w:rPr>
            </w:pP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27,914</w:t>
            </w:r>
          </w:p>
        </w:tc>
        <w:tc>
          <w:tcPr>
            <w:tcW w:w="2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0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gain from investment activities</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(443)</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loss, net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deconsolidation of subsidiary</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 benefit (expense)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Icahn Enterprises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Icahn Enterprises allocated to:</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Limited partners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income per LP unit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(0.75)</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7"/>
        </w:trPr>
        <w:tc>
          <w:tcPr>
            <w:tcW w:w="67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weighted average LP units outstanding</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income per LP unit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(0.75)</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weighted average LP units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354</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197"/>
        </w:trPr>
        <w:tc>
          <w:tcPr>
            <w:tcW w:w="67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Distributions declared per LP unit</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r>
      <w:tr>
        <w:trPr>
          <w:trHeight w:val="210"/>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142"/>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Translation adjustments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Post-retirement benefits and other</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4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Icahn Enterprises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197"/>
        </w:trPr>
        <w:tc>
          <w:tcPr>
            <w:tcW w:w="6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Icahn Enterprises allocated to:</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Limited partners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67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80" w:type="dxa"/>
            <w:vAlign w:val="bottom"/>
            <w:gridSpan w:val="14"/>
          </w:tcPr>
          <w:p>
            <w:pPr>
              <w:ind w:left="252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300" w:type="dxa"/>
            <w:vAlign w:val="bottom"/>
            <w:gridSpan w:val="18"/>
          </w:tcPr>
          <w:p>
            <w:pPr>
              <w:ind w:left="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Equity Attributable to Icahn Enterprises</w:t>
            </w:r>
          </w:p>
        </w:tc>
        <w:tc>
          <w:tcPr>
            <w:tcW w:w="120" w:type="dxa"/>
            <w:vAlign w:val="bottom"/>
          </w:tcPr>
          <w:p>
            <w:pPr>
              <w:spacing w:after="0"/>
              <w:rPr>
                <w:sz w:val="20"/>
                <w:szCs w:val="20"/>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General</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Limited</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Partner’s</w:t>
            </w:r>
          </w:p>
        </w:tc>
        <w:tc>
          <w:tcPr>
            <w:tcW w:w="2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2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 Partners’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98"/>
        </w:trPr>
        <w:tc>
          <w:tcPr>
            <w:tcW w:w="31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Investment segment distributions to</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Equity Attributable to Icahn Enterprises</w:t>
            </w:r>
          </w:p>
        </w:tc>
        <w:tc>
          <w:tcPr>
            <w:tcW w:w="120" w:type="dxa"/>
            <w:vAlign w:val="bottom"/>
          </w:tcPr>
          <w:p>
            <w:pPr>
              <w:spacing w:after="0"/>
              <w:rPr>
                <w:sz w:val="24"/>
                <w:szCs w:val="24"/>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General</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Limited</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2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Partners’</w:t>
            </w:r>
          </w:p>
        </w:tc>
        <w:tc>
          <w:tcPr>
            <w:tcW w:w="2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 Partners’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distributions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2022</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0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60" w:type="dxa"/>
            <w:vAlign w:val="bottom"/>
            <w:gridSpan w:val="5"/>
          </w:tcPr>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340" w:type="dxa"/>
            <w:vAlign w:val="bottom"/>
          </w:tcPr>
          <w:p>
            <w:pPr>
              <w:spacing w:after="0"/>
              <w:rPr>
                <w:sz w:val="24"/>
                <w:szCs w:val="24"/>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6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83"/>
        </w:trPr>
        <w:tc>
          <w:tcPr>
            <w:tcW w:w="6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(358)</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198"/>
        </w:trPr>
        <w:tc>
          <w:tcPr>
            <w:tcW w:w="6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gain (loss) from securities transactions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securities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sales of securities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to cover securities sold, not yet purchased</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securities sold, not yet purchased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receivables and payables relating to securities transactions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derivative assets and liabilities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deconsolidation of subsidiary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Turnaround expenditures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2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 from non-controlling interests</w:t>
            </w:r>
          </w:p>
        </w:tc>
        <w:tc>
          <w:tcPr>
            <w:tcW w:w="2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segment distributions to non-controlling interests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and distributions to non-controlling interests in subsidiaries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Holding Company senior unsecured notes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subsidiary borrowings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subsidiary borrowings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178"/>
        </w:trPr>
        <w:tc>
          <w:tcPr>
            <w:tcW w:w="63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 and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4"/>
        </w:trPr>
        <w:tc>
          <w:tcPr>
            <w:tcW w:w="63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increase in cash and cash equivalents and restricted cash and restricted</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198"/>
        </w:trPr>
        <w:tc>
          <w:tcPr>
            <w:tcW w:w="6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178"/>
        </w:trPr>
        <w:tc>
          <w:tcPr>
            <w:tcW w:w="63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 end of</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2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21"/>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References to “we,” “our” or “us” herein include both Icahn Enterprises and Icahn Enterprises Holdings and their subsidiaries, unless the context otherwise requires.</w:t>
      </w:r>
    </w:p>
    <w:p>
      <w:pPr>
        <w:spacing w:after="0" w:line="176"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March 31, 2023, representing an aggregate 1.99% general partner interest in Icahn Enterprises Holdings and us. Mr. Icahn and his affiliates owned approximately 84% of our outstanding depositary units as of March 31,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Continuing Operating Businesses</w:t>
      </w:r>
    </w:p>
    <w:p>
      <w:pPr>
        <w:spacing w:after="0" w:line="22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See Note 13, “Segment Reporting,” for a reconciliation of each of our reporting segment’s results of operations to our consolidated results. Certain additional information with respect to our segments is discussed below.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$4.0 billion and $4.2 billion as of March 31, 2023 and December 31, 2022, respectively.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We conduct our Energy segment through our majority owned subsidiary, CVR Energy, Inc. (“CVR Energy”). CVR Energy is a diversified holding company primarily engaged in the petroleum refining and marketing businesses as well as in the nitrogen fertilizer manufacturing businesses through its holdings in CVR Partners, LP, a publicly traded limited partnership (“CVR Partners”). CVR Energy is an independent petroleum refiner and marketer of high value transportation fuels primarily in the form of gasoline and diesel fuels, as well as renewable diesel. CVR Partners produces and markets nitrogen fertilizers in the form of urea ammonium nitrate and ammonia. CVR Energy holds 100% of the general partner interest in CVR Partners. In addition, CVR Energy owns approximately 37% of the outstanding common units of CVR Partners as of March 31, 2023. As of March 31, 2023, we owned approximately 71% of the total outstanding common stock of CVR Energy.</w:t>
      </w:r>
    </w:p>
    <w:p>
      <w:pPr>
        <w:spacing w:after="0" w:line="188"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On November 21, 2022, CVR Energy’s board of directors authorized its management to explore a potential spin-off of CVR Energy’s interest in the nitrogen fertilizer business into a newly created and separately traded public company. If completed, upon effectiveness of the potential spin-off transaction, current CVR Energy stockholders would own shares of both CVR Energy, holding the refinery and renewables businesses, and a holding company, holding CVR Energy’s current ownership of the general partner interest in, and approximately 37% of the common units (representing limited partner interests) of, CVR Partners. The potential spin-off would be intended to be structured as a tax-free, pro-rata distribution to all of CVR Energy’s stockholders, including Icahn Enterprises, as of a record date to be determined by CVR Energy’s board of directors. Completion of any potential spin-off will be subject to various conditions, including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final approval of CVR Energy’s board of directors, and there can be no assurance that the potential spin-off will be completed in the manner described above, or at all.</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conduct our Automotive segment through our wholly owned subsidiary, Icahn Automotive Group LLC (“Icahn Automotive”). Icahn Automotive is engaged in providing a full range of automotive repair and maintenance services (“automotive services”) to its customers as well as a retail business which consists of sales of automotive aftermarket parts and retailed merchandise (“aftermarket parts”).</w:t>
      </w:r>
    </w:p>
    <w:p>
      <w:pPr>
        <w:spacing w:after="0" w:line="180" w:lineRule="exact"/>
        <w:rPr>
          <w:sz w:val="20"/>
          <w:szCs w:val="20"/>
          <w:color w:val="auto"/>
        </w:rPr>
      </w:pPr>
    </w:p>
    <w:p>
      <w:pPr>
        <w:ind w:left="60" w:right="179" w:firstLine="324"/>
        <w:spacing w:after="0" w:line="277" w:lineRule="auto"/>
        <w:rPr>
          <w:sz w:val="20"/>
          <w:szCs w:val="20"/>
          <w:color w:val="auto"/>
        </w:rPr>
      </w:pPr>
      <w:r>
        <w:rPr>
          <w:rFonts w:ascii="Times New Roman" w:cs="Times New Roman" w:eastAsia="Times New Roman" w:hAnsi="Times New Roman"/>
          <w:sz w:val="17"/>
          <w:szCs w:val="17"/>
          <w:color w:val="auto"/>
        </w:rPr>
        <w:t>On January 31, 2023, a subsidiary of Icahn Automotive, IEH Auto Parts Holding LLC and its subsidiaries (“Auto Plus”), an aftermarket parts distributor held within our Automotive segment, filed voluntary petitions in the United States Bankruptcy Court. As a result of Auto Plus’s filings for bankruptcy protections on January 31, 2023, we no longer controlled the operations of Auto Plus, therefore, we deconsolidated Auto Plus as of January 31, 2023. See Note 3, “Subsidiary Bankruptcy and Deconsolidation”, for a detailed discussion of the Auto Plus bankruptcy and deconsolidation.</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60" w:right="359" w:firstLine="324"/>
        <w:spacing w:after="0" w:line="289" w:lineRule="auto"/>
        <w:rPr>
          <w:sz w:val="20"/>
          <w:szCs w:val="20"/>
          <w:color w:val="auto"/>
        </w:rPr>
      </w:pPr>
      <w:r>
        <w:rPr>
          <w:rFonts w:ascii="Times New Roman" w:cs="Times New Roman" w:eastAsia="Times New Roman" w:hAnsi="Times New Roman"/>
          <w:sz w:val="17"/>
          <w:szCs w:val="17"/>
          <w:color w:val="auto"/>
        </w:rPr>
        <w:t>We conduct our Food Packaging segment through our majority owned subsidiary, Viskase Companies, Inc. (“Viskase”). Viskase is a producer of cellulosic, fibrous and plastic casings used to prepare and package processed meat products. As of March 31, 2023, we owned approximately 90% of the total outstanding common stock of Viskase.</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Our Real Estate segment consists primarily of investment properties, the development and sale of single-family homes and the management of a country club.</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conduct our Home Fashion segment through our wholly owned subsidiary, WestPoint Home LLC (“WPH”).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WPH’s business consists of manufacturing, sourcing, marketing, distributing and selling home fashion consumer products.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Pharma</w:t>
      </w:r>
    </w:p>
    <w:p>
      <w:pPr>
        <w:spacing w:after="0" w:line="227"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We conduct our Pharma segment through our wholly owned subsidiary, Vivus LLC, formerly Vivus, Inc. (“Vivus”). Vivus is a specialty pharmaceutical company with two approved therapies and one product candidate in active 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Ferrous Resources Ltd., and PSC Metals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94"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should be read in conjunction with our consolidated financial statements and related notes contained in our Annual Report on Form 10-K for the year ended December 31, 2022.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60" w:right="99" w:firstLine="324"/>
        <w:spacing w:after="0" w:line="270" w:lineRule="auto"/>
        <w:rPr>
          <w:sz w:val="20"/>
          <w:szCs w:val="20"/>
          <w:color w:val="auto"/>
        </w:rPr>
      </w:pPr>
      <w:r>
        <w:rPr>
          <w:rFonts w:ascii="Times New Roman" w:cs="Times New Roman" w:eastAsia="Times New Roman" w:hAnsi="Times New Roman"/>
          <w:sz w:val="17"/>
          <w:szCs w:val="17"/>
          <w:color w:val="auto"/>
        </w:rPr>
        <w:t>Our condensed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 For entities over which the Company does not have significant influence, the Company accounts for its equity investment at fair value, except for the Company’s equity interest in Auto Plus.</w:t>
      </w:r>
    </w:p>
    <w:p>
      <w:pPr>
        <w:spacing w:after="0" w:line="177"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Except for our Investment segment and Holding Company, for equity investments in which we own 50% or less but greater than 20%, we generally account for such investments using the equity method. All other such equity investments are accounted for at fair value.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Variable Interest Entities</w:t>
      </w:r>
    </w:p>
    <w:p>
      <w:pPr>
        <w:spacing w:after="0" w:line="229"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Certain reclassifications from the prior year presentation have been made to conform to the current year presentation, which did not have an impact on previously reported net income and equity and are not deemed 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5, “Investments,” and Note 6, “Fair Value Measurements,” for a detailed discussion of our investments and other non-financial assets and/or liabilities.</w:t>
      </w:r>
    </w:p>
    <w:p>
      <w:pPr>
        <w:spacing w:after="0" w:line="18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March 31, 2023 was approximately $7.1 billion and $6.5 billion, respectively. The carrying value and estimated fair value of our long-term debt as of December 31, 2022 was approximately $7.1 billion and $6.6 billion,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jc w:val="both"/>
        <w:ind w:left="60" w:right="819" w:firstLine="324"/>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Held at Consolidated Affiliated Partnerships and Restricted Cash</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cash held at consolidated affiliated partnerships balance was $568 million and $1,019 million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2023 and December 31, 2022, respectively. Cash held at consolidated affiliated partnerships relates to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 segment and consists of cash and cash equivalents held by the Investment Funds that, although not legally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restricted, are not available to fund the general liquidity needs of the Investment segment or Icahn Enterprises.</w:t>
      </w:r>
    </w:p>
    <w:p>
      <w:pPr>
        <w:spacing w:after="0" w:line="207" w:lineRule="exact"/>
        <w:rPr>
          <w:sz w:val="20"/>
          <w:szCs w:val="20"/>
          <w:color w:val="auto"/>
        </w:rPr>
      </w:pPr>
    </w:p>
    <w:p>
      <w:pPr>
        <w:jc w:val="both"/>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Our restricted cash balance was $1,913 million and $1,530 million as of March 31, 2023 and December 31, 2022, respectively. Restricted cash includes, but is not limited to, our Investment segment’s cash pledged and held for margin requirements on derivative transactions.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 and Contract Balances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Due to the nature of our business, we derive revenue from various sources in various industries. With the exception of all of our Investment segment’s and our Holding Company’s revenues, and our Real Estate and Automotive segment’s leasing revenue, our revenue is generally derived from contracts with customers in accordance with U.S. GAAP. Such revenue from contracts with customers is included in net sales and other revenues from operations in the condensed consolidated statements of operations, however, our Real Estate and Automotive segment’s leasing revenue, as disclosed in Note 10,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13, “Segment Reporting,” for our complete disaggregation of revenue information. In addition, we disclose additional information with respect to revenue from contracts with customers and contract balances for our Energy and Automotive segments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Energy segment’s deferred revenue is a contract liability that primarily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In the three months ended March 31, 2023, our Energy segment recorded deferred revenue of $46 million related to certain tax credits available under Section 45Q of the Internal Revenue Code (the “45Q Transaction”). Our Energy segment had deferred revenue of $83 million and $48 million as of March 31, 2023 and December 31, 2022, respectively. For the three months ended March 31, 2023 and 2022, our Energy segment recorded revenue of $12 million and $17 million, respectively, with respect to deferred revenue outstanding as of the beginning of each respective period.</w:t>
      </w:r>
    </w:p>
    <w:p>
      <w:pPr>
        <w:spacing w:after="0" w:line="192"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2023, our Energy segment had $3 million of remaining performance obligations for contracts with an original expected duration of more than one year. Our Energy segment expects to recognize a majority of these performance obligations as revenue by the end of 2023 and the remaining nominal balance in 2024.</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Our Automotive segment had deferred revenue with respect to extended warranty plans of $44 million at each of March 31, 2023 and December 31, 2022, respectively, which are included in accrued expenses and other liabilities on the condensed consolidated balance sheets. For the three months ended March 31, 2023 and 2022, our Automotive segment recorded deferred revenue of $6 million and $6 million, respectively, outstanding as of the beginning of each period.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227" w:lineRule="exact"/>
        <w:rPr>
          <w:sz w:val="20"/>
          <w:szCs w:val="20"/>
          <w:color w:val="auto"/>
        </w:rPr>
      </w:pPr>
    </w:p>
    <w:p>
      <w:pPr>
        <w:ind w:left="60" w:right="139" w:firstLine="270"/>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which amends FASB ASC Topic 848,</w:t>
      </w:r>
      <w:r>
        <w:rPr>
          <w:rFonts w:ascii="Times New Roman" w:cs="Times New Roman" w:eastAsia="Times New Roman" w:hAnsi="Times New Roman"/>
          <w:sz w:val="18"/>
          <w:szCs w:val="18"/>
          <w:i w:val="1"/>
          <w:iCs w:val="1"/>
          <w:color w:val="auto"/>
        </w:rPr>
        <w:t xml:space="preserve"> Reference Rate Reform</w:t>
      </w:r>
      <w:r>
        <w:rPr>
          <w:rFonts w:ascii="Times New Roman" w:cs="Times New Roman" w:eastAsia="Times New Roman" w:hAnsi="Times New Roman"/>
          <w:sz w:val="18"/>
          <w:szCs w:val="18"/>
          <w:color w:val="auto"/>
        </w:rPr>
        <w:t>. By June 30, 2023, banks will no longer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report information that is used to determine London Interbank Offered Rate (“LIBOR”) which is used globally by all types of entities for various types of transactions. As a result, LIBOR could be discontinued, as well as 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 away from these reference rates. We adopted this ASU effective January 1, 2023. The adoption of this standard did not have a significant impact on our condensed consolidated financial statements.</w:t>
      </w:r>
    </w:p>
    <w:p>
      <w:pPr>
        <w:spacing w:after="0" w:line="188"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2022, the FASB issued ASU 2022-04, </w:t>
      </w:r>
      <w:r>
        <w:rPr>
          <w:rFonts w:ascii="Times New Roman" w:cs="Times New Roman" w:eastAsia="Times New Roman" w:hAnsi="Times New Roman"/>
          <w:sz w:val="18"/>
          <w:szCs w:val="18"/>
          <w:i w:val="1"/>
          <w:iCs w:val="1"/>
          <w:color w:val="auto"/>
        </w:rPr>
        <w:t>Liabilities- Supplier Finance Programs (Subtopic 405-50)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Supplier Finance Program Obligations </w:t>
      </w:r>
      <w:r>
        <w:rPr>
          <w:rFonts w:ascii="Times New Roman" w:cs="Times New Roman" w:eastAsia="Times New Roman" w:hAnsi="Times New Roman"/>
          <w:sz w:val="18"/>
          <w:szCs w:val="18"/>
          <w:color w:val="auto"/>
        </w:rPr>
        <w:t>to require entities that use supplier finance programs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purchase of goods and services to disclose the key terms of such programs and information about obligations outstanding at the end of the reporting period, including a rollforward of those obligations of where in the financial statements outstanding amounts are present. The guidance does not affect the recognition, measurement, or financial statement presentation of supplier finance program obligations. The amendments are effective in periods beginning after December 15, 2022, except that the amendments to disclose a rollforward of obligations outstanding will be effective beginning after December 15, 2023. We early adopted provisions of this ASU effective January 1, 2023, with the exception of the amendment on rollforward information, which will be adopted in the fourth quarter of 2023. The adoption of this standard did not have a material impact on our condensed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60" w:right="1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 Restrictions, </w:t>
      </w:r>
      <w:r>
        <w:rPr>
          <w:rFonts w:ascii="Times New Roman" w:cs="Times New Roman" w:eastAsia="Times New Roman" w:hAnsi="Times New Roman"/>
          <w:sz w:val="18"/>
          <w:szCs w:val="18"/>
          <w:color w:val="auto"/>
        </w:rPr>
        <w:t>which amends guidance in Topic 820, Fair Value Measurement. The guidance clarifies that a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 on the sale of an equity security is not considered part of the unit of account of the equity security</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57" w:lineRule="auto"/>
        <w:rPr>
          <w:sz w:val="20"/>
          <w:szCs w:val="20"/>
          <w:color w:val="auto"/>
        </w:rPr>
      </w:pPr>
      <w:r>
        <w:rPr>
          <w:rFonts w:ascii="Times New Roman" w:cs="Times New Roman" w:eastAsia="Times New Roman" w:hAnsi="Times New Roman"/>
          <w:sz w:val="18"/>
          <w:szCs w:val="18"/>
          <w:color w:val="auto"/>
        </w:rPr>
        <w:t>and, therefore, is not considered in measuring the fair value. The guidance also clarifies that an entity cannot, as a separate unit of account, recognize and measure a contractual sale restriction. The amendment requires the following disclosures for equity securities subject to contractual sale restrictions: the fair value of equity securities subject</w:t>
      </w:r>
    </w:p>
    <w:p>
      <w:pPr>
        <w:spacing w:after="0" w:line="1" w:lineRule="exact"/>
        <w:rPr>
          <w:sz w:val="20"/>
          <w:szCs w:val="20"/>
          <w:color w:val="auto"/>
        </w:rPr>
      </w:pPr>
    </w:p>
    <w:p>
      <w:pPr>
        <w:ind w:left="60" w:right="319"/>
        <w:spacing w:after="0" w:line="253" w:lineRule="auto"/>
        <w:rPr>
          <w:sz w:val="20"/>
          <w:szCs w:val="20"/>
          <w:color w:val="auto"/>
        </w:rPr>
      </w:pPr>
      <w:r>
        <w:rPr>
          <w:rFonts w:ascii="Times New Roman" w:cs="Times New Roman" w:eastAsia="Times New Roman" w:hAnsi="Times New Roman"/>
          <w:sz w:val="18"/>
          <w:szCs w:val="18"/>
          <w:color w:val="auto"/>
        </w:rPr>
        <w:t>to contractual sale restrictions; the nature and remaining duration of the restriction(s); and the circumstances that could cause a lapse in the restriction(s). The amended guidance is effective January 1, 2024 on a prospective basis. Early adoption is permitted. We are currently assessing the impact of adopting this new accounting standard on our condensed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Subsidiary Bankruptcy and Deconsolidation</w:t>
      </w:r>
    </w:p>
    <w:p>
      <w:pPr>
        <w:spacing w:after="0" w:line="229" w:lineRule="exact"/>
        <w:rPr>
          <w:sz w:val="20"/>
          <w:szCs w:val="20"/>
          <w:color w:val="auto"/>
        </w:rPr>
      </w:pPr>
    </w:p>
    <w:p>
      <w:pPr>
        <w:ind w:left="60" w:right="199" w:firstLine="324"/>
        <w:spacing w:after="0" w:line="270" w:lineRule="auto"/>
        <w:rPr>
          <w:sz w:val="20"/>
          <w:szCs w:val="20"/>
          <w:color w:val="auto"/>
        </w:rPr>
      </w:pPr>
      <w:r>
        <w:rPr>
          <w:rFonts w:ascii="Times New Roman" w:cs="Times New Roman" w:eastAsia="Times New Roman" w:hAnsi="Times New Roman"/>
          <w:sz w:val="17"/>
          <w:szCs w:val="17"/>
          <w:color w:val="auto"/>
        </w:rPr>
        <w:t>On January 31, 2023, a subsidiary of Icahn Automotive, IEH Auto Parts Holding LLC and its subsidiaries, (collectively, “Auto Plus”), an aftermarket parts distributor held within our Automotive segment, filed voluntary petitions (the “Chapter 11 Cases”) in the United States Bankruptcy Court for the Southern District of Texas (the “Bankruptcy Court”) seeking relief under Chapter 11 of Title 11 of the United States Code. In the course of the Chapter 11 Cases, Auto Plus will seek to sell substantially all of its assets pursuant to Section 363 of the Bankruptcy Code, with the proceeds of such sale used to satisfy obligations to its creditors, and to settle or discharge all of its obligations, in each case subject to approval by the Bankruptcy Court. Auto Plus has agreed to a global settlement in the Chapter 11 Cases with its non-Auto Plus affiliates and the Official Committee of Unsecured Creditors appointed in the Chapter 11 Cases (the "Committee”) that provides for a guaranteed recovery to unsecured creditors, the payment of all administrative and priority claims in the Chapter 11 Cases, and the resolution of all disputes between Auto Plus, its non-Auto Plus affiliates, and the Committee.</w:t>
      </w:r>
    </w:p>
    <w:p>
      <w:pPr>
        <w:spacing w:after="0" w:line="17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As a result of the filing of the Chapter 11 Cases, the Company has determined that it no longer controls Auto Plus under the criteria set out in Statement of Financial Accounting Standards (“FASB”) ASC Topic 810, “Consolidation” and has deconsolidated its investment effective January 31, 2023. In order to deconsolidate Auto Plus, we removed the carrying values of the assets and liabilities of Auto Plus as of January 31, 2023, and we recorded our investment in Auto Plus at its estimated fair value of $0 resulting in a non-cash charge of $226 million recorded in the three months ended March 31, 2023, related to the deconsolidation of Auto Plus, net of a $188 million note receivable. Subsequent to deconsolidation, we no longer had the ability to exercise significant influence over Auto Plus and concluded the retained equity investment should be accounted for utilizing FASB ASC Topic 321 “Investments-Equity Securities” (“ASC 321”) measurement alternative, whereby the investment was measured at a fair value of $0 and will continue to be monitored for observable price changes that would indicate a remeasurement of its fair value.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Related Party Transactions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Funds</w:t>
      </w:r>
    </w:p>
    <w:p>
      <w:pPr>
        <w:spacing w:after="0" w:line="229" w:lineRule="exact"/>
        <w:rPr>
          <w:sz w:val="20"/>
          <w:szCs w:val="20"/>
          <w:color w:val="auto"/>
        </w:rPr>
      </w:pPr>
    </w:p>
    <w:p>
      <w:pPr>
        <w:ind w:left="60" w:right="479" w:firstLine="324"/>
        <w:spacing w:after="0" w:line="258" w:lineRule="auto"/>
        <w:rPr>
          <w:sz w:val="20"/>
          <w:szCs w:val="20"/>
          <w:color w:val="auto"/>
        </w:rPr>
      </w:pPr>
      <w:r>
        <w:rPr>
          <w:rFonts w:ascii="Times New Roman" w:cs="Times New Roman" w:eastAsia="Times New Roman" w:hAnsi="Times New Roman"/>
          <w:sz w:val="18"/>
          <w:szCs w:val="18"/>
          <w:color w:val="auto"/>
        </w:rPr>
        <w:t>As of March 31, 2023 and December 31, 2022, the total fair market value of investments in the Investment Funds made by Mr. Icahn and his affiliates (excluding us and Brett Icahn) was approximately $4.6 billion and $4.9 billion, respectively, representing approximately 53% and 54% of the Investment Funds’ assets under management as of each respective date. During the three months ended March 31, 2023, Mr. Icahn and his affiliates had redemptions of $80 million from the Investment Funds. There were no redemptions in the three months ending March 31, 2022.</w:t>
      </w:r>
    </w:p>
    <w:p>
      <w:pPr>
        <w:spacing w:after="0" w:line="183"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three months ended March 31, 2023 and 2022, $3 million and $3 million, respectively, was allocated to the Investment Funds based on this expense-sharing arrangement.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Auto Plus</w:t>
      </w:r>
    </w:p>
    <w:p>
      <w:pPr>
        <w:spacing w:after="0" w:line="22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As discussed in Note 3. Subsidiary Bankruptcy and Deconsolidation, Auto Plus was deconsolidated as of January 31, 2023. Subsequent to January 31, 2023, Auto Plus had certain transactions with entities within our Automotive and Real Estate segments. Agreements and transactions include (i) lease agreements between Auto Plus and entities in the Automotive segment in which Auto Plus is the lessee, (ii) lease agreements between Auto Plus and entities in the Automotive segment in which Auto Plus is the lessor, (iii) auto parts purchases of entities in the Automotive segment from Auto Plus, (iv) auto parts sales from entities within the Automotive segment to Auto Plus, and (v) lease agreements between entities in the Real Estate segment and Auto Plus in which Auto Plus is the lessee.</w:t>
      </w:r>
    </w:p>
    <w:p>
      <w:pPr>
        <w:spacing w:after="0" w:line="18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For the two months from the date of deconsolidation of January 31, 2023 through March 31, 2023, the total lease revenues of entities within the Automotive segment from leases with Auto Plus was $2 million. Total inventory purchases of entities within the Automotive segment from Auto Plus were $3 million and total net trade accounts payable due to Auto Plus as of March 31, 2023 was $3 million.</w:t>
      </w:r>
    </w:p>
    <w:p>
      <w:pPr>
        <w:spacing w:after="0" w:line="180"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For the two months from the date of deconsolidation of January 31, 2023 through March 31, 2023, the total lease revenues of entities within the Real Estate segment from Auto Plus were $2 million.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Note Receivable from Auto Plus</w:t>
      </w:r>
    </w:p>
    <w:p>
      <w:pPr>
        <w:spacing w:after="0" w:line="227"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Upon the deconsolidation of Auto Plus, transactions between the Company and Auto Plus are no longer eliminated in consolidation and are treated as related party transactions. As of March 31, 2023, the Company had a related party note receivable from Auto Plus to the Company of $189 million, which is included in related party notes receivable, net in the condensed consolidated balance sheet.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Debtor in Possession (“DIP”) Financing</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Auto Plus bankruptcy filing, we entered into a priming, senior secured, super priority debtor-in-possession credit facility with Auto Plus (the “DIP Credit Facility”) on January 31, 2023, under which (i) we agreed to provide new loans in an aggregate amount of up to $75 million and (ii) subject to final approval of the DIP Credit Facility by the Bankruptcy Court, all the loans under our pre-petition credit facility with Auto Plus will be rolled-up and converted into loans under the DIP Credit Facility. As of March 31, 2023, the Company funded $18 million under the DIP Credit Facility, which is included in related party notes receivable, net in the condensed consolidated balance sheet.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Agreements</w:t>
      </w:r>
    </w:p>
    <w:p>
      <w:pPr>
        <w:spacing w:after="0" w:line="229"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did not make contributions in accordance with the manager agreement in the three months ended March 31, 2023 and 2022, respectively. As of March 31, 2023 and December 31, 2022 Brett Icahn had investments in the Investment Funds with a total fair market value of $49 million and $50 million, respectively. We also entered into a guaranty agreement with an affiliate of Brett Icahn, pursuant to which we guaranteed the payment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certain amounts required to be distributed by the Investment Funds to such affiliate pursuant to the terms and conditions of the manager agreement.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Investments and securities sold, not yet purchased consist of equities, bonds, bank debt and other corporate obligations, all of which are reported at fair value in our condensed consolidated balance sheets. In addition, our Investment segment has certain derivative transactions which are discussed in Note 7, “Financial Instruments.” The carrying value and detail by security type, including business sector for equity securities, with respect to investments and securities sold, not yet purchased held by our Investment segment consist of the following:</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28"/>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Communications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cyclical</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Utilities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Healthcare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09"/>
        </w:trPr>
        <w:tc>
          <w:tcPr>
            <w:tcW w:w="6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w:t>
            </w:r>
          </w:p>
        </w:tc>
      </w:tr>
      <w:tr>
        <w:trPr>
          <w:trHeight w:val="210"/>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Communications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6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50"/>
        </w:trPr>
        <w:tc>
          <w:tcPr>
            <w:tcW w:w="66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r>
      <w:tr>
        <w:trPr>
          <w:trHeight w:val="196"/>
        </w:trPr>
        <w:tc>
          <w:tcPr>
            <w:tcW w:w="6620" w:type="dxa"/>
            <w:vAlign w:val="bottom"/>
            <w:shd w:val="clear" w:color="auto" w:fill="CCEEFF"/>
          </w:tcPr>
          <w:p>
            <w:pPr>
              <w:ind w:left="28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non-cyclical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cyclical</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Utilities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Healthcare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Materials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09"/>
        </w:trPr>
        <w:tc>
          <w:tcPr>
            <w:tcW w:w="6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Materials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9"/>
        </w:trPr>
        <w:tc>
          <w:tcPr>
            <w:tcW w:w="66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6,495</w:t>
            </w: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firstLine="324"/>
        <w:spacing w:after="0" w:line="312" w:lineRule="auto"/>
        <w:rPr>
          <w:sz w:val="20"/>
          <w:szCs w:val="20"/>
          <w:color w:val="auto"/>
        </w:rPr>
      </w:pPr>
      <w:r>
        <w:rPr>
          <w:rFonts w:ascii="Times New Roman" w:cs="Times New Roman" w:eastAsia="Times New Roman" w:hAnsi="Times New Roman"/>
          <w:sz w:val="17"/>
          <w:szCs w:val="17"/>
          <w:color w:val="auto"/>
        </w:rPr>
        <w:t>The portion of unrealized (losses) and gains that relates to securities still held by our Investment segment, primarily equity securities, was $(208) million and $403 million for the three months ended March 31, 2023 and 2022,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Segments and Holding Company</w:t>
      </w:r>
    </w:p>
    <w:p>
      <w:pPr>
        <w:spacing w:after="0" w:line="202"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28"/>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 measured at fair value</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6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left="40" w:right="319"/>
        <w:spacing w:after="0" w:line="312" w:lineRule="auto"/>
        <w:rPr>
          <w:sz w:val="20"/>
          <w:szCs w:val="20"/>
          <w:color w:val="auto"/>
        </w:rPr>
      </w:pPr>
      <w:r>
        <w:rPr>
          <w:rFonts w:ascii="Times New Roman" w:cs="Times New Roman" w:eastAsia="Times New Roman" w:hAnsi="Times New Roman"/>
          <w:sz w:val="17"/>
          <w:szCs w:val="17"/>
          <w:color w:val="auto"/>
        </w:rPr>
        <w:t>The portion of unrealized gains and (losses) that relates to equity securities still held by our other segments and Holding Company was zero and $58 million for each of the three months ended March 31, 2023 and 2022, respectively.</w:t>
      </w: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8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47"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and reported at fair value are classified and disclosed in one of the following categories: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 Quoted prices are available in active markets for identical assets and liabilities as of the reporting date.</w:t>
      </w:r>
    </w:p>
    <w:p>
      <w:pPr>
        <w:spacing w:after="0" w:line="185" w:lineRule="exact"/>
        <w:rPr>
          <w:sz w:val="20"/>
          <w:szCs w:val="20"/>
          <w:color w:val="auto"/>
        </w:rPr>
      </w:pPr>
    </w:p>
    <w:p>
      <w:pPr>
        <w:ind w:left="380" w:right="559"/>
        <w:spacing w:after="0" w:line="258"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spacing w:after="0" w:line="143" w:lineRule="exact"/>
        <w:rPr>
          <w:sz w:val="20"/>
          <w:szCs w:val="20"/>
          <w:color w:val="auto"/>
        </w:rPr>
      </w:pPr>
    </w:p>
    <w:p>
      <w:pPr>
        <w:ind w:left="380" w:right="99"/>
        <w:spacing w:after="0" w:line="261" w:lineRule="auto"/>
        <w:rPr>
          <w:sz w:val="20"/>
          <w:szCs w:val="20"/>
          <w:color w:val="auto"/>
        </w:rPr>
      </w:pPr>
      <w:r>
        <w:rPr>
          <w:rFonts w:ascii="Times New Roman" w:cs="Times New Roman" w:eastAsia="Times New Roman" w:hAnsi="Times New Roman"/>
          <w:sz w:val="18"/>
          <w:szCs w:val="18"/>
          <w:color w:val="auto"/>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53"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02"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valuation of our assets and liabilities by the above fair value hierarchy levels measured on a recurring basis: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20" w:type="dxa"/>
            <w:vAlign w:val="bottom"/>
            <w:tcBorders>
              <w:bottom w:val="single" w:sz="8" w:color="auto"/>
            </w:tcBorders>
          </w:tcPr>
          <w:p>
            <w:pPr>
              <w:spacing w:after="0"/>
              <w:rPr>
                <w:sz w:val="20"/>
                <w:szCs w:val="20"/>
                <w:color w:val="auto"/>
              </w:rPr>
            </w:pPr>
          </w:p>
        </w:tc>
      </w:tr>
      <w:tr>
        <w:trPr>
          <w:trHeight w:val="209"/>
        </w:trPr>
        <w:tc>
          <w:tcPr>
            <w:tcW w:w="28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28"/>
        </w:trPr>
        <w:tc>
          <w:tcPr>
            <w:tcW w:w="2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3"/>
          </w:tcPr>
          <w:p>
            <w:pPr>
              <w:jc w:val="right"/>
              <w:ind w:right="23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28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(Note 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$ 5,291</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1,190</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$ 6,523</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$ 5,538</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1,142</w:t>
            </w:r>
          </w:p>
        </w:tc>
        <w:tc>
          <w:tcPr>
            <w:tcW w:w="1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$ 6,722</w:t>
            </w: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 net (Note 7)</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49"/>
        </w:trPr>
        <w:tc>
          <w:tcPr>
            <w:tcW w:w="286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$ 5,291</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1,553</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$ 6,886</w:t>
            </w:r>
          </w:p>
        </w:tc>
        <w:tc>
          <w:tcPr>
            <w:tcW w:w="1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$ 5,538</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1,954</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$ 7,534</w:t>
            </w:r>
          </w:p>
        </w:tc>
      </w:tr>
      <w:tr>
        <w:trPr>
          <w:trHeight w:val="197"/>
        </w:trPr>
        <w:tc>
          <w:tcPr>
            <w:tcW w:w="2860" w:type="dxa"/>
            <w:vAlign w:val="bottom"/>
            <w:shd w:val="clear" w:color="auto" w:fill="CCEEFF"/>
          </w:tcPr>
          <w:p>
            <w:pPr>
              <w:ind w:left="9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8"/>
        </w:trPr>
        <w:tc>
          <w:tcPr>
            <w:tcW w:w="28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Securities sold, not yet purchased</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$ 5,477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$ 5,654</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$ 6,326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$ 6,495</w:t>
            </w: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net (Note 7)</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RFS obligations (Note 17)</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09"/>
        </w:trPr>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$ 5,477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1,367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$ 6,844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$ 6,326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$ 7,878</w:t>
            </w:r>
          </w:p>
        </w:tc>
      </w:tr>
      <w:tr>
        <w:trPr>
          <w:trHeight w:val="20"/>
        </w:trPr>
        <w:tc>
          <w:tcPr>
            <w:tcW w:w="2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Measured at Fair Value on a Non-Recurring Basis for Which We Use Level 3 Inputs to Determine Fair Value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CVR Partners performed a non-recurring fair value measurement of the equity interest received as part of the 45Q Transaction. Such valuation used a combination of the market approach and the discounted cash flow methodology with key inputs including the discount rate, contractual and expected future cash flows, and market multiples. CVR Partners determined the estimated fair value of the consideration received to be $46 million, which is a non-recurring Level 3 measurement.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Holding Company</w:t>
      </w:r>
    </w:p>
    <w:p>
      <w:pPr>
        <w:spacing w:after="0" w:line="227" w:lineRule="exact"/>
        <w:rPr>
          <w:sz w:val="20"/>
          <w:szCs w:val="20"/>
          <w:color w:val="auto"/>
        </w:rPr>
      </w:pPr>
    </w:p>
    <w:p>
      <w:pPr>
        <w:ind w:left="60" w:right="119" w:firstLine="270"/>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note receivable from Auto Plus was measured at January 31, 2023 using the income approach with Level 3 inputs by discounting the forecasted cash inflows associated with the note using an estimated market discount rate.</w:t>
      </w:r>
    </w:p>
    <w:p>
      <w:pPr>
        <w:spacing w:after="0" w:line="176"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In determining the fair value of our noncontrolling retained equity interest in Auto Plus at deconsolidation, management used a market approach. The market value approach uses prices and other relevant information generated by market transactions involving comparable businesses. We hold a remaining equity interest in Auto Plus in which we determined we do not have a controlling financial interest and are unable to exercise significant influence. We concluded the remaining equity interest should be accounted for utilizing the ASC 321 measurement alternative, whereby the investment was measured at a fair value of $0 and will continue to be monitored for observable price changes that would indicate a remeasurement of its fair value.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Financial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Investment Funds may trade various financial instruments and enter into certain investment activities, which may give rise to off-balance-sheet risks, with the objective of capital appreciation 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83"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their counterparties.</w:t>
      </w:r>
    </w:p>
    <w:p>
      <w:pPr>
        <w:spacing w:after="0" w:line="18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the overnight bank funding rate in effect for such period.</w:t>
      </w:r>
    </w:p>
    <w:p>
      <w:pPr>
        <w:spacing w:after="0" w:line="188"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8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183"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68"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187"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derivative instruments in net liability positions. There were no Investment Funds’ derivative instruments with credit-risk-related contingent features in a liability position as of March 31, 2023 and December 31, 2022.</w:t>
      </w:r>
    </w:p>
    <w:p>
      <w:pPr>
        <w:spacing w:after="0" w:line="16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volume of our Investment segment’s derivative activities based on their notional exposure, categorized by primary underlying risk:</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72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0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7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Long</w:t>
            </w:r>
          </w:p>
        </w:tc>
        <w:tc>
          <w:tcPr>
            <w:tcW w:w="200" w:type="dxa"/>
            <w:vAlign w:val="bottom"/>
          </w:tcPr>
          <w:p>
            <w:pPr>
              <w:spacing w:after="0"/>
              <w:rPr>
                <w:sz w:val="16"/>
                <w:szCs w:val="16"/>
                <w:color w:val="auto"/>
              </w:rPr>
            </w:pPr>
          </w:p>
        </w:tc>
        <w:tc>
          <w:tcPr>
            <w:tcW w:w="7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Short</w:t>
            </w:r>
          </w:p>
        </w:tc>
        <w:tc>
          <w:tcPr>
            <w:tcW w:w="200" w:type="dxa"/>
            <w:vAlign w:val="bottom"/>
          </w:tcPr>
          <w:p>
            <w:pPr>
              <w:spacing w:after="0"/>
              <w:rPr>
                <w:sz w:val="16"/>
                <w:szCs w:val="16"/>
                <w:color w:val="auto"/>
              </w:rPr>
            </w:pPr>
          </w:p>
        </w:tc>
        <w:tc>
          <w:tcPr>
            <w:tcW w:w="7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Long</w:t>
            </w:r>
          </w:p>
        </w:tc>
        <w:tc>
          <w:tcPr>
            <w:tcW w:w="20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Short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0" w:type="dxa"/>
            <w:vAlign w:val="bottom"/>
          </w:tcPr>
          <w:p>
            <w:pPr>
              <w:spacing w:after="0"/>
              <w:rPr>
                <w:sz w:val="1"/>
                <w:szCs w:val="1"/>
                <w:color w:val="auto"/>
              </w:rPr>
            </w:pPr>
          </w:p>
        </w:tc>
      </w:tr>
      <w:tr>
        <w:trPr>
          <w:trHeight w:val="213"/>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Primary underlying risk:</w:t>
            </w:r>
          </w:p>
        </w:tc>
        <w:tc>
          <w:tcPr>
            <w:tcW w:w="3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40" w:type="dxa"/>
            <w:vAlign w:val="bottom"/>
            <w:gridSpan w:val="2"/>
            <w:vMerge w:val="continue"/>
          </w:tcPr>
          <w:p>
            <w:pPr>
              <w:spacing w:after="0"/>
              <w:rPr>
                <w:sz w:val="17"/>
                <w:szCs w:val="17"/>
                <w:color w:val="auto"/>
              </w:rPr>
            </w:pPr>
          </w:p>
        </w:tc>
        <w:tc>
          <w:tcPr>
            <w:tcW w:w="3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contracts</w:t>
            </w:r>
          </w:p>
        </w:tc>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2,419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5,732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Credit contracts</w:t>
            </w:r>
            <w:r>
              <w:rPr>
                <w:rFonts w:ascii="Times New Roman" w:cs="Times New Roman" w:eastAsia="Times New Roman" w:hAnsi="Times New Roman"/>
                <w:sz w:val="25"/>
                <w:szCs w:val="25"/>
                <w:color w:val="auto"/>
                <w:vertAlign w:val="superscript"/>
              </w:rPr>
              <w:t>(1)</w:t>
            </w:r>
          </w:p>
        </w:tc>
        <w:tc>
          <w:tcPr>
            <w:tcW w:w="30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contracts</w:t>
            </w:r>
          </w:p>
        </w:tc>
        <w:tc>
          <w:tcPr>
            <w:tcW w:w="30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79" w:hanging="330"/>
        <w:spacing w:after="0" w:line="241" w:lineRule="auto"/>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short notional amount on our credit default swap positions was approximately $3.2 billion and $3.5 billion at March 31, 2023 and December 31, 2022, respectively. However, because credit spreads cannot compress below zero, our downside short notional exposure to loss is approximately $0.8 billion and $0.9 billion as of March 31, 2023 and December 31, 2022, respectively.</w:t>
      </w:r>
    </w:p>
    <w:p>
      <w:pPr>
        <w:spacing w:after="0" w:line="181"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180"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of our Investment segment’s derivatives that are not designated as hedging instruments in accordance with U.S. GAAP:</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Derivative Assets</w:t>
            </w: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Derivative Liabilities</w:t>
            </w: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2023  December 31, 2022</w:t>
            </w:r>
          </w:p>
        </w:tc>
        <w:tc>
          <w:tcPr>
            <w:tcW w:w="200" w:type="dxa"/>
            <w:vAlign w:val="bottom"/>
          </w:tcPr>
          <w:p>
            <w:pPr>
              <w:spacing w:after="0"/>
              <w:rPr>
                <w:sz w:val="18"/>
                <w:szCs w:val="18"/>
                <w:color w:val="auto"/>
              </w:rPr>
            </w:pPr>
          </w:p>
        </w:tc>
        <w:tc>
          <w:tcPr>
            <w:tcW w:w="28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2023  December 31, 2022</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tcPr>
          <w:p>
            <w:pPr>
              <w:spacing w:after="0"/>
              <w:rPr>
                <w:sz w:val="18"/>
                <w:szCs w:val="18"/>
                <w:color w:val="auto"/>
              </w:rPr>
            </w:pPr>
          </w:p>
        </w:tc>
      </w:tr>
      <w:tr>
        <w:trPr>
          <w:trHeight w:val="21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0"/>
        </w:trPr>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Netting across contract types</w:t>
            </w:r>
            <w:r>
              <w:rPr>
                <w:rFonts w:ascii="Times New Roman" w:cs="Times New Roman" w:eastAsia="Times New Roman" w:hAnsi="Times New Roman"/>
                <w:sz w:val="25"/>
                <w:szCs w:val="25"/>
                <w:color w:val="auto"/>
                <w:vertAlign w:val="superscript"/>
              </w:rPr>
              <w:t>(1)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r>
      <w:tr>
        <w:trPr>
          <w:trHeight w:val="209"/>
        </w:trPr>
        <w:tc>
          <w:tcPr>
            <w:tcW w:w="296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4"/>
                <w:szCs w:val="24"/>
                <w:color w:val="auto"/>
                <w:vertAlign w:val="superscript"/>
              </w:rPr>
              <w:t>(1)</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58" w:lineRule="exact"/>
        <w:rPr>
          <w:sz w:val="20"/>
          <w:szCs w:val="20"/>
          <w:color w:val="auto"/>
        </w:rPr>
      </w:pPr>
    </w:p>
    <w:p>
      <w:pPr>
        <w:ind w:left="380" w:right="139" w:hanging="330"/>
        <w:spacing w:after="0" w:line="241"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netting of cash collateral received and posted. The total collateral posted at March 31, 2023 and December 31, 2022 was $1,816 million and $1,436 million, respectively, across all counterparties, which are included in cash held at consolidated affiliated partnerships and restricted cash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gain (loss) recognized in the condensed consolidated statements of operations for our Investment segment’s derivatives not designated as hedging instruments:</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140" w:type="dxa"/>
            <w:vAlign w:val="bottom"/>
            <w:tcBorders>
              <w:top w:val="single" w:sz="8" w:color="auto"/>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2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42"/>
        </w:trPr>
        <w:tc>
          <w:tcPr>
            <w:tcW w:w="22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0"/>
        </w:trPr>
        <w:tc>
          <w:tcPr>
            <w:tcW w:w="2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58" w:lineRule="exact"/>
        <w:rPr>
          <w:sz w:val="20"/>
          <w:szCs w:val="20"/>
          <w:color w:val="auto"/>
        </w:rPr>
      </w:pPr>
    </w:p>
    <w:p>
      <w:pPr>
        <w:ind w:left="380" w:right="419" w:hanging="330"/>
        <w:spacing w:after="0" w:line="26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Gains (losses) recognized on derivatives are classified in net (loss) gain from investment activities in our condensed consolidated statements of operations for our Investment segment.</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CVR Energy’s businesses are subject to fluctuations of commodity prices caused by supply conditions, weather, economic conditions, interest rates, and other factors. To manage price risk on crude oil and other inventories and to fix margins on future production, CVR Energy from time to time enters into various commodity derivative transactions and hold derivative instruments, such as futures and swaps, which it believes provide an economic hedge on future transactions, but such instruments are not designated as hedge instruments. CVR Energy may enter into forward purchase or sale contracts associated with its feedstocks, expected future gasoline and diesel production and/or renewable identification numbers (“RINs”).</w:t>
      </w:r>
    </w:p>
    <w:p>
      <w:pPr>
        <w:spacing w:after="0" w:line="18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2023 and December 31, 2022, CVR Energy had 15 million and less than a million outstanding commodity swap positions, respectively. As of March 31, 2023 and December 31, 2022, CVR Energy had future contracts of 1 million and less than 1 million barrels, respectively. As of March 31, 2023 and December 31, 2022, CVR Energy had open fixed-price commitments to purchase a net 43 million and 34 million RINs, respectively.</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fair value of our Energy segment’s derivatives and the effect of the collateral netting: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Commodity contracts</w:t>
      </w:r>
    </w:p>
    <w:p>
      <w:pPr>
        <w:ind w:left="160"/>
        <w:spacing w:after="0" w:line="215" w:lineRule="auto"/>
        <w:rPr>
          <w:sz w:val="20"/>
          <w:szCs w:val="20"/>
          <w:color w:val="auto"/>
        </w:rPr>
      </w:pPr>
      <w:r>
        <w:rPr>
          <w:rFonts w:ascii="Times New Roman" w:cs="Times New Roman" w:eastAsia="Times New Roman" w:hAnsi="Times New Roman"/>
          <w:sz w:val="17"/>
          <w:szCs w:val="17"/>
          <w:color w:val="auto"/>
        </w:rPr>
        <w:t>Netting across contract types</w:t>
      </w:r>
      <w:r>
        <w:rPr>
          <w:rFonts w:ascii="Times New Roman" w:cs="Times New Roman" w:eastAsia="Times New Roman" w:hAnsi="Times New Roman"/>
          <w:sz w:val="25"/>
          <w:szCs w:val="25"/>
          <w:color w:val="auto"/>
          <w:vertAlign w:val="superscript"/>
        </w:rPr>
        <w:t>(1)</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177800</wp:posOffset>
            </wp:positionV>
            <wp:extent cx="14141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Derivative Assets</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Derivative Liabilities</w:t>
            </w:r>
          </w:p>
        </w:tc>
        <w:tc>
          <w:tcPr>
            <w:tcW w:w="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8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2023  December 31, 2022</w:t>
            </w:r>
          </w:p>
        </w:tc>
        <w:tc>
          <w:tcPr>
            <w:tcW w:w="200" w:type="dxa"/>
            <w:vAlign w:val="bottom"/>
          </w:tcPr>
          <w:p>
            <w:pPr>
              <w:spacing w:after="0"/>
              <w:rPr>
                <w:sz w:val="18"/>
                <w:szCs w:val="18"/>
                <w:color w:val="auto"/>
              </w:rPr>
            </w:pPr>
          </w:p>
        </w:tc>
        <w:tc>
          <w:tcPr>
            <w:tcW w:w="28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2023  December 31, 2022</w:t>
            </w:r>
          </w:p>
        </w:tc>
        <w:tc>
          <w:tcPr>
            <w:tcW w:w="20" w:type="dxa"/>
            <w:vAlign w:val="bottom"/>
          </w:tcPr>
          <w:p>
            <w:pPr>
              <w:spacing w:after="0"/>
              <w:rPr>
                <w:sz w:val="18"/>
                <w:szCs w:val="18"/>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r>
      <w:tr>
        <w:trPr>
          <w:trHeight w:val="210"/>
        </w:trPr>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8"/>
                <w:szCs w:val="18"/>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-445135</wp:posOffset>
            </wp:positionV>
            <wp:extent cx="56489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-170815</wp:posOffset>
            </wp:positionV>
            <wp:extent cx="564896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2">
            <w:col w:w="2400" w:space="600"/>
            <w:col w:w="6019"/>
          </w:cols>
          <w:pgMar w:left="1440" w:top="513" w:right="1440" w:bottom="1440" w:gutter="0" w:footer="0" w:header="0"/>
          <w:type w:val="continuous"/>
        </w:sectPr>
      </w:pPr>
    </w:p>
    <w:p>
      <w:pPr>
        <w:spacing w:after="0" w:line="166" w:lineRule="exact"/>
        <w:rPr>
          <w:sz w:val="20"/>
          <w:szCs w:val="20"/>
          <w:color w:val="auto"/>
        </w:rPr>
      </w:pPr>
    </w:p>
    <w:p>
      <w:pPr>
        <w:ind w:left="720" w:right="699" w:hanging="319"/>
        <w:spacing w:after="0" w:line="261" w:lineRule="auto"/>
        <w:tabs>
          <w:tab w:leader="none" w:pos="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netting of derivatives primarily related to initial margin requirements of $13 million and $7 million at March 31, 2023 and December 31, 2022, respectively, which was not offset against derivatives assets, net in the condensed consolidated balance sheets.</w:t>
      </w:r>
    </w:p>
    <w:p>
      <w:pPr>
        <w:spacing w:after="0" w:line="167"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Gains (losses) recognized on derivatives for our Energy segment were $45 million and $2 million for the three months ended March 31, 2023 and 2022, respectively. Gains and losses recognized on derivatives for our Energy segment are included in cost of goods sold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Inventories, Net</w:t>
            </w: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Inventories, net consists of the following:</w:t>
            </w: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23"/>
        </w:trPr>
        <w:tc>
          <w:tcPr>
            <w:tcW w:w="4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49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128"/>
        </w:trPr>
        <w:tc>
          <w:tcPr>
            <w:tcW w:w="4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1"/>
                <w:szCs w:val="1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10"/>
        </w:trPr>
        <w:tc>
          <w:tcPr>
            <w:tcW w:w="4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0"/>
        </w:trPr>
        <w:tc>
          <w:tcPr>
            <w:tcW w:w="4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bankruptcy and deconsolidation of Auto Plus resulted in a decrease of inventories of $440 million.</w:t>
      </w:r>
    </w:p>
    <w:p>
      <w:pPr>
        <w:spacing w:after="0" w:line="235" w:lineRule="exact"/>
        <w:rPr>
          <w:sz w:val="20"/>
          <w:szCs w:val="20"/>
          <w:color w:val="auto"/>
        </w:rPr>
      </w:pPr>
    </w:p>
    <w:p>
      <w:pPr>
        <w:jc w:val="center"/>
        <w:ind w:left="380" w:right="5999" w:hanging="330"/>
        <w:spacing w:after="0" w:line="538" w:lineRule="auto"/>
        <w:tabs>
          <w:tab w:leader="none" w:pos="281"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Goodwill and Intangible Assets, Net </w:t>
      </w:r>
      <w:r>
        <w:rPr>
          <w:rFonts w:ascii="Times New Roman" w:cs="Times New Roman" w:eastAsia="Times New Roman" w:hAnsi="Times New Roman"/>
          <w:sz w:val="17"/>
          <w:szCs w:val="17"/>
          <w:color w:val="auto"/>
        </w:rPr>
        <w:t>Goodwill consists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20" w:type="dxa"/>
            <w:vAlign w:val="bottom"/>
            <w:tcBorders>
              <w:bottom w:val="single" w:sz="8" w:color="auto"/>
            </w:tcBorders>
          </w:tcPr>
          <w:p>
            <w:pPr>
              <w:spacing w:after="0"/>
              <w:rPr>
                <w:sz w:val="20"/>
                <w:szCs w:val="20"/>
                <w:color w:val="auto"/>
              </w:rPr>
            </w:pPr>
          </w:p>
        </w:tc>
      </w:tr>
      <w:tr>
        <w:trPr>
          <w:trHeight w:val="187"/>
        </w:trPr>
        <w:tc>
          <w:tcPr>
            <w:tcW w:w="2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52"/>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2080" w:type="dxa"/>
            <w:vAlign w:val="bottom"/>
          </w:tcPr>
          <w:p>
            <w:pPr>
              <w:spacing w:after="0"/>
              <w:rPr>
                <w:sz w:val="18"/>
                <w:szCs w:val="18"/>
                <w:color w:val="auto"/>
              </w:rPr>
            </w:pPr>
          </w:p>
        </w:tc>
        <w:tc>
          <w:tcPr>
            <w:tcW w:w="6820" w:type="dxa"/>
            <w:vAlign w:val="bottom"/>
            <w:gridSpan w:val="20"/>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  Accumulated  Carrying  Carrying  Accumulated  Carrying</w:t>
            </w:r>
          </w:p>
        </w:tc>
      </w:tr>
      <w:tr>
        <w:trPr>
          <w:trHeight w:val="238"/>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6"/>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58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Food Packaging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Fashion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Pharma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December 31, 2022</w:t>
            </w:r>
          </w:p>
        </w:tc>
        <w:tc>
          <w:tcPr>
            <w:tcW w:w="620" w:type="dxa"/>
            <w:vAlign w:val="bottom"/>
            <w:tcBorders>
              <w:bottom w:val="single" w:sz="8" w:color="auto"/>
            </w:tcBorders>
          </w:tcPr>
          <w:p>
            <w:pPr>
              <w:spacing w:after="0"/>
              <w:rPr>
                <w:sz w:val="20"/>
                <w:szCs w:val="20"/>
                <w:color w:val="auto"/>
              </w:rPr>
            </w:pPr>
          </w:p>
        </w:tc>
      </w:tr>
      <w:tr>
        <w:trPr>
          <w:trHeight w:val="187"/>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12"/>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16"/>
        </w:trPr>
        <w:tc>
          <w:tcPr>
            <w:tcW w:w="30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8"/>
        </w:trPr>
        <w:tc>
          <w:tcPr>
            <w:tcW w:w="3000" w:type="dxa"/>
            <w:vAlign w:val="bottom"/>
          </w:tcPr>
          <w:p>
            <w:pPr>
              <w:spacing w:after="0"/>
              <w:rPr>
                <w:sz w:val="20"/>
                <w:szCs w:val="2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0"/>
        </w:trPr>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7"/>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definite-lived intangible assets was $15 million and $14 million for the three months ended March 31, 2023 and 2022, respectively.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utilize the straight-line method of amortization, recognized over the estimated useful lives of the assets.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 Segments and Holding Company</w:t>
      </w:r>
    </w:p>
    <w:p>
      <w:pPr>
        <w:spacing w:after="0" w:line="227"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and lease liabilities are as follows: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3"/>
        </w:trPr>
        <w:tc>
          <w:tcPr>
            <w:tcW w:w="6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29"/>
        </w:trPr>
        <w:tc>
          <w:tcPr>
            <w:tcW w:w="6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(accrued expenses and other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6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(property, plant and equipment,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(debt)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198" w:lineRule="exact"/>
        <w:rPr>
          <w:sz w:val="20"/>
          <w:szCs w:val="20"/>
          <w:color w:val="auto"/>
        </w:rPr>
      </w:pPr>
    </w:p>
    <w:p>
      <w:pPr>
        <w:ind w:left="60" w:right="299"/>
        <w:spacing w:after="0" w:line="257" w:lineRule="auto"/>
        <w:rPr>
          <w:sz w:val="20"/>
          <w:szCs w:val="20"/>
          <w:color w:val="auto"/>
        </w:rPr>
      </w:pPr>
      <w:r>
        <w:rPr>
          <w:rFonts w:ascii="Times New Roman" w:cs="Times New Roman" w:eastAsia="Times New Roman" w:hAnsi="Times New Roman"/>
          <w:sz w:val="18"/>
          <w:szCs w:val="18"/>
          <w:color w:val="auto"/>
        </w:rPr>
        <w:t>Additional information with respect to our operating leases as of March 31, 2023 and December 31, 2022 is presented below. The lease terms and discount rates for our Energy, Automotive and Food Packaging segments represent weighted averages based on their respective lease liability balances.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Discount</w:t>
            </w:r>
          </w:p>
        </w:tc>
      </w:tr>
      <w:tr>
        <w:trPr>
          <w:trHeight w:val="238"/>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 as of March 31, 2023</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40" w:type="dxa"/>
            <w:vAlign w:val="bottom"/>
          </w:tcPr>
          <w:p>
            <w:pPr>
              <w:spacing w:after="0"/>
              <w:rPr>
                <w:sz w:val="20"/>
                <w:szCs w:val="20"/>
                <w:color w:val="auto"/>
              </w:rPr>
            </w:pPr>
          </w:p>
        </w:tc>
      </w:tr>
      <w:tr>
        <w:trPr>
          <w:trHeight w:val="142"/>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4.0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5.4 years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segments and Holding Company</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5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8"/>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Of-Use</w:t>
            </w:r>
          </w:p>
        </w:tc>
        <w:tc>
          <w:tcPr>
            <w:tcW w:w="14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Discount</w:t>
            </w:r>
          </w:p>
        </w:tc>
      </w:tr>
      <w:tr>
        <w:trPr>
          <w:trHeight w:val="243"/>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 as of December 31, 2022</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 w:type="dxa"/>
            <w:vAlign w:val="bottom"/>
          </w:tcPr>
          <w:p>
            <w:pPr>
              <w:spacing w:after="0"/>
              <w:rPr>
                <w:sz w:val="21"/>
                <w:szCs w:val="21"/>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Term</w:t>
            </w:r>
          </w:p>
        </w:tc>
        <w:tc>
          <w:tcPr>
            <w:tcW w:w="180" w:type="dxa"/>
            <w:vAlign w:val="bottom"/>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r>
      <w:tr>
        <w:trPr>
          <w:trHeight w:val="142"/>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4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4.1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tcPr>
          <w:p>
            <w:pPr>
              <w:spacing w:after="0"/>
              <w:rPr>
                <w:sz w:val="21"/>
                <w:szCs w:val="21"/>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4.7 years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9.8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segments and Holding Company</w:t>
            </w: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r>
      <w:tr>
        <w:trPr>
          <w:trHeight w:val="209"/>
        </w:trPr>
        <w:tc>
          <w:tcPr>
            <w:tcW w:w="5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and 2022, lease cost was comprised of (i) operating lease cost of $41 million and $47 million, respectively, (ii) amortization of financing lease right-of-use assets of $1 million and $3 million, respectively, and (iii) interest expense on financing lease liabilities of $1 million and $1 million,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Our automotive segment accounted for $33 million and $40 million of total lease cost for the three months ended March 31, 2023 and 2022,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Our Automotive segment leases certain operating locations under long-term operating leases. Our Automotive segment’s revenues from operating leases were $16 million and $9 million for the three months ended March 31, 2023 and 2022, respectively. Revenues from operating leases are included in other revenue from operations in the condensed consolidated statements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Our Real Estate segment leases real estate, primarily commercial properties under long-term operating leases. As of March 31, 2023 and December 31, 2022, our Real Estate segment had assets leased to others included in property, plant and equipment of $284 million and $252 million, respectively, net of accumulated depreciation. Our Real Estate segment’s revenue from operating leases were $5 million and $2 million for the three months ended March 31, 2023 and 2022, respectively. Revenues from operating leases are included in other revenue from operations in the condensed consolidated statements of operations.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consists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23"/>
        </w:trPr>
        <w:tc>
          <w:tcPr>
            <w:tcW w:w="664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129"/>
        </w:trPr>
        <w:tc>
          <w:tcPr>
            <w:tcW w:w="6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1"/>
                <w:szCs w:val="1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Holding Company: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4.750% senior unsecured notes due 2024</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 senior unsecured notes due 2025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6.250% senior unsecured notes due 2026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5.250% senior unsecured notes due 2027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4.375% senior unsecured notes due 2029</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10"/>
        </w:trPr>
        <w:tc>
          <w:tcPr>
            <w:tcW w:w="6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Reporting Segments: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6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1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Holding Company</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February 2022, we redeemed all of our $500 million aggregate principal amount of 6.750% senior unsecured notes due 2024 at par. As a result of this transaction, Icahn Enterprises recorded a loss on extinguishment of debt of $1 million during the three months ended March 31,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We and 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Non-Cash Charges to Interest Expense</w:t>
      </w:r>
    </w:p>
    <w:p>
      <w:pPr>
        <w:spacing w:after="0" w:line="229" w:lineRule="exact"/>
        <w:rPr>
          <w:sz w:val="20"/>
          <w:szCs w:val="20"/>
          <w:color w:val="auto"/>
        </w:rPr>
      </w:pPr>
    </w:p>
    <w:p>
      <w:pPr>
        <w:jc w:val="both"/>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The amortization of deferred financing costs and debt discounts and premiums included in interest expense in the condensed consolidated statements of operations were less than $1 million and $1 million for the three months ended March 31, 2023 and 2022, respectively.</w:t>
      </w:r>
    </w:p>
    <w:p>
      <w:pPr>
        <w:spacing w:after="0" w:line="172"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LP Unit</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computation of basic and diluted income per LP unit of Icahn Enterprises are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Icahn Enterprises</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bottom w:val="single" w:sz="8" w:color="CCEEFF"/>
            </w:tcBorders>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(loss) income attributable to Icahn Enterprises allocated to limited partners</w:t>
            </w: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000" w:type="dxa"/>
            <w:vAlign w:val="bottom"/>
            <w:gridSpan w:val="2"/>
            <w:vMerge w:val="continue"/>
          </w:tcPr>
          <w:p>
            <w:pPr>
              <w:spacing w:after="0"/>
              <w:rPr>
                <w:sz w:val="13"/>
                <w:szCs w:val="13"/>
                <w:color w:val="auto"/>
              </w:rPr>
            </w:pPr>
          </w:p>
        </w:tc>
        <w:tc>
          <w:tcPr>
            <w:tcW w:w="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61"/>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(98.01% allocation)</w:t>
            </w:r>
          </w:p>
        </w:tc>
        <w:tc>
          <w:tcPr>
            <w:tcW w:w="6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37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(loss) income per LP unit:</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0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weighted average LP units outstanding</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income per LP unit: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Diluted weighted average LP units outstanding (1)</w:t>
            </w: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2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37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weighted average potential dividend distribution of 5,741,711 units as of March 31, 2023 because their effect was antidilutive.</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LP Unit Transactions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Unit Distributions</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On February 22, 2023, we declared a quarterly distribution in the amount of $2.00 per depositary unit in which each depositary unitholder had the option to make an election to receive either cash or additional depositary units. Because the depository unitholders had the election to receive the distribution either in cash or additional depository units, we recorded a unit distribution liability of $724 million as the unit distribution had not been made as of March 31, 2023. In addition, the unit distribution liability, which is included in accrued expenses and other liabilities in the condensed consolidated balance sheets, is considered a potentially dilutive security and is considered in the calculation of diluted income per LP unit as disclosed above. Any difference between the liability recorded and the amount representing the aggregate value of the number of depository units distributed and cash paid would be charged to equity.</w:t>
      </w:r>
    </w:p>
    <w:p>
      <w:pPr>
        <w:spacing w:after="0" w:line="192" w:lineRule="exact"/>
        <w:rPr>
          <w:sz w:val="20"/>
          <w:szCs w:val="20"/>
          <w:color w:val="auto"/>
        </w:rPr>
      </w:pPr>
    </w:p>
    <w:p>
      <w:pPr>
        <w:ind w:left="60" w:right="299" w:firstLine="369"/>
        <w:spacing w:after="0" w:line="261" w:lineRule="auto"/>
        <w:rPr>
          <w:sz w:val="20"/>
          <w:szCs w:val="20"/>
          <w:color w:val="auto"/>
        </w:rPr>
      </w:pPr>
      <w:r>
        <w:rPr>
          <w:rFonts w:ascii="Times New Roman" w:cs="Times New Roman" w:eastAsia="Times New Roman" w:hAnsi="Times New Roman"/>
          <w:sz w:val="18"/>
          <w:szCs w:val="18"/>
          <w:color w:val="auto"/>
        </w:rPr>
        <w:t>In April 2023, we distributed an aggregate 12,224,701 depositary units to unitholders who did not elect to receive cash, of which an aggregate of 11,480,036 depositary units were distributed to Mr. Icahn and his affiliates. In connection with these distributions, aggregate cash distributions to all depositary unitholders that made a timely election to receive cash was $70 million.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227"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we sold 3,395,353 depositary units pursuant to our Open Market Sale Agreement, resulting in gross proceeds of $175 million. As of March 31, 2023, we continue to have an active Open Market Sale Agreement and Icahn Enterprises may sell its depositary units for up to an additional $149 million in aggregate gross sale proceeds pursuant to this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Certain terms of financings for certain of our businesses impose restrictions on the business’ ability to transfer funds to us, including restrictions on dividends, distributions, loans and other transactions.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11"/>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 2023</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80" w:type="dxa"/>
            <w:vAlign w:val="bottom"/>
          </w:tcPr>
          <w:p>
            <w:pPr>
              <w:spacing w:after="0"/>
              <w:rPr>
                <w:sz w:val="9"/>
                <w:szCs w:val="9"/>
                <w:color w:val="auto"/>
              </w:rPr>
            </w:pPr>
          </w:p>
        </w:tc>
        <w:tc>
          <w:tcPr>
            <w:tcW w:w="5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2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1"/>
              </w:rPr>
              <w:t>(in</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Pharma</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Consolidated</w:t>
            </w:r>
          </w:p>
        </w:tc>
        <w:tc>
          <w:tcPr>
            <w:tcW w:w="0" w:type="dxa"/>
            <w:vAlign w:val="bottom"/>
          </w:tcPr>
          <w:p>
            <w:pPr>
              <w:spacing w:after="0"/>
              <w:rPr>
                <w:sz w:val="1"/>
                <w:szCs w:val="1"/>
                <w:color w:val="auto"/>
              </w:rPr>
            </w:pPr>
          </w:p>
        </w:tc>
      </w:tr>
      <w:tr>
        <w:trPr>
          <w:trHeight w:val="115"/>
        </w:trPr>
        <w:tc>
          <w:tcPr>
            <w:tcW w:w="29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vMerge w:val="continue"/>
          </w:tcPr>
          <w:p>
            <w:pPr>
              <w:spacing w:after="0"/>
              <w:rPr>
                <w:sz w:val="10"/>
                <w:szCs w:val="10"/>
                <w:color w:val="auto"/>
              </w:rPr>
            </w:pPr>
          </w:p>
        </w:tc>
        <w:tc>
          <w:tcPr>
            <w:tcW w:w="460" w:type="dxa"/>
            <w:vAlign w:val="bottom"/>
            <w:tcBorders>
              <w:top w:val="single" w:sz="8" w:color="auto"/>
            </w:tcBorders>
            <w:gridSpan w:val="2"/>
          </w:tcPr>
          <w:p>
            <w:pPr>
              <w:ind w:left="60"/>
              <w:spacing w:after="0" w:line="115" w:lineRule="exact"/>
              <w:rPr>
                <w:sz w:val="20"/>
                <w:szCs w:val="20"/>
                <w:color w:val="auto"/>
              </w:rPr>
            </w:pPr>
            <w:r>
              <w:rPr>
                <w:rFonts w:ascii="Times New Roman" w:cs="Times New Roman" w:eastAsia="Times New Roman" w:hAnsi="Times New Roman"/>
                <w:sz w:val="13"/>
                <w:szCs w:val="13"/>
                <w:color w:val="auto"/>
                <w:w w:val="80"/>
              </w:rPr>
              <w:t>millions)</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Revenues:</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2,286</w:t>
            </w:r>
          </w:p>
        </w:tc>
        <w:tc>
          <w:tcPr>
            <w:tcW w:w="12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287</w:t>
            </w:r>
          </w:p>
        </w:tc>
        <w:tc>
          <w:tcPr>
            <w:tcW w:w="20" w:type="dxa"/>
            <w:vAlign w:val="bottom"/>
          </w:tcPr>
          <w:p>
            <w:pPr>
              <w:spacing w:after="0"/>
              <w:rPr>
                <w:sz w:val="11"/>
                <w:szCs w:val="11"/>
                <w:color w:val="auto"/>
              </w:rPr>
            </w:pPr>
          </w:p>
        </w:tc>
        <w:tc>
          <w:tcPr>
            <w:tcW w:w="2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1"/>
                <w:szCs w:val="11"/>
                <w:color w:val="auto"/>
              </w:rPr>
            </w:pPr>
          </w:p>
        </w:tc>
        <w:tc>
          <w:tcPr>
            <w:tcW w:w="2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2,758</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revenues from operations</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from investment activities</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(loss) income, net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2,294</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457</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2,641</w:t>
            </w: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1,926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2,260</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expenses from operations</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deconsolidation of subsidiary</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226</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28"/>
        </w:trPr>
        <w:tc>
          <w:tcPr>
            <w:tcW w:w="29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1,995</w:t>
            </w: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470</w:t>
            </w: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108</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304</w:t>
            </w: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3,015</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(Loss) before income tax benefit (expense)</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299</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(374)</w:t>
            </w: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 (expense) benefit</w:t>
            </w:r>
          </w:p>
        </w:tc>
        <w:tc>
          <w:tcPr>
            <w:tcW w:w="1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24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1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247</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(218)</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(358)</w:t>
            </w:r>
          </w:p>
        </w:tc>
        <w:tc>
          <w:tcPr>
            <w:tcW w:w="0" w:type="dxa"/>
            <w:vAlign w:val="bottom"/>
          </w:tcPr>
          <w:p>
            <w:pPr>
              <w:spacing w:after="0"/>
              <w:rPr>
                <w:sz w:val="1"/>
                <w:szCs w:val="1"/>
                <w:color w:val="auto"/>
              </w:rPr>
            </w:pPr>
          </w:p>
        </w:tc>
      </w:tr>
      <w:tr>
        <w:trPr>
          <w:trHeight w:val="117"/>
        </w:trPr>
        <w:tc>
          <w:tcPr>
            <w:tcW w:w="29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Less: net (loss) income attributable to non-controlling</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 attributable to Icahn Enterprises</w:t>
            </w: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(270)</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information:</w:t>
            </w: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64"/>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4"/>
                <w:szCs w:val="14"/>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 2022</w:t>
            </w: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r>
      <w:tr>
        <w:trPr>
          <w:trHeight w:val="108"/>
        </w:trPr>
        <w:tc>
          <w:tcPr>
            <w:tcW w:w="2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55"/>
        </w:trPr>
        <w:tc>
          <w:tcPr>
            <w:tcW w:w="2720" w:type="dxa"/>
            <w:vAlign w:val="bottom"/>
          </w:tcPr>
          <w:p>
            <w:pPr>
              <w:spacing w:after="0"/>
              <w:rPr>
                <w:sz w:val="13"/>
                <w:szCs w:val="13"/>
                <w:color w:val="auto"/>
              </w:rPr>
            </w:pPr>
          </w:p>
        </w:tc>
        <w:tc>
          <w:tcPr>
            <w:tcW w:w="86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70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Estate</w:t>
            </w:r>
          </w:p>
        </w:tc>
        <w:tc>
          <w:tcPr>
            <w:tcW w:w="120" w:type="dxa"/>
            <w:vAlign w:val="bottom"/>
          </w:tcPr>
          <w:p>
            <w:pPr>
              <w:spacing w:after="0"/>
              <w:rPr>
                <w:sz w:val="13"/>
                <w:szCs w:val="13"/>
                <w:color w:val="auto"/>
              </w:rPr>
            </w:pPr>
          </w:p>
        </w:tc>
        <w:tc>
          <w:tcPr>
            <w:tcW w:w="6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Fashion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Pharma</w:t>
            </w:r>
          </w:p>
        </w:tc>
        <w:tc>
          <w:tcPr>
            <w:tcW w:w="12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r>
      <w:tr>
        <w:trPr>
          <w:trHeight w:val="20"/>
        </w:trPr>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115"/>
        </w:trPr>
        <w:tc>
          <w:tcPr>
            <w:tcW w:w="2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3"/>
                <w:szCs w:val="13"/>
                <w:color w:val="auto"/>
                <w:w w:val="80"/>
              </w:rPr>
              <w:t>(in millions)</w:t>
            </w:r>
          </w:p>
        </w:tc>
        <w:tc>
          <w:tcPr>
            <w:tcW w:w="4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35"/>
        </w:trPr>
        <w:tc>
          <w:tcPr>
            <w:tcW w:w="27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Revenues: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5"/>
        </w:trPr>
        <w:tc>
          <w:tcPr>
            <w:tcW w:w="27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40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2,373</w:t>
            </w:r>
          </w:p>
        </w:tc>
        <w:tc>
          <w:tcPr>
            <w:tcW w:w="36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407</w:t>
            </w:r>
          </w:p>
        </w:tc>
        <w:tc>
          <w:tcPr>
            <w:tcW w:w="24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120" w:type="dxa"/>
            <w:vAlign w:val="bottom"/>
          </w:tcPr>
          <w:p>
            <w:pPr>
              <w:spacing w:after="0"/>
              <w:rPr>
                <w:sz w:val="11"/>
                <w:szCs w:val="11"/>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2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ind w:right="122"/>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2,968</w:t>
            </w:r>
          </w:p>
        </w:tc>
      </w:tr>
      <w:tr>
        <w:trPr>
          <w:trHeight w:val="135"/>
        </w:trPr>
        <w:tc>
          <w:tcPr>
            <w:tcW w:w="27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revenues from operations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168</w:t>
            </w:r>
          </w:p>
        </w:tc>
      </w:tr>
      <w:tr>
        <w:trPr>
          <w:trHeight w:val="135"/>
        </w:trPr>
        <w:tc>
          <w:tcPr>
            <w:tcW w:w="27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gain from investment activities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939</w:t>
            </w:r>
          </w:p>
        </w:tc>
      </w:tr>
      <w:tr>
        <w:trPr>
          <w:trHeight w:val="135"/>
        </w:trPr>
        <w:tc>
          <w:tcPr>
            <w:tcW w:w="27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r>
      <w:tr>
        <w:trPr>
          <w:trHeight w:val="135"/>
        </w:trPr>
        <w:tc>
          <w:tcPr>
            <w:tcW w:w="27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(loss) income, net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r>
      <w:tr>
        <w:trPr>
          <w:trHeight w:val="129"/>
        </w:trPr>
        <w:tc>
          <w:tcPr>
            <w:tcW w:w="27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931</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2,363</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102</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4,093</w:t>
            </w:r>
          </w:p>
        </w:tc>
      </w:tr>
      <w:tr>
        <w:trPr>
          <w:trHeight w:val="128"/>
        </w:trPr>
        <w:tc>
          <w:tcPr>
            <w:tcW w:w="27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27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2,123</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2,538</w:t>
            </w:r>
          </w:p>
        </w:tc>
      </w:tr>
      <w:tr>
        <w:trPr>
          <w:trHeight w:val="135"/>
        </w:trPr>
        <w:tc>
          <w:tcPr>
            <w:tcW w:w="27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expenses from operations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w:t>
            </w:r>
          </w:p>
        </w:tc>
      </w:tr>
      <w:tr>
        <w:trPr>
          <w:trHeight w:val="135"/>
        </w:trPr>
        <w:tc>
          <w:tcPr>
            <w:tcW w:w="27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301</w:t>
            </w:r>
          </w:p>
        </w:tc>
      </w:tr>
      <w:tr>
        <w:trPr>
          <w:trHeight w:val="135"/>
        </w:trPr>
        <w:tc>
          <w:tcPr>
            <w:tcW w:w="27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w:t>
            </w:r>
          </w:p>
        </w:tc>
      </w:tr>
      <w:tr>
        <w:trPr>
          <w:trHeight w:val="128"/>
        </w:trPr>
        <w:tc>
          <w:tcPr>
            <w:tcW w:w="27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2,192</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82</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3,110</w:t>
            </w:r>
          </w:p>
        </w:tc>
      </w:tr>
      <w:tr>
        <w:trPr>
          <w:trHeight w:val="129"/>
        </w:trPr>
        <w:tc>
          <w:tcPr>
            <w:tcW w:w="27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Income (loss) before income tax benefit (expense)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895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983</w:t>
            </w:r>
          </w:p>
        </w:tc>
      </w:tr>
      <w:tr>
        <w:trPr>
          <w:trHeight w:val="135"/>
        </w:trPr>
        <w:tc>
          <w:tcPr>
            <w:tcW w:w="27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 benefit</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w:t>
            </w:r>
          </w:p>
        </w:tc>
      </w:tr>
      <w:tr>
        <w:trPr>
          <w:trHeight w:val="128"/>
        </w:trPr>
        <w:tc>
          <w:tcPr>
            <w:tcW w:w="27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income (loss)</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895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141</w:t>
            </w: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885</w:t>
            </w:r>
          </w:p>
        </w:tc>
      </w:tr>
      <w:tr>
        <w:trPr>
          <w:trHeight w:val="117"/>
        </w:trPr>
        <w:tc>
          <w:tcPr>
            <w:tcW w:w="27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Less: net income attributable to non-controlling</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5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interests</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w:t>
            </w:r>
          </w:p>
        </w:tc>
      </w:tr>
      <w:tr>
        <w:trPr>
          <w:trHeight w:val="168"/>
        </w:trPr>
        <w:tc>
          <w:tcPr>
            <w:tcW w:w="272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Net income (loss) attributable to Icahn Enterprises</w:t>
            </w:r>
          </w:p>
        </w:tc>
        <w:tc>
          <w:tcPr>
            <w:tcW w:w="2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414</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w:t>
            </w:r>
          </w:p>
        </w:tc>
        <w:tc>
          <w:tcPr>
            <w:tcW w:w="1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(126)</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323</w:t>
            </w:r>
          </w:p>
        </w:tc>
      </w:tr>
      <w:tr>
        <w:trPr>
          <w:trHeight w:val="116"/>
        </w:trPr>
        <w:tc>
          <w:tcPr>
            <w:tcW w:w="2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Supplemental information:</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35"/>
        </w:trPr>
        <w:tc>
          <w:tcPr>
            <w:tcW w:w="27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400" w:type="dxa"/>
            <w:vAlign w:val="bottom"/>
            <w:gridSpan w:val="2"/>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36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24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ind w:right="122"/>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r>
      <w:tr>
        <w:trPr>
          <w:trHeight w:val="135"/>
        </w:trPr>
        <w:tc>
          <w:tcPr>
            <w:tcW w:w="27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400" w:type="dxa"/>
            <w:vAlign w:val="bottom"/>
            <w:gridSpan w:val="2"/>
            <w:shd w:val="clear" w:color="auto" w:fill="CCEEFF"/>
          </w:tcPr>
          <w:p>
            <w:pPr>
              <w:jc w:val="right"/>
              <w:ind w:right="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360" w:type="dxa"/>
            <w:vAlign w:val="bottom"/>
            <w:gridSpan w:val="2"/>
            <w:shd w:val="clear" w:color="auto" w:fill="CCEEFF"/>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4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jc w:val="right"/>
              <w:ind w:right="122"/>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60" w:right="1099"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condensed statements of operations by reporting segment above, we provide additional disaggregated revenue information for our Energy and Automotive segments below.</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tcBorders>
              <w:bottom w:val="single" w:sz="8" w:color="auto"/>
            </w:tcBorders>
            <w:gridSpan w:val="7"/>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Petroleum products</w:t>
            </w:r>
          </w:p>
        </w:tc>
        <w:tc>
          <w:tcPr>
            <w:tcW w:w="240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Nitrogen fertilizer products</w:t>
            </w:r>
          </w:p>
        </w:tc>
        <w:tc>
          <w:tcPr>
            <w:tcW w:w="2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services</w:t>
            </w:r>
          </w:p>
        </w:tc>
        <w:tc>
          <w:tcPr>
            <w:tcW w:w="240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Aftermarket parts sales</w:t>
            </w:r>
          </w:p>
        </w:tc>
        <w:tc>
          <w:tcPr>
            <w:tcW w:w="2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March 31, 2023</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80" w:type="dxa"/>
            <w:vAlign w:val="bottom"/>
          </w:tcPr>
          <w:p>
            <w:pPr>
              <w:spacing w:after="0"/>
              <w:rPr>
                <w:sz w:val="9"/>
                <w:szCs w:val="9"/>
                <w:color w:val="auto"/>
              </w:rPr>
            </w:pPr>
          </w:p>
        </w:tc>
        <w:tc>
          <w:tcPr>
            <w:tcW w:w="62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8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Fashion</w:t>
            </w:r>
          </w:p>
        </w:tc>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Pharma</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115"/>
        </w:trPr>
        <w:tc>
          <w:tcPr>
            <w:tcW w:w="2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5" w:lineRule="exact"/>
              <w:rPr>
                <w:sz w:val="20"/>
                <w:szCs w:val="20"/>
                <w:color w:val="auto"/>
              </w:rPr>
            </w:pPr>
            <w:r>
              <w:rPr>
                <w:rFonts w:ascii="Times New Roman" w:cs="Times New Roman" w:eastAsia="Times New Roman" w:hAnsi="Times New Roman"/>
                <w:sz w:val="13"/>
                <w:szCs w:val="13"/>
                <w:color w:val="auto"/>
                <w:w w:val="86"/>
              </w:rPr>
              <w:t>(in millions)</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102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601</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2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1"/>
                <w:szCs w:val="11"/>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1,868</w:t>
            </w:r>
          </w:p>
        </w:tc>
        <w:tc>
          <w:tcPr>
            <w:tcW w:w="120" w:type="dxa"/>
            <w:vAlign w:val="bottom"/>
          </w:tcPr>
          <w:p>
            <w:pPr>
              <w:spacing w:after="0"/>
              <w:rPr>
                <w:sz w:val="11"/>
                <w:szCs w:val="11"/>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2,608</w:t>
            </w:r>
          </w:p>
        </w:tc>
        <w:tc>
          <w:tcPr>
            <w:tcW w:w="0" w:type="dxa"/>
            <w:vAlign w:val="bottom"/>
          </w:tcPr>
          <w:p>
            <w:pPr>
              <w:spacing w:after="0"/>
              <w:rPr>
                <w:sz w:val="1"/>
                <w:szCs w:val="1"/>
                <w:color w:val="auto"/>
              </w:rPr>
            </w:pPr>
          </w:p>
        </w:tc>
      </w:tr>
      <w:tr>
        <w:trPr>
          <w:trHeight w:val="117"/>
        </w:trPr>
        <w:tc>
          <w:tcPr>
            <w:tcW w:w="26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Cash held at consolidated affiliated partnerships</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restricted cash</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2,481</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Investments</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6,637</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527</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Inventories, net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1,097</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Related party notes receivable, net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207</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2,647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3,986</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Goodwill and intangible assets, net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805</w:t>
            </w:r>
          </w:p>
        </w:tc>
        <w:tc>
          <w:tcPr>
            <w:tcW w:w="0" w:type="dxa"/>
            <w:vAlign w:val="bottom"/>
          </w:tcPr>
          <w:p>
            <w:pPr>
              <w:spacing w:after="0"/>
              <w:rPr>
                <w:sz w:val="1"/>
                <w:szCs w:val="1"/>
                <w:color w:val="auto"/>
              </w:rPr>
            </w:pPr>
          </w:p>
        </w:tc>
      </w:tr>
      <w:tr>
        <w:trPr>
          <w:trHeight w:val="135"/>
        </w:trPr>
        <w:tc>
          <w:tcPr>
            <w:tcW w:w="2620" w:type="dxa"/>
            <w:vAlign w:val="bottom"/>
            <w:tcBorders>
              <w:bottom w:val="single" w:sz="8" w:color="CCEEFF"/>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6,716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316</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472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7,921</w:t>
            </w:r>
          </w:p>
        </w:tc>
        <w:tc>
          <w:tcPr>
            <w:tcW w:w="0" w:type="dxa"/>
            <w:vAlign w:val="bottom"/>
          </w:tcPr>
          <w:p>
            <w:pPr>
              <w:spacing w:after="0"/>
              <w:rPr>
                <w:sz w:val="1"/>
                <w:szCs w:val="1"/>
                <w:color w:val="auto"/>
              </w:rPr>
            </w:pPr>
          </w:p>
        </w:tc>
      </w:tr>
      <w:tr>
        <w:trPr>
          <w:trHeight w:val="128"/>
        </w:trPr>
        <w:tc>
          <w:tcPr>
            <w:tcW w:w="2620" w:type="dxa"/>
            <w:vAlign w:val="bottom"/>
            <w:tcBorders>
              <w:bottom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15,642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4,808</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1,969</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478</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216</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297</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2,339</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26,269</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Accounts payable, accrued expenses and other</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5,028</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Securities sold, not yet purchased, at fair value</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5,654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5,654</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5,309</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7,091</w:t>
            </w:r>
          </w:p>
        </w:tc>
        <w:tc>
          <w:tcPr>
            <w:tcW w:w="0" w:type="dxa"/>
            <w:vAlign w:val="bottom"/>
          </w:tcPr>
          <w:p>
            <w:pPr>
              <w:spacing w:after="0"/>
              <w:rPr>
                <w:sz w:val="1"/>
                <w:szCs w:val="1"/>
                <w:color w:val="auto"/>
              </w:rPr>
            </w:pPr>
          </w:p>
        </w:tc>
      </w:tr>
      <w:tr>
        <w:trPr>
          <w:trHeight w:val="128"/>
        </w:trPr>
        <w:tc>
          <w:tcPr>
            <w:tcW w:w="262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6,947</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3,361</w:t>
            </w: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856</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303</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6,132</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17,773</w:t>
            </w: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 attributable to Icahn Enterprises</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(3,793)</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3,091</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 attributable to non-controlling interests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4,682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5,405</w:t>
            </w:r>
          </w:p>
        </w:tc>
        <w:tc>
          <w:tcPr>
            <w:tcW w:w="0" w:type="dxa"/>
            <w:vAlign w:val="bottom"/>
          </w:tcPr>
          <w:p>
            <w:pPr>
              <w:spacing w:after="0"/>
              <w:rPr>
                <w:sz w:val="1"/>
                <w:szCs w:val="1"/>
                <w:color w:val="auto"/>
              </w:rPr>
            </w:pPr>
          </w:p>
        </w:tc>
      </w:tr>
      <w:tr>
        <w:trPr>
          <w:trHeight w:val="128"/>
        </w:trPr>
        <w:tc>
          <w:tcPr>
            <w:tcW w:w="262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8,695</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1,447</w:t>
            </w: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1,113</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175</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461</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161</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237</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(3,793)</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8,496</w:t>
            </w:r>
          </w:p>
        </w:tc>
        <w:tc>
          <w:tcPr>
            <w:tcW w:w="0" w:type="dxa"/>
            <w:vAlign w:val="bottom"/>
          </w:tcPr>
          <w:p>
            <w:pPr>
              <w:spacing w:after="0"/>
              <w:rPr>
                <w:sz w:val="1"/>
                <w:szCs w:val="1"/>
                <w:color w:val="auto"/>
              </w:rPr>
            </w:pPr>
          </w:p>
        </w:tc>
      </w:tr>
      <w:tr>
        <w:trPr>
          <w:trHeight w:val="129"/>
        </w:trPr>
        <w:tc>
          <w:tcPr>
            <w:tcW w:w="2620" w:type="dxa"/>
            <w:vAlign w:val="bottom"/>
            <w:tcBorders>
              <w:bottom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15,642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4,808</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1,969</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478</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216</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297</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2,339</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26,269</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8"/>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1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Packaging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Pharma</w:t>
            </w:r>
          </w:p>
        </w:tc>
        <w:tc>
          <w:tcPr>
            <w:tcW w:w="120" w:type="dxa"/>
            <w:vAlign w:val="bottom"/>
          </w:tcPr>
          <w:p>
            <w:pPr>
              <w:spacing w:after="0"/>
              <w:rPr>
                <w:sz w:val="13"/>
                <w:szCs w:val="13"/>
                <w:color w:val="auto"/>
              </w:rPr>
            </w:pPr>
          </w:p>
        </w:tc>
        <w:tc>
          <w:tcPr>
            <w:tcW w:w="6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Consolidated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3"/>
                <w:szCs w:val="13"/>
                <w:color w:val="auto"/>
                <w:w w:val="83"/>
              </w:rPr>
              <w:t>(in millions)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ind w:left="96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510</w:t>
            </w:r>
          </w:p>
        </w:tc>
        <w:tc>
          <w:tcPr>
            <w:tcW w:w="300" w:type="dxa"/>
            <w:vAlign w:val="bottom"/>
            <w:gridSpan w:val="2"/>
          </w:tcPr>
          <w:p>
            <w:pPr>
              <w:jc w:val="right"/>
              <w:ind w:right="6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240" w:type="dxa"/>
            <w:vAlign w:val="bottom"/>
            <w:gridSpan w:val="2"/>
          </w:tcPr>
          <w:p>
            <w:pPr>
              <w:jc w:val="right"/>
              <w:ind w:right="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1,720</w:t>
            </w:r>
          </w:p>
        </w:tc>
        <w:tc>
          <w:tcPr>
            <w:tcW w:w="100" w:type="dxa"/>
            <w:vAlign w:val="bottom"/>
          </w:tcPr>
          <w:p>
            <w:pPr>
              <w:spacing w:after="0"/>
              <w:rPr>
                <w:sz w:val="11"/>
                <w:szCs w:val="11"/>
                <w:color w:val="auto"/>
              </w:rPr>
            </w:pPr>
          </w:p>
        </w:tc>
        <w:tc>
          <w:tcPr>
            <w:tcW w:w="220" w:type="dxa"/>
            <w:vAlign w:val="bottom"/>
            <w:gridSpan w:val="2"/>
          </w:tcPr>
          <w:p>
            <w:pPr>
              <w:jc w:val="right"/>
              <w:ind w:right="12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2,337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7"/>
              </w:rPr>
              <w:t>Cash held at consolidated affiliated partnerships</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restricted cash</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Inventories,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2,664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 and intangible assets,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8,041</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296</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527</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17,234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4,735</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2,532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507</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213</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1,916</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27,914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shd w:val="clear" w:color="auto" w:fill="CCEEFF"/>
          </w:tcPr>
          <w:p>
            <w:pPr>
              <w:ind w:left="400"/>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Accounts payable, accrued expenses and other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liabilities</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1,823</w:t>
            </w:r>
          </w:p>
        </w:tc>
        <w:tc>
          <w:tcPr>
            <w:tcW w:w="300" w:type="dxa"/>
            <w:vAlign w:val="bottom"/>
            <w:gridSpan w:val="2"/>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3"/>
                <w:szCs w:val="13"/>
                <w:color w:val="auto"/>
              </w:rPr>
            </w:pPr>
          </w:p>
        </w:tc>
        <w:tc>
          <w:tcPr>
            <w:tcW w:w="220" w:type="dxa"/>
            <w:vAlign w:val="bottom"/>
            <w:gridSpan w:val="2"/>
          </w:tcPr>
          <w:p>
            <w:pPr>
              <w:jc w:val="right"/>
              <w:ind w:right="12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Securities sold, not yet purchased, at fair value</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6,495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1,591</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5,309</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7,096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8,084</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3,414</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1,002</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61</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5,379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18,356</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Icahn Enterprises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4,184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1,530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(3,463)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non-controlling interests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5,658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Borders>
              <w:top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9,150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1,321</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1,530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459</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241</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(3,463)</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9,558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17,234</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4,735</w:t>
            </w:r>
          </w:p>
        </w:tc>
        <w:tc>
          <w:tcPr>
            <w:tcW w:w="120" w:type="dxa"/>
            <w:vAlign w:val="bottom"/>
          </w:tcPr>
          <w:p>
            <w:pPr>
              <w:spacing w:after="0"/>
              <w:rPr>
                <w:sz w:val="11"/>
                <w:szCs w:val="11"/>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2,532</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475</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213</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302</w:t>
            </w: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1,916</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left="60" w:right="14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2023, we recorded an income tax benefit of $16 million on pre-tax loss of $374 million compared to an income tax expense of $98 million on pre-tax income of $983 million for the three months ended March 31, 2022. Our effective income tax rate was 4.3% and 10.0% for the three months ended March 31, 2023 and 2022, respectively.</w:t>
      </w:r>
    </w:p>
    <w:p>
      <w:pPr>
        <w:spacing w:after="0" w:line="180" w:lineRule="exact"/>
        <w:rPr>
          <w:sz w:val="20"/>
          <w:szCs w:val="20"/>
          <w:color w:val="auto"/>
        </w:rPr>
      </w:pPr>
    </w:p>
    <w:p>
      <w:pPr>
        <w:ind w:left="60" w:right="12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the effective tax rate was lower than the statutory federal rate of 21%, for corporations, primarily due to partnership loss for which there was no tax expense, as such income is allocated to the partners and from changes in the valuation allowance.</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6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the effective tax rate was lower than the statutory federal tax rate of 21%, for corporations, primarily due to partnership income for which there was no tax expense, as such income is allocated to the partners.</w:t>
      </w:r>
    </w:p>
    <w:p>
      <w:pPr>
        <w:spacing w:after="0" w:line="172"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Accumulated Other Comprehensive Loss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5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Net</w:t>
            </w:r>
          </w:p>
        </w:tc>
        <w:tc>
          <w:tcPr>
            <w:tcW w:w="15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Benefits and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of Tax</w:t>
            </w:r>
          </w:p>
        </w:tc>
        <w:tc>
          <w:tcPr>
            <w:tcW w:w="15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Other, Net of Tax</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 Other (Loss) Income, Net</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(loss) income, net consists of the following:</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expense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Equity earnings from non-consolidated affiliates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assets,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transaction gain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on an undiscounted basis were $21 million and $22 million as of March 31, 2023 and December 31, 2022, respectively, primarily within our Energy segment,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279" w:firstLine="324"/>
        <w:spacing w:after="0" w:line="281" w:lineRule="auto"/>
        <w:rPr>
          <w:sz w:val="20"/>
          <w:szCs w:val="20"/>
          <w:color w:val="auto"/>
        </w:rPr>
      </w:pPr>
      <w:r>
        <w:rPr>
          <w:rFonts w:ascii="Times New Roman" w:cs="Times New Roman" w:eastAsia="Times New Roman" w:hAnsi="Times New Roman"/>
          <w:sz w:val="17"/>
          <w:szCs w:val="17"/>
          <w:color w:val="auto"/>
        </w:rPr>
        <w:t>CVR Energy’s indirect wholly-owned subsidiary, Coffeyville Resource Refining &amp; Marketing, LLC (“CRRM”) is party to proceedings relating to claims by the United States Department of Justice (the “DOJ”) on behalf of the U.S. Environmental Protection Agency (the “EPA”) and the State of Kansas, acting by and through the Kansas Department of Health and Environment (“KDHE” and collectively with the DOJ and EPA, the “CAA Plaintiffs”) for alleged violations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5" w:lineRule="auto"/>
        <w:rPr>
          <w:sz w:val="20"/>
          <w:szCs w:val="20"/>
          <w:color w:val="auto"/>
        </w:rPr>
      </w:pPr>
      <w:r>
        <w:rPr>
          <w:rFonts w:ascii="Times New Roman" w:cs="Times New Roman" w:eastAsia="Times New Roman" w:hAnsi="Times New Roman"/>
          <w:sz w:val="18"/>
          <w:szCs w:val="18"/>
          <w:color w:val="auto"/>
        </w:rPr>
        <w:t>of the Clean Air Act (the “CAA”) and a 2012 Consent Decree (“CD”) between CRRM, the United States (on behalf of the EPA) and KDHE at its Coffeyville refinery primarily relating to flares and seeking stipulated penalties under the CD of $6.8 million (the “Stipulated Claims”), which amount CRRM previously deposited into a commercial escrow account, which escrowed funds are legally restricted for use and are included in other assets in our condensed consolidated balance sheets. After the United States District Court for the District of Kansas (“D. Kan.”) denied CRRM’s petition for judicial review of the Stipulated Claims, CRRM appealed the D. Kan. order to the United States Court of Appeals for the Tenth Circuit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Circuit”), which appeal was stayed by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Circuit. In December 2022,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Circuit lifted the stay, but CRRM and the CAA Plaintiffs have since agreed to mediate the Stipulated Claims before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Circuit. CRRM is also party to a separate lawsuit brought by the CAA Plaintiffs in the D. Kan. alleging violations of the CAA, the Kansas State Implementation Plan, Kansas law, 40 C.F.R. Parts 60 and 63 of the National Emission Standards for Hazardous Air Pollutants from Petroleum Refineries Subparts CC and R (“NESHAP”) and CRRM’s permits relating to flares, heaters, and related matters and seeking civil penalties, injunctive and related relief (collectively, the “Statutory Claims”). In October 2022, the D. Kan granted CRRM’s motion to dismiss KDHE’s demand for state law civil penalties but denied its motion to dismiss other Statutory Claims. In March 2023, the D. Kan. Granted KDHE’s motion to file a second amended supplemental complaint to add claims for injunctive relief under state law, which was filed in April 2023. CRRM and the CAA Plaintiffs have agreed to mediate the Statutory Claims together with the Stipulated Claims before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Circuit, which mediation is expected to commence in May 2023. As negotiations and proceedings relating to the Stipulated Claims and the Statutory Claims are ongoing, CVR Energy cannot at this time determine the outcome of these matters, including whether such outcome, or any subsequent enforcement or litigation relating thereto would have a material impact on our Energy segment’s financial position, results of operations, or cash flows.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45Q Transaction</w:t>
      </w:r>
    </w:p>
    <w:p>
      <w:pPr>
        <w:spacing w:after="0" w:line="229" w:lineRule="exact"/>
        <w:rPr>
          <w:sz w:val="20"/>
          <w:szCs w:val="20"/>
          <w:color w:val="auto"/>
        </w:rPr>
      </w:pPr>
    </w:p>
    <w:p>
      <w:pPr>
        <w:ind w:left="60" w:right="119" w:firstLine="360"/>
        <w:spacing w:after="0" w:line="256" w:lineRule="auto"/>
        <w:rPr>
          <w:sz w:val="20"/>
          <w:szCs w:val="20"/>
          <w:color w:val="auto"/>
        </w:rPr>
      </w:pPr>
      <w:r>
        <w:rPr>
          <w:rFonts w:ascii="Times New Roman" w:cs="Times New Roman" w:eastAsia="Times New Roman" w:hAnsi="Times New Roman"/>
          <w:sz w:val="18"/>
          <w:szCs w:val="18"/>
          <w:color w:val="auto"/>
        </w:rPr>
        <w:t>In January 2023, CVR Energy and its obligated-party subsidiaries entered into a joint venture and related agreements with unaffiliated third-party investors and others intended to qualify for certain tax credits available under Section 45Q of the Internal Revenue Code. Under the agreements entered into in connection with the 45Q Transactions, CVR Partners and certain of its subsidiaries are obligated to meet certain minimum quantities of carbon dioxide supply each year during the term of the agreement and could be subject to fees of up to $15 million per year, with an overall cap at $45 million, should it fail to perform.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Renewable Fuel Standards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CVR Energy’s obligated-party subsidiaries are subject to the Renewable Fuel Standard (“RFS”) implemented primarily by the EPA which requires refiners to either blend renewable fuels into their transportation fuels or purchase renewable fuel credits, known as Renewable Identification Numbers (“RINs), in lieu of blending. CVR Energy’s obligated subsidiaries are not able to blend the substantial majority of its transportation fuels and, unless their obligations are waived by the EPA, has to purchase RINs on the open market and may have to obtain waiver credits for cellulosic biofuels or other exemptions from the EPA, to the extent available, in order to comply with the RFS. CVR Energy’s obligated-party subsidiaries have filed a number of petitions in the United States Court of Appeals for the Fifth Circuit (the “Fifth Circuit”) and the United States Court of Appeals for the District of Colombia Circuit (the “DC Circuit”) challenging the EPA’s April 2022 and June 2022 alternate compliance rulings and the EPA’s Final Rule filed in July 2022 establishing renewal volume obligation (“RVO”), and, with respect to Wynnewood Refining Company, LLC (“WRC”), challenging EPA’s denial of small refinery exemptions (“SREs”) sought by WRC for the 2017 through 2021 compliance periods (the “SRE Lawsuits”), also intervened in an action filed by certain biofuels producers relating to the RFS. In late 2022, the Fifth Circuit denied the EPA’s motions to stay the SRE Denial Lawsuits. In March 2023, the Fifth Circuit granted WRC’s motion to stay enforcement of the RFS against WRC pending resolution of the SREs lawsuits. As each of these proceedings is in its earliest stages, we cannot currently estimate the outcome, impact or timing of resolution of these matters. However, while CVR Energy intends to prosecute these actions vigorously, if these matters are ultimately concluded in a manner adverse to CVR Energy, they could have a material effect on our Energy business’ financial position, results of operations, or cash flows.</w:t>
      </w:r>
    </w:p>
    <w:p>
      <w:pPr>
        <w:spacing w:after="0" w:line="192"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and 2022, our Energy segment recognized a benefit of $11 million and an expense of $107 million, respectively, for CVR Refining’s compliance with the RFS (based on our Energy segment’s revised 2020 and finalized 2021 and 2022 annual renewal volume obligation (“RVO”) and excluding the impacts of any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17"/>
          <w:szCs w:val="17"/>
          <w:color w:val="auto"/>
        </w:rPr>
        <w:t>exemptions or waivers to which our Energy segment may be entitled). These recognized amounts are included in cost of goods sold in the condensed consolidated statements of operations and represent costs to comply with the RFS obligation through purchasing of RINs not otherwise reduced by blending of ethanol or biodiesel. At each reporting period, to the extent RINs purchased or generated through blending are less than the RFS obligation (excluding the impact of exemptions or waivers to which CVR Refining may be entitled), the remaining position is marked-to-market using RIN market prices at period end. As of March 31, 2023 and December 31, 2022, CVR Refining’s RFS position was $582 million and $692 million, respectively, and is included in accrued expenses and other liabilities in the condensed consolidated balance sheets.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Call Option Lawsuits </w:t>
      </w:r>
      <w:r>
        <w:rPr>
          <w:rFonts w:ascii="Times New Roman" w:cs="Times New Roman" w:eastAsia="Times New Roman" w:hAnsi="Times New Roman"/>
          <w:sz w:val="18"/>
          <w:szCs w:val="18"/>
          <w:color w:val="auto"/>
        </w:rPr>
        <w:t>– In December 2022, the Delaware Court of Chancery (the “Chancery Court”) approved the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of the consolidated lawsuits (collectively, the “Call Option Lawsuits”) filed by purported former unitholders of CVR Refining, LP on behalf of themselves and an alleged class of similarly situated unitholders against CVR Energy and certain of its affiliates (the “Call Defendants”) relating to CVR Energy’s exercise of the call option under the CVR Refining, LP Amended and Restated Agreement of Limited Partnership assigned to it by CVR Refining’s LP’s general partner including the Stipulation, Compromise and Release (the “Settlement”) entered into by the parties on August 19, 2022. The Settlement of the Call Option Lawsuits had no further impact on our Energy business’ financial position or results of operations beyond the $79 million recognized within Other loss, net for the year ended December 31, 2022 to reflect the estimated probable loss.</w:t>
      </w:r>
    </w:p>
    <w:p>
      <w:pPr>
        <w:spacing w:after="0" w:line="188"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Call Option Coverage Cases – </w:t>
      </w:r>
      <w:r>
        <w:rPr>
          <w:rFonts w:ascii="Times New Roman" w:cs="Times New Roman" w:eastAsia="Times New Roman" w:hAnsi="Times New Roman"/>
          <w:sz w:val="18"/>
          <w:szCs w:val="18"/>
          <w:color w:val="auto"/>
        </w:rPr>
        <w:t>On November 28, 2022, the 434th Judicial District Court of Fort Bend County, Texas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“Texas Court”) granted summary judgment in favor of the primary and excess insurers (the “Insurers”) of CVR Energy and certain of its affiliates (the “Call Defendants”) in the Insurers’ declaratory judgment action seeking determination that they owe no indemnity coverage in relation to policies that have coverage limits of $50 million for settlement of the lawsuits filed in the Delaware Court of Chancery (the “Chancery Court”) by purported former unitholders of CVR Refining, LP on behalf of themselves and an alleged class of similarly situated unitholders against the Call Defendants relating to CVR Energy’s exercise of the call option under the CVR Refining, LP Amended and Restated Agreement of Limited Partnership assigned to it by CVR Refining’s LP’s general partner, which Stipulation, Compromise and Release (the “Settlement”) was entered into by the parties in August 2022 and approved by the Chancery Court in December 2022. The Company intends to appeal the grant of summary judgment while it concurrently pursues its claims against the Insurers it filed in October 2022 in the Superior Court of the State of Delaware (the “Superior Court”) alleging Breach of Contract and Breach of the Implied Covenant of Good Faith and Fair Dealing against the Insurers relating to their denial of coverage of the Call Defendants’ defense expenses and indemnity, as well as other conduct of the Insurers relating to the Call Option Lawsuits. On January 3, 2023, the Superior Court granted the Call Defendants’ motion for leave to amend its complaint to seek recovery from the Insurers of all of the amounts paid in settlement of the Call Option Lawsuits. As the potential appeal of the Texas Court decision and the Superior Court lawsuit are in their early stages, CVR Energy cannot determine at this time the outcome of these lawsuits, including whether the outcome would have a material impact on our Energy business’ financial position, results of operations, or cash flows.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Pension Obligations</w:t>
      </w:r>
    </w:p>
    <w:p>
      <w:pPr>
        <w:spacing w:after="0" w:line="227"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84% of Icahn Enterprises’ outstanding depositary units as of March 31, 2023. Applicable pension and tax laws make each member of a “controlled group” of entities, generally defined as entities in which there is at least an 80% common ownership interest,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83"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an affiliate of Mr. Icahn. All the minimum funding requirements of the Internal Revenue Code, as amended, and the Employee Retirement Income Security Act of 1974, as amended, for the Viskase and ACF plans have been met as of March 31, 2023. If the plans were voluntarily terminated, they would be underfunded by an aggregate of approximately $48 million as of March 31, 2023.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87"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U.S. Attorney’s office for the Southern District of New York contacted Icahn Enterprises L.P. on May 3, 2023 seeking production of information relating to it and certain of its affiliates’ corporate governance, capitalization, securities offerings, dividends, valuation, marketing materials, due diligence and other materials. We are cooperating with the request and are providing documents in response to the voluntary request for information. The U.S. Attorney’s office has not made any claims or allegations against us or Mr. Icahn with respect to the foregoing inquiry. We believe that we maintain a strong compliance program and, while no assurances can be made and we are still evaluating the matter, we do not currently believe this inquiry will have a material impact on our business, financial condition, results of operations or cash flows.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Supplemental Cash Flow Information</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Supplemental cash flow information consists of the following:</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5"/>
        </w:trPr>
        <w:tc>
          <w:tcPr>
            <w:tcW w:w="5740" w:type="dxa"/>
            <w:vAlign w:val="bottom"/>
          </w:tcPr>
          <w:p>
            <w:pPr>
              <w:spacing w:after="0"/>
              <w:rPr>
                <w:sz w:val="24"/>
                <w:szCs w:val="24"/>
                <w:color w:val="auto"/>
              </w:rPr>
            </w:pPr>
          </w:p>
        </w:tc>
        <w:tc>
          <w:tcPr>
            <w:tcW w:w="316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5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28"/>
        </w:trPr>
        <w:tc>
          <w:tcPr>
            <w:tcW w:w="5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3"/>
          </w:tcPr>
          <w:p>
            <w:pPr>
              <w:jc w:val="right"/>
              <w:ind w:right="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11"/>
                <w:szCs w:val="1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13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receipts for income taxes, net of payments</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contributions receivable</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Investment segment distributions to non-controlling interests</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distributions payable</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(724)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Non-cash recognition of the related party note receivable</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LP Unit Distribution</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May 9, 2023, the Board of Directors of the general partner of Icahn Enterprises declared a quarterly distribution in the amount of $2.00 per depositary unit, which will be paid on or about June 30, 2023 to depositary unitholders of record at the close of business on May 22, 2023. Depositary unitholders will have until June 20, 2023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June 27, 2023. Icahn Enterprises will make a cash payment in lieu of issuing fractional depositary units to any unitholders electing to receive (or who are deemed to have elected to receive) depositary units.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Repurchase Authorization</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May 9, 2023, the Board of Directors of the General Partner approved a repurchase program which authorizes Icahn Enterprises or affiliates of Icahn Enterprises to repurchase up to an aggregate of $500 million worth of any of our outstanding fixed-rate senior unsecured notes issued by Icahn Enterprises and Icahn Enterprises Finance Corp. and up to an aggregate of $500 million worth of the depositary units issued by Icahn Enterprises (the “Repurchase Program”).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Funds Redemption</w:t>
      </w:r>
    </w:p>
    <w:p>
      <w:pPr>
        <w:spacing w:after="0" w:line="227"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Mr. Icahn and his affiliates redeemed $867 million from the Investment segment representing a pro-rata portion of the cash in the Investment segment attributable to Mr. Icahn and his affiliates, which was paid to Mr. Icahn and his affiliates on April 14, 2023. This redemption does not change our liquidity in the Investment segment.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Subsequent to March 31, 2023, within our Real Estate segment, a significant tenant of a commercial high-rise property was notified of default for non-payment. The tenant stated they are unable to cure the default status and the lease has been terminated. We consider this default, along with other facts and circumstances, a triggering event for potential impairment and we will assess this long-lived asset for any non-cash impairment charges during the second quarter of 2023. As of March 31, 2023, this property had a net book value of $218 million and any potential impairment cannot be estimated at this time.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March 31, 2023 (this “Report”), as well as our Annual Report on Form 10-K for the year ended December 31, 2022 filed with the Securities and Exchange Commission on February 24, 2023.</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References to “we,” “our” or “us” herein include Icahn Enterprises and its subsidiaries, unless the context otherwise requires.</w:t>
      </w:r>
    </w:p>
    <w:p>
      <w:pPr>
        <w:spacing w:after="0" w:line="18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March 31, 2023, representing an aggregate 1.99% general partner interest in Icahn Enterprises Holdings and us. Mr. Icahn and his affiliates owned approximately 84% of Icahn Enterprises’ outstanding depositary units as of March 31,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Transactions and Developments</w:t>
      </w:r>
    </w:p>
    <w:p>
      <w:pPr>
        <w:spacing w:after="0" w:line="229"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On January 31, 2023, a subsidiary of Icahn Automotive, IEH Auto Parts Holding LLC and its subsidiaries (“Auto Plus”), an aftermarket parts distributor held within our Automotive segment, filed voluntary petitions (the “Chapter 11 Cases”) in the United States Bankruptcy Court for the Southern District of Texas (the “Bankruptcy Court”) seeking relief under Chapter 11 of Title 11 of the United States Code. As a result of this filing, the Company has determined that it no longer controls Auto Plus under the criteria set out in Statement of Financial Accounting Standards ASC Topic 810, “Consolidation” and has deconsolidated its investment effective the date of the filing. As a result of Auto Plus’s bankruptcy, the Company recorded a non-cash charge of $226 million in the three months ending March 31,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Results</w:t>
      </w:r>
    </w:p>
    <w:p>
      <w:pPr>
        <w:spacing w:after="0" w:line="22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58" w:lineRule="auto"/>
        <w:rPr>
          <w:sz w:val="20"/>
          <w:szCs w:val="20"/>
          <w:color w:val="auto"/>
        </w:rPr>
      </w:pPr>
      <w:r>
        <w:rPr>
          <w:rFonts w:ascii="Times New Roman" w:cs="Times New Roman" w:eastAsia="Times New Roman" w:hAnsi="Times New Roman"/>
          <w:sz w:val="18"/>
          <w:szCs w:val="18"/>
          <w:color w:val="auto"/>
        </w:rPr>
        <w:t>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13, “Segment Reporting,” to the condensed consolidated financial statements for a reconciliation of each of our reporting segment’s results of continuing operations to our consolidated results.</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February 2022, Russia invaded Ukraine, disrupting the global oil, fertilizer, and agriculture markets, and leading to heightened uncertainty in the worldwide economy recovering from the COVID-19 pandemic. In response, many Western countries have formally or informally adopted sanctions on a number of Russian exports, including Russian oil and natural gas, and individuals affiliated with Russian government leadership. These sanctions, thus far, have resulted in oil prices and supply becoming volatile, continued elevation of natural gas prices, and are likely to continue to impact commodity prices in the near-term, which could have a material effect on our financial condition, cash flows, or results of operations. A global recession stemming from market volatility could result in a reduction in demand, thereby lowering commodity prices. The ultimate outcome of the Russia-Ukraine conflict and any associated market disruptions are difficult to predict and may materially affect our business, operations, and cash flows in unforeseen ways.</w:t>
      </w:r>
    </w:p>
    <w:p>
      <w:pPr>
        <w:spacing w:after="0" w:line="188"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comparability of our summarized consolidated financial results presented below is affected primarily by the performance of the Investment Funds (as defined below), and the results of operations of our Energy segment, impacted by the demand and pricing for its products. Refer to our respective segment discussions and “Other Consolidated Results of Operations,” below for further discussion.</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0" w:type="dxa"/>
            <w:vAlign w:val="bottom"/>
          </w:tcPr>
          <w:p>
            <w:pPr>
              <w:spacing w:after="0"/>
              <w:rPr>
                <w:sz w:val="13"/>
                <w:szCs w:val="13"/>
                <w:color w:val="auto"/>
              </w:rPr>
            </w:pPr>
          </w:p>
        </w:tc>
        <w:tc>
          <w:tcPr>
            <w:tcW w:w="21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5"/>
            <w:vMerge w:val="continue"/>
          </w:tcPr>
          <w:p>
            <w:pPr>
              <w:spacing w:after="0"/>
              <w:rPr>
                <w:sz w:val="15"/>
                <w:szCs w:val="15"/>
                <w:color w:val="auto"/>
              </w:rPr>
            </w:pPr>
          </w:p>
        </w:tc>
        <w:tc>
          <w:tcPr>
            <w:tcW w:w="21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Borders>
              <w:top w:val="single" w:sz="8" w:color="auto"/>
              <w:bottom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2"/>
                <w:szCs w:val="12"/>
                <w:color w:val="auto"/>
              </w:rPr>
            </w:pPr>
          </w:p>
        </w:tc>
        <w:tc>
          <w:tcPr>
            <w:tcW w:w="204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80" w:type="dxa"/>
            <w:vAlign w:val="bottom"/>
            <w:tcBorders>
              <w:top w:val="single" w:sz="8" w:color="auto"/>
              <w:bottom w:val="single" w:sz="8" w:color="auto"/>
            </w:tcBorders>
            <w:gridSpan w:val="4"/>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right"/>
              <w:ind w:right="508"/>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2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Holding Company</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Other Operating Segments:</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Energy</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2,363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Automotive</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Food Packaging</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Real Estate</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Home Fashion</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Pharma</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Metals</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operating segments</w:t>
            </w: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2,946</w:t>
            </w: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3,130</w:t>
            </w: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235</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116</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Consolidated</w:t>
            </w: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2,641</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4,093</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(358)</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885</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(270)</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invest our proprietary capital through various private investment funds (“Investment Funds”). As of</w:t>
      </w:r>
    </w:p>
    <w:p>
      <w:pPr>
        <w:spacing w:after="0" w:line="27" w:lineRule="exact"/>
        <w:rPr>
          <w:sz w:val="20"/>
          <w:szCs w:val="20"/>
          <w:color w:val="auto"/>
        </w:rPr>
      </w:pPr>
    </w:p>
    <w:p>
      <w:pPr>
        <w:ind w:left="60" w:right="339"/>
        <w:spacing w:after="0" w:line="253" w:lineRule="auto"/>
        <w:rPr>
          <w:sz w:val="20"/>
          <w:szCs w:val="20"/>
          <w:color w:val="auto"/>
        </w:rPr>
      </w:pPr>
      <w:r>
        <w:rPr>
          <w:rFonts w:ascii="Times New Roman" w:cs="Times New Roman" w:eastAsia="Times New Roman" w:hAnsi="Times New Roman"/>
          <w:sz w:val="18"/>
          <w:szCs w:val="18"/>
          <w:color w:val="auto"/>
        </w:rPr>
        <w:t>March 31, 2023 and December 31, 2022, we had investments with a fair market value of approximately $4.0 billion and $4.2 billion, respectively, in the Investment Funds. As of March 31, 2023 and December 31, 2022, the total fair market value of investments in the Investment Funds made by Mr. Icahn and his affiliates (excluding us and Brett Icahn) was approximately $4.6 billion and $4.9 billion, respectively.</w:t>
      </w:r>
    </w:p>
    <w:p>
      <w:pPr>
        <w:spacing w:after="0" w:line="18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Our Investment segment’s results of operations are reflected in net income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March 31, 2023.</w:t>
      </w:r>
    </w:p>
    <w:p>
      <w:pPr>
        <w:spacing w:after="0" w:line="183" w:lineRule="exact"/>
        <w:rPr>
          <w:sz w:val="20"/>
          <w:szCs w:val="20"/>
          <w:color w:val="auto"/>
        </w:rPr>
      </w:pPr>
    </w:p>
    <w:p>
      <w:pPr>
        <w:jc w:val="both"/>
        <w:ind w:left="60" w:right="75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and 2022, our Investment Funds’ returns were (4.1)% and 9.6%, respectively. Our Investment Funds’ returns represent a weighted-average composite of the average returns, net of expenses.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performance attribution for the Investment Funds’ returns.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28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10"/>
        </w:trPr>
        <w:tc>
          <w:tcPr>
            <w:tcW w:w="61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18"/>
                <w:szCs w:val="18"/>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positions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Short positions</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0.8 %</w:t>
            </w:r>
          </w:p>
        </w:tc>
        <w:tc>
          <w:tcPr>
            <w:tcW w:w="1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r>
      <w:tr>
        <w:trPr>
          <w:trHeight w:val="209"/>
        </w:trPr>
        <w:tc>
          <w:tcPr>
            <w:tcW w:w="6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income (loss) for our Investment segment for the three months ended March 31, 2023 and 2022, respectively.</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518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positions</w:t>
            </w:r>
          </w:p>
        </w:tc>
        <w:tc>
          <w:tcPr>
            <w:tcW w:w="3400" w:type="dxa"/>
            <w:vAlign w:val="bottom"/>
            <w:gridSpan w:val="2"/>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Short positions</w:t>
            </w:r>
          </w:p>
        </w:tc>
        <w:tc>
          <w:tcPr>
            <w:tcW w:w="2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2023 and 2022</w:t>
      </w:r>
    </w:p>
    <w:p>
      <w:pPr>
        <w:spacing w:after="0" w:line="22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2023, the Investment Funds’ negative performance was primarily driven by net losses in short positions, offset in part by net gains in long positions. The negative performance of our Investment segment’s short positions was driven primarily by losses from a broad market hedge of $365 million and the aggregate performance of short equity positions with net losses across various sectors of $334 million. The positive performance of our Investment segment’s long positions was driven by the positive performance from three healthcare sector investments aggregating $213 million.</w:t>
      </w:r>
    </w:p>
    <w:p>
      <w:pPr>
        <w:spacing w:after="0" w:line="18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2022, the Investment Funds’ positive performance was primarily driven by net gains in long positions, offset in part by net losses in short positions. The positive performance of our Investment segment’s long positions was driven primarily by gains in two energy sector investments aggregating approximately $1.8 billion. The positive performance of our Investment segment’s long positions was offset in part by losses from two healthcare sector investments aggregating $267 million and a consumer, cyclical sector investment of $109 million. The negative performance of our Investment segment’s short positions was driven primarily by the negative performance of an energy sector hedge of $416 million and the negative performance of certain credit default swaps positions of $314 million. These decreases were offset in part by the positive performance of a broad market hedge totaling $269 million.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Our Energy segment is primarily engaged in the petroleum refining and nitrogen fertilizer manufacturing businesses. The petroleum business accounted for approximately 90% and 91% of our Energy segment’s net sales for the three months ended March 31, 2023 and 2022,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On November 21, 2022, CVR Energy’s board of directors authorized its management to explore a potential spin-off of CVR Energy’s interest in the nitrogen fertilizer business into a newly created and separately traded public company. If completed, upon effectiveness of the potential spin-off transaction, current CVR Energy stockholders would own shares of both CVR Energy, holding the refinery and renewables businesses, and a holding company, holding CVR Energy’s current ownership of the general partner interest in, and approximately 37% of the common units (representing limited partner interests) of, CVR Partners. The potential spin-off would be intended to be structured as a tax-free, pro-rata distribution to all of CVR Energy’s stockholders, including Icahn Enterprises, as of a record date to be determined by CVR Energy’s board of directors. Completion of any potential spin-off will be subject to various conditions, including final approval of CVR Energy’s board of directors, and there can be no assurance that the potential spin-off will be completed in the manner described above, or at all.</w:t>
      </w:r>
    </w:p>
    <w:p>
      <w:pPr>
        <w:spacing w:after="0" w:line="194"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CVR Energy may incur significant costs in connection with exploring the potential spin-off transaction of its nitrogen fertilizer business into a newly created and separately traded public company. Spin-off exploration costs include legal, accounting, and advisory fees, implementation and integration costs, duplicative costs for subscriptions and information technology systems, employee and contractor costs, and other incremental separation costs related to the potential spin-off of the nitrogen fertilizer business. The potential spin-off transaction results in operating expenses that would not otherwise have been incurred by CVR Energy in the normal course of its organic business operations, and it may incur additional spin-off exploration costs in future periods.</w:t>
      </w:r>
    </w:p>
    <w:p>
      <w:pPr>
        <w:spacing w:after="0" w:line="18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19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addition to recent market conditions, including the impact of the Russia/Ukraine conflict, there are long-term factors that may impact the demand for refined products. These factors include mandated renewable fuels standards, proposed climate change laws and regulations, and increased mileage and emissions standards for vehicles. The petroleum business is also subject to the Renewable Fuel Standard of the United States Environmental Protection Agency, which requires the operating companies in our Energy segment to either blend “renewable fuels” with their transportation fuels or purchase renewable identification numbers (“RINs”), to the extent available, in lieu of blending, or to seek other exemptions.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17, “Commitments and Contingencies,” to the condensed consolidated financial statements for further discussion of RINs.</w:t>
      </w:r>
    </w:p>
    <w:p>
      <w:pPr>
        <w:spacing w:after="0" w:line="19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April 2022, our Energy segment completed a renewable diesel project at one of its refineries, which converted the refinery’s hydrocracker to a renewable diesel unit (“RDU”) capable of producing up to 100 million gallons of renewable diesel per year at a total cost of $179 million. The renewable diesel facility produces renewable diesel and has a capacity of approximately 7,500 barrels per day. Further, the conversion enables our Energy segment to capture additional benefits associated with the existing blenders’ tax credit that is currently set to expire at the end of 2024 and low carbon fuel standard programs in states such as California. Our Energy segment has additional plans to add pretreating capabilities for the RDU, which is expected to be completed in the third quarter of 2023, at an estimated cost of $92 million. These collective renewable efforts could reduce our Energy segment’s Renewable Fuels Standard (“RFS”) exposure. However, any actions taken by the courts, the EPA or the Biden administration, and/or market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could significantly impact the amount by which our Energy segment’s renewables business could mitigate our costs to comply with the RFS, if at all.</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5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42"/>
        </w:trPr>
        <w:tc>
          <w:tcPr>
            <w:tcW w:w="6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1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r>
      <w:tr>
        <w:trPr>
          <w:trHeight w:val="20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March 31, 2023 and 2022</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Net sales for our Energy segment decreased by $87 million (4%) for the three months ended March 31, 2023 as compared to the comparable prior year period due to a decrease in our petroleum business’ net sales, which have decreased $161 million, partially offset by increases in our renewables and nitrogen fertilizer businesses’ net sales. The decrease in the petroleum business’ net sales was due to a decrease in refined product prices primarily due to lower crude oil prices as the onset of the Russia-Ukraine war disrupted global energy markets in the prior period, as volumes were relatively flat as both periods had reduced utilization of the refineries resulting from planned outages. This decrease was partially offset with sales of approximately $71 million from our renewable business, which started operations in April 2022 and by our nitrogen fertilizer business’ net sales increased primarily due to an increase in urea ammonium nitrate (“UAN”) sales, partially offset by decreased pricing conditions.</w:t>
      </w:r>
    </w:p>
    <w:p>
      <w:pPr>
        <w:spacing w:after="0" w:line="188"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Cost of goods sold for our Energy segment decreased by $197 million (9%) for the three months ended March 31, 2023 as compared to the comparable prior year period. The decrease was primarily due to our petroleum business as a result of lower cost of consumed crude oil, primarily lower crude oil prices and higher derivative performance of $31 million compared to the prior period. Gross margin for our Energy segment increased by $110 million for the three months ended March 31, 2023 as compared to the comparable prior year period. Gross margin as a percentage of net sales was 16% and 11% for the three months ended March 31, 2023 and 2022, respectively. The increase in the gross margin as</w:t>
      </w:r>
    </w:p>
    <w:p>
      <w:pPr>
        <w:spacing w:after="0" w:line="5" w:lineRule="exact"/>
        <w:rPr>
          <w:sz w:val="20"/>
          <w:szCs w:val="20"/>
          <w:color w:val="auto"/>
        </w:rPr>
      </w:pPr>
    </w:p>
    <w:p>
      <w:pPr>
        <w:ind w:left="60" w:right="439"/>
        <w:spacing w:after="0" w:line="260" w:lineRule="auto"/>
        <w:rPr>
          <w:sz w:val="20"/>
          <w:szCs w:val="20"/>
          <w:color w:val="auto"/>
        </w:rPr>
      </w:pPr>
      <w:r>
        <w:rPr>
          <w:rFonts w:ascii="Times New Roman" w:cs="Times New Roman" w:eastAsia="Times New Roman" w:hAnsi="Times New Roman"/>
          <w:sz w:val="18"/>
          <w:szCs w:val="18"/>
          <w:color w:val="auto"/>
        </w:rPr>
        <w:t>a percentage of net sales was primarily attributable to the petroleum business, which was primarily due to higher crack spreads and higher derivative performance and a decrease in the net cost of RINs.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Automotive segment’s results of operations are generally driven by the demand for automotive service and maintenance, which is impacted by general economic factors, vehicle miles traveled, and the average age of vehicles on the road, among other factors.</w:t>
      </w:r>
    </w:p>
    <w:p>
      <w:pPr>
        <w:spacing w:after="0" w:line="1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Our Automotive segment has been in the process of a multi-year transformation plan. As part of this plan, during the year ended December 31, 2022, our Automotive segment completed the separation of certain of its automotive services and aftermarket parts businesses into two separate operating companies. In January 2023, Auto Plus filed a voluntary bankruptcy petition seeking relief under Chapter 11 of the Bankruptcy Code, which has reduced our Automotive segment’s assets, reduced the sales of our Automotive segment in the first quarter of 2023, and will negatively impact the net sales of our Automotive segment in future periods. Our results of operations for the three months ended March 31, 2023 includes the results of Auto Plus prior to its January 31, 2023 bankruptcy petition.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Automotive segment’s priorities include:</w:t>
      </w:r>
    </w:p>
    <w:p>
      <w:pPr>
        <w:spacing w:after="0" w:line="225"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Positioning the service business to take advantage of opportunities in the do-it-for-me market and vehicle fleets;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inventory management and tire distribution network;</w:t>
      </w:r>
    </w:p>
    <w:p>
      <w:pPr>
        <w:spacing w:after="0" w:line="9" w:lineRule="exact"/>
        <w:rPr>
          <w:rFonts w:ascii="Times New Roman" w:cs="Times New Roman" w:eastAsia="Times New Roman" w:hAnsi="Times New Roman"/>
          <w:sz w:val="18"/>
          <w:szCs w:val="18"/>
          <w:color w:val="auto"/>
        </w:rPr>
      </w:pPr>
    </w:p>
    <w:p>
      <w:pPr>
        <w:ind w:left="720" w:right="19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capital projects within Icahn Automotive’s owned and leased locations to increase leasing revenue and reduce occupancy costs;</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customer experience initiatives and selective upgrades in facilities;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employees with focus on training and career development;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83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process improvements, including investments in our supply chain and information technology capabilities.</w:t>
      </w:r>
    </w:p>
    <w:p>
      <w:pPr>
        <w:spacing w:after="0" w:line="162"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condensed consolidated statements of operations, however, the sale of any installed parts or materials related to automotive services are included in net sales. Rental revenues for properties leased to third parties are included in other revenues from operations in our condensed consolidated statements of operations, however, are excluded from the table below. Therefore, we discuss the combined results of our automotive net sales and automotive services labor revenues below.</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10"/>
        </w:trPr>
        <w:tc>
          <w:tcPr>
            <w:tcW w:w="63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42"/>
        </w:trPr>
        <w:tc>
          <w:tcPr>
            <w:tcW w:w="6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and other revenues from operations</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1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 and other expenses from operations</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6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2023 and 2022</w:t>
      </w:r>
    </w:p>
    <w:p>
      <w:pPr>
        <w:spacing w:after="0" w:line="22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Net sales and other revenues from operations for our Automotive segment for the three months ended March 31, 2023 decreased by $113 million (20%) as compared to the comparable prior year period. The decrease was attributable to a decrease in aftermarket parts sales of $129 million (64%), offset in part by an increase in automotive services revenue of $16 million (5%). The decrease in aftermarket parts sales was due to the deconsolidation of Auto Plus as of January 31, 2023.</w:t>
      </w:r>
    </w:p>
    <w:p>
      <w:pPr>
        <w:spacing w:after="0" w:line="183"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Cost of goods sold and other expenses from operations for the three months ended March 31, 2023 decreased by $46 million (12%) as compared to the comparable prior year period. The decrease was primarily driven by decreased aftermarket parts sales related to the deconsolidation of Auto Plus. Gross margin on net sales and other revenue from operations for the three months ended March 31, 2023 was down as compared to the comparable prior year period. Gross margin as a percentage of net sales and other revenue from operations was 23% and 31% for the three months ended March 31, 2023 and 2022,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Packaging</w:t>
      </w:r>
    </w:p>
    <w:p>
      <w:pPr>
        <w:spacing w:after="0" w:line="229" w:lineRule="exact"/>
        <w:rPr>
          <w:sz w:val="20"/>
          <w:szCs w:val="20"/>
          <w:color w:val="auto"/>
        </w:rPr>
      </w:pPr>
    </w:p>
    <w:p>
      <w:pPr>
        <w:jc w:val="both"/>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2023 and 2022</w:t>
      </w:r>
    </w:p>
    <w:p>
      <w:pPr>
        <w:spacing w:after="0" w:line="227" w:lineRule="exact"/>
        <w:rPr>
          <w:sz w:val="20"/>
          <w:szCs w:val="20"/>
          <w:color w:val="auto"/>
        </w:rPr>
      </w:pPr>
    </w:p>
    <w:p>
      <w:pPr>
        <w:ind w:left="60" w:right="219" w:firstLine="324"/>
        <w:spacing w:after="0" w:line="274" w:lineRule="auto"/>
        <w:rPr>
          <w:sz w:val="20"/>
          <w:szCs w:val="20"/>
          <w:color w:val="auto"/>
        </w:rPr>
      </w:pPr>
      <w:r>
        <w:rPr>
          <w:rFonts w:ascii="Times New Roman" w:cs="Times New Roman" w:eastAsia="Times New Roman" w:hAnsi="Times New Roman"/>
          <w:sz w:val="17"/>
          <w:szCs w:val="17"/>
          <w:color w:val="auto"/>
        </w:rPr>
        <w:t>Net sales for the three months ended March 31, 2023 increased $17 million (17%) as compared to the comparable prior year period. Impacts to sales were due to an increase of $18 million in price and product mix, an increase of $1 million due to higher volume, offset by a decrease of $2 million due to unfavorable effects of foreign exchange. Cost of goods sold for the three months ended March 31, 2023 increased by $10 million (12%) as compared to the comparable prior year period due to the effects of raw material price inflation, offset by improved manufacturing performance. Gross margin as a percentage of net sales was 23% and 20% for the three months ended March 31, 2023 and 2022, respectively.</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Real Estate segment consists primarily of investment properties, the development and sale of single-family homes, and the management of a country club. Sales of single-family homes are included in net sales in our consolidated statements of operations. Results from investment properties and country club operations are included in other revenues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12" w:lineRule="auto"/>
        <w:rPr>
          <w:sz w:val="20"/>
          <w:szCs w:val="20"/>
          <w:color w:val="auto"/>
        </w:rPr>
      </w:pPr>
      <w:r>
        <w:rPr>
          <w:rFonts w:ascii="Times New Roman" w:cs="Times New Roman" w:eastAsia="Times New Roman" w:hAnsi="Times New Roman"/>
          <w:sz w:val="17"/>
          <w:szCs w:val="17"/>
          <w:color w:val="auto"/>
        </w:rPr>
        <w:t>from operations in our consolidated statements of operations. Revenue from our real estate operations for each of the three months ended March 31, 2023 and 2022 were primarily derived from the sale of residential units and rental operations.</w:t>
      </w:r>
    </w:p>
    <w:p>
      <w:pPr>
        <w:spacing w:after="0" w:line="140" w:lineRule="exact"/>
        <w:rPr>
          <w:sz w:val="20"/>
          <w:szCs w:val="20"/>
          <w:color w:val="auto"/>
        </w:rPr>
      </w:pPr>
    </w:p>
    <w:p>
      <w:pPr>
        <w:ind w:left="60" w:right="99" w:firstLine="324"/>
        <w:spacing w:after="0" w:line="274" w:lineRule="auto"/>
        <w:rPr>
          <w:sz w:val="20"/>
          <w:szCs w:val="20"/>
          <w:color w:val="auto"/>
        </w:rPr>
      </w:pPr>
      <w:r>
        <w:rPr>
          <w:rFonts w:ascii="Times New Roman" w:cs="Times New Roman" w:eastAsia="Times New Roman" w:hAnsi="Times New Roman"/>
          <w:sz w:val="17"/>
          <w:szCs w:val="17"/>
          <w:color w:val="auto"/>
        </w:rPr>
        <w:t>Subsequent to March 31, 2023, within our Real Estate segment, a significant tenant of a commercial high-rise property was notified of default for non-payment. The tenant stated they are unable to cure the default status and the lease has been terminated. We consider this default, along with other facts and circumstances, a triggering event for potential impairment and we will assess this long-lived asset for any non-cash impairment charges during the second quarter of 2023. As of March 31, 2023, this property had a net book value of $218 million and any potential impairment cannot be estimated at this time. We do not anticipate that this lease termination will have a substantial impact on other revenues from operations.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Home Fashion</w:t>
      </w:r>
    </w:p>
    <w:p>
      <w:pPr>
        <w:spacing w:after="0" w:line="229"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Our Home Fashion segment is significantly influenced by the overall economic environment, including consumer spending, at the retail level, for home textile products.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2023 and 2022</w:t>
      </w:r>
    </w:p>
    <w:p>
      <w:pPr>
        <w:spacing w:after="0" w:line="22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Net sales for the three months ended March 31, 2023 decreased by $15 million (27%) compared to the comparable prior year period due to normalized demand for our hospitality business in 2023 compared to a post pandemic related increase in demand in 2022 and a decrease of retail sales as the soft home category has slowed and retailers have trimmed inventory. Cost of goods sold for the three months ended March 31, 2023 decreased by $13 million (29%) compared to the comparable prior year period mostly due to lower retail sales and lower material and freight costs. Gross margin as</w:t>
      </w:r>
    </w:p>
    <w:p>
      <w:pPr>
        <w:spacing w:after="0" w:line="3" w:lineRule="exact"/>
        <w:rPr>
          <w:sz w:val="20"/>
          <w:szCs w:val="20"/>
          <w:color w:val="auto"/>
        </w:rPr>
      </w:pPr>
    </w:p>
    <w:p>
      <w:pPr>
        <w:ind w:left="60" w:right="639"/>
        <w:spacing w:after="0" w:line="260" w:lineRule="auto"/>
        <w:rPr>
          <w:sz w:val="20"/>
          <w:szCs w:val="20"/>
          <w:color w:val="auto"/>
        </w:rPr>
      </w:pPr>
      <w:r>
        <w:rPr>
          <w:rFonts w:ascii="Times New Roman" w:cs="Times New Roman" w:eastAsia="Times New Roman" w:hAnsi="Times New Roman"/>
          <w:sz w:val="18"/>
          <w:szCs w:val="18"/>
          <w:color w:val="auto"/>
        </w:rPr>
        <w:t>a percentage of net sales was 20% and 18% for the three months ended March 31, 2023 and 2022, respectively. The increase is due to lower material and freight costs.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Pharma</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Pharma segment derives revenues primarily from the sale of its products directly to customers, wholesalers and pharmacies.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2023 and 2022</w:t>
      </w:r>
    </w:p>
    <w:p>
      <w:pPr>
        <w:spacing w:after="0" w:line="22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March 31, 2023 increased by $5 million (33%) compared to the comparable prior year period primarily due to higher prescription growth resulting in increased sales. Cost of goods sold for the three months ended March 31, 2023 was flat compared to the prior year period. Gross margin as a percentage of net sales was 40% and 20% for both of the three months ended March 31, 2023 and 2022,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Our Holding Company’s results of operations primarily reflect the interest expense on its senior unsecured notes and investment gains and losses from equity investments for each of the three months ended March 31, 2023 and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Consolidated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Loss on deconsolidation of subsidiary</w:t>
      </w:r>
    </w:p>
    <w:p>
      <w:pPr>
        <w:spacing w:after="0" w:line="229" w:lineRule="exact"/>
        <w:rPr>
          <w:sz w:val="20"/>
          <w:szCs w:val="20"/>
          <w:color w:val="auto"/>
        </w:rPr>
      </w:pPr>
    </w:p>
    <w:p>
      <w:pPr>
        <w:ind w:left="60" w:right="259" w:firstLine="360"/>
        <w:spacing w:after="0" w:line="266" w:lineRule="auto"/>
        <w:rPr>
          <w:sz w:val="20"/>
          <w:szCs w:val="20"/>
          <w:color w:val="auto"/>
        </w:rPr>
      </w:pPr>
      <w:r>
        <w:rPr>
          <w:rFonts w:ascii="Times New Roman" w:cs="Times New Roman" w:eastAsia="Times New Roman" w:hAnsi="Times New Roman"/>
          <w:sz w:val="18"/>
          <w:szCs w:val="18"/>
          <w:color w:val="auto"/>
        </w:rPr>
        <w:t>As discussed in Note 3, “Subsidiary Bankruptcy and Deconsolidation”, to the consolidated financial statements, we deconsolidated Auto Plus effective as of January 31, 2023, resulting in a pretax loss on deconsolidation of subsidiary of $226 million for the three months ended March 31, 2023.</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2023 and 2022</w:t>
      </w:r>
    </w:p>
    <w:p>
      <w:pPr>
        <w:spacing w:after="0" w:line="227"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consolidated selling, general and administrative costs during the three months ended March 31, 2023 decreased by $72 million (24%) as compared to the comparable prior year period primarily due to lower expenses of our Automotive segment mainly related to the deconsolidation of Auto Plus.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2023 and 2022</w:t>
      </w:r>
    </w:p>
    <w:p>
      <w:pPr>
        <w:spacing w:after="0" w:line="227"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Our consolidated interest expense during the three months ended March 31, 2023 increased by $8 million (6%) as compared to the comparable prior year period. The increase was primarily due to higher interest expense for our Investment segment due to higher balances on margin accounts.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14, “Income Taxes,” to the condensed consolidated financial statements for a discussion of income taxes.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Liquidity</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92"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As of March 31, 2023, our Holding Company had cash and cash equivalents of approximately $1.9 billion and total debt of approximately $5.3 billion. As of March 31, 2023, our Holding Company had investments in the Investment Funds with a total fair market value of approximately $4.0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Holding Company Borrowings and Availability</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23"/>
        </w:trPr>
        <w:tc>
          <w:tcPr>
            <w:tcW w:w="664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128"/>
        </w:trPr>
        <w:tc>
          <w:tcPr>
            <w:tcW w:w="6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1"/>
                <w:szCs w:val="1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4.750% senior unsecured notes due 2024</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6.375% senior unsecured notes due 2025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6.250% senior unsecured notes due 2026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5.250% senior unsecured notes due 2027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4.375% senior unsecured notes due 2029</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09"/>
        </w:trPr>
        <w:tc>
          <w:tcPr>
            <w:tcW w:w="6640" w:type="dxa"/>
            <w:vAlign w:val="bottom"/>
          </w:tcPr>
          <w:p>
            <w:pPr>
              <w:spacing w:after="0"/>
              <w:rPr>
                <w:sz w:val="18"/>
                <w:szCs w:val="18"/>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w:t>
            </w: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Holding Company debt consists of various issues of fixed-rate senior unsecured notes issued by Icahn Enterprises and Icahn Enterprises Finance Corp. (together the “Issuers”) and guaranteed by Icahn Enterprises Holdings (the “Guarantor”). Interest on each tranche of senior unsecured notes is payable semi-annually.</w:t>
      </w:r>
    </w:p>
    <w:p>
      <w:pPr>
        <w:spacing w:after="0" w:line="17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8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the 6.375% senior unsecured note due 2025 and the 6.250% senior unsecured note due 2026 are subject to optional redemption premiums in the event we redeem any of the notes prior to certain dates as described in the indentures.</w:t>
      </w:r>
    </w:p>
    <w:p>
      <w:pPr>
        <w:spacing w:after="0" w:line="188"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2023 and December 31, 2022, we were in compliance with all covenants, including maintaining certain minimum financial ratios, as defined in the indentures. Additionally, as of March 31, 2023, based on covenants in the indentures governing our senior unsecured notes, we are not permitted to incur additional indebtedness; however, we are permitted to issue new notes in connection with debt refinancings of existing notes.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2023, Icahn Enterprises sold 3,395,353 depositary units pursuant to its Open Market Sale Agreement, resulting in gross proceeds of $175 million. As of March 31, 2023, we continue to have an active Open Market Sale Agreement and Icahn Enterprises may sell its depositary units for up to an additional $149 million in aggregate gross sale proceeds pursuant to this agreement. No assurance can be made that any or all amounts will be sold during the term of the agreement, and we have no obligation to sell additional depositary units under the Open Market Sale Agreement. Depending on market conditions, we may continue to sell depositary units under the Open Market Sale Agreement, and, if appropriate, enter into a new Open Market Sale Agreement to continue our “at-the-market” sales program once we have sold the full amount of our existing Open Market Sale Agreement. Our ability to access remaining capital under our “at-the-market” program may be limited by market conditions at the time of any future potential sale. While we were able to sell shares during the three months ended March 31, 2023, there can be no assurance that any future capital will be available on acceptable terms or at all under this program.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LP Unit Distributions</w:t>
      </w:r>
    </w:p>
    <w:p>
      <w:pPr>
        <w:spacing w:after="0" w:line="227"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On February 22, 2023, Icahn Enterprises declared a quarterly distribution in the amount of $2.00 per depositary unit in which each depositary unitholder had the option to make an election to receive either cash or additional depositary units. In connection with this distribution, aggregate cash distributions to all depositary unitholders that made a timely election to receive cash was $70 million in April 2023.</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May 9, 2023, the Board of Directors of the general partner of Icahn Enterprises declared a quarterly distribution in the amount of $2.00 per depositary unit, which will be paid on or about June 30, 2023 to depositary unitholders of record at the close of business on May 22, 2023. Depositary unitholders will have until June 20, 2023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June 27, 2023. Icahn Enterprises will make a cash payment in lieu of issuing fractional depositary units to any unitholders electing to receive (or who are deemed to have elected to receive) depositary units.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Repurchase Authorization</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May 9, 2023, the Board of Directors of the General Partner approved a repurchase program which authorizes Icahn Enterprises or affiliates of Icahn Enterprises to repurchase up to an aggregate of $500 million worth of any of our outstanding fixed-rate senior unsecured notes issued by Icahn Enterprises and Icahn Enterprises Finance Corp. and up to an aggregate of $500 million worth of the depositary units issued by Icahn Enterprises (the “Repurchase Program”).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Segment Liquidity</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162"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Additionally, our Investment segment liquidity is driven by the investment activities and performance of the Investment Funds. As of March 31, 2023, the Investment Funds had a net short notional exposure of 38%. The Investment Funds’ long exposure was 103% (78% long equity and 25% long credit) and its short exposure was 141% (129% short equity and 11% short credit). The notional exposure represents the ratio of the notional exposure of the Investment Funds’ invested capital to the net asset value of the Investment Funds at March 31, 2023.</w:t>
      </w:r>
    </w:p>
    <w:p>
      <w:pPr>
        <w:spacing w:after="0" w:line="183"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Of the Investment Funds’ 103% long exposure, 75% was comprised of the fair value of its long positions and 28% was comprised mostly of single name equity forward and swap contracts. Of the Investment Funds’ 141% short exposure, 65% was comprised of the fair value of its short positions (with certain adjustments) and 76% was comprised mostly of short broad market index swap derivative contracts and short credit default swap contracts.</w:t>
      </w:r>
    </w:p>
    <w:p>
      <w:pPr>
        <w:spacing w:after="0" w:line="180"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With respect to both our long positions that are not notionalized (75% long exposure) and our short positions that are not notionalized (65%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83"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With respect to the notional value of our other short positions (76%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176"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Subsequent to the quarter-end, our bearish view on the market has shifted and may impact our net short position accordingly.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Funds Redemption</w:t>
      </w:r>
    </w:p>
    <w:p>
      <w:pPr>
        <w:spacing w:after="0" w:line="227"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Mr. Icahn and his affiliates redeemed $867 million from the Investment segment representing a pro-rata portion of the cash in the Investment segment attributable to Mr. Icahn and his affiliates, which was paid to Mr. Icahn and his affiliates on April 14, 2023. This redemption does not change our liquidity in the Investment segment.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Segment Liquidity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Cash and Cash Equivalents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128"/>
        </w:trPr>
        <w:tc>
          <w:tcPr>
            <w:tcW w:w="6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Segment Borrowings and Availability</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Segment debt consists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39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129"/>
        </w:trPr>
        <w:tc>
          <w:tcPr>
            <w:tcW w:w="39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1"/>
                <w:szCs w:val="1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29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Automotive</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Packaging</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Fashion</w:t>
            </w:r>
          </w:p>
        </w:tc>
        <w:tc>
          <w:tcPr>
            <w:tcW w:w="2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3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0"/>
        </w:trPr>
        <w:tc>
          <w:tcPr>
            <w:tcW w:w="3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Refer to our Annual Report on Form 10-K for the year ended December 31, 2022 for information concerning terms, restrictions and covenants pertaining to our subsidiaries’ debt. As of March 31, 2023, all of our subsidiaries were in compliance with all debt covenants.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Our segments have additional borrowing availability under certain revolving credit facilities as summarized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Energy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Food Packaging</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Home Fashion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46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ind w:left="228"/>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635</wp:posOffset>
            </wp:positionV>
            <wp:extent cx="56489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848" w:hanging="848"/>
        <w:spacing w:after="0"/>
        <w:tabs>
          <w:tab w:leader="none" w:pos="8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w:t>
      </w:r>
    </w:p>
    <w:p>
      <w:pPr>
        <w:spacing w:after="0" w:line="7" w:lineRule="exact"/>
        <w:rPr>
          <w:rFonts w:ascii="Times New Roman" w:cs="Times New Roman" w:eastAsia="Times New Roman" w:hAnsi="Times New Roman"/>
          <w:sz w:val="18"/>
          <w:szCs w:val="18"/>
          <w:color w:val="auto"/>
        </w:rPr>
      </w:pPr>
    </w:p>
    <w:p>
      <w:pPr>
        <w:ind w:left="9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9" w:lineRule="exact"/>
        <w:rPr>
          <w:rFonts w:ascii="Times New Roman" w:cs="Times New Roman" w:eastAsia="Times New Roman" w:hAnsi="Times New Roman"/>
          <w:sz w:val="18"/>
          <w:szCs w:val="18"/>
          <w:color w:val="auto"/>
        </w:rPr>
      </w:pPr>
    </w:p>
    <w:p>
      <w:pPr>
        <w:ind w:left="10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-130810</wp:posOffset>
            </wp:positionV>
            <wp:extent cx="564896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ind w:left="848" w:hanging="848"/>
        <w:spacing w:after="0"/>
        <w:tabs>
          <w:tab w:leader="none" w:pos="8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46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7052" w:space="720"/>
            <w:col w:w="1247"/>
          </w:cols>
          <w:pgMar w:left="1440" w:top="513" w:right="1440" w:bottom="1440" w:gutter="0" w:footer="0" w:header="0"/>
          <w:type w:val="continuous"/>
        </w:sect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above outstanding debt and borrowing availability with respect to each of our continuing operating segments reflects third-party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-305435</wp:posOffset>
            </wp:positionV>
            <wp:extent cx="7461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Subsidiary Stock Repurchase Program</w:t>
      </w:r>
    </w:p>
    <w:p>
      <w:pPr>
        <w:spacing w:after="0" w:line="22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On February 22, 2021, the Board of Directors of CVR Partners authorized an additional $10 million under the unit repurchase program. During the three months ended March 31, 2023, CVR Partners did not repurchase any common units. During the three months ended March 31, 2022, CVR Partners repurchased 111,695 common units on the open market at a cost of $12 million. As of March 31, 2023, CVR Partners has a nominal amount remaining under its unit repurchase program.</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Subsidiary Dividends</w:t>
      </w:r>
    </w:p>
    <w:p>
      <w:pPr>
        <w:spacing w:after="0" w:line="227"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For the first quarter of 2023, our Energy segment declared a cash dividend of $0.50 per share, which is payable May 22, 2023 to shareholders of record as of May 15, 2023. Our portion of the dividend will include approximately $36 million in cash.</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Holding Company’s cash flows are generally driven by payments and proceeds associated with our senior unsecured debt obligations and payments and proceeds associated with issuances of equity by Icahn Enterprises.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cash flow information for Icahn Enterprises’ reporting segments and our Holding Company:</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80" w:type="dxa"/>
            <w:vAlign w:val="bottom"/>
          </w:tcPr>
          <w:p>
            <w:pPr>
              <w:spacing w:after="0"/>
              <w:rPr>
                <w:sz w:val="15"/>
                <w:szCs w:val="15"/>
                <w:color w:val="auto"/>
              </w:rPr>
            </w:pPr>
          </w:p>
        </w:tc>
        <w:tc>
          <w:tcPr>
            <w:tcW w:w="272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620" w:type="dxa"/>
            <w:vAlign w:val="bottom"/>
            <w:tcBorders>
              <w:top w:val="single" w:sz="8" w:color="auto"/>
              <w:bottom w:val="single" w:sz="8" w:color="auto"/>
            </w:tcBorders>
            <w:gridSpan w:val="7"/>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70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120" w:type="dxa"/>
            <w:vAlign w:val="bottom"/>
          </w:tcPr>
          <w:p>
            <w:pPr>
              <w:spacing w:after="0"/>
              <w:rPr>
                <w:sz w:val="10"/>
                <w:szCs w:val="10"/>
                <w:color w:val="auto"/>
              </w:rPr>
            </w:pPr>
          </w:p>
        </w:tc>
        <w:tc>
          <w:tcPr>
            <w:tcW w:w="8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Investing</w:t>
            </w:r>
          </w:p>
        </w:tc>
        <w:tc>
          <w:tcPr>
            <w:tcW w:w="10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Financing</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120" w:type="dxa"/>
            <w:vAlign w:val="bottom"/>
          </w:tcPr>
          <w:p>
            <w:pPr>
              <w:spacing w:after="0"/>
              <w:rPr>
                <w:sz w:val="10"/>
                <w:szCs w:val="10"/>
                <w:color w:val="auto"/>
              </w:rPr>
            </w:pPr>
          </w:p>
        </w:tc>
        <w:tc>
          <w:tcPr>
            <w:tcW w:w="8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Investing</w:t>
            </w:r>
          </w:p>
        </w:tc>
        <w:tc>
          <w:tcPr>
            <w:tcW w:w="120" w:type="dxa"/>
            <w:vAlign w:val="bottom"/>
          </w:tcPr>
          <w:p>
            <w:pPr>
              <w:spacing w:after="0"/>
              <w:rPr>
                <w:sz w:val="10"/>
                <w:szCs w:val="10"/>
                <w:color w:val="auto"/>
              </w:rPr>
            </w:pPr>
          </w:p>
        </w:tc>
        <w:tc>
          <w:tcPr>
            <w:tcW w:w="720" w:type="dxa"/>
            <w:vAlign w:val="bottom"/>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Financing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Activities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jc w:val="right"/>
              <w:ind w:right="415"/>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Operating Segments: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Energy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Automotive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Food Packaging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Home Fashion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Pharma</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operating segments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before eliminations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Eliminations</w:t>
      </w:r>
    </w:p>
    <w:p>
      <w:pPr>
        <w:spacing w:after="0" w:line="22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Holding Company</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Holding Company’s cash flows from operating activities for each of the three months ended March 31, 2023 and 2022 were primarily attributable to our semi-annual interest payments on our senior unsecured notes. The decrease in interest payments over the comparable period is primarily due to the redemption of $500 million of senior unsecured notes in February 2022.</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Holding Company’s cash flows from investing activities for the three months ended March 31, 2023 were primarily attributable to dividends from our Energy segment of $36 million offset in part by contributions to our operating subsidiaries aggregating $15 million. Our Holding Company’s cash flows from investing activities for the three months ended March 31, 2022 were primarily attributable to proceeds from the sale of equity investments aggregating $107 million, offset in part by contributions to our operating subsidiaries aggregating $55 million.</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Holding Company’s cash flows used in financing activities for the three months ended March 31, 2023 were due to proceeds of $173 million from our “at-the-market” offering. Our Holding Company’s cash flows from financing activities for the three months ended March 31, 2022 were due to the redemption of the $500 million of senior unsecured notes offset by proceeds from our “at-the-market” offering.</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Segment</w:t>
      </w:r>
    </w:p>
    <w:p>
      <w:pPr>
        <w:spacing w:after="0" w:line="22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Our Investment segment’s cash flows from operating activities for the comparable periods were attributable to its net investment transactions.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Our Investment segment’s cash flows from financing activities for the three months ended March 31, 2023 and 2022 were attributable to redemptions paid to Mr. Icahn and his affiliates (excluding us) of $82 million and Brett Icahn’s contributions to the Funds of $2 million, respectively.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Operating Segments</w:t>
      </w:r>
    </w:p>
    <w:p>
      <w:pPr>
        <w:spacing w:after="0" w:line="227"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Our other operating segments’ cash flows from operating activities included net cash flows from operating activities before changes in operating assets and liabilities of $317 million and $233 million for the three months ended March 31, 2023 and 2022, respectively, primarily due to the results of our Energy segment during both periods. The change in cash flows from operating activities for the three months ended March 31, 2023 as compared to the comparable prior year was primarily due to an increase in the operating results of our Energy segment primarily associated with increased gross margins mostly due to higher crack spreads and derivative performance.</w:t>
      </w:r>
    </w:p>
    <w:p>
      <w:pPr>
        <w:spacing w:after="0" w:line="187"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Our other operating segments’ cash flows from investing activities were primarily due to capital expenditures and turnaround expenditures of $52 million in 2023 compared to $41 million in 2022 in our Energy segment and capital expenditures of $10 million in 2023 compared to $21 million in 2022 within our Automotive segment.</w:t>
      </w:r>
    </w:p>
    <w:p>
      <w:pPr>
        <w:spacing w:after="0" w:line="17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Our other operating segments’ cash flows from financing activities were primarily due to our Energy segment. For the three months ended March 31, 2023, our Energy segment paid a distribution to noncontrolling interests of $85 million, compared to $36 million paid in the three months ended March 31, 2022. In addition, our operating companies had net contributions from our Holding Company aggregating $21 million for the three months ended March 31, 2023, compared to net contributions aggregating $55 million for the three months ending March 31,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Capital Expenditures</w:t>
      </w:r>
    </w:p>
    <w:p>
      <w:pPr>
        <w:spacing w:after="0" w:line="229" w:lineRule="exact"/>
        <w:rPr>
          <w:sz w:val="20"/>
          <w:szCs w:val="20"/>
          <w:color w:val="auto"/>
        </w:rPr>
      </w:pPr>
    </w:p>
    <w:p>
      <w:pPr>
        <w:ind w:left="60" w:right="739" w:firstLine="324"/>
        <w:spacing w:after="0" w:line="312" w:lineRule="auto"/>
        <w:rPr>
          <w:sz w:val="20"/>
          <w:szCs w:val="20"/>
          <w:color w:val="auto"/>
        </w:rPr>
      </w:pPr>
      <w:r>
        <w:rPr>
          <w:rFonts w:ascii="Times New Roman" w:cs="Times New Roman" w:eastAsia="Times New Roman" w:hAnsi="Times New Roman"/>
          <w:sz w:val="17"/>
          <w:szCs w:val="17"/>
          <w:color w:val="auto"/>
        </w:rPr>
        <w:t>There have been no material changes to our planned capital expenditures as compared to the estimated capital expenditures for 2023 reported in our Annual Report on Form 10-K for the year ended December 31, 2022.</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left="60" w:right="879" w:firstLine="324"/>
        <w:spacing w:after="0" w:line="312" w:lineRule="auto"/>
        <w:rPr>
          <w:sz w:val="20"/>
          <w:szCs w:val="20"/>
          <w:color w:val="auto"/>
        </w:rPr>
      </w:pPr>
      <w:r>
        <w:rPr>
          <w:rFonts w:ascii="Times New Roman" w:cs="Times New Roman" w:eastAsia="Times New Roman" w:hAnsi="Times New Roman"/>
          <w:sz w:val="17"/>
          <w:szCs w:val="17"/>
          <w:color w:val="auto"/>
        </w:rPr>
        <w:t>Refer to Note 2, “Basis of Presentation and Summary of Significant Accounting Policies,” to the condensed consolidated financial statements for a discussion of recent accounting pronouncements applicable to us.</w:t>
      </w: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Except as discussed below, information about our quantitative and qualitative disclosures about market risk did not differ materially from those disclosed in our Annual Report on Form 10-K for the year ended December 31,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predominant exposure to market risk is related to our Investment segment and the sensitivities to movements in the fair value of the Investment Funds’ investments.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99" w:firstLine="324"/>
        <w:spacing w:after="0" w:line="274" w:lineRule="auto"/>
        <w:rPr>
          <w:sz w:val="20"/>
          <w:szCs w:val="20"/>
          <w:color w:val="auto"/>
        </w:rPr>
      </w:pPr>
      <w:r>
        <w:rPr>
          <w:rFonts w:ascii="Times New Roman" w:cs="Times New Roman" w:eastAsia="Times New Roman" w:hAnsi="Times New Roman"/>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17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March 31, 2023, we estimate that in the event of a 10% adverse change in the fair value of these investments, the fair values of securities owned, securities sold, not yet purchased and derivatives would be negatively impacted by approximately $652 million, $565 million and $1,058 million, respectively. However, as of March 31, 2023, we estimate that the impact to our share of the net gain (loss) from investment activities reported in our condensed consolidated statement of operations would be less than the change in fair value since we have an interest of approximately 46% in the Investment Funds.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As of March 31, 2023, our management, including our Chief Executive Officer and Chief Financial Officer, evaluated the effectiveness of the design and operation of Icahn Enterprises’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during the quarter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are, and will continue to be, subject to litigation from time to time in the ordinary course of business. Refer to Note 17, “Commitments and Contingencies” to the condensed consolidated financial statements, which is incorporated by reference into this Part II, Item 1 of this Report, for information regarding our lawsuits and proceedings. Except for the lawsuits and proceedings disclosed in Note 17, there were no material changes to our lawsuits and proceedings as compared to those reported in our Annual Report on Form 10-K for the year ended December 31,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than as set forth below, there were no material changes to our risk factors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2023 as compared to those reported in our Annual Report on Form 10-K for the year ended December 31, 2022.</w:t>
      </w:r>
    </w:p>
    <w:p>
      <w:pPr>
        <w:spacing w:after="0" w:line="203"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general partner, and its control person, has significant influence over us, and sales by our controlling unitholder pursuant to a margin call or otherwise could cause our unit price to decline.</w:t>
      </w:r>
    </w:p>
    <w:p>
      <w:pPr>
        <w:spacing w:after="0" w:line="15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Mr. Icahn, through affiliates, owns 100% of Icahn Enterprises GP, the general partner of Icahn Enterprises, and approximately 84% of Icahn Enterprises’ outstanding depositary units as of March 31, 2023, and, as a result, has the ability to influence many aspects of our operations and affairs.</w:t>
      </w:r>
    </w:p>
    <w:p>
      <w:pPr>
        <w:spacing w:after="0" w:line="1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Mr. Icahn’s estate has been designed to assure the stability and continuation of Icahn Enterprises with no need to monetize his interests for estate tax or other purposes. In the event of Mr. Icahn’s death, control of Mr. Icahn’s interests in Icahn Enterprises and its general partner will be placed in charitable and other trusts under the control of senior Icahn Enterprises’ executives and Icahn family members. However, there can be no assurance that such planning will be effective. Furthermore, if upon Mr. Icahn’s death, the charitable and other trusts do not give control of Icahn Enterprises GP to Brett Icahn, Brett Icahn will have the right to terminate the manager agreement between Brett Icahn and Icahn Enterprises. In addition, it is currently anticipated that Brett Icahn will succeed Carl Icahn as Chairman of the board of Icahn Enterprises GP and as Chief Executive Officer of the Investment segment following the end of the 7-year term of the manager agreement or earlier if Carl Icahn should so determine.</w:t>
      </w:r>
    </w:p>
    <w:p>
      <w:pPr>
        <w:spacing w:after="0" w:line="18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addition, in past years through the present, Mr. Icahn has had and has borrowings from financial institutions from time to time and has pledged assets he owns, directly or through his affiliates, to secure these loans, including Icahn Enterprises depositary units. The number of depositary units pledged to secure these loans has been substantial and has fluctuated over time as a result of the amount of outstanding principal amount of the loans, the market price of the depositary units, and other factors. As of May 8, 2023, Mr. Icahn has pledged 202,585,490 depositary units. Neither Icahn Enterprises nor any of its subsidiaries are party to these loans. As a result of these arrangements, the lenders may foreclose and sell or force Mr. Icahn to sell a substantial number of depositary units, which could cause a decline in the market price of the depositary units and decrease Mr. Icahn’s ownership of Icahn Enterprises. The market price of the depositary units has declined in recent weeks. A prolonged decline in the market price of the depositary units could increase the likelihood of a foreclosure or forced sale of the pledged depositary units, and could be subject to a “margin call,” pursuant to which Mr. Icahn would be required to deposit additional funds or securities with the financial institution, or suffer mandatory liquidation of the pledged securities to compensate for the decline in value.</w:t>
      </w:r>
    </w:p>
    <w:p>
      <w:pPr>
        <w:spacing w:after="0" w:line="190"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affirmative vote of unitholders holding more than 75% of the total number of all depositary units then outstanding, including depositary units held by Icahn Enterprises GP and its affiliates, is required to remove Icahn Enterprises GP as the general partner of Icahn Enterprises. Mr. Icahn, through affiliates, holds approximately 84% of Icahn Enterprises’ outstanding depositary units. If sales of depositary units held by Mr. Icahn and his affiliates, as a result of a margin call, foreclosure, changes in tax laws, changes to his estate, or otherwise, were to cause Mr. Icahn and his affiliates to no longer hold at least 25% of the outstanding depositary units, Icahn Enterprises GP could potentially be removed as the general partner of Icahn Enterprises without Mr. Icahn’s consent.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depositary units held by Mr. Icahn and his affiliates could have a negative impact on the market price of our depositary units. Likewise, the market may anticipate sales by Mr. Icahn or his estate even if Mr. Icahn or his estate is not selling, or has no plans to sell, depositary units.</w:t>
      </w:r>
    </w:p>
    <w:p>
      <w:pPr>
        <w:spacing w:after="0" w:line="17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become subject to, and may in the future be, subject to short selling strategies driving down the market price of our depositary units and increasing the volatility of the trading market for our depositary units.</w:t>
      </w:r>
    </w:p>
    <w:p>
      <w:pPr>
        <w:spacing w:after="0" w:line="15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On May 2, 2023, a firm published a report making allegations about the Company in an attempt to drive down the market price of our depositary units, and the price of our depositary units declined significantly after the publication of this report and the market for our depositary units has been highly volatile since the publication of the report.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securities to decline, many short sellers (sometime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securities in the market. Further, these short seller publications are not regulated by any governmental, self-regulatory organization or other official authority in the U.S. and they are not subject to certification requirements imposed by the SEC. Companies that are subject to unfavorable allegations, even if untrue, may have to expend a significant amount of resources to investigate such allegations and/or defend themselves, including securityholder suits against the company that may be prompted by such allegations, and we have already expended significant resources and management time in response to the short seller report. As a result of the recent short seller report we may also be the subject of suits or government inquiries prompted by the allegations made by the short seller, and future short seller reports could prompt additional lawsuits or investigations. See Item 1 of Part II, “Legal Proceedings,” of this Report.</w:t>
      </w:r>
    </w:p>
    <w:p>
      <w:pPr>
        <w:spacing w:after="0" w:line="184"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taxable as a corporation if we are no longer treated as a partnership for U.S. federal income tax purposes.</w:t>
      </w:r>
    </w:p>
    <w:p>
      <w:pPr>
        <w:spacing w:after="0" w:line="15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We believe that we have been and are properly treated as a partnership for U.S. federal income tax purposes. This allows us to pass through our income and deductions to our partners. However, the Internal Revenue Service (“IRS”) could challenge our partnership status and we could fail to qualify as a partnership for past years as well as future years.</w:t>
      </w:r>
    </w:p>
    <w:p>
      <w:pPr>
        <w:spacing w:after="0" w:line="176"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Qualification as a partnership involves the application of highly technical and complex provisions of the Internal Revenue Code, as amended. For example, a publicly traded partnership is generally taxable as a corporation unless 90% or more of its gross income is “qualifying” income, which includes interest, dividends, oil and gas revenues,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 constitute “qualifying” income this year and in the future. However, there can be no assurance that such structuring will be effective in all events to avoid the receipt of more than 10% of non-qualifying income. The Board of Directors of our General Partner has approved the repurchase by the Company of up to $500 million of our outstanding senior notes, and if any such debt is repurchased at a discount, we may recognize cancellation of indebtedness (“COD”) income, which, in some circumstances, may not be considered “qualifying” income. If less than 90% of our gross income constitutes “qualifying” income, we may be subject to corporate tax on our net income plus possible state taxes. Further, if less than 90% of our gross income constituted “qualifying” income for past years, we may be subject to corporate level tax plus interest and possibly penalties. In addition, if we become required to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spacing w:after="0" w:line="172" w:lineRule="exact"/>
        <w:rPr>
          <w:sz w:val="20"/>
          <w:szCs w:val="20"/>
          <w:color w:val="auto"/>
        </w:rPr>
      </w:pPr>
    </w:p>
    <w:p>
      <w:pPr>
        <w:ind w:left="60" w:right="1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subsidiaries’ competitors may be larger and have greater financial resources and operational capabilities than our subsidiaries do, which may require them or us to invest significant additional capital in order to effectively compete. Our investments, or our subsidiaries’ investments, may not achieve desired results and may become impaired.</w:t>
      </w:r>
    </w:p>
    <w:p>
      <w:pPr>
        <w:spacing w:after="0" w:line="15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Our operating subsidiaries face competitive pressures within markets in which they operate. We manage our subsidiaries with the objective of growing their value over time by, among other means, investing in and strengthening our subsidiaries’ competitive advantages. Many factors, including availability of financial resources, supply chain capabilities and local market changes, may limit our ability to strengthen our subsidiaries’ competitive advantages. In addition, competitors may be significantly larger than our subsidiaries are and may have greater financial resources and operational capabilities. Accordingly, our subsidiaries may require significant additional resources, which may not be available to them through internally generated cash flows, and a decline in these businesses could result in an impairment charge. With respect to our Automotive segment, we have invested significant resources in various initiatives to remain competitive and stimulate growth. Despite these efforts, in January 2023, Auto Plus filed the Chapter 11 Cases in Bankruptcy Court. As a result of this filing, the Company has determined that it no longer controls Auto Plus and has deconsolidated its investment in Auto Plus effective as of January 31, 2023 resulting in a non-cash charge of $226 million recorded in the three months ended March 31, 2023 and determined that our remaining equity investment in Auto Plus is now worth $0. In the course of the Chapter 11 cases, Auto Plus will seek to sell substantially all of its assets pursuant to Section 363 of the Bankruptcy Code, with the proceeds of such sale used to satisfy obligations to its creditors, and to settle or discharge all of its obligations, in each case subject to approval by the Bankruptcy Court, which has had and continue to have a negative impact on the results of operations and balance sheet of our Automotive segment. In addition, we will continue to consider strategic alternatives in our automotive aftermarket parts business to maximize value. If we are unable to implement these initiatives efficiently and effectively, or if these initiatives are unsuccessful, our consolidated financial condition, results of operations and cash flows could be adversely affected.</w:t>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Salary Increase</w:t>
      </w:r>
    </w:p>
    <w:p>
      <w:pPr>
        <w:spacing w:after="0" w:line="22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On May 9, 2023, the Board of Directors of Icahn Enterprises G.P., the general partner of the Company, approved an increase in the base salary of Ted Papapostolou, the Chief Financial Officer of the Company, from the rate of $550,000 per annum to a rate of $850,000 per annum, effective as of May 9, 2023. The Board did not change the other terms of Mr. Papapostolou’s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0" w:type="dxa"/>
            <w:vAlign w:val="bottom"/>
            <w:gridSpan w:val="6"/>
          </w:tcPr>
          <w:p>
            <w:pPr>
              <w:ind w:left="29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302(a) of the Sarbanes-Oxley Act of 2002</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and Rule 13a-14(a) of the Securities Exchange Act of 1934.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302(a) of the Sarbanes-Oxley Act of 2002</w:t>
            </w:r>
          </w:p>
        </w:tc>
        <w:tc>
          <w:tcPr>
            <w:tcW w:w="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and Rule 13a-14(a) of the Securities Exchange Act of 1934.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Section 906 of the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 (18 U.S.C. 1350) and Rule 13a-14(b) of the Securities Exchange Act of</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1934.</w:t>
            </w:r>
          </w:p>
        </w:tc>
        <w:tc>
          <w:tcPr>
            <w:tcW w:w="390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101.SCH</w:t>
            </w:r>
          </w:p>
        </w:tc>
        <w:tc>
          <w:tcPr>
            <w:tcW w:w="40" w:type="dxa"/>
            <w:vAlign w:val="bottom"/>
          </w:tcPr>
          <w:p>
            <w:pPr>
              <w:spacing w:after="0"/>
              <w:rPr>
                <w:sz w:val="21"/>
                <w:szCs w:val="21"/>
                <w:color w:val="auto"/>
              </w:rPr>
            </w:pPr>
          </w:p>
        </w:tc>
        <w:tc>
          <w:tcPr>
            <w:tcW w:w="7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101.PRE</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340" w:hanging="918"/>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0"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Icahn Enterprises G.P. Inc., its</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pacing w:after="0" w:line="223"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17145</wp:posOffset>
            </wp:positionV>
            <wp:extent cx="2357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David Willetts,</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0" w:lineRule="exact"/>
        <w:rPr>
          <w:sz w:val="20"/>
          <w:szCs w:val="20"/>
          <w:color w:val="auto"/>
        </w:rPr>
      </w:pPr>
    </w:p>
    <w:p>
      <w:pPr>
        <w:spacing w:after="0" w:line="223"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Icahn Enterprises G.P. Inc., its</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pacing w:after="0" w:line="223"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17145</wp:posOffset>
            </wp:positionV>
            <wp:extent cx="23577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Chief Financial Officer, Chief Accounting Officer</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and Director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Willetts, certify that:</w:t>
      </w:r>
    </w:p>
    <w:p>
      <w:pPr>
        <w:spacing w:after="0" w:line="225" w:lineRule="exact"/>
        <w:rPr>
          <w:sz w:val="20"/>
          <w:szCs w:val="20"/>
          <w:color w:val="auto"/>
        </w:rPr>
      </w:pPr>
    </w:p>
    <w:p>
      <w:pPr>
        <w:ind w:left="500" w:hanging="179"/>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Icahn Enterprises L.P. for the period ended March 31, 2023;</w:t>
      </w:r>
    </w:p>
    <w:p>
      <w:pPr>
        <w:spacing w:after="0" w:line="22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321"/>
        <w:spacing w:after="0" w:line="266" w:lineRule="auto"/>
        <w:tabs>
          <w:tab w:leader="none" w:pos="5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5" w:lineRule="exact"/>
        <w:rPr>
          <w:rFonts w:ascii="Times New Roman" w:cs="Times New Roman" w:eastAsia="Times New Roman" w:hAnsi="Times New Roman"/>
          <w:sz w:val="18"/>
          <w:szCs w:val="18"/>
          <w:color w:val="auto"/>
        </w:rPr>
      </w:pPr>
    </w:p>
    <w:p>
      <w:pPr>
        <w:ind w:left="320" w:right="120" w:firstLine="325"/>
        <w:spacing w:after="0" w:line="266" w:lineRule="auto"/>
        <w:tabs>
          <w:tab w:leader="none" w:pos="82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right="240" w:firstLine="325"/>
        <w:spacing w:after="0" w:line="266" w:lineRule="auto"/>
        <w:tabs>
          <w:tab w:leader="none" w:pos="83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20" w:right="20" w:firstLine="325"/>
        <w:spacing w:after="0" w:line="266" w:lineRule="auto"/>
        <w:tabs>
          <w:tab w:leader="none" w:pos="82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right="140" w:firstLine="325"/>
        <w:spacing w:after="0" w:line="266" w:lineRule="auto"/>
        <w:tabs>
          <w:tab w:leader="none" w:pos="83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20" w:firstLine="321"/>
        <w:spacing w:after="0" w:line="266" w:lineRule="auto"/>
        <w:tabs>
          <w:tab w:leader="none" w:pos="5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20" w:right="440" w:firstLine="325"/>
        <w:spacing w:after="0" w:line="266" w:lineRule="auto"/>
        <w:tabs>
          <w:tab w:leader="none" w:pos="82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right="280" w:firstLine="325"/>
        <w:spacing w:after="0" w:line="282" w:lineRule="auto"/>
        <w:tabs>
          <w:tab w:leader="none" w:pos="83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/s/ 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13970</wp:posOffset>
            </wp:positionV>
            <wp:extent cx="33864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David Willetts</w:t>
      </w:r>
    </w:p>
    <w:p>
      <w:pPr>
        <w:spacing w:after="0" w:line="252" w:lineRule="exact"/>
        <w:rPr>
          <w:sz w:val="20"/>
          <w:szCs w:val="20"/>
          <w:color w:val="auto"/>
        </w:rPr>
      </w:pPr>
    </w:p>
    <w:p>
      <w:pPr>
        <w:ind w:left="4120" w:right="80"/>
        <w:spacing w:after="0" w:line="237" w:lineRule="auto"/>
        <w:rPr>
          <w:sz w:val="20"/>
          <w:szCs w:val="20"/>
          <w:color w:val="auto"/>
        </w:rPr>
      </w:pPr>
      <w:r>
        <w:rPr>
          <w:rFonts w:ascii="Times New Roman" w:cs="Times New Roman" w:eastAsia="Times New Roman" w:hAnsi="Times New Roman"/>
          <w:sz w:val="18"/>
          <w:szCs w:val="18"/>
          <w:color w:val="auto"/>
        </w:rPr>
        <w:t>President and Chief Executive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117" w:right="1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Ted Papapostolou, certify that:</w:t>
      </w:r>
    </w:p>
    <w:p>
      <w:pPr>
        <w:spacing w:after="0" w:line="225" w:lineRule="exact"/>
        <w:rPr>
          <w:sz w:val="20"/>
          <w:szCs w:val="20"/>
          <w:color w:val="auto"/>
        </w:rPr>
      </w:pPr>
    </w:p>
    <w:p>
      <w:pPr>
        <w:ind w:left="500" w:hanging="179"/>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Icahn Enterprises L.P. for the period ended March 31, 2023;</w:t>
      </w:r>
    </w:p>
    <w:p>
      <w:pPr>
        <w:spacing w:after="0" w:line="22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321"/>
        <w:spacing w:after="0" w:line="266" w:lineRule="auto"/>
        <w:tabs>
          <w:tab w:leader="none" w:pos="5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5" w:lineRule="exact"/>
        <w:rPr>
          <w:rFonts w:ascii="Times New Roman" w:cs="Times New Roman" w:eastAsia="Times New Roman" w:hAnsi="Times New Roman"/>
          <w:sz w:val="18"/>
          <w:szCs w:val="18"/>
          <w:color w:val="auto"/>
        </w:rPr>
      </w:pPr>
    </w:p>
    <w:p>
      <w:pPr>
        <w:ind w:left="320" w:right="120" w:firstLine="325"/>
        <w:spacing w:after="0" w:line="266" w:lineRule="auto"/>
        <w:tabs>
          <w:tab w:leader="none" w:pos="8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right="240" w:firstLine="325"/>
        <w:spacing w:after="0" w:line="266" w:lineRule="auto"/>
        <w:tabs>
          <w:tab w:leader="none" w:pos="83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20" w:right="20" w:firstLine="325"/>
        <w:spacing w:after="0" w:line="266" w:lineRule="auto"/>
        <w:tabs>
          <w:tab w:leader="none" w:pos="8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right="140" w:firstLine="325"/>
        <w:spacing w:after="0" w:line="266" w:lineRule="auto"/>
        <w:tabs>
          <w:tab w:leader="none" w:pos="83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0" w:firstLine="321"/>
        <w:spacing w:after="0" w:line="266" w:lineRule="auto"/>
        <w:tabs>
          <w:tab w:leader="none" w:pos="5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20" w:right="440" w:firstLine="325"/>
        <w:spacing w:after="0" w:line="266" w:lineRule="auto"/>
        <w:tabs>
          <w:tab w:leader="none" w:pos="8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right="280" w:firstLine="325"/>
        <w:spacing w:after="0" w:line="282" w:lineRule="auto"/>
        <w:tabs>
          <w:tab w:leader="none" w:pos="83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17145</wp:posOffset>
            </wp:positionV>
            <wp:extent cx="33864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50" w:lineRule="exact"/>
        <w:rPr>
          <w:sz w:val="20"/>
          <w:szCs w:val="20"/>
          <w:color w:val="auto"/>
        </w:rPr>
      </w:pPr>
    </w:p>
    <w:p>
      <w:pPr>
        <w:ind w:left="4120" w:right="580"/>
        <w:spacing w:after="0" w:line="237" w:lineRule="auto"/>
        <w:rPr>
          <w:sz w:val="20"/>
          <w:szCs w:val="20"/>
          <w:color w:val="auto"/>
        </w:rPr>
      </w:pPr>
      <w:r>
        <w:rPr>
          <w:rFonts w:ascii="Times New Roman" w:cs="Times New Roman" w:eastAsia="Times New Roman" w:hAnsi="Times New Roman"/>
          <w:sz w:val="18"/>
          <w:szCs w:val="18"/>
          <w:color w:val="auto"/>
        </w:rPr>
        <w:t>Chief Financial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17" w:right="1239" w:bottom="1440" w:gutter="0" w:footer="0" w:header="0"/>
        </w:sectPr>
      </w:pPr>
    </w:p>
    <w:bookmarkStart w:id="56" w:name="page57"/>
    <w:bookmarkEnd w:id="56"/>
    <w:p>
      <w:pPr>
        <w:ind w:left="82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 Oxley Act of 2002 (18 U.S.C. 1350)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13a-14(b) of the Securities Exchange Act of 1934</w:t>
      </w:r>
    </w:p>
    <w:p>
      <w:pPr>
        <w:spacing w:after="0" w:line="20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Icahn Enterprises L.P., for the period ended March 31, 2023, the undersigned certify that, to the best of his knowledge, based upon a review of the Icahn Enterprises L.P. quarterly report on Form 10-Q for the period ended March 31, 2023:</w:t>
      </w:r>
    </w:p>
    <w:p>
      <w:pPr>
        <w:spacing w:after="0" w:line="176" w:lineRule="exact"/>
        <w:rPr>
          <w:sz w:val="20"/>
          <w:szCs w:val="20"/>
          <w:color w:val="auto"/>
        </w:rPr>
      </w:pPr>
    </w:p>
    <w:p>
      <w:pPr>
        <w:ind w:right="460" w:firstLine="321"/>
        <w:spacing w:after="0" w:line="282"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500" w:firstLine="321"/>
        <w:spacing w:after="0" w:line="282"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9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/s/ 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13970</wp:posOffset>
            </wp:positionV>
            <wp:extent cx="34118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David Willetts</w:t>
      </w:r>
    </w:p>
    <w:p>
      <w:pPr>
        <w:spacing w:after="0" w:line="252" w:lineRule="exact"/>
        <w:rPr>
          <w:sz w:val="20"/>
          <w:szCs w:val="20"/>
          <w:color w:val="auto"/>
        </w:rPr>
      </w:pPr>
    </w:p>
    <w:p>
      <w:pPr>
        <w:ind w:left="4080" w:right="120"/>
        <w:spacing w:after="0" w:line="237" w:lineRule="auto"/>
        <w:rPr>
          <w:sz w:val="20"/>
          <w:szCs w:val="20"/>
          <w:color w:val="auto"/>
        </w:rPr>
      </w:pPr>
      <w:r>
        <w:rPr>
          <w:rFonts w:ascii="Times New Roman" w:cs="Times New Roman" w:eastAsia="Times New Roman" w:hAnsi="Times New Roman"/>
          <w:sz w:val="18"/>
          <w:szCs w:val="18"/>
          <w:color w:val="auto"/>
        </w:rPr>
        <w:t>President and Chief Executive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2023</w:t>
      </w:r>
    </w:p>
    <w:p>
      <w:pPr>
        <w:spacing w:after="0" w:line="200" w:lineRule="exact"/>
        <w:rPr>
          <w:sz w:val="20"/>
          <w:szCs w:val="20"/>
          <w:color w:val="auto"/>
        </w:rPr>
      </w:pPr>
    </w:p>
    <w:p>
      <w:pPr>
        <w:spacing w:after="0" w:line="24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7"/>
          <w:szCs w:val="17"/>
          <w:color w:val="auto"/>
        </w:rPr>
        <w:t>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20320</wp:posOffset>
            </wp:positionV>
            <wp:extent cx="33864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6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50" w:lineRule="exact"/>
        <w:rPr>
          <w:sz w:val="20"/>
          <w:szCs w:val="20"/>
          <w:color w:val="auto"/>
        </w:rPr>
      </w:pPr>
    </w:p>
    <w:p>
      <w:pPr>
        <w:ind w:left="4120" w:right="580"/>
        <w:spacing w:after="0" w:line="237" w:lineRule="auto"/>
        <w:rPr>
          <w:sz w:val="20"/>
          <w:szCs w:val="20"/>
          <w:color w:val="auto"/>
        </w:rPr>
      </w:pPr>
      <w:r>
        <w:rPr>
          <w:rFonts w:ascii="Times New Roman" w:cs="Times New Roman" w:eastAsia="Times New Roman" w:hAnsi="Times New Roman"/>
          <w:sz w:val="18"/>
          <w:szCs w:val="18"/>
          <w:color w:val="auto"/>
        </w:rPr>
        <w:t>Chief Financial Officer of Icahn Enterprises G.P. Inc., the general partner of Icahn Enterprises L.P</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2"/>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5"/>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2023-05-10T08:27:47Z</dcterms:created>
  <dcterms:modified xsi:type="dcterms:W3CDTF">2023-05-10T08:27:47Z</dcterms:modified>
</cp:coreProperties>
</file>