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2014, there were 118,476,374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75</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78</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79</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0"/>
              </w:rPr>
              <w:t>Limited partners: Depositary units: 116,901,926 and 115,900,309 units issued and outstanding at March 31,</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2014 and December 31, 2013, respectively</w:t>
            </w:r>
          </w:p>
        </w:tc>
        <w:tc>
          <w:tcPr>
            <w:tcW w:w="2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6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 allocable to:</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(loss) income per LP unit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LP units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income per LP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weighted average LP units outstanding</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36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allocable to:</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$808 million and $805 million at March 31,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12,891</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699"/>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(1,158)</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(2,756)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(1,756)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449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(Gain) loss on disposal of assets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595</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payments associated with business dispositions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(1,000)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restricted cash relating to variable rate note discharge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3,108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2,488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35,208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Holdings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Holdings allocable to:</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Holdings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Holdings allocable to:</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8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$808 million and $805 million at March 31,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12,913</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699"/>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(1,158)</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(2,756)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(1,756)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449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Loss on disposal of assets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595</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payments associated with business dispositions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(1,000)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restricted cash relating to variable rate note discharge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3,108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2,488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2014.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102,857,651, or approximately 88.0%, of Icahn Enterprises' outstanding depositary units as of March 31, 2014.</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2013. The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may be the primary beneficiary of a variable interest entity (“VIE”). In evaluating whether we have a controlling financial interest in entities that we would consolidate, we consider the following: (1) for voting interest entities, we consolidate these entities in which we own a majority of the voting interests; and (2) for limited partnership entities that are not considered VIEs,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2014 was approximately $11.1 billion and $11.2 billion, respectively. The carrying value and estimated fair value of our long-term debt as of December 31, 2013 was approximately $9.3 billion and $9.4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$708 million and $330 million as of March 31, 2014 and December 31, 2013,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2013-04, which amends FASB ASC Topic 405,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The adoption of this guidance during the first quarter of 2014 did not have a material impact on our consolidated financial position, results of operations and cash flows.</w:t>
      </w:r>
    </w:p>
    <w:p>
      <w:pPr>
        <w:spacing w:after="0" w:line="8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 xml:space="preserve">In March 2013, the FASB issued ASU No. 2013-05, which amends FASB ASC Topic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The adoption of this guidance during the first quarter of 2014 did not have a material impact on our consolidated financial position, results of operations or cash flows.</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July 2013, the FASB issued ASU No. 2013-11,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The adoption of this guidance during the first quarter of 2014 did not have a material impact on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 xml:space="preserve">In April 2014, the FASB issued ASU No. 2014-08, which amends FASB ASC Topic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and FASB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This ASU is effective on a prospective basis applicable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are currently evaluating the impact that the adoption of this guidance will have on our consolidated financial position, results of operations, cash flows and disclosures.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and Icahn Partners Master Fund LP. Other than this merger, no other organizational or policy changes were made within our Investment segment.</w:t>
      </w:r>
    </w:p>
    <w:p>
      <w:pPr>
        <w:spacing w:after="0" w:line="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had interests in the Investment Funds with a fair value of approximately $4.7 billion and $3.7 billion as of March 31, 2014 and December 31, 2013, respectively. Mr. Icahn and his affiliates (excluding Icahn Enterprises and Icahn Enterprises Holdings) had direct investments in the Investment Funds of approximately $4.6 billion and $4.7 billion as of March 31, 2014 and December 31, 2013,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46"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Federal-Mogul operates with two end-customer focused business segments. The Powertrain (“PT”) business unit focuses on original equipment products for automotive, heavy duty and industrial applications. The Vehicle Components Solutions (“VCS”)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we owned approximately 80.7% of the total outstanding common stock of Federal-Mogul.</w:t>
      </w:r>
    </w:p>
    <w:p>
      <w:pPr>
        <w:spacing w:after="0" w:line="117"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As further described in Note 18, "Subsequent Events - Automotive," in April 2014 Federal-Mogul completed a corporate reorganization pursuant to which Federal-Mogul Corporation became a direct, wholly owned subsidiary of a new public holding company, Federal-Mogul Holdings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January 2014, Federal-Mogul entered into a definitive purchase agreement to acquire certain business assets of the Honeywell automotive and industrial brake friction business including two recently established manufacturing facilities in China and Romania for a base purchase price of approximately $155 million subject to post-closing adjustments and a potential earn-out payment of up to $5 million, in each case as further enumerated in the purchase agreement. This transaction is subject to customary approvals from regulatory authorities and other stakeholders where required. Federal-Mogul anticipates closing on this transaction during the second half of 2014.</w:t>
      </w:r>
    </w:p>
    <w:p>
      <w:pPr>
        <w:spacing w:after="0" w:line="8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Also in January 2014, Federal-Mogul entered into a definitive asset purchase agreement to acquire Affinia's chassis components business for a base purchase price of $150 million, subject to certain customary closing and post-closing adjustments as further enumerated in the asset purchase agreement. This business serves leading U.S. aftermarket customers</w:t>
      </w:r>
    </w:p>
    <w:p>
      <w:pPr>
        <w:sectPr>
          <w:pgSz w:w="11900" w:h="16838" w:orient="portrait"/>
          <w:cols w:equalWidth="0" w:num="1">
            <w:col w:w="11400"/>
          </w:cols>
          <w:pgMar w:left="240" w:top="341" w:right="259" w:bottom="144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with branded and private label chassis product lines. This transaction is subject to customary approvals from regulatory authorities and other stakeholders where required. Federal-Mogul closed on this transaction during the second quarter of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$315 million and $271 million as of March 31, 2014 and December 31, 2013, respectively. Of those gross amounts, $303 million and $258 million, respectively, qualify as sales as defined in FASB ASC Topic 860,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w:t>
      </w:r>
      <w:r>
        <w:rPr>
          <w:rFonts w:ascii="Arial" w:cs="Arial" w:eastAsia="Arial" w:hAnsi="Arial"/>
          <w:sz w:val="18"/>
          <w:szCs w:val="18"/>
          <w:color w:val="auto"/>
        </w:rPr>
        <w:t>. The remaining transferred receivables were pledged as collateral and accounted for as secured borrowings and recorded in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within accounts receivable, net and debt. Under the terms of these facilities, Federal-Mogul is not obligated to draw cash immediately upon the transfer of accounts receivable. As of both March 31, 2014 and December 31, 2013, Federal-Mogul had withdrawn all cash related to such transferred receivables. Proceeds from the transfers of accounts receivable qualifying as sales were $410 million and $333 million for the three months ended March 31, 2014 and 2013, respectively.</w:t>
      </w:r>
    </w:p>
    <w:p>
      <w:pPr>
        <w:spacing w:after="0" w:line="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For the three months ended March 31, 2014 and 2013, expenses associated with transfers of receivables were $2 million and $1 million, respectively. Such expenses were recorded in the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were $21 million as of both March 31, 2014 and December 31, 2013. Based on Federal-Mogul's analysis of the creditworthiness of its customers on which such receivables were sold and outstanding as of both March 31, 2014 and December 31, 2013,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During each of the three months ended March 31, 2014 and 2013, Federal-Mogul recorded $8 million in restructuring charges. These restructuring charges consist of employee costs and headcount reduction action plans.</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$73 million, of which $58 million and $15 million pertains to employee costs and facility costs, respectively. In connection with Restructuring 2013, Federal-Mogul recorded $4 million and $7 million in restructuring charges for the three months ended March 31, 2014 and 2013, respectively, substantially all of which pertain to employee costs. These restructuring opportunities include potential plant closures and employee headcount reductions in various countries that require consultation with various parties including, but not limited to, unions/works councils, local governments and/or customers. The consultation process can take a significant amount of time and impact the final outcome and timing. Federal-Mogul's policy is to record a provision for qualifying restructuring costs in accordance with the applicable accounting guidance when the outcome of such consultations becomes probable. Federal-Mogul has entered into consultation with works council for one of its French facilities to potentially cease operations; the outcome of such consultation is not yet probable, but could require restructuring charges in the period in which the good faith negotiations conclude.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March 31, 2014, CVR owned 100% of the general partners of CVR Refining and CVR Partners and approximately 71% of the common units of CVR Refining and approximately 53% of the common units of CVR Partners.</w:t>
      </w:r>
    </w:p>
    <w:p>
      <w:pPr>
        <w:spacing w:after="0" w:line="5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March 31, 2014, we owned approximately 82.0% of the total outstanding common stock of CVR. In addition, as of March 31, 2014, we owned approximately 4.0% of the total outstanding common units of CVR Refining directly.</w:t>
      </w:r>
    </w:p>
    <w:p>
      <w:pPr>
        <w:sectPr>
          <w:pgSz w:w="11900" w:h="16838" w:orient="portrait"/>
          <w:cols w:equalWidth="0" w:num="1">
            <w:col w:w="11400"/>
          </w:cols>
          <w:pgMar w:left="240" w:top="23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4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On May 28, 2013, Coffeyville Resources, LLC (“CRLLC”), a wholly owned subsidiary of CVR, completed a secondary offering of common units of CVR Partners.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offering expenses. CVR Partners did not receive any of the proceeds from the sale of common units by CRLLC.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CVR Refining's petroleum business includes a 115,000 barrels per calendar day ("bpcd") rated capacity complex full coking medium-sour crude oil refinery in Coffeyville, Kansas and a 70,000 bpcd rated capacity medium complexity crude oil unit refinery in Wynnewood, Oklahoma. The combined production capacity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5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55,000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(6) 1.0 million barrels of company owned crude oil storage in Cushing, Oklahoma and (7) approximately 4.5 million barrels of combined refinery related storage capacity.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w:t>
      </w:r>
    </w:p>
    <w:p>
      <w:pPr>
        <w:sectPr>
          <w:pgSz w:w="11900" w:h="16838" w:orient="portrait"/>
          <w:cols w:equalWidth="0" w:num="1">
            <w:col w:w="11380"/>
          </w:cols>
          <w:pgMar w:left="240" w:top="233" w:right="279" w:bottom="1440" w:gutter="0" w:footer="0" w:header="0"/>
        </w:sectPr>
      </w:pPr>
    </w:p>
    <w:bookmarkStart w:id="20" w:name="page21"/>
    <w:bookmarkEnd w:id="20"/>
    <w:p>
      <w:pPr>
        <w:ind w:right="340"/>
        <w:spacing w:after="0" w:line="264" w:lineRule="auto"/>
        <w:rPr>
          <w:sz w:val="20"/>
          <w:szCs w:val="20"/>
          <w:color w:val="auto"/>
        </w:rPr>
      </w:pPr>
      <w:r>
        <w:rPr>
          <w:rFonts w:ascii="Arial" w:cs="Arial" w:eastAsia="Arial" w:hAnsi="Arial"/>
          <w:sz w:val="18"/>
          <w:szCs w:val="18"/>
          <w:color w:val="auto"/>
        </w:rPr>
        <w:t>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conduct our Railcar segment through our majority ownership interests in ARI and a newly capitalized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ARI manufactures railcars, which are offered for sale or lease, custom designed railcar parts and other industrial products, primarily aluminum and special alloy steel castings. These products are sold to various types of companies including leasing companies, industrial companies, shippers and Class I railroads. ARI leases railcars that it manufactures to certain markets. ARI provides railcar services consisting of railcar repair services, engineering and field services and fleet management services. More specifically, such services include maintenance planning, project management, tracking and tracing, regulatory compliance, mileage audit, rolling stock taxes, and online service access.</w:t>
      </w:r>
    </w:p>
    <w:p>
      <w:pPr>
        <w:spacing w:after="0" w:line="8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371,600 square feet of gaming space with 6,900 slot machines, 220 table games and 6,000 hotel rooms with three casino facilities located in Nevada and one in each of Mississippi, Indiana, Louisiana, New Jersey and Aruba.</w:t>
      </w:r>
    </w:p>
    <w:p>
      <w:pPr>
        <w:spacing w:after="0" w:line="7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August 2013, a wholly-owned subsidiary of Tropicana entered into an agreement to purchase Lumière Place Casino, HoteLumière, the Four Seasons Hotel St. Louis and related excess land parcels in St. Louis, Missouri (collectively, "Lumière"). On April 1, 2014 the acquisition was completed for a purchase price of $260 million in cash, subject to adjustments. Tropicana funded the net purchase price using cash proceeds from a certain new credit facility issued in November 2013. See Note 10, "Debt - Gaming," for further discussion. Our Gaming segment currently expects to have its purchase price allocation for the Lumière acquisition included in our consolidated financial statements during the second quarter of 2014.</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ten distribution centers throughout North America, Europe, South America and Asia and derives approximately 72%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we owned approximately 73.5%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As of March 31, 2014,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271 and 1,325 units of residential housing, respectively. Both developments operate golf and</w:t>
      </w:r>
    </w:p>
    <w:p>
      <w:pPr>
        <w:sectPr>
          <w:pgSz w:w="11900" w:h="16838" w:orient="portrait"/>
          <w:cols w:equalWidth="0" w:num="1">
            <w:col w:w="11420"/>
          </w:cols>
          <w:pgMar w:left="240" w:top="233" w:right="23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resort operations as well. In addition, our Real Estate segment owns an unfinished development property which is located on approximately 23 acres in Las Vegas, Nevada.</w:t>
      </w:r>
    </w:p>
    <w:p>
      <w:pPr>
        <w:spacing w:after="0" w:line="62"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As of both March 31, 2014 and December 31, 2013, $56 million of the net investment in financing leases and net real estate leased to others which is included in property, plant and equipment, net, were pledged to collateralize the payment of nonrecourse mortgages payable.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March 31, 2014 and December 31, 2013, the total fair market value of investments in the Investment Funds made by Mr. Icahn and his affiliates (excluding Icahn Enterprises and Icahn Enterprises Holdings) was approximately $4.6 billion and $4.7 billion, respectively, representing approximately 50% and 56%, respectively, of the Investment Funds' asset under management.</w:t>
      </w:r>
    </w:p>
    <w:p>
      <w:pPr>
        <w:spacing w:after="0" w:line="7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Icahn Capital LP ("Icahn Capital"), a wholly owned indirect subsidiary of ours that owns the general partners of the Investment Funds, pays for expenses pertaining to the operation, administration and investment activities of our Investment segment for the benefit of the Investment Funds (including salaries, benefits and rent); Icahn Capital is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Such expenses relate to the operation, administration and investment activities of Icahn Capital for the benefit of the Investment Funds (including salaries, benefits and rent) and are allocated pro rata in accordance with each investor's capital accounts in the Investment Funds. For the three months ended March 31, 2014 and 2013, $16 million and $27 million, respectively, was allocated to the Investment Funds based on this expense-sharing arrangement.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December 6, 2013, Federal-Mogul entered into a backstop commitment letter ("Backstop Commitment") with High River Limited Partnership ("High River"), an affiliate of Mr. Icahn, in favor of Federal-Mogul with respect to its existing Tranche B term loan. The Backstop Commitment provided that if Federal-Mogul was unable to refinance its Tranche B term loan on or prior to September 27, 2014, High River or an affiliate thereof with at least the same net worth would provide loan financing of up to $1.6 billion to Federal-Mogul and its subsidiaries on arms-length terms to provide the funding necessary to repay the Tranche B term loan. As described in Note 18, "Subsequent Events - Automotive," the Backstop Commitment was terminated in connection with an amendment to Federal-Mogul's credit agreement on April 15,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Industries LLC ("ACF"), an affiliate of Mr. Icahn. The agreement was unanimously approved by the independent directors of ARI’s and Icahn</w:t>
      </w:r>
    </w:p>
    <w:p>
      <w:pPr>
        <w:sectPr>
          <w:pgSz w:w="11900" w:h="16838" w:orient="portrait"/>
          <w:cols w:equalWidth="0" w:num="1">
            <w:col w:w="11400"/>
          </w:cols>
          <w:pgMar w:left="240" w:top="233" w:right="25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Enterprises' audit committees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Subject to certain early termination events, the agreement will terminate on December 31, 2014.</w:t>
      </w:r>
    </w:p>
    <w:p>
      <w:pPr>
        <w:spacing w:after="0" w:line="8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expenditures.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has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ARI's revenues under this agreement were $5.7 million and $0.2 million for the three months ended March 31, 2014 and 2013, respectively, and were recorded for sales of railcar components to ACF and for royalties and profits on railcars sold by ACF.</w:t>
      </w:r>
    </w:p>
    <w:p>
      <w:pPr>
        <w:spacing w:after="0" w:line="62"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April 2013, AEP Leasing entered into an agreement (the "ACF Agreement") with ACF whereby AEP Leasing will purchase a total of 1,050 railcars from ACF in 2013 and 2014 for an aggregate purchase price of approximately $150 million. Additionally, AEP Leasing has an option that can be exercised any time prior to September 1, 2014 to purchase an additional 500 railcars for an aggregate purchase price of approximately $70 million.</w:t>
      </w:r>
    </w:p>
    <w:p>
      <w:pPr>
        <w:spacing w:after="0" w:line="5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$28 million for the three months ended March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Because of our controlling aggregate interest in Insight Portfolio Group, we consolidate Insight Portfolio Group and all intercompany transactions with respect to Insight Portfolio Group among our subsidiaries have been eliminated in consolidation. In addition, a number of other entities with which Mr. Icahn has a relationship, other than our subsidiaries listed above, also acquired equity interests in Insight Portfolio Group and also agreed to pay certain of Insight Portfolio Group's operating expenses, which such amounts are immaterial for each of the three months ended March 31,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ectPr>
          <w:pgSz w:w="11900" w:h="16838" w:orient="portrait"/>
          <w:cols w:equalWidth="0" w:num="1">
            <w:col w:w="11400"/>
          </w:cols>
          <w:pgMar w:left="240" w:top="23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Investment segment applied the fair value option to certain of its investments that would have otherwise been subject to the equity method of accounting. As of both March 31, 2014 and December 31, 2013, the fair value of these investments was less than $1 million. During the three months ended March 31, 2014 and 2013, our Investment segment recorded gains of less than $1 million and $40 million, respectively, associated with these investments. Such amounts are included in net (loss) gain from investment activities in our consolidated statements of operations.</w:t>
      </w:r>
    </w:p>
    <w:p>
      <w:pPr>
        <w:spacing w:after="0" w:line="6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March 31, 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2013</w:t>
            </w:r>
          </w:p>
        </w:tc>
      </w:tr>
      <w:tr>
        <w:trPr>
          <w:trHeight w:val="27"/>
        </w:trPr>
        <w:tc>
          <w:tcPr>
            <w:tcW w:w="6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82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(loss) gain from investment activities in the consolidated statements of operations.</w:t>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March 31, 2014 and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360"/>
              <w:spacing w:after="0"/>
              <w:rPr>
                <w:sz w:val="20"/>
                <w:szCs w:val="20"/>
                <w:color w:val="auto"/>
              </w:rPr>
            </w:pPr>
            <w:r>
              <w:rPr>
                <w:rFonts w:ascii="Arial" w:cs="Arial" w:eastAsia="Arial" w:hAnsi="Arial"/>
                <w:sz w:val="16"/>
                <w:szCs w:val="16"/>
                <w:b w:val="1"/>
                <w:bCs w:val="1"/>
                <w:color w:val="auto"/>
              </w:rPr>
              <w:t>March 31, 2014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3,522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14,413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14,414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investments measured at fair value for which our Investment segment has used Level 3 input to determine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gains</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Unrealized losses of less than $1 million are included in earnings related to Level 3 investments still held at March 31, 2014 by our Investment segment. Total realized and unrealized gains and losses recorded for Level 3 investments, if any, are reported in net (loss) gain from investment activities in our consolidated statements of operations.</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Investment Funds held one Level 3 corporate debt investment at March 31, 2014. Fair value was determined through yield analysis of comparable loans to which we applied a risk premium that we determined to be appropriate, which resulted in a lower valuation for our Level 3 investment. Increasing the risk premium by 1% would result in a 2% decrease in the fair value of the loan. Decreasing the risk premium by 1% would have no effect on the fair value of the loan because the loan is callable at par.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March 31, 2014 and 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ind w:left="4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changes in trading securities measured at fair value for which our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losses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Unrealized losses of $14 million are included in earnings related to Level 3 investments still held at March 31, 2014 by our Holding Company. Total realized and unrealized gains and losses recorded for Level 3 investments, if any, are reported in net (loss) gain from investment activities in our consolidated statements of operations.</w:t>
      </w:r>
    </w:p>
    <w:p>
      <w:pPr>
        <w:spacing w:after="0" w:line="17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6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Investment Funds were parties to swap agreements (“Swaps”) with respect to shares of SPDR. In August 2013, certain of the Investment Funds assigned their rights and obligations under certain of the Swaps to IEH Investments I LLC (“IEH Investments”), a wholly owned subsidiary of ours, and Koala, an affiliate of Mr. Icahn's. Certain of the Investment Funds assigned swaps referencing an aggregate 9.7 million SPDR shares to IEH Investments and swaps referencing an aggregate 7.7 million SPDR shares to Koala. In addition, the Investment Funds distributed an aggregate $234 million to IEH Investments and an aggregate $185 million to Koala, amounts equal to the underlying obligations under the assigned Swaps. As of March 31, 2014 and December 31, 2013, there were unrealized losses of $21 million and $14 million, respectively, with respect to these Swaps.</w:t>
      </w:r>
    </w:p>
    <w:p>
      <w:pPr>
        <w:spacing w:after="0" w:line="70"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March 31, 2014, the maximum payout amounts relating to certain put options written by the Investment Funds were $302 million. At December 31, 2013, the maximum payout amounts relating to certain put options written by the Investment Funds were $8.0 billion. As of March 31, 2014 and December 31, 2013, there were unrealized gains of less than $1 million and $131 million, respectively, with respect to these put options.</w:t>
      </w:r>
    </w:p>
    <w:p>
      <w:pPr>
        <w:spacing w:after="0" w:line="8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March 31, 2014 and December 31, 2013 was $820 million and $639 million, respectively.</w:t>
      </w:r>
    </w:p>
    <w:p>
      <w:pPr>
        <w:spacing w:after="0" w:line="8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At March 31, 2014 and December 31, 2013, the Investment Funds had $634 million and $255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guaranteed party based on another entity's failure to perform under an agreement as well as indirect guarantees of the indebtedness of others.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$52 million and $51 million at March 31, 2014 and December 31, 2013, respectively, substantially all of which mature within one year in each of the respective periods and all of which were designated as hedging instruments for accounting purposes. Unrealized net losses of $2 million and $1 million were recorded in accumulated other comprehensive loss as of March 31, 2014 and December 31, 2013,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Federal-Mogul had notional values of $9 million and $12 million of foreign currency hedge contracts outstanding at March 31, 2014 and December 31, 2013, respectively, all of which were designated as hedging instruments for accounting purposes. Unrealized net losses of zero and $1 million were recorded in accumulated other comprehensive loss as of March 31, 2014 and December 31, 2013, respectively, for these foreign currency contracts.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three months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ended March 31, 2014. Federal-Mogul had two VCS customers that accounted for 22% of its net accounts receivable balance as of March 31, 2014. Federal-Mogul requires placement of cash in financial institutions evaluated as highly creditworthy.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consolidated statements of operations.</w:t>
      </w:r>
    </w:p>
    <w:p>
      <w:pPr>
        <w:spacing w:after="0" w:line="8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There were no open commodity positions at March 31, 2014. The fair value of the open commodity positions as of December 31, 2013 was a net loss of less than $1 million which is included in accrued expenses and other liabilities in the consolidated balance sheets. For the three months ended March 31, 2014 and 2013, CVR recognized a net realized and unrealized loss of less than $1 million and $2 million, respectively, which is included in other income (loss), net in the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March 31, 2014 and December 31, 2013, CVR had open commodity hedging instruments consisting of 18.1 million and 23.3 million barrels of crack spreads, respectively, primarily to fix the margin on a portion of its future gasoline and distillate production. The fair value of the outstanding contracts at March 31, 2014 and December 31, 2013 was a net asset of $72 million and liability of $16 million, respectively. For the three months ended March 31, 2014 and 2013, CVR recognized net realized and unrealized gains of $110 million and realized and unrealized losses of $18 million, respectively, which is included in other income (loss), net in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Coffeyville Resources Nitrogen Fertilizers, LLC ("CRNF") is subject 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facility. As of both March 31, 2014 and December 31, 2013,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consolidated statements of operations. The realized losses on the interest rate swaps reclassified from accumulated other comprehensive loss into interest expense was less than $1 million for each of the three months ended March 31, 2014 and 2013.</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March 31, 2014, the volume of our derivative activities based on their notional exposure, categorized by primary underlying risk,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tcPr>
          <w:p>
            <w:pPr>
              <w:jc w:val="right"/>
              <w:ind w:right="414"/>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 default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9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20" w:type="dxa"/>
            <w:vAlign w:val="bottom"/>
            <w:gridSpan w:val="11"/>
          </w:tcPr>
          <w:p>
            <w:pPr>
              <w:ind w:left="380"/>
              <w:spacing w:after="0"/>
              <w:rPr>
                <w:sz w:val="20"/>
                <w:szCs w:val="20"/>
                <w:color w:val="auto"/>
              </w:rPr>
            </w:pPr>
            <w:r>
              <w:rPr>
                <w:rFonts w:ascii="Arial" w:cs="Arial" w:eastAsia="Arial" w:hAnsi="Arial"/>
                <w:sz w:val="18"/>
                <w:szCs w:val="18"/>
                <w:color w:val="auto"/>
                <w:w w:val="92"/>
              </w:rPr>
              <w:t>The following table presents the consolidated fair values of our derivatives that are not designated as hedging instruments: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2013</w:t>
            </w:r>
          </w:p>
        </w:tc>
        <w:tc>
          <w:tcPr>
            <w:tcW w:w="3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2013</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r>
      <w:tr>
        <w:trPr>
          <w:trHeight w:val="270"/>
        </w:trPr>
        <w:tc>
          <w:tcPr>
            <w:tcW w:w="3300" w:type="dxa"/>
            <w:vAlign w:val="bottom"/>
            <w:tcBorders>
              <w:bottom w:val="single" w:sz="8" w:color="CCEEFF"/>
            </w:tcBorders>
            <w:gridSpan w:val="2"/>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330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560" w:hanging="172"/>
        <w:spacing w:after="0" w:line="255"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March 31, 2014 and December 31, 2013 was $634 million and $255 million, respectively, across all counterparties.</w:t>
      </w:r>
    </w:p>
    <w:p>
      <w:pPr>
        <w:spacing w:after="0" w:line="200" w:lineRule="exact"/>
        <w:rPr>
          <w:sz w:val="20"/>
          <w:szCs w:val="20"/>
          <w:color w:val="auto"/>
        </w:rPr>
      </w:pPr>
    </w:p>
    <w:p>
      <w:pPr>
        <w:spacing w:after="0" w:line="20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months ended March 31, 2014 and 2013:</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4639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80" w:type="dxa"/>
            <w:vAlign w:val="bottom"/>
          </w:tcPr>
          <w:p>
            <w:pPr>
              <w:jc w:val="right"/>
              <w:ind w:right="713"/>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r>
      <w:tr>
        <w:trPr>
          <w:trHeight w:val="27"/>
        </w:trPr>
        <w:tc>
          <w:tcPr>
            <w:tcW w:w="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2"/>
        </w:trPr>
        <w:tc>
          <w:tcPr>
            <w:tcW w:w="460" w:type="dxa"/>
            <w:vAlign w:val="bottom"/>
          </w:tcPr>
          <w:p>
            <w:pPr>
              <w:spacing w:after="0"/>
              <w:rPr>
                <w:sz w:val="21"/>
                <w:szCs w:val="21"/>
                <w:color w:val="auto"/>
              </w:rPr>
            </w:pPr>
          </w:p>
        </w:tc>
        <w:tc>
          <w:tcPr>
            <w:tcW w:w="214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r>
      <w:tr>
        <w:trPr>
          <w:trHeight w:val="255"/>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0"/>
        </w:trPr>
        <w:tc>
          <w:tcPr>
            <w:tcW w:w="46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
        </w:trPr>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720" w:space="720"/>
            <w:col w:w="3980"/>
          </w:cols>
          <w:pgMar w:left="240" w:top="337" w:right="239" w:bottom="1440" w:gutter="0" w:footer="0" w:header="0"/>
          <w:type w:val="continuous"/>
        </w:sectPr>
      </w:pPr>
    </w:p>
    <w:p>
      <w:pPr>
        <w:ind w:left="180" w:right="260" w:hanging="172"/>
        <w:spacing w:after="0" w:line="273"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(loss)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28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2014</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2013</w:t>
            </w:r>
          </w:p>
        </w:tc>
        <w:tc>
          <w:tcPr>
            <w:tcW w:w="3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2014</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2013</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Netting across contract types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2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the three months ended March 31, 2014 and 2013: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00" w:type="dxa"/>
            <w:vAlign w:val="bottom"/>
          </w:tcPr>
          <w:p>
            <w:pPr>
              <w:spacing w:after="0"/>
              <w:rPr>
                <w:sz w:val="24"/>
                <w:szCs w:val="24"/>
                <w:color w:val="auto"/>
              </w:rPr>
            </w:pPr>
          </w:p>
        </w:tc>
        <w:tc>
          <w:tcPr>
            <w:tcW w:w="3400" w:type="dxa"/>
            <w:vAlign w:val="bottom"/>
            <w:gridSpan w:val="5"/>
          </w:tcPr>
          <w:p>
            <w:pPr>
              <w:ind w:left="480"/>
              <w:spacing w:after="0"/>
              <w:rPr>
                <w:sz w:val="20"/>
                <w:szCs w:val="20"/>
                <w:color w:val="auto"/>
              </w:rPr>
            </w:pPr>
            <w:r>
              <w:rPr>
                <w:rFonts w:ascii="Arial" w:cs="Arial" w:eastAsia="Arial" w:hAnsi="Arial"/>
                <w:sz w:val="18"/>
                <w:szCs w:val="18"/>
                <w:b w:val="1"/>
                <w:bCs w:val="1"/>
                <w:color w:val="auto"/>
                <w:w w:val="93"/>
              </w:rPr>
              <w:t>Three Months Ended March 31, 2013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872"/>
        </w:trPr>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1,902</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Amortization expense associated with definite-lived intangible assets for the three months ended March 31, 2014 and 2013 was $20 million and $21 million, respectively. We utilize the straight-line method of amortization, recognized over the estimated useful lives of the assets.</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During the first quarter of 2014, our Automotive segment acquired Dimitrovgradskiy Zavod Vkladishey, a Russian bearings manufacturer, for $17 million in cash and allocated $8 million to goodwill, $4 million to customer relationships and $2 million to trademarks and brand names.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80" w:type="dxa"/>
            <w:vAlign w:val="bottom"/>
          </w:tcPr>
          <w:p>
            <w:pPr>
              <w:spacing w:after="0"/>
              <w:rPr>
                <w:sz w:val="21"/>
                <w:szCs w:val="21"/>
                <w:color w:val="auto"/>
              </w:rPr>
            </w:pPr>
          </w:p>
        </w:tc>
        <w:tc>
          <w:tcPr>
            <w:tcW w:w="39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3,017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11,289</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8,077</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three months ended March 31, 2014 and 2013 was $167 million and $149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Icahn Enterprises</w:t>
            </w:r>
          </w:p>
        </w:tc>
        <w:tc>
          <w:tcPr>
            <w:tcW w:w="140" w:type="dxa"/>
            <w:vAlign w:val="bottom"/>
          </w:tcPr>
          <w:p>
            <w:pPr>
              <w:spacing w:after="0"/>
              <w:rPr>
                <w:sz w:val="24"/>
                <w:szCs w:val="24"/>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8.00% senior unsecured notes due 2018 -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260" w:firstLine="405"/>
        <w:spacing w:after="0" w:line="290" w:lineRule="auto"/>
        <w:rPr>
          <w:sz w:val="20"/>
          <w:szCs w:val="20"/>
          <w:color w:val="auto"/>
        </w:rPr>
      </w:pPr>
      <w:r>
        <w:rPr>
          <w:rFonts w:ascii="Arial" w:cs="Arial" w:eastAsia="Arial" w:hAnsi="Arial"/>
          <w:sz w:val="16"/>
          <w:szCs w:val="16"/>
          <w:color w:val="auto"/>
        </w:rPr>
        <w:t>On January 29, 2014, we and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5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On or after August 1, 2017 and prior to February 1, 2018, the Issuers may redeem all of the 2022 Notes at a price equal to 104.406% of the principal amount of the 2022 Notes, plus accrued and unpaid interest, with such optional redemption prices decreasing to 102.938% on and after February 1, 2018, 101.469% on or after February 1, 2019 and 100.000% on and after February 1, 2020. Before August 1, 2017, the Issuers may redeem the 2022 Notes upon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repayment of a make-whole premium. Before February 1, 2017, the Issuers may redeem up to 35% of the aggregate principal amount of 2022 Notes with the net proceeds of certain equity offerings at a price equal to 105.875% of the aggregate principal amount thereof, plus accrued and unpaid interest to the date of redemption, provided that at least 65% of the aggregate principal amount of the 2022 Notes originally issued remains outstanding immediately after such redemption. If the Issuers experience a change of control, the Issuers must offer to purchase for cash all or any part of each holder’s 2022 Notes at a purchase price equal to 101% of the principal amount of the 2022 Notes, plus accrued and unpaid interest.</w:t>
      </w:r>
    </w:p>
    <w:p>
      <w:pPr>
        <w:spacing w:after="0" w:line="64"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Icahn Enterprises Holdings, as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On or after February 1, 2017, the Issuers may redeem all of the 2020 Notes at a price equal to 104.5% of the 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the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6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7"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by and among the Issuers, Icahn Enterprises Holdings, as guarantor, and Citigroup Global Markets Inc., Credit Suisse Securities (USA) LLC, Morgan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Stanley &amp; Co. LLC, Jefferies LLC and UBS Securities LLC, as initial purchasers (the “New Notes Purchasers”). The net proceeds from the sale of the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2017 Notes were approximately $1.269 billion and $1.169 billion, respectively, after deducting the initial purchasers' discount and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estimated fees and expenses related to the offering.</w:t>
      </w:r>
    </w:p>
    <w:p>
      <w:pPr>
        <w:spacing w:after="0" w:line="10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used the proceeds from the issuance of the Additional 2020 Notes, the 2019 Notes, and the 2017 Notes to refinance our 2010-2012 Notes (as defined below). As a result of this refinancing, we purchased $3.500 billion aggregate principal of the 2010-2012 Notes and recognized a loss of $108 million on extinguishment of debt during the first quarter of 2014. The 2016 Notes (as defined below) and the 2018 Notes (as defined below) comprising the 2010-2012 Notes were discharged in full on February 6, 2014.</w:t>
      </w:r>
    </w:p>
    <w:p>
      <w:pPr>
        <w:spacing w:after="0" w:line="7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 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 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 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6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is currently set to expire on May 23,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8.00% Senior Unsecured Notes Due 2018 and 7.75% Senior Unsecured Notes Due 2016</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January 15, 2010, the Issuers issued $850 million aggregate principal amount of 7.75% Senior Unsecured Notes due 2016 (the “2016 Notes”) and $1.150 billion aggregate principal amount of 8% Senior Unsecured Notes due 2018 (the “2018 Notes” and, together with the 2016 Notes, the “Initial Notes”) pursuant to the purchase agreement, dated January 12, 2010, by and among the Issuers, Icahn Enterprises Holdings, as guarantor, and Jefferies &amp; Company, Inc., as initial purchaser. The gross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proceeds from the sale of the Initial Notes were $1.987 billion, a portion of which was used to retire certain notes during 2010. Interest on the Initial Notes was payable on January 15 and July 15 of each year, commencing July 15, 2010.</w:t>
      </w:r>
    </w:p>
    <w:p>
      <w:pPr>
        <w:spacing w:after="0" w:line="62"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$1.000 billion aggregate principal amount of the 2018 Notes (such notes are collectively referred to as the “2012 Additional Notes”), pursuant to respective purchase agreements, by and among the Issuers, Icahn Enterprises Holdings, as guarantor, and Jefferies &amp; Company, Inc., as initial purchaser. The 2010 Additional Notes and 2012 Additional Notes constituted the same series of securities as the Initial Notes for purposes of the indenture governing the notes and voted together on all matters with such series. The 2010 Additional Notes and the 2012 Additional Notes had substantially identical terms as the Initial Notes.</w:t>
      </w:r>
    </w:p>
    <w:p>
      <w:pPr>
        <w:spacing w:after="0" w:line="89"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Initial Notes, the 2010 Additional Notes and the 2012 Additional Notes (referred to collectively as the "2010-2012 Notes") were issued under and are governed by an indenture, dated January 15, 2010 (the “2016 and 2018 Indenture”), among the Issuers, the Guarantor and Wilmington Trust Company, as trustee. The 2016 and 2018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were able to redeem all of the 2018 Notes at a price equal to</w:t>
      </w:r>
    </w:p>
    <w:p>
      <w:pPr>
        <w:spacing w:after="0" w:line="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104.000% of the principal amount of the 2018 Notes, plus accrued and unpaid interest, with such optional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remained outstanding immediately after such redemption. If the Issuers experienced a change of control, the Issuers were required to purchase for cash all or any part of each holder's notes at a purchase price equal to 101% of the principal amount of the notes, plus accrued and unpaid interest.</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discussed above, we used the proceeds from the issuance of New Notes and 2022 Notes on January 21, 2014 and January 29, 2014, respectively, to refinance our 2010-2012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March 31, 2014 and December 31, 2013, we were in compliance with all covenants, including maintaining certain minimum financial ratios, as defined in the indentures. Additionally, as of March 31, 2014, based on covenants in the indentures governing our senior unsecured notes, we are permitted to incur approximately $1.6 billion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Advances under the Federal-Mogul Replacement Revolving Facility generally bear interest at a variable rate per annum equal to (i) the Alternate Base Rate (as defined in the Credit Agreement) plus an adjustable margin of 0.50% to 1.00% based on the average monthly availability under the Federal-Mogul Replacement Revolving Facility or (ii) Adjusted LIBOR Rate (as defined in the Federal-Mogul Credit Agreement) plus a margin of 1.50% to 2.00% based on the average monthly availability under the Federal-Mogul Replacement Revolving Facility. An unused commitment fee of 0.375% also is payable under the terms of the Revolver Amendment.</w:t>
      </w:r>
    </w:p>
    <w:p>
      <w:pPr>
        <w:spacing w:after="0" w:line="80"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Under certain limited circumstances the maturity date of the Federal-Mogul Replacement Revolving Facility may be accelerated. In the event that as of a particular determination date more than $300 million aggregate principal amount of Federal-Mogul’s existing term loans and certain related refinancing indebtedness will become due within 91 days of such determination date, the Federal-Mogul Replacement Revolving Facility will mature on such determination date. See Note 18, "Subsequent Events - Automotive," for discussion about a subsequent amendment to the Credit Agreement.</w:t>
      </w:r>
    </w:p>
    <w:p>
      <w:pPr>
        <w:spacing w:after="0" w:line="6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Revolver Amendment did not alter Federal-Mogul’s existing tranche B or tranche C term loans under the Credit Agreement. The tranche B term loans mature December 27, 2014 and the tranche C term loans mature December 27, 2015. All term loans bear interest at LIBOR plus 1.9375%. As described in Note 18, the Federal-Mogul Credit Agreement was amended.</w:t>
      </w:r>
    </w:p>
    <w:p>
      <w:pPr>
        <w:spacing w:after="0" w:line="7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jc w:val="both"/>
        <w:ind w:right="40" w:firstLine="8"/>
        <w:spacing w:after="0" w:line="302" w:lineRule="auto"/>
        <w:tabs>
          <w:tab w:leader="none" w:pos="1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investments; ii) certain acquisitions, mergers or consolidations; iii) sale and leaseback transactions; iv) certain transactions with affiliates; and v) dividends and other payments in respect of capital stock. Pursuant to the terms of the credit facility, $50 million of the tranche C term loan proceeds were deposited in a term letter of credit account. At March 31, 2014 and December 31, 2013, Federal-Mogul was in compliance with all debt covenants.</w:t>
      </w:r>
    </w:p>
    <w:p>
      <w:pPr>
        <w:spacing w:after="0" w:line="4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both March 31, 2014 and December 31, 2013, the borrowing availability under the Federal-Mogul Replacement Revolving Facility was $550 million. Federal-Mogul had $38 million and $39 million of letters of credit outstanding as March 31, 2014 and December 31, 2013, respectively, pertaining to Federal-Mogul's term loan credit facility. To the extent letters of credit associated with the Federal-Mogul Replacement Revolving Facility are issued, there is a corresponding decrease in borrowings available under this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23, 2013, a portion of the proceeds from CVR Refining's IPO were utilized to satisfy and discharge the indenture governing the CVR Second Lien Secured Notes due 2017 ("CVR Second Lien Notes"). As a result, all of the outstanding CVR Second Lien Notes were redeemed on January 23, 2013 resulting in a gain on extinguishment of debt of $5 million for our Energy segment in the first quarter of 2013.</w:t>
      </w:r>
    </w:p>
    <w:p>
      <w:pPr>
        <w:spacing w:after="0" w:line="73"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On October 23, 2012, CVR Refining LLC (“Refining LLC”) and its wholly owned subsidiary, Coffeyville Finance Inc., completed a private offering of $500 million in aggregate principal amount of 6.50% Senior Notes due 2022 (the "CVR 2022 Notes"). The CVR 2022 Notes were issued at par.</w:t>
      </w:r>
    </w:p>
    <w:p>
      <w:pPr>
        <w:ind w:right="140"/>
        <w:spacing w:after="0" w:line="254" w:lineRule="auto"/>
        <w:rPr>
          <w:sz w:val="20"/>
          <w:szCs w:val="20"/>
          <w:color w:val="auto"/>
        </w:rPr>
      </w:pPr>
      <w:r>
        <w:rPr>
          <w:rFonts w:ascii="Arial" w:cs="Arial" w:eastAsia="Arial" w:hAnsi="Arial"/>
          <w:sz w:val="18"/>
          <w:szCs w:val="18"/>
          <w:color w:val="auto"/>
        </w:rPr>
        <w:t>Refining LLC received $493 million of cash proceeds, net of underwriting fees.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8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March 31, 2014, CVR Refining was in compliance with the covenants contained in the CVR 2022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CVR Refining and its respective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facility also contains a fixed charge coverage ratio financial covenant, as defined therein. CVR Refining was in compliance with the covenants of the Amended and Restated ABL Credit Facility as of March 31, 2014.</w:t>
      </w:r>
    </w:p>
    <w:p>
      <w:pPr>
        <w:spacing w:after="0" w:line="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March 31, 2014, CVR Refining and its subsidiaries had availability under the Amended and Restated ABL Credit Facility of $373 million and had letters of credit outstanding of $27 million. There were no borrowings outstanding under the Amended and Restated ABL Credit Facility as of March 31,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March 31, 2014, with an uncommitted incremental facility of up to $50 million. No amounts were outstanding under the revolving credit facility at March 31, 2014. There is no scheduled amortization of the credit facility, which matures in April 2016.</w:t>
      </w:r>
    </w:p>
    <w:p>
      <w:pPr>
        <w:spacing w:after="0" w:line="4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credit facility requires CVR Partners to maintain a minimum interest coverage ratio and a maximum leverage ratio and contains customary covenants for a financing of this type that limit, subject to certain exceptions, the incurrence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indebtedness or guarantees, the creation of liens on assets and the ability of CVR Partners to dispose of assets, to make restricted payments, investments and acquisitions, and the ability to enter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March 31, 2014, CRNF was in compliance with the covenants contained in the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Senior Unsecured Notes</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 February 2007, ARI issued $275 million senior unsecured fixed rate notes that were subsequently exchanged for registered notes in March 2007 (the “ARI Notes”). In September 2012, ARI voluntarily redeemed $100 million of its ARI Notes utilizing cash on hand. On March 1, 2013, ARI voluntarily redeemed the remaining $175 million of its ARI Notes outstanding. In connection with these redemptions, ARI recorded a loss on extinguishment of debt of less than $1 million in the first quarter of 2013, which is reflected in other income (loss),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Lease Fleet Financing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2012, ARI, through its wholly owned subsidiary (the "ARI Subsidiary"), entered into a senior secured delayed draw term loan facility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("Original ARI Term Loan") that is secured by a portfolio of railcars, railcar leases, the receivables associated with those railcars and leases and certain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assets. The Original ARI Term Loan provided for an initial draw at closing and allowed for up to two additional draws. Upon closing, the initial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$98 million, net of fees and expenses. During the first half of 2013, ARI made two additional draws, which resulted in aggregate net proceeds of $100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fully utilizing the capacity of the ARI Term Loan. As December 31, 2013, the outstanding principal balance on the Original ARI Term Loan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$195 million. The Original ARI Term Loan, which had a maturity date of February 27, 2018, bore interest at one-month LIBOR plus 2.5%, for a rate of 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 Original ARI Term Loan was paid in full in connection with the refinancing transaction discussed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January 2014, the ARI Subsidiary refinanced its Original ARI Term Loan under an amended and restated credit agreement (the "ARI Amended and Restated Credit Agreement") to, among other things, increase the aggregate borrowings available thereunder. In connection with the refinancing, ARI Subsidiary received borrowings of $316 million, net of fees and expenses. Of this amount, $194 million was used to refinance the Original ARI Term Loan, resulting in net proceeds of $122 million. In conjunction with the refinancing, ARI incurred a $2 million loss on extinguishment of debt, which is reflected in other income (loss), net in our consolidated statements of operations.</w:t>
      </w:r>
    </w:p>
    <w:p>
      <w:pPr>
        <w:spacing w:after="0" w:line="8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terms of the ARI Amended and Restated Credit Agreement also provide ARI Subsidiary with the right, but not the obligation, to increase the amount of the facility in an aggregate additional amount not to exceed $100 million subject to the conditions set forth in the ARI Amended and Restated Credit Agreement. The new facility, which matures in January 2020, accrues interest at a rate per annum equal to the 1-month LIBOR rate plus 2.0%, for a rate of 2.2% as of March 31, 2014, subject to an alternative fee as set forth in the ARI Amended and Restated Credit Agreement, and is payable on the 15th of each month ("Payment Date"). The interest rate increases by 2.0% following certain events of default.</w:t>
      </w:r>
    </w:p>
    <w:p>
      <w:pPr>
        <w:spacing w:after="0" w:line="6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Pursuant to the terms of the Original ARI Term Loan and the ARI Amended and Restated Credit Agreement, ARI is required to maintain deposits in an interest reserve bank account equal to nine and seven months, respectively, of interest payments. As of both March 31, 2014 and December 31, 2013, the interest reserve amount was $4 million. ARI is required to pay principal at an annual rate of 3.33% of the borrowed amount via monthly payments that are due on the Payment Date, which commenced on February 17, 2014 in relation to the ARI Amended and Restated Credit Agreement with any remaining balance payable on the final scheduled maturity date. The ARI Amended and Restated Credit Agreement may be prepaid at any time without premium or penalty, other than customary LIBOR breakage fees. ARI Subsidiary is required to maintain a loan to value ratio of at least 80% of the Net Aggregate Equipment Value, as defined in the ARI Amended and Restated Credit Agreement.</w:t>
      </w:r>
    </w:p>
    <w:p>
      <w:pPr>
        <w:spacing w:after="0" w:line="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ARI Amended and Restated Credit Agreement contains certain representations, warranties, and affirmative and negative covenants applicable to ARI and/or the ARI Subsidiary. Key covenants include limitations on the ARI Subsidiary’s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indebtedness, liens, investments, acquisitions, asset sales, redemption payments, and affiliate and extraordinary transactions; full cash sweep; covenants relating to the maintenance of the ARI Subsidiary as a separate legal entity; financial and other reporting and periodic appraisals; maintenance of railcars, leases, and other assets; and the ARI Subsidiary’s compliance with a Debt Service Coverage Ratio (as defined in the Amended and Restated Credit Agreement) of 1.05:1.00, measured quarterly on a nine-month trailing basis, and subject to up to a 75-135 day cure period.</w:t>
      </w:r>
    </w:p>
    <w:p>
      <w:pPr>
        <w:spacing w:after="0" w:line="4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ARI Amended and Restated Credit Agreement also obligates the ARI Subsidiary and ARI to maintain ARI’s separateness and to ensure that the collections from the railcar leases along with the railcars that secure the ARI Amended and Restated Credit Agreement are managed in accordance with the credit agreement. Additionally, ARI is obligated to make any selections of transfers of railcars, railcar leases, receivables and related assets to be conveyed to the ARI Subsidiary in good faith and without any adverse selection, to cause ARL, as the manager, to maintain, lease, and re-lease the ARI Subsidiary’s equipment no less favorably than similar portfolios serviced by ARL, and to repurchase or replace railcars that are reported as Eligible Units (as defined in the credit agreement) when they are not Eligible Units, subject to limitations on liability set forth in the credit agreement. ARI was in compliance with all of its covenants under the ARI Amended and Restated Credit Agreement as of March 31, 2014.</w:t>
      </w:r>
    </w:p>
    <w:p>
      <w:pPr>
        <w:spacing w:after="0" w:line="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ARI Amended and Restated Credit Agreement and the Original ARI Term Loan are secured by a first lien on substantially all assets of ARI Subsidiary, consisting of railcars, railcar leases, receivables and related assets, subject to borrowing base calculations and limited exceptions. As of March 31, 2014 and December 31, 2013, the net book value of the railcars that were pledged as part of the ARI Amended and Restated Credit Agreement and the Original ARI Term Loan were $312 million and $217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January 14, 2011 ARL closed on the refinancing of a revolving credit agreement (the "ARL Sovereign Revolver") with Sovereign Bank as the administrative agent, along with several other participating banks. The available capacity of the original ARL Sovereign Revolver was $40 million. The refinanced facility increased the ARL Sovereign Revolver's availability to $110 million. On June 8, 2011 ARL entered into an Amendment No. 1 to the revolving credit agreement whereby an additional bank participated, increasing the available capacity of the ARL Sovereign Revolver to $130 million. On July 12, 2013 ARL entered into an Amendment No. 2 where the availability capacity was reduced to $120 million and by the maturity date was extended to July 14, 2014.</w:t>
      </w:r>
    </w:p>
    <w:p>
      <w:pPr>
        <w:spacing w:after="0" w:line="85"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obligations under the ARL Sovereign Revolver bear interest at a variable rate based on LIBOR plus an applicable margin and are secured by railcars and related leases and lease receivables and are subject to certain covenants, including maintenance of certain financial ratios related to net worth, utilization and loan to value. As of March 31, 2014, ARL was in compliance with all debt covenants with respect to the Sovereign Revolver.</w:t>
      </w:r>
    </w:p>
    <w:p>
      <w:pPr>
        <w:spacing w:after="0" w:line="3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As of both March 31, 2014 and December 31, 2013, ARL had availability under the ARL Sovereign Revolver of $73 million and had outstanding borrowings of $47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April 1, 2014 and July 16, 2019, and the rest bear interest at rates between 5.84% and 6.95% and have maturities between July 28, 2014 and April 1, 2018.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new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new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new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w:t>
      </w:r>
    </w:p>
    <w:p>
      <w:pPr>
        <w:spacing w:after="0" w:line="8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both March 31, 2014 and December 31, 2013,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12, 2012, a subsidiary of ARL entered into a bond securitization transaction with RBS Securities, Inc. as the initial purchaser of the $110 million principal amount of the Floating Secured Railcar Equipment Notes, Class A-1 ("ARL Class A-1 Notes"), and the $106 million principal amount of the Fixed Rate Secured Railcar Equipment Notes, Class A-2 ("ARL Class A-2 Notes" and, together with the ARL Class A-1 Notes, collectively referred to herein as the "ARL Bond Securitization Notes") . The ARL Class A-1 Notes bear interest of LIBOR plus 1.75%; the ARL Class A-2 Notes bear a fixed interest rate of 3.81%. Interest on each of the ARL Bond Securitization Notes are payable on the 15th calendar day of each month starting on January 15, 2013. The expected principal repayment date for the ARL Bond Securitization Notes is December 15, 2022 and the legal final maturity date for the ARL Bond Securitization Notes is December 15, 2042.</w:t>
      </w:r>
    </w:p>
    <w:p>
      <w:pPr>
        <w:spacing w:after="0" w:line="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Each of the ARL Bond Securitization Notes is subject to certain covenants, including the maintenance of certain financial ratios related to net worth, utilization and lease rates. As of both March 31, 2014 and December 31, 2013, ARL was in compliance with all debt covenants with respect to the ARL Bond Securitization Notes.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LIBOR rate was 0.15% and 0.17% at March 31, 2014 and December 31, 2013,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Facilities</w:t>
      </w:r>
    </w:p>
    <w:p>
      <w:pPr>
        <w:spacing w:after="0" w:line="117"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color w:val="auto"/>
        </w:rPr>
        <w:t>On November 27, 2013, Tropicana entered into (i) a senior secured first lien term loan facility in an aggregate principal amount of $300 million, issued at a discount of 0.5% (the “Tropicana New Term Loan Facility”) and (ii) a senior secured first lien revolving credit facility in an aggregate principal amount of $15 million (the “Tropicana Revolving Facility” and, together with the Tropicana New Term Loan Facility, the “Tropicana New Credit Facilities”).</w:t>
      </w:r>
    </w:p>
    <w:p>
      <w:pPr>
        <w:spacing w:after="0" w:line="277" w:lineRule="auto"/>
        <w:rPr>
          <w:sz w:val="20"/>
          <w:szCs w:val="20"/>
          <w:color w:val="auto"/>
        </w:rPr>
      </w:pPr>
      <w:r>
        <w:rPr>
          <w:rFonts w:ascii="Arial" w:cs="Arial" w:eastAsia="Arial" w:hAnsi="Arial"/>
          <w:sz w:val="17"/>
          <w:szCs w:val="17"/>
          <w:color w:val="auto"/>
        </w:rPr>
        <w:t>Commencing on December 31, 2013, the Tropicana New Term Loan Facility will amortize in equal quarterly installments in an amount of $750,000, with any remaining balance payable on the final maturity date of the Tropicana New Term Loan Facility, which is November 27, 2020. Amounts under the Tropicana Revolving Facility are available to be borrowed and re-borrowed until its termination on November 27, 2018.</w:t>
      </w:r>
    </w:p>
    <w:p>
      <w:pPr>
        <w:spacing w:after="0" w:line="6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proceeds of $172 million from the Tropicana New Credit Facilities were used to repay in full the principal amounts outstanding under the Tropicana's prior credit facilities. Tropicana's prior credit facilities were terminated effective as of November 27, 2013. Our Gaming segment recognized a loss on extinguishment of debt of $5 million which related to the write-off of unamortized debt issuance costs and discounts during the fourth quarter of 2013. A portion of the proceeds from the Tropicana New Credit Facilities was used to finance Tropicana's acquisition of the Lumière as further described in Note 2, "Operating Units - Gaming."</w:t>
      </w:r>
    </w:p>
    <w:p>
      <w:pPr>
        <w:spacing w:after="0" w:line="8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Tropicana New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37"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March 31, 2014, the interest rate on the Tropicana New Term Loan Facility was 4.0% and the Tropicana Revolving Facility was undrawn and had $15 million of availability.</w:t>
      </w:r>
    </w:p>
    <w:p>
      <w:pPr>
        <w:spacing w:after="0" w:line="8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Tropicana New Credit Facilities are guaranteed by all of Tropicana's domestic subsidiaries, subject to limited exceptions where gaming approval is being sought, and additional subsidiaries may be required to provide guarantees, subject to limited exceptions. The Tropicana New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New Credit Facilities.</w:t>
      </w:r>
    </w:p>
    <w:p>
      <w:pPr>
        <w:spacing w:after="0" w:line="8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New Credit Facilities may be increased, which increased amount may be comprised of additional term loans and revolving loans.</w:t>
      </w:r>
    </w:p>
    <w:p>
      <w:pPr>
        <w:spacing w:after="0" w:line="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Tropicana New Term Loan Facility may be prepaid at the option of Tropicana at any time without penalty (other than customary LIBO Rate breakage fees), except that a 1% re-pricing premium will apply in certain circumstances if any term loans under the Tropicana New Term Loan Facility are prepaid prior to May 27, 2014. Tropicana is required to make mandatory payments of the Tropicana New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85"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New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New Term Loan Facility at March 31, 2014.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in connection with this debt extinguishment. 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7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37"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December 2009, Viskase issued $175 million of 9.875% Senior Secured Notes due 2018 (the “Viskase 9.875% Notes”). The Viskase 9.875% Notes bore interest at a rate of 9.875% per annum, payable semi-annually in cash on January 15 and July 15, commencing on July 15, 2010. In May 2010, Viskase issued an additional $40 million aggregate principal amount of Viskase 9.875% Notes under the indenture governing the Viskase 9.875% Notes (the “Viskase 9.875% Notes Indenture”). The Viskase 9.875% Notes had a maturity date of January 15, 2018. As discussed above, in connection with certain financing transactions, the Viskase 9.875% Notes were paid off in full on January 30, 2014 and our Food Packaging segment recorded a loss on debt extinguishment of $16 million during the first quarter of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its foreign operations, Viskase has unsecured lines of credit with various banks providing approximately $8 million of availability as of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2014. There were no borrowings under the lines of credit at March 31, 2014 and December 31, 2013.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Letters of credit in the amount of $1 million were outstanding under facilities with a commercial bank, and were cash collateralized at each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December 31, 2013.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May 11, 2014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new letter of credit facility (the "LC Facility"), with a nationally recognized bank (the "LC Issuer"). This one-year LC Facility, which was renewed on October 15, 2013, has a $10 million credit line. The letters of credit under the LC Facility are subject to 0.50% annual fee on the outstanding face amount of the letters of credit issued under the LC Facility, which face amount as of March 31, 2014 was approximately $6 million. Obligations under the LC Facility are secured by a cash collateral account pledged by WPH to the LC Issuer. The LC Facility does not contain any financial covenants. WPH has determined that its liquidity needs are sufficiently covered by existing and projected cash resources for the foreseeable future. In the future, WPH may explore other financing options as circumstances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Federal-Mogul, ARI and Viskase each sponsor several defined benefit pension plans (the ''Pension Benefits'') (and, in the case of Viskase, its pension plans include defined contribution plans). Additionally, Federal-Mogul, ARI and Viskase each sponsors health care and life insurance benefits (''Other Post-Employment Benefits'' or "OPEB")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months ended March 31, 2014 and 2013 are as follows:</w:t>
      </w:r>
    </w:p>
    <w:p>
      <w:pPr>
        <w:spacing w:after="0" w:line="275" w:lineRule="exact"/>
        <w:rPr>
          <w:sz w:val="20"/>
          <w:szCs w:val="20"/>
          <w:color w:val="auto"/>
        </w:rPr>
      </w:pPr>
    </w:p>
    <w:p>
      <w:pPr>
        <w:jc w:val="right"/>
        <w:ind w:right="1500"/>
        <w:spacing w:after="0"/>
        <w:tabs>
          <w:tab w:leader="none" w:pos="460" w:val="left"/>
        </w:tabs>
        <w:rPr>
          <w:sz w:val="20"/>
          <w:szCs w:val="20"/>
          <w:color w:val="auto"/>
        </w:rPr>
      </w:pPr>
      <w:r>
        <w:rPr>
          <w:rFonts w:ascii="Arial" w:cs="Arial" w:eastAsia="Arial" w:hAnsi="Arial"/>
          <w:sz w:val="18"/>
          <w:szCs w:val="18"/>
          <w:b w:val="1"/>
          <w:bCs w:val="1"/>
          <w:color w:val="auto"/>
        </w:rPr>
        <w:t>Pension Benefits</w:t>
      </w:r>
      <w:r>
        <w:rPr>
          <w:sz w:val="20"/>
          <w:szCs w:val="20"/>
          <w:color w:val="auto"/>
        </w:rPr>
        <w:tab/>
      </w:r>
      <w:r>
        <w:rPr>
          <w:rFonts w:ascii="Arial" w:cs="Arial" w:eastAsia="Arial" w:hAnsi="Arial"/>
          <w:sz w:val="16"/>
          <w:szCs w:val="16"/>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77"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48895</wp:posOffset>
            </wp:positionV>
            <wp:extent cx="2229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130" w:lineRule="exact"/>
        <w:rPr>
          <w:sz w:val="20"/>
          <w:szCs w:val="20"/>
          <w:color w:val="auto"/>
        </w:rPr>
      </w:pPr>
    </w:p>
    <w:p>
      <w:pPr>
        <w:sectPr>
          <w:pgSz w:w="11900" w:h="16838" w:orient="portrait"/>
          <w:cols w:equalWidth="0" w:num="2">
            <w:col w:w="7720" w:space="720"/>
            <w:col w:w="29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24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780" w:type="dxa"/>
            <w:vAlign w:val="bottom"/>
            <w:gridSpan w:val="4"/>
          </w:tcPr>
          <w:p>
            <w:pPr>
              <w:jc w:val="right"/>
              <w:ind w:right="70"/>
              <w:spacing w:after="0"/>
              <w:rPr>
                <w:sz w:val="20"/>
                <w:szCs w:val="20"/>
                <w:color w:val="auto"/>
              </w:rPr>
            </w:pPr>
            <w:r>
              <w:rPr>
                <w:rFonts w:ascii="Arial" w:cs="Arial" w:eastAsia="Arial" w:hAnsi="Arial"/>
                <w:sz w:val="14"/>
                <w:szCs w:val="14"/>
                <w:color w:val="auto"/>
              </w:rPr>
              <w:t>(in millions, except per unit data)</w:t>
            </w:r>
          </w:p>
        </w:tc>
        <w:tc>
          <w:tcPr>
            <w:tcW w:w="52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Icahn Enterprises allocable to limited partners (98.01% allocation)</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311"/>
        </w:trPr>
        <w:tc>
          <w:tcPr>
            <w:tcW w:w="8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LP unit</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324"/>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324"/>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405"/>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Net proceeds from this equity offering were $194 million during the three months ended March 31, 2013 after deducting underwriting discounts, commissions and other offering related fees and expenses. Additionally, in connection with this equity</w:t>
      </w: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37" w:right="23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offering, our general partner made aggregate contributions of $4 million to Icahn Enterprises and Icahn Enterprises Holdings during the three months ended March 31, 2013 in order to maintain its 1% general partner interest in each of Icahn Enterprises and Icahn Enterprises Holdings.</w:t>
      </w:r>
    </w:p>
    <w:p>
      <w:pPr>
        <w:spacing w:after="0" w:line="3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issuance and sale of the depositary units in connection with this equity offering is registered under the Securities Act of 1933, as amended, pursuant to a shelf registration statement on Form S-3 (File No. 333-158705) filed with the SEC by Icahn Enterprises on April 22, 2009 and declared effective by the SEC on May 17,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February 25, 2014, Icahn Enterprises declared a quarterly distribution in the amount of $1.50 per depositary unit in which each depositary unit holder had the option to make an election to receive either cash or additional depositary units. As a result, on April 22, 2014, Icahn Enterprises distributed an aggregate 1,574,448 depositary units to unit holders electing to receive depositary units in connection with this distribution.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Icahn and his affiliates elected to receive a majority of their proportionate share of these distributions in depositary units. As of May 6, 2014,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and his affiliates owned 88.1% of Icahn Enterprises outstanding depositary units.</w:t>
      </w:r>
    </w:p>
    <w:p>
      <w:pPr>
        <w:spacing w:after="0" w:line="10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Because the depositary unit holder has the election to receive the distribution either in cash or additional depositary units, we recorded a unit distribution liability of $175 million on our consolidated balance sheets as the unit distribution had not been made as of March 31, 2014. In addition, the unit distribution liability, which is included in accrued expenses and other liabilities in the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As of March 31, 2014, our nine operating segments, which also constitute our reporting segments, are: (1) Investment; (2) Automotive; (3) Energy; (4) 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37" w:right="259" w:bottom="1440" w:gutter="0" w:footer="0" w:header="0"/>
        </w:sectPr>
      </w:pPr>
    </w:p>
    <w:bookmarkStart w:id="48" w:name="page49"/>
    <w:bookmarkEnd w:id="4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Icahn Enterprises' condensed statements of operations by reporting segment for the three months ended March 31, 2014 and 2013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90"/>
              </w:rPr>
              <w:t>Three Months Ended March 31, 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4,666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1,789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4,990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4,142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160</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loss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102</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90"/>
              </w:rPr>
              <w:t>Three Months Ended March 31, 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4,574</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1,680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2,338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188</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5,369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3,893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2,016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4,539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(120)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(433)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102</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5"/>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-5558155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-5901055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-6243955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-7633335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-635635</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-789940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-1132840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-1475740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-2865120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sectPr>
      </w:pPr>
    </w:p>
    <w:bookmarkStart w:id="49" w:name="page50"/>
    <w:bookmarkEnd w:id="49"/>
    <w:p>
      <w:pPr>
        <w:ind w:left="172" w:hanging="172"/>
        <w:spacing w:after="0" w:line="273" w:lineRule="auto"/>
        <w:tabs>
          <w:tab w:leader="none" w:pos="172" w:val="left"/>
        </w:tabs>
        <w:numPr>
          <w:ilvl w:val="0"/>
          <w:numId w:val="14"/>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Excludes amounts related to the amortization of deferred financing costs and debt discounts and premiums included in interest expense in the amounts of $10 million for each of the three months ended March 31, 2014 and 2013.</w:t>
      </w:r>
    </w:p>
    <w:p>
      <w:pPr>
        <w:spacing w:after="0" w:line="200" w:lineRule="exact"/>
        <w:rPr>
          <w:sz w:val="20"/>
          <w:szCs w:val="20"/>
          <w:color w:val="auto"/>
        </w:rPr>
      </w:pPr>
    </w:p>
    <w:p>
      <w:pPr>
        <w:spacing w:after="0" w:line="22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32"/>
          </w:cols>
          <w:pgMar w:left="248" w:top="36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Icahn Enterprises' condensed balance sheets by reporting segment as of March 31, 2014 and December 31, 2013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206"/>
              <w:spacing w:after="0"/>
              <w:rPr>
                <w:sz w:val="20"/>
                <w:szCs w:val="20"/>
                <w:color w:val="auto"/>
              </w:rPr>
            </w:pPr>
            <w:r>
              <w:rPr>
                <w:rFonts w:ascii="Arial" w:cs="Arial" w:eastAsia="Arial" w:hAnsi="Arial"/>
                <w:sz w:val="11"/>
                <w:szCs w:val="11"/>
                <w:b w:val="1"/>
                <w:bCs w:val="1"/>
                <w:color w:val="auto"/>
                <w:w w:val="91"/>
              </w:rPr>
              <w:t>March 31, 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3,342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729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14,846</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1,927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1,955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8,170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1,027</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15,166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2,468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35,186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5,387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3,853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1,090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2,597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11,067</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5,827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1,911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5,873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22,295</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(4,704)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5,996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6,895</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9,339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2,161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3,710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557</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(4,704)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12,891</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15,166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2,468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35,186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12,261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1,889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8,077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4,943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9,295</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5,421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1,657</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18,436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6,092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7,217</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3,522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890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13,309</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37" w:right="239" w:bottom="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2013</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(in millions)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12,197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7,621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7,545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5,748</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334</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996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780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987</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31,761</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$10 million for each of the three months ended March 31,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For the three months ended March 31, 2014, both Icahn Enterprises and Icahn Enterprises Holdings recorded an income tax expense of $103 million on pre-tax income of $180 million compared to an income tax expense of $120 million on pre-tax income of $830 million for the three months ended March 31, 2013. Our effective income tax rate was 57.2% and 14.5% for the three months ended March 31, 2014 and 2013, respectively.</w:t>
      </w:r>
    </w:p>
    <w:p>
      <w:pPr>
        <w:spacing w:after="0" w:line="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the three months ended March 31, 2014, the difference between the effective tax rate and statutory federal rate of 35% is primarily due to partnership loss not subject to taxation, as such taxes are the responsibility of the partners. For the three months ended March 31, 2013, the difference between the effective tax rate and the statutory federal rate of 35% is primarily due to changes in valuation allowances and partnership income not subject to taxation, as such taxes are the responsibility of the partners.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8"/>
              </w:rPr>
              <w:t>Changes in accumulated other comprehensive loss consists of the following:</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6"/>
              </w:rPr>
              <w:t>Other comprehensive loss before reclassifications, net of tax</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8"/>
        <w:spacing w:after="0" w:line="289" w:lineRule="auto"/>
        <w:tabs>
          <w:tab w:leader="none" w:pos="162"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16. Other Income (Loss), Net.</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Other income (loss), net consists of the following:</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60" w:type="dxa"/>
            <w:vAlign w:val="bottom"/>
            <w:gridSpan w:val="3"/>
          </w:tcPr>
          <w:p>
            <w:pPr>
              <w:jc w:val="right"/>
              <w:ind w:right="81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(loss) on derivatives, net</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Gain (loss) on disposition of assets</w:t>
            </w:r>
          </w:p>
        </w:tc>
        <w:tc>
          <w:tcPr>
            <w:tcW w:w="10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(47)</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settlement gain</w:t>
            </w:r>
          </w:p>
        </w:tc>
        <w:tc>
          <w:tcPr>
            <w:tcW w:w="10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(loss) gain</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8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further described in Note 10, "Debt," during the first quarter of 2014, we had various debt refinancing transactions and recorded an aggregate loss on extinguishment of debt of $126 million.</w:t>
      </w:r>
    </w:p>
    <w:p>
      <w:pPr>
        <w:spacing w:after="0" w:line="62" w:lineRule="exact"/>
        <w:rPr>
          <w:sz w:val="20"/>
          <w:szCs w:val="20"/>
          <w:color w:val="auto"/>
        </w:rPr>
      </w:pPr>
    </w:p>
    <w:p>
      <w:pPr>
        <w:ind w:right="800" w:firstLine="405"/>
        <w:spacing w:after="0" w:line="308" w:lineRule="auto"/>
        <w:rPr>
          <w:sz w:val="20"/>
          <w:szCs w:val="20"/>
          <w:color w:val="auto"/>
        </w:rPr>
      </w:pPr>
      <w:r>
        <w:rPr>
          <w:rFonts w:ascii="Arial" w:cs="Arial" w:eastAsia="Arial" w:hAnsi="Arial"/>
          <w:sz w:val="17"/>
          <w:szCs w:val="17"/>
          <w:color w:val="auto"/>
        </w:rPr>
        <w:t>As further described in Note 17, "Commitments and Contingencies - Gaming," during the first quarter of 2014, our Gaming segment received approximately $32 million in cash as payment to satisfy future credits in connection with a certain negotiated tax settlement.</w:t>
      </w:r>
    </w:p>
    <w:p>
      <w:pPr>
        <w:spacing w:after="0" w:line="3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first quarter of 2013, our Automotive segment recorded a loss on disposal of assets of $47 million related to the disposal of its sintered components operations located in France. Because the financial results from the disposal of this business were not material, individually or in the aggregate, to our consolidated financial statements, we did not reflect the dispositions of these businesses as discontinued operations in the first quarter of 2013 or on a retrospective basis.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On March 28, 2012 an action was filed in the U.S. District Court, Southern District of New York (the "Court"), entitled </w:t>
      </w:r>
      <w:r>
        <w:rPr>
          <w:rFonts w:ascii="Arial" w:cs="Arial" w:eastAsia="Arial" w:hAnsi="Arial"/>
          <w:sz w:val="16"/>
          <w:szCs w:val="16"/>
          <w:i w:val="1"/>
          <w:iCs w:val="1"/>
          <w:color w:val="auto"/>
        </w:rPr>
        <w:t>Silsby v. Icahn et. al</w:t>
      </w:r>
      <w:r>
        <w:rPr>
          <w:rFonts w:ascii="Arial" w:cs="Arial" w:eastAsia="Arial" w:hAnsi="Arial"/>
          <w:sz w:val="16"/>
          <w:szCs w:val="16"/>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On April 30, 2014, the Court granted defendants' motion to dismiss and the case was dismissed with prejudice. Plaintiff has thirty days in which to file an appeal.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as of both March 31, 2014 and December 31, 2013 and are included in accrued expenses and other liabilities in our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March 31, 2014, Federal-Mogul estimates reasonably possible material additional losses, above and beyond its best estimate of required remediation costs as recorded, to approximate $45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$26 million as of both March 31, 2014 and December 31,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37" w:right="25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2013 for asset retirement obligations ("ARO"), primarily related to anticipated costs of removing hazardous building materials at its facilities, and has considered impairment issues that may result from capitalization of these ARO amounts.</w:t>
      </w:r>
    </w:p>
    <w:p>
      <w:pPr>
        <w:spacing w:after="0" w:line="6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CVR leases various equipment, including railcars, and real properties under long-term operating leases expiring at various dates. For each of the three months ended March 31, 2014 and 2013 lease expense was approximately $2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August 31, 2012, CRRM and Vitol Inc. ("Vitol") entered into an Amended and Restated Crude Oil Supply Agreement (the "Vitol Agreement"). Under the Vitol Agreement, Vitol supplies the petroleum business with crude oil and intermediation logistics, which helps to reduce CVR Refining's inventory position and mitigate crude oil pricing risk. 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the expiration of the Initial Term or any Renewal Term.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2013. In the opinion of CVR's management, the ultimate resolution of any other litigation matters is not expected to have a material adverse effect on the accompanying consolidated financial statements. There can be no assurance that management’s beliefs or opinions with respect to liability for potential litigation matters are accurate.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and Crude Oil Discharge</w:t>
      </w:r>
    </w:p>
    <w:p>
      <w:pPr>
        <w:spacing w:after="0" w:line="11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Crude oil was discharged from CVR’s Coffeyville refinery on July 1, 2007, due to the short amount of time available to shut down and secure the refinery in preparation for the flood that occurred on June 30, 2007. The last remaining claim against CVR related to this matter was settled during the three months ended March 31, 2014. The settlement did not have a material effect on our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37"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waters of the United States, which has been broadly interpreted to include most water bodies including intermittent streams.</w:t>
      </w:r>
    </w:p>
    <w:p>
      <w:pPr>
        <w:spacing w:after="0" w:line="5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As previously reported, CVR's petroleum and nitrogen fertilizer businesses are party to, or otherwise subject to: (i) administrative orders and consent decrees with federal, state and local environmental authorities, as applicable, addressing corrective actions under RCRA, the Clean Air Act and the Clean Water Act; (ii) the Mobile Source Air Toxic II (“MSAT II”) rule which requires reductions of benzene in gasoline; (iii) the Renewable Fuel Standard (“RFS”), which requires refiners to blend “renewable fuels” in with their transportation fuels or purchase renewable fuel credits, known as RINs in lieu of blending; and (iv) “Tier 3” gasoline sulfur standards. Except as otherwise described below, there have been no new developments or material changes to the environmental accruals or expected capital expenditures related to compliance with the foregoing environmental matters from those provided in our annual report on Form 10-K for the year ended December 31, 2013. CRRM, CRNF, CRCT, WRC and CRT each believes it is in substantial compliance with existing EHS rules and regulations. There can be no assurance that the EHS matters described or referenced herein or other EHS matters which may develop in the future will not have a material adverse effect on CVR's business, financial condition, or results of operations.</w:t>
      </w:r>
    </w:p>
    <w:p>
      <w:pPr>
        <w:spacing w:after="0" w:line="5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both March 31, 2014 and December 31, 2013, our Energy segment had environmental accruals of $1 million.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For the three months ended March 31, 2014 and 2013, capital expenditures were $34 million and $22 million, respectively, and were incurred for environmental compliance and efficiency of the operations.</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cost of RINs for three months ended March 31, 2014 and 2013 was $35 million and $32 million, respectively. As of March 31, 2014 and December 31, 2013, the petroleum business' biofuel blending obligation was $40 million and $17 million, respectively, which was recorded in accrued expenses and other liabilities on the consolidated balance sheets.</w:t>
      </w:r>
    </w:p>
    <w:p>
      <w:pPr>
        <w:spacing w:after="0" w:line="73"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From time to time, the Oklahoma Department of Environmental Quality ("ODEQ") conducts inspections of the Wynnewood refinery and pursues enforcement related to any alleged non-compliance with the Clean Air Act seeking civil penalties and injunctive relief, which may necessitate the installation of controls. In January 2014, ODEQ issued a full compliance evaluation ("FCE") report covering the period from December 2010 through June 2013, which covered periods of the previous owner's ownership and operation and, in some cases, continued into CVR Refining's ownership of the Wynnewood refinery. In addition, on April 11, 2014, WRC received a partial compliance evaluation ("PCE") report from ODEQ alleging additional violations of the Clean Air Act. ODEQ has indicated that it will pursue enforcement related to the alleged non-compliance and that it expects to enter into a consent order with WRC to resolve its claims, which would necessitate the payment of a civil penalty and the implementation of injunctive relief to address the alleged non-compliance. The costs of any enforcement that may arise as a result of the FCE or the PCE cannot be predicted at this time. However, based on its experience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related to the Clean Air Act enforcement and control requirements, CVR does not anticipate that the costs of any civil penalties, required additional controls or operational changes would be material.</w:t>
      </w:r>
    </w:p>
    <w:p>
      <w:pPr>
        <w:spacing w:after="0" w:line="62"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In January 2014, ODEQ issued a Notice of Violation to the Wynnewood refinery related to alleged violations of its Clean Water Act permit. The costs of any enforcement related to these issues cannot be predicted at this time. However, based on CVR's experience related to Clean Water Act enforcement, it does not anticipate that the costs of any civil penalties, required additional controls or operational changes would be material.</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January 2014, the EPA also issued an inspection report to the Wynnewood refinery related to a RCRA compliance evaluation inspection conducted in March 2013. In February 2014, ODEQ notified WRC that it concurred with the EPA's inspection findings and would be pursuing enforcement. WRC and ODEQ currently are engaged in settlement discussions related to a civil penalty and injunctive relief. The costs of any related enforcement settlement cannot be predicted at this time. However, based on CVR's experiences related to RCRA enforcement, it does not anticipate that the costs of any civil penalties, required additional controls or operational changes would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March 31, 2014 and December 31, 2013,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March 31, 2014 and December 31, 2013. If it is determined that PSC Metals has liability to remediate those sites and that more expensive remediation approaches are required in the future, PSC Metals could incur additional obligations, which could be material.</w:t>
      </w:r>
    </w:p>
    <w:p>
      <w:pPr>
        <w:spacing w:after="0" w:line="7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November and December of 2011, PSC Metals received three notices of violation from the Missouri Department of Natural Resources, or MDNR, for hazardous waste and water violations related to its Festus, Missouri location. PSC Metals has entered into a settlement with MDNR that resolves these notices of violation. Currently, PSC Metals believes that it has established adequate reserves for the cost of this settlement. In addition, PSC Metals believes that it has a claim for indemnification against the prior owner of the facility associated with the above-referenced notices of violation.</w:t>
      </w:r>
    </w:p>
    <w:p>
      <w:pPr>
        <w:spacing w:after="0" w:line="46"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MDNR has undertaken sampling for lead at residences near PSC Metals' Festus yard. MDNR has indicated to PSC Metals that this sampling was initiated in response to citizen complaints regarding its Festus yard. PSC Metals was informed by MDNR that of the approximately 50 residences that were sampled and tested, 15 tested above residential standards for lead contamination and may require some amount of limited soil remediation. PSC Metals has entered into a settlement agreement with MDNR which resolves MNDR’s claims and requires limited soil remediation at these residences. As part of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settlement, PSC Metals is required to conduct soil sampling at 17 additional residential properties to assess whether those sites are above residential standards for lead contamination. Currently, PSC Metals believes that it has adequately reserved for the cost of remediation associated with its Festus yard and the residential areas near the yard. However, as sampling of the additional properties referenced above is on-going, PSC Metals cannot assess its liability with certainty at this time. Additionally, PSC Metals believes that liability for off-site contamination was retained by the prior owner of the Festus yard and it would have a claim for indemnification against the prior owner.</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 PSC Metals intends to defend itself vigorously. PSC Metals received a subpoena from the Department of Justice (the "DOJ") regarding potential criminal violations of the CWA at PSC Metals’ Nashville facility. In February 2014, after reviewing the materials that PSC Metals provided and interviewing PSC Metals’ employees, the DOJ indicated that they will not pursue any further action in this matter.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Aztar filed a broker malpractice and breach of contract action in the Superior Court of New Jersey, Atlantic County, Law Division (the “Court”) on August 12, 2010, against Marsh &amp; McLennan Companies, 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8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In September 2013, the Superior Court of New Jersey, Appellate Division denied Aztar’s appeal substantially for the reasons set forth in the Court’s decision. Aztar has filed a Petition for Certification to the New Jersey Supreme Court, which petition is pending. Any recovery obtained by Aztar in this action will be recoverable by Tropicana as the current owner of Tropicana AC.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 refund of approximately $50 million in the form of credits against future year real estate tax bills beginning in 2013 and ending in 2017. The credits were to be front-loaded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37"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(Unaudited)</w:t>
      </w:r>
    </w:p>
    <w:p>
      <w:pPr>
        <w:spacing w:after="0" w:line="3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2013 and 2014 so that after the credits were applied, Tropicana AC paid $2 million in taxes in 2013. Tropicana utilized $16 million of credits as a reduction to operating expenses in the year ended December 31, 2013. In addition, Tropicana expensed $4 million in professional fees related to this settlement in the year ended December 31, 2013. In January 2014, Tropicana received $32 million in cash as payment to satisfy future credits which amount is included in other income (loss), net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approximately $1 million at both March 31, 2014 and December 31,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88.0% of Icahn Enterprises' outstanding depositary units as of March 31, 2014.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March 31, 2014 and December 31, 2013. If the plans were voluntarily terminated, they would be underfunded by approximately $483 million and $592 million as of March 31, 2014 and December 31,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May 5, 2014,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June 30, 2014 to depositary unit holders of record at the close of business on May 19, 2014. Depositary unit holders have until June 11,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June 25, 2014.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April 15, 2014, Federal-Mogul Corporation completed a holding company reorganization (the “Federal-Mogul Reorganization”). As a result of the Federal-Mogul Reorganization, the outstanding shares of Federal-Mogul Corporation common stock were automatically converted on a one-for-one basis into shares of Federal-Mogul Holdings Corporation common stock, and all of the stockholders of Federal-Mogul Corporation immediately prior to the Federal-Mogul Reorganization automatically became stockholders of Federal-Mogul Holdings Corporation. The rights of stockholders of Federal-Mogul Holdings Corporation are generally governed by Delaware law and Federal-Mogul Holdings Corporation’s certificate of incorporation and bylaws, which are the same in all material respects as those of Federal-Mogul Corporation immediately prior to the Federal-Mogul Reorganization. Information presented herein refers to Federal-Mogul Corporation. In addition, references herein to Federal-Mogul refer to Federal-Mogul Corporation for the period prior to the effective time of the Federal-Mogul Reorganization on April 15, 2014 and to Federal-Mogul Holdings Corporation for the period after the effective time of the Federal-Mogul Reorganization.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April 15, 2014, Federal-Mogul Holdings Corporation, as the new borrower, entered into an amendment (the “Amendment”) of the Federal-Mogul Credit Agreement, among Federal-Mogul Corporation, the lenders party thereto, Citicorp USA, Inc., as Administrative Agent, JPMorgan Chase Bank, N.A., as Syndication Agent, and Wachovia Capital Finance Corporation and Wells Fargo Foothill, LLC, as Co-Documentation Agents, with respect to a new tranche B term loan facility (the “New Tranche B Facility”) and a new tranche C term loan facility (the “New Tranche C Facility,” and together with the New Tranche B Facility, the “New Federal-Mogul Facilities”). Immediately following the closing of the transactions contemplated by the Amendment, Federal-Mogul Holdings Corporation contributed all of the net proceeds from the New Federal-Mogul Facilities to Federal-Mogul Corporation, and Federal-Mogul Corporation repaid its existing outstanding indebtedness as a borrower under the tranche B and tranche C term loan facilities. In connection with this debt refinancing, our Automotive segment anticipates recognizing a non-cash loss on debt extinguishment of approximately $35 million during the quarter ending June 30, 2014, which is primarily attributable to the write-off of debt discounts.</w:t>
      </w:r>
    </w:p>
    <w:p>
      <w:pPr>
        <w:spacing w:after="0" w:line="7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Amendment, among other things, (i) provides for aggregate commitments under the New Tranche B Facility of $700 million with a maturity date of April 15, 2018, (ii) provides for aggregate commitments under the New Tranche C Facility of approximately $1.9 billion with a maturity date of April 15, 2021, (iii) increases the interest rates applicable to the New Federal-Mogul Facilities as described below, (iv) provides that for all outstanding letters of credit there is a corresponding decrease in borrowings available under the Federal-Mogul Replacement Revolving Facility, (v) provides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provides for additional incremental indebtedness, secured on a pari passu basis, of an unlimited amount of additional indebtedness if Federal-Mogul meets a financial covenant incurrence test, and (vii) amends certain other restrictive covenants. Pursuant to the Amendment, Federal-Mogul Holdings Corporation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color w:val="auto"/>
        </w:rPr>
        <w:t>assumed all of the obligations of Federal-Mogul Corporation with respect to the Federal-Mogul Replacement Revolving Facility under the Federal-Mogul Credit Agreement.</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plus the applicable margin. Advances under the New Tranche C Facility generally bear interest at a variable rate per annum equal to (i) the Alternate Base Rate plus a margin of 2.75% or (ii) the Adjusted LIBOR Rate plus a margin of 3.75%, subject, in each case, to a minimum rate of 1.00% plus the applicable margin. Due to the refinancing of Federal-Mogul's term loans, the backstop commitment letter provided to Federal-Mogul on December 6, 2013 from High River Limited Partnership, an affiliate of Mr. Carl C. Icahn, was terminated.</w:t>
      </w:r>
    </w:p>
    <w:p>
      <w:pPr>
        <w:sectPr>
          <w:pgSz w:w="11900" w:h="16838" w:orient="portrait"/>
          <w:cols w:equalWidth="0" w:num="1">
            <w:col w:w="11180"/>
          </w:cols>
          <w:pgMar w:left="240" w:top="233"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March 31, 2014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2014.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102,857,651, or approximately 88.0%, of Icahn Enterprises' outstanding depositary units as of March 31, 2014.</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Offerings</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January 21, 2014, we and Icahn Enterprises Finance Corp. (“Icahn Enterprises Finance”) (collectively, the “Issuers”) issued $1.200 billion in aggregate principal amount of our 6% Senior Notes due 2020 (the “Additional 2020 Notes”), $1.275 billion in aggregate principal amount of our 4.875% Senior Notes due 2019 (the “2019 Notes”) and $1.175 billion in aggregate principal amount of our 3.500% Senior Notes due 2017 (the “2017 Notes” and together with the Additional 2020 Notes and the 2019 Notes, the “New Notes”) pursuant to the purchase agreement, dated January 8, 2014, by and among the Issuers, Icahn Enterprises Holdings, as guarantor, and Citigroup Global Markets Inc., Credit Suisse Securities (USA) LLC, Morgan Stanley &amp; Co. LLC, Jefferies LLC and UBS Securities LLC, as initial purchasers. The Additional 2020 Notes were priced at 102.000% of their face amount plus interest accrued from August 1, 2013 and each of the 2019 and the 2017 Notes were priced at 100.000% of their face amount. The net proceeds of the New Notes were approximately $3.650 billion, after deducting the initial purchasers' discount and commission and estimated fees and expenses related to the offering.</w:t>
      </w:r>
    </w:p>
    <w:p>
      <w:pPr>
        <w:spacing w:after="0" w:line="58"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5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January 29, 2014, the Issuers issued $1.350 billion aggregate principal amount of 5.875% Senior Notes due 2022 (the “2022 Notes”) pursuant to the purchase agreement, dated January 22, 2014, by and among the Issuers, Icahn Enterprises Holdings, as guarantor, and Jefferies LLC, as initial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notes offerings.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and Icahn Enterprises Holdings for each of our reporting segments and the Holding Company for the three months ended March 31, 2014 and 2013.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0"/>
              </w:rPr>
              <w:t>Enterprises/</w:t>
            </w:r>
          </w:p>
        </w:tc>
        <w:tc>
          <w:tcPr>
            <w:tcW w:w="98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Revenues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6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 March 31,</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2,556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1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See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73"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March 31, 2014 and December 31, 2013, the total fair market value of investments in the Investment Funds made by Mr. Icahn and his affiliates was approximately $4.6 billion and $4.7 billion, respectively, representing approximately 50% and 56%, respectively, of the Investment Funds' asset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March 31, 2014 and December 31, 2013, we had investments with a fair market value of approximately $4.7 billion and $3.7 billion, respectively, in the Investment Funds.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3" w:name="page64"/>
    <w:bookmarkEnd w:id="63"/>
    <w:p>
      <w:pPr>
        <w:ind w:right="440" w:firstLine="405"/>
        <w:spacing w:after="0" w:line="277" w:lineRule="auto"/>
        <w:rPr>
          <w:sz w:val="20"/>
          <w:szCs w:val="20"/>
          <w:color w:val="auto"/>
        </w:rPr>
      </w:pPr>
      <w:r>
        <w:rPr>
          <w:rFonts w:ascii="Arial" w:cs="Arial" w:eastAsia="Arial" w:hAnsi="Arial"/>
          <w:sz w:val="18"/>
          <w:szCs w:val="18"/>
          <w:color w:val="auto"/>
        </w:rPr>
        <w:t>Our share of the Investment Funds' net income through our interests in the Investment Funds was $5 million and $233 million for the three months ended March 31, 2014 and 2013,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34290</wp:posOffset>
            </wp:positionV>
            <wp:extent cx="218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34290</wp:posOffset>
            </wp:positionV>
            <wp:extent cx="2186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9080" w:type="dxa"/>
            <w:vAlign w:val="bottom"/>
            <w:gridSpan w:val="2"/>
            <w:shd w:val="clear" w:color="auto" w:fill="CCEEFF"/>
          </w:tcPr>
          <w:p>
            <w:pPr>
              <w:jc w:val="right"/>
              <w:ind w:right="7760"/>
              <w:spacing w:after="0"/>
              <w:rPr>
                <w:sz w:val="20"/>
                <w:szCs w:val="20"/>
                <w:color w:val="auto"/>
              </w:rPr>
            </w:pPr>
            <w:r>
              <w:rPr>
                <w:rFonts w:ascii="Arial" w:cs="Arial" w:eastAsia="Arial" w:hAnsi="Arial"/>
                <w:sz w:val="18"/>
                <w:szCs w:val="18"/>
                <w:color w:val="auto"/>
                <w:w w:val="90"/>
              </w:rPr>
              <w:t>Investment Funds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-0.4 %</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7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Investment Funds' aggregate gross return was -0.4% for the three months ended March 31, 2014. During the first quarter of 2014, the Investment Funds' performance was driven by losses in their short equity exposure, including broad market hedges, as the markets rallied. These losses were partially offset by the Investment Funds' long equity positions, primarily in a few of our largest core holdings.</w:t>
      </w:r>
    </w:p>
    <w:p>
      <w:pPr>
        <w:spacing w:after="0" w:line="73"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The Investment Funds' aggregate gross return was 9.7% for the three months ended March 31, 2013. During the first quarter of 2013, the Investment Funds' performance was driven by gains in long equity positions, primarily in a few of the largest core holdings. The Investment Funds' short equity exposure, including broad market hedges, was a negative contributor to performance as equity markets rallied in the first quarter of 2013.</w:t>
      </w:r>
    </w:p>
    <w:p>
      <w:pPr>
        <w:spacing w:after="0" w:line="3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From inception in November 2004 through March 31, 2014, the Investment Funds' gross return was approximately 255%, representing an annualized rate of return of approximately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1,506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1,465</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Federal-Mogul Holdings Corporation's ("Federal-Mogul")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3"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Geographically, Federal-Mogul derived 36% of its net sales in the United States and 64% internationally during the three months ended March 31, 2014. Federal-Mogul has operations in established markets including Australia, Belgium, France, Germany, Italy, Japan, Spain, Sweden, the United Kingdom and the United States, and emerging markets including Argentina, Brazil, China, Czech Republic, Hungary, India, Korea, Mexico, Morocco, Poland, Russia, South Africa and Thailand. The attendant risks of Federal-Mogul's international operations are primarily related to currency fluctuations, changes in local economic and political conditions, and changes in laws and regulations.</w:t>
      </w:r>
    </w:p>
    <w:p>
      <w:pPr>
        <w:spacing w:after="0" w:line="80" w:lineRule="exact"/>
        <w:rPr>
          <w:sz w:val="20"/>
          <w:szCs w:val="20"/>
          <w:color w:val="auto"/>
        </w:rPr>
      </w:pPr>
    </w:p>
    <w:p>
      <w:pPr>
        <w:jc w:val="both"/>
        <w:ind w:right="40" w:firstLine="405"/>
        <w:spacing w:after="0" w:line="288" w:lineRule="auto"/>
        <w:rPr>
          <w:sz w:val="20"/>
          <w:szCs w:val="20"/>
          <w:color w:val="auto"/>
        </w:rPr>
      </w:pPr>
      <w:r>
        <w:rPr>
          <w:rFonts w:ascii="Arial" w:cs="Arial" w:eastAsia="Arial" w:hAnsi="Arial"/>
          <w:sz w:val="16"/>
          <w:szCs w:val="16"/>
          <w:color w:val="auto"/>
        </w:rPr>
        <w:t>Federal-Mogul operates with two end-customer focused business segments. The Powertrain (“PT”) business focuses on original equipment products for automotive, heavy duty and industrial applications. The Vehicle Components Solutions (“VCS”) business sells and distributes a broad portfolio of products in the global aftermarket, while also serving original equipment manufacturers with products including braking, chassis, wipers and other vehicle components.</w:t>
      </w:r>
    </w:p>
    <w:p>
      <w:pPr>
        <w:ind w:right="580"/>
        <w:spacing w:after="0" w:line="290" w:lineRule="auto"/>
        <w:rPr>
          <w:sz w:val="20"/>
          <w:szCs w:val="20"/>
          <w:color w:val="auto"/>
        </w:rPr>
      </w:pPr>
      <w:r>
        <w:rPr>
          <w:rFonts w:ascii="Arial" w:cs="Arial" w:eastAsia="Arial" w:hAnsi="Arial"/>
          <w:sz w:val="17"/>
          <w:szCs w:val="17"/>
          <w:color w:val="auto"/>
        </w:rPr>
        <w:t>This organizational model allows for a strong product line focus benefitting both original equipment and aftermarket customers and enables the global Federal-Mogul teams to be responsive to customers’ needs for superior products and to promote greater identification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4" w:name="page65"/>
    <w:bookmarkEnd w:id="64"/>
    <w:p>
      <w:pPr>
        <w:jc w:val="both"/>
        <w:ind w:right="540"/>
        <w:spacing w:after="0" w:line="264" w:lineRule="auto"/>
        <w:rPr>
          <w:sz w:val="20"/>
          <w:szCs w:val="20"/>
          <w:color w:val="auto"/>
        </w:rPr>
      </w:pPr>
      <w:r>
        <w:rPr>
          <w:rFonts w:ascii="Arial" w:cs="Arial" w:eastAsia="Arial" w:hAnsi="Arial"/>
          <w:sz w:val="18"/>
          <w:szCs w:val="18"/>
          <w:color w:val="auto"/>
        </w:rPr>
        <w:t>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PT business primarily represents Federal-Mogul’s OE business. Approximately 93% of PT’s sales is to OEM customers, with the remaining 7% of its sales being sold directly to VCS for eventual distribution, by VCS, to customers in the independent aftermarket. Discussions about Federal-Mogul’s PT business or its OE business should be seen as analogous. The performance of PT is therefore highly correlated to changes in regional OEM light and commercial vehicle production, together with the changes in the mix of technologies (such as between light vehicle gasoline and light vehicle diesel), and changes in demand for non-automotive and industrial applications. These drivers are enhanced by the rate at which Federal-Mogul gains new programs, which is itself affected by the rate at which the OEM’s make improvements to emissions and fuel economy - some in response to regional regulations.</w:t>
      </w:r>
    </w:p>
    <w:p>
      <w:pPr>
        <w:spacing w:after="0" w:line="5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VCS business primarily represents Federal-Mogul’s aftermarket business. Approximately 75% of VCS’s sales is to the customers in the independent aftermarket. The remaining 25% of the VCS business is to OEM or tier 1 suppliers to OEM, and the OES market, essentially, dealer supplied replacement parts - a feature more prevalent in Europe than in North America. The OES market is subject to the same general commercial patterns as the aftermarket business. The performance of VCS business is therefore highly correlated to the factors that variously influence the different regional replacement parts markets around the world, such as vehicle miles driven, the average age of vehicles on the road, the size of the regional vehicle parcs and levels of consumer confidence. These drivers are enhanced by the relative strength of the aftermarket brands and the breadth of the portfolio offered relative to the changing needs of the local markets.</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January 2014, Federal-Mogul entered into a definitive purchase agreement to acquire certain business assets of the Honeywell automotive and industrial brake friction business including two recently established manufacturing facilities in China and Romania for a base purchase price of approximately $155 million subject to post-closing adjustments and a potential earn-out payment of up to $5 million, in each case as further enumerated in the purchase agreement. This transaction is subject to customary approvals from regulatory authorities and other stakeholders where required. Federal-Mogul anticipates closing on this transaction during the second half of 2014.</w:t>
      </w:r>
    </w:p>
    <w:p>
      <w:pPr>
        <w:spacing w:after="0" w:line="8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Also in January 2014, Federal-Mogul entered into a definitive asset purchase agreement to acquire Affinia‘s chassis components business for a base purchase price of $150 million, subject to certain customary closing and post-closing adjustments as further enumerated in the asset purchase agreement. This business serves leading U.S. aftermarket customers with branded and private label chassis product lines. This transaction is subject to customary approvals from regulatory authorities and other stakeholders where required. Federal-Mogul closed on this transaction during the second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2014 and 2013</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Net sales for the three months ended March 31, 2014 as compared to the comparable prior year period increased by $66 million (4%). Excluding a decrease in sales of $54 million as a result of dispositions and an increase of $6 million as a result of the impact of foreign currency, constant dollar sales increased $114 million. This organic growth is comprised of a 6% increase in sales in Europe or $47 million, a 6% increase in sales in North America or $42 million and a 13% increase in sales in the rest of the world (“ROW”) or $25 million.</w:t>
      </w:r>
    </w:p>
    <w:p>
      <w:pPr>
        <w:spacing w:after="0" w:line="79"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Federal-Mogul's organic sales growth of $114 million is primarily driven by an increase in the PT business’ external sales volumes, net of customer price decreases in the PT business, of $110 million or 11%. This increase is driven by higher sales volumes in all regions. In Europe, PT sales increased by 10% or $47 million compared to an increase in both European light vehicle and commercial vehicle production of 3% and 4%, respectively. In North America, PT sales increased by 12% or $38 million compared to an increase in both light vehicle and commercial vehicle production of 4% and 20% respectively. In ROW, as PT's presence in the emerging light vehicle market continued to grow, PT sales increased by $25 million or 16%, compared to an increase in both light vehicle and commercial vehicle production of 4% and 8%, respectively. When taking into account this regional and market mix of PT sales, sales therefore grew in excess of underlying market demand.</w:t>
      </w:r>
    </w:p>
    <w:p>
      <w:pPr>
        <w:spacing w:after="0" w:line="7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Cost of goods sold for the three months ended March 31, 2014 as compared to the comparable prior year period increased by $41 million (3%). The increase in materials, labor and overhead as a direct result of the external sales volumes/mix of $82 million was partially offset by a $55 million decrease related to dispositions. An increase in productivity of $10 million, an increase in depreciation of $6 million, currency impacts of $6 million, and a decline in inter-segment sales volumes of $1 million, were partially offset by savings in material costs of $9 million.</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Gross margin for the three months ended March 31, 2014 increased by $25 million (10%) as compared to the comparable prior year period. Gross margin was 15% and 14% of net sales for the three months ended March 31, 2014 and 2013, respectively. The favorable impact on margins due to external sales volumes/mix was $45 million. Unfavorable customer pricing of $13 million, unfavorable productivity of $10 million and increased depreciation of $6 million were partially offset by favorable materials and services sourcing savings of $9 million and $1 million related to dispositions.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76"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0"/>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2014</w:t>
            </w:r>
          </w:p>
        </w:tc>
        <w:tc>
          <w:tcPr>
            <w:tcW w:w="200" w:type="dxa"/>
            <w:vAlign w:val="bottom"/>
          </w:tcPr>
          <w:p>
            <w:pPr>
              <w:spacing w:after="0"/>
              <w:rPr>
                <w:sz w:val="24"/>
                <w:szCs w:val="24"/>
                <w:color w:val="auto"/>
              </w:rPr>
            </w:pPr>
          </w:p>
        </w:tc>
        <w:tc>
          <w:tcPr>
            <w:tcW w:w="410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Three Months Ended March 31, 2013</w:t>
            </w:r>
          </w:p>
        </w:tc>
      </w:tr>
      <w:tr>
        <w:trPr>
          <w:trHeight w:val="27"/>
        </w:trPr>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Petroleum</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Fertilizer</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Petroleum</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Fertilizer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1,967</w:t>
            </w:r>
          </w:p>
        </w:tc>
      </w:tr>
      <w:tr>
        <w:trPr>
          <w:trHeight w:val="27"/>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2014</w:t>
            </w:r>
          </w:p>
        </w:tc>
        <w:tc>
          <w:tcPr>
            <w:tcW w:w="18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2013</w:t>
            </w: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44"/>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60" w:type="dxa"/>
            <w:vAlign w:val="bottom"/>
            <w:gridSpan w:val="4"/>
          </w:tcPr>
          <w:p>
            <w:pPr>
              <w:jc w:val="right"/>
              <w:ind w:right="1090"/>
              <w:spacing w:after="0"/>
              <w:rPr>
                <w:sz w:val="20"/>
                <w:szCs w:val="20"/>
                <w:color w:val="auto"/>
              </w:rPr>
            </w:pPr>
            <w:r>
              <w:rPr>
                <w:rFonts w:ascii="Arial" w:cs="Arial" w:eastAsia="Arial" w:hAnsi="Arial"/>
                <w:sz w:val="14"/>
                <w:szCs w:val="14"/>
                <w:color w:val="auto"/>
              </w:rPr>
              <w:t>(in millions, except barrels metrics)</w:t>
            </w: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1,925</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FIFO impacts (favorable), unfavorable</w:t>
            </w: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18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26.71</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r>
      <w:tr>
        <w:trPr>
          <w:trHeight w:val="324"/>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201,902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194,816</w:t>
            </w:r>
          </w:p>
        </w:tc>
      </w:tr>
      <w:tr>
        <w:trPr>
          <w:trHeight w:val="27"/>
        </w:trPr>
        <w:tc>
          <w:tcPr>
            <w:tcW w:w="6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4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March 31, 2014, we owned 82% of the total outstanding common stock of CVR. In addition, as of March 31, 2014, we owned approximately 4% of the total outstanding common stock of CVR Refining, LP ("CVR Refining").</w:t>
      </w:r>
    </w:p>
    <w:p>
      <w:pPr>
        <w:spacing w:after="0" w:line="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6" w:name="page67"/>
    <w:bookmarkEnd w:id="66"/>
    <w:p>
      <w:pPr>
        <w:ind w:right="40"/>
        <w:spacing w:after="0" w:line="257" w:lineRule="auto"/>
        <w:rPr>
          <w:sz w:val="20"/>
          <w:szCs w:val="20"/>
          <w:color w:val="auto"/>
        </w:rPr>
      </w:pPr>
      <w:r>
        <w:rPr>
          <w:rFonts w:ascii="Arial" w:cs="Arial" w:eastAsia="Arial" w:hAnsi="Arial"/>
          <w:sz w:val="18"/>
          <w:szCs w:val="18"/>
          <w:color w:val="auto"/>
        </w:rPr>
        <w:t>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8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EPA’s Renewable Fuel Standard (“RFS”), which requires it to blend “renewable fuels” in with its transportation fuels or purchase renewable fuel credits, known as renewable identification numbers (“RINs”), in lieu of blending.</w:t>
      </w:r>
    </w:p>
    <w:p>
      <w:pPr>
        <w:spacing w:after="0" w:line="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In 2013, the Wynnewood refinery was subject to the RFS for the first time. However, because the cost of purchasing RINs has been extremely volatile and has significantly increased over the last year, the Wynnewood refinery has petitioned the EPA as a “small refinery” for hardship relief from the RFS requirements in 2013 and 2014 based on the “disproportionate economic impact” on the Wynnewood refinery. During 2013, the cost of RINs became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The EPA has published the proposed volume mandates for 2014, which acknowledge the blend wall and are generally lower than the volumes for 2013 and lower than statutory mandates. The price of RINs decreased significantly after the 2014 proposed mandate was published; however, RIN prices have remained volatile and have increased in 2014. The cost of RINs for the three months ended March 31, 2014 and 2013 was approximately $35 million and $32 million, respectively. The future cost of RINs for the petroleum business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$75 million to $150 million for the year ending December 31, 2014.</w:t>
      </w:r>
    </w:p>
    <w:p>
      <w:pPr>
        <w:spacing w:after="0" w:line="7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If sufficient RINs are unavailable for purchase at times when the petroleum business seeks to purchase RINs, or if the petroleum business has to pay a significantly higher price for RINs or if the petroleum business is subject to penalties as a result of delays in its ability to timely deliver RINs to the EPA, its business, financial condition and results of operations could be materially adversely affected. Many petroleum refiners blend renewable fuel into their transportation fuels and do not have to pass on the costs of compliance through the purchase of RINs to their customers. Therefore, it may be significantly harder for the petroleum business to pass on the costs of compliance with RFS to its customers.</w:t>
      </w:r>
    </w:p>
    <w:p>
      <w:pPr>
        <w:spacing w:after="0" w:line="64"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7" w:name="page68"/>
    <w:bookmarkEnd w:id="67"/>
    <w:p>
      <w:pPr>
        <w:ind w:right="320"/>
        <w:spacing w:after="0" w:line="279" w:lineRule="auto"/>
        <w:rPr>
          <w:sz w:val="20"/>
          <w:szCs w:val="20"/>
          <w:color w:val="auto"/>
        </w:rPr>
      </w:pPr>
      <w:r>
        <w:rPr>
          <w:rFonts w:ascii="Arial" w:cs="Arial" w:eastAsia="Arial" w:hAnsi="Arial"/>
          <w:sz w:val="17"/>
          <w:szCs w:val="17"/>
          <w:color w:val="auto"/>
        </w:rPr>
        <w:t>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6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assessing the operating performance of the nitrogen fertilizer business, CVR calculates plant gate price to determine its operating margin. Plant gate price refers to the unit price of nitrogen fertilizer, in dollars per ton, offered on a delivered basis, excluding shipment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2014 and 2013</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Net sales for the petroleum business for the three months ended March 31, 2014 and 2013 was approximately $2.4 billion and $2.3 billion, respectively. The increase in net sales for the petroleum business was the result of higher overall sales volume, which was partially offset by lower product prices. The higher sales volume is due to increased production of transportation fuels. For the three months ended March 31, 2014, CVR's petroleum business sold approximately 9.9 million and 9.1 million barrels of gasoline and distillate, respectively, with an average sales price per gallon for gasoline and distillate of $2.66 and $3.00, respectively. For the three months ended March 31, 2013, CVR's petroleum business sold approximately 9.6 million and 7.8 million barrels of gasoline and distillate, respectively, with an average sales price per gallon for gasoline and distillate of $2.82 and $3.11, respectively.</w:t>
      </w:r>
    </w:p>
    <w:p>
      <w:pPr>
        <w:spacing w:after="0" w:line="5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Net sales for the fertilizer business for the three months ended March 31, 2014 was $74 million, of which $71 million and $3 million were attributable to UAN and ammonia, respectively. Net sales for the fertilizer business for the three months ended March 31, 2013 was $81 million, of which $62 million and $19 million were attributable to UAN and ammonia, respectively. For the three months ended March 31, 2014, CVR sold 254,671 and 5,446 tons of UAN and ammonia, respectively, with an average plant gate price per ton of $253 and $479, respectively. For the three months ended March 31, 2013, CVR sold 194,141 and 27,572 tons of UAN and ammonia, respectively, with an average plant gate price per ton of $295 and $663,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On-stream factors (total number of hours operated divided by total hours in the reporting period) for the gasification, ammonia and UAN units were 98.8%, 92.1% and 97.0%, respectively, for the three months ended March 31, 2014 and 99.5%, 98.8% and 92.8% for the three months ended March 31, 2013.</w:t>
      </w:r>
    </w:p>
    <w:p>
      <w:pPr>
        <w:spacing w:after="0" w:line="7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Cost of goods sold for the petroleum business for the three months ended March 31, 2014 and 2013 was approximately $2.2 billion and $1.9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increase in cost of sales for the petroleum business was primarily due to an increase in cost of consumed oil. The average cost per barrel of crude oil consumed for the three months ended March 31, 2014 was $95.91 compared to $89.34 for the comparable period of 2013, an increase of approximately 7.4%.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March 31, 2014, the petroleum business had a favorable FIFO inventory impact of $22 million compared to a favorable FIFO inventory impact of $5 million for the comparable period of 2013.</w:t>
      </w:r>
    </w:p>
    <w:p>
      <w:pPr>
        <w:spacing w:after="0" w:line="8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Refining margin per barrel of crude oil throughput decreased from $26.71 for the three months ended March 31, 2013 to $17.17 for the three months ended March 31, 2014. Refining margin adjusted for FIFO impact was $15.98 per crude oil throughput barrel for the three months ended March 31, 2014 as compared to $26.44 per crude oil throughput barrel for the three months ended March 31, 2013. Gross margin per barrel decreased to $9.63 for the three months ended March 31, 2014 as compared to gross margin per barrel of $19.75 in the corresponding prior year period. The decrease in refining margin and gross margin per barrel was due to a decrease in sales prices of gasoline and distillates and an increase in our Energy segment's petroleum business' per barrel cost of consumed crude oil.</w:t>
      </w:r>
    </w:p>
    <w:p>
      <w:pPr>
        <w:spacing w:after="0" w:line="8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fertilizer business' cost of goods sold for the three months ended March 31, 2014 and 2013 was $49 million and $42 million, respectively. Cost of goods sold for the fertilizer business is primarily comprised of pet coke expense, freight expense, distribution expense, direct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Metals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267</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three months ended March 31, 2014 and 2013 are as follows:</w:t>
      </w:r>
    </w:p>
    <w:p>
      <w:pPr>
        <w:spacing w:after="0" w:line="167"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gridSpan w:val="3"/>
          </w:tcPr>
          <w:p>
            <w:pPr>
              <w:ind w:left="360"/>
              <w:spacing w:after="0"/>
              <w:rPr>
                <w:sz w:val="20"/>
                <w:szCs w:val="20"/>
                <w:color w:val="auto"/>
              </w:rPr>
            </w:pPr>
            <w:r>
              <w:rPr>
                <w:rFonts w:ascii="Arial" w:cs="Arial" w:eastAsia="Arial" w:hAnsi="Arial"/>
                <w:sz w:val="14"/>
                <w:szCs w:val="14"/>
                <w:color w:val="auto"/>
              </w:rPr>
              <w:t>(in 000s)</w:t>
            </w:r>
          </w:p>
        </w:tc>
        <w:tc>
          <w:tcPr>
            <w:tcW w:w="118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40,801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67,634</w:t>
            </w:r>
          </w:p>
        </w:tc>
      </w:tr>
      <w:tr>
        <w:trPr>
          <w:trHeight w:val="20"/>
        </w:trPr>
        <w:tc>
          <w:tcPr>
            <w:tcW w:w="8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2014 and 2013</w:t>
      </w:r>
    </w:p>
    <w:p>
      <w:pPr>
        <w:spacing w:after="0" w:line="117"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Net sales for the three months ended March 31, 2014 decreased by $75 million (28%) compared to the comparable prior year period. The decrease was primarily due to lower shipment volumes of ferrous and non-ferrous for the three months ended March 31, 2014 as compared to the corresponding prior year period. In addition, a decision to suspend low margin non-ferrous brokerage business in the second quarter of 2013 and lower secondary pipe shipments also contributed to the sales decrease for the three months ended March 31, 2014 as compared to the comparable prior year period.</w:t>
      </w:r>
    </w:p>
    <w:p>
      <w:pPr>
        <w:spacing w:after="0" w:line="46"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Ferrous shipments decreased by 81,000 gross tons (22%) while the average price increased by $27 per gross ton (7%) during the three months ended March 31, 2014 as compared to the comparable prior year period. The shipment decrease was attributable to a number factors including: lower raw material supply and transportation problems primarily due to extremely severe weather conditions in the current period, the lock-out at the Canton shredder facility that began in February 2014, and softer demand from mills as the domestic steel capacity utilization rate averaged approximately 76.5% in the three months ended March 31, 2014, or 0.5 percentage point lower than the average rate during the comparable prior year period.</w:t>
      </w:r>
    </w:p>
    <w:p>
      <w:pPr>
        <w:spacing w:after="0" w:line="50"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Non-ferrous shipment volumes decreased by 26.8 million pounds (40%) and average selling prices for non-ferrous decreased $0.11 per pound (11%) during the three months ended March 31, 2014 as compared to the prior year period primarily due to weaker market conditions and lower market prices for copper and stainless steel. Aluminum shipments were also lower as the business exited its ingot tolling operation during the current quarter.</w:t>
      </w:r>
    </w:p>
    <w:p>
      <w:pPr>
        <w:spacing w:after="0" w:line="3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Cost of goods sold for the three months ended March 31, 2014 decreased by $75 million (28%) compared to the comparable prior year period. The decrease was primarily due to lower shipment volumes and lower processing costs. Gross margin as a percentage of net sales was a loss of 1% for each of the three months ended March 31, 2014 and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Railcar segment includes the results of American Railcar Industries, Inc. ("ARI") and a newly capitalized American Railcar Leasing, LLC ("ARL").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7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North American railcar market has been, and our Railcar segment expects it to continue to be, highly cyclical. Increased North American crude oil production has contributed to strong industry-wide demand for tank railcars, resulting in record industry levels for tank railcar shipments and backlog. Additionally, our Railcar segment believes inquiry activity for hopper railcars is growing, specifically for railcars servicing the sand and plastic pellet markets. Consistent with industry expectations, our Railcar segment believes demand for hopper railcars is strengthening for deliveries from 2015 through 2017. However, our Railcar segment cannot assure you that the tank railcar demand will continue at historically strong levels, that demand for hopper railcars, or any other railcar types, will improve, or that our railcar orders and shipments will track industry-wide trends.</w:t>
      </w:r>
    </w:p>
    <w:p>
      <w:pPr>
        <w:spacing w:after="0" w:line="70"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Railcar shipments for the three months ended March 31, 2014 were approximately 1,610 railcars, including approximately 700 railcars to leasing customers, as compared to approximately 1,900 railcars for the comparable prior year period, including approximately 1,030 railcars to leasing customers.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2014, our Railcar segment had a backlog of approximately 8,600 railcars, including approximately 4,400 railcars for lease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changes in customer demand, our Railcar segment continues to adjust production rates at its railcar manufacturing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2014 and 2013</w:t>
      </w:r>
    </w:p>
    <w:p>
      <w:pPr>
        <w:spacing w:after="0" w:line="117"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three months ended March 31, 2014 decreased by $10 million (4%) over the comparable prior year period. The decrease was primarily due to lower hopper railcar shipments, partially offset by a higher mix of tank railcars shipped, which generally sell at higher prices due to more material and labor content, and strong general market conditions for tank railcars.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70" w:name="page71"/>
    <w:bookmarkEnd w:id="70"/>
    <w:p>
      <w:pPr>
        <w:ind w:right="60" w:firstLine="405"/>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three months ended March 31, 2014 was $56 million compared to $46 million for the comparable prior year period. Gross margin from manufacturing operations as a percentage of manufacturing revenues was 26% for the three months ended March 31, 2014 compared to 20% for the comparable prior year period. The increase in gross margin percentage over the respective period was primarily due to a shift in the sales mix to a higher concentration of tank railcars.</w:t>
      </w:r>
    </w:p>
    <w:p>
      <w:pPr>
        <w:spacing w:after="0" w:line="4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March 31, 2014 as compared to the corresponding prior year period due to an increase in number of railcars leased to customers and an increase in the average lease rate. The lease fleet grew from approximately 31,100 railcars at March 31, 2013 to approximately 35,600 railcars at March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The increase in casino revenues for the three months ended March 31, 2014 as compared to the comparable prior year period was primarily due to a 0.2% increase in consolidated gaming volumes and increased gaming hold percentage, primarily due to higher gaming volumes at Tropicana Casino and Resort, Atlantic City ("Tropicana AC"), offset in part by lower casino revenues at Belle of Baton Rouge Casino and Hotel. Tropicana's consolidated gaming hold percentage was 10.3% and 9.6% for the three months ended March 31, 2014 and 2013, respectively.</w:t>
      </w:r>
    </w:p>
    <w:p>
      <w:pPr>
        <w:spacing w:after="0" w:line="6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Net revenues from Tropicana AC comprise approximately 42% and 39% of our Gaming segment's net revenues for the three months ended March 31, 2014 and 2013, respectively. Based on market data, the Atlantic City market experienced year over year declines in casino win of 7.5% for the three ended March 31, 2014. Tropicana AC casino revenues increased in the three months ended March 31, 2014 as compared to the corresponding prior year period as a result of increased customer volumes due, in part, to the closure of one of Tropicana AC's competitors in Atlantic City. In addition, Tropicana AC's revenues increased due to the inclusion of revenues from Internet gaming which commenced in November 2013, coupled with 6.1% higher slot volumes partially offset by 22.2% lower table game volumes, including lower volumes of high-end play for the three months ended March 31, 2014.</w:t>
      </w:r>
    </w:p>
    <w:p>
      <w:pPr>
        <w:spacing w:after="0" w:line="57"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Revenues from rooms increased for the three months ended March 31, 2014 as compared to the corresponding prior year period. The average daily room rate and occupancy across all of Tropicana's gaming properties were $64 and 58%, respectively, for the three months ended March 31, 2014 as compared to $65 and 55%, respectively, for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Viskase Companies, Inc. ("Viskase") currently operates nine manufacturing facilities and ten distribution centers throughout North America, Europe, South America and Asia and derives approximately 72% of total net sales from customers located outside the United States.</w:t>
      </w:r>
    </w:p>
    <w:p>
      <w:pPr>
        <w:spacing w:after="0" w:line="3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Net sales for the three months ended March 31, 2014 was flat at $88 million as compared to the comparable prior year period, with a $2 million increase due to price and product mix, offset in part by $1 million from foreign currency translation and $1 million from lower volumes.</w:t>
      </w:r>
    </w:p>
    <w:p>
      <w:pPr>
        <w:spacing w:after="0" w:line="6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Cost of goods sold for the three months ended March 31, 2014 decreased by $1 million (1%) as compared to the comparable prior year period. Gross margin as a percent of net sales was 25% and 24% for the three months ended March 31, 2014 and 2013, respectively. The improvement in the gross margin as a percent of net sales over the comparable period was due to improved plant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71" w:name="page72"/>
    <w:bookmarkEnd w:id="71"/>
    <w:p>
      <w:pPr>
        <w:ind w:firstLine="405"/>
        <w:spacing w:after="0" w:line="264" w:lineRule="auto"/>
        <w:rPr>
          <w:sz w:val="20"/>
          <w:szCs w:val="20"/>
          <w:color w:val="auto"/>
        </w:rPr>
      </w:pPr>
      <w:r>
        <w:rPr>
          <w:rFonts w:ascii="Arial" w:cs="Arial" w:eastAsia="Arial" w:hAnsi="Arial"/>
          <w:sz w:val="18"/>
          <w:szCs w:val="18"/>
          <w:color w:val="auto"/>
        </w:rPr>
        <w:t>Revenue from our real estate operations for each of the three months ended March 31, 2014 and 2013 were substantially derived from our resort and rental operations. Revenue from sales of residential units in our real estate development operations represent 14% and 5% of total Real Estate revenues for the three months ended March 31, 2014 and 2013,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Net sales for the three months ended March 31, 2014 decreased by $4 million (9%) compared to the comparable prior year period. The decrease was primarily due to reduction in sales volume in certain low margin programs. Cost of goods sold for the three months ended March 31, 2014 decreased by $4 million (10%) compared to the comparable prior year period. The decrease was primarily due to lower sales volume. Gross margin as a percentage of net sales was 12% for the three months ended March 31, 2014 as compared to 11% for the comparable prior year period. The increase was primarily due to higher margins on more profitable programs and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loss from investment activities were $21 million for the three months ended March 31, 2014 as compared to $2 million in the comparable prior year period. The net loss from investment activity during the first quarter of 2014 include unrealized losses from certain swaps that were assigned to the Holding Company from our Investment segmenting during August 2013. See Note 6, "Financial Instruments - Investment Segment and Holding Company," to the consolidated financial statements for further discussion regarding these swaps. In addition, there were unrealized losses related to other securities held by the Holding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consolidated other income (loss), net for the three months ended March 31, 2014 and 2013 was $35 million and $(45) million, respectively. During the first quarter of 2014, our Energy segment recorded gains on certain derivative contracts of $109 million. In addition, during the first quarter of 2014, our Gaming segment received $32 million in cash as payment to satisfy future credits in connection with a certain negotiated tax settlement. During the first quarter of 2014, we had various debt refinancing transactions and recorded an aggregate loss on extinguishment of debt of $126 million. See Note 6, "Financial Instruments," and Note 16, "Other Income (Loss), Net," to the consolidated financial statements for further discussion.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selling, general and administrative ("SG&amp;A") for the three months ended March 31, 2014 decreased by $11 million (3%) as compared to the comparable prior year period. The decrease was primarily due to a decrease of $6 million from our Investment segment due to lower compensation expense, $6 million from our Automotive segment due to certain cost cutting measures and $4 million collectively from our Energy and Metals segments, offset in part by an increase of $6 million from our Gaming segment primarily due to higher marketing expenses, higher utility expenses and higher property tax expense due to certain tax credits recognized during the first quarter of 2013.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consolidated restructuring costs were $8 million for each of the three months ended March 31, 2014 and 2013, respectively, which was attributable to Federal-Mogul.</w:t>
      </w:r>
    </w:p>
    <w:p>
      <w:pPr>
        <w:spacing w:after="0" w:line="6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$73 million, of which $58 million and $15 million pertains to employee costs and facility costs, respectively. In connection with Restructuring 2013, Federal-Mogul recorded $4 million and $7 million in restructuring charges for the three months ended March 31, 2014 and 2013, respectively, substantially all of which pertain to employee costs. These restructuring opportunities include potential plant closures and employee headcount reductions in various countries that require consultation with various parties including, but not limited to, unions/works councils, local governments and/or customers. The consultation process can take a significant amount of time and impact the final outcome and timing. Federal-Mogul's policy is to record a provision for qualifying restructuring costs in accordance with the applicable accounting guidance when the outcome of such consultations becomes probable. Federal-Mogul has entered into consultation with works council for one of its French facilities to potentially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76" w:right="259" w:bottom="1440" w:gutter="0" w:footer="0" w:header="0"/>
        </w:sectPr>
      </w:pPr>
    </w:p>
    <w:bookmarkStart w:id="72" w:name="page73"/>
    <w:bookmarkEnd w:id="72"/>
    <w:p>
      <w:pPr>
        <w:ind w:right="780"/>
        <w:spacing w:after="0" w:line="277" w:lineRule="auto"/>
        <w:rPr>
          <w:sz w:val="20"/>
          <w:szCs w:val="20"/>
          <w:color w:val="auto"/>
        </w:rPr>
      </w:pPr>
      <w:r>
        <w:rPr>
          <w:rFonts w:ascii="Arial" w:cs="Arial" w:eastAsia="Arial" w:hAnsi="Arial"/>
          <w:sz w:val="18"/>
          <w:szCs w:val="18"/>
          <w:color w:val="auto"/>
        </w:rPr>
        <w:t>cease operations; the outcome of such consultation is not yet probable, but could require restructuring charges in the period in which the good faith negotiations conclude.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Interest expense during the three months ended March 31, 2014 increased by $25 million (17%) as compared the corresponding prior year period. The increase was primarily due to higher interest expense from our Investment segment attributable to due to broker balances, offset in part by lower interest expense attributable to the expiration of unfavorable interest rate swaps at our Automotive segment in the first quarter of 2013 and lower interest rate on our Energy segment's outstanding debt balances over the respective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For the three months ended March 31, 2014, both Icahn Enterprises and Icahn Enterprises Holdings recorded an income tax expense of $103 million on pre-tax income of $180 million compared to an income tax expense of $120 million on pre-tax income of $830 million for the three months ended March 31, 2013. Our effective income tax rate was 57.2% and 14.5% for the three months ended March 31, 2014 and 2013, respectively.</w:t>
      </w:r>
    </w:p>
    <w:p>
      <w:pPr>
        <w:spacing w:after="0" w:line="5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the three months ended March 31, 2014, the difference between the effective tax rate and statutory federal rate of 35% is primarily due to partnership loss not subject to taxation, as such taxes are the responsibility of the partners. For the three months ended March 31, 2013, the difference between the effective tax rate and the statutory federal rate of 35% is primarily due to changes in valuation allowances and partnership income not subject to taxation, as such taxes are the responsibility of the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As of March 31, 2014, the Holding Company had investments in the Investment Funds with a total fair market value of approximately $4.7 billion. As of March 31, 2014, our Holding Company had cash and cash equivalents of approximately $1.0 billion and total debt of approximately $5.5 billion.</w:t>
      </w:r>
    </w:p>
    <w:p>
      <w:pPr>
        <w:spacing w:after="0" w:line="1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As of March 31, 2014 based on covenants in the indenture governing our senior notes, we could incur approximately $1.6 billion in additional indebtedness. See Note 10, “Debt,” to the consolidated financial statements for additional information concerning credit facilities for us and our subsidiaries.</w:t>
      </w:r>
    </w:p>
    <w:p>
      <w:pPr>
        <w:spacing w:after="0" w:line="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March 3, 2014, the board of directors of our general partner announced an increase in our annualized distribution from $5.00 per depositary unit to $6.00 per depositary unit.</w:t>
      </w:r>
    </w:p>
    <w:p>
      <w:pPr>
        <w:spacing w:after="0" w:line="62"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On February 25, 2014, Icahn Enterprises declared a quarterly distribution in the amount of $1.50 per depositary unit in which each depositary unit holder had the option to make an election to receive either cash or additional depositary units. As a result, on April 22, 2014, Icahn Enterprises distributed an aggregate 1,574,448 depositary units to unit holders electing to receive depositary units in connection with this distribution.</w:t>
      </w:r>
    </w:p>
    <w:p>
      <w:pPr>
        <w:spacing w:after="0" w:line="5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5, 2014, the Board of Directors of the general partner of Icahn Enterprises declared a quarterly distribution in the amount of $1.50 per depositary unit, which will be paid on or about June 30, 2014 to depositary unit holders of record at the close of business on May 19, 2014. Depositary unit holders have until June 11,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76" w:right="279" w:bottom="1440" w:gutter="0" w:footer="0" w:header="0"/>
        </w:sectPr>
      </w:pPr>
    </w:p>
    <w:bookmarkStart w:id="73" w:name="page74"/>
    <w:bookmarkEnd w:id="73"/>
    <w:p>
      <w:pPr>
        <w:ind w:right="60"/>
        <w:spacing w:after="0" w:line="259" w:lineRule="auto"/>
        <w:rPr>
          <w:sz w:val="20"/>
          <w:szCs w:val="20"/>
          <w:color w:val="auto"/>
        </w:rPr>
      </w:pPr>
      <w:r>
        <w:rPr>
          <w:rFonts w:ascii="Arial" w:cs="Arial" w:eastAsia="Arial" w:hAnsi="Arial"/>
          <w:sz w:val="18"/>
          <w:szCs w:val="18"/>
          <w:color w:val="auto"/>
        </w:rPr>
        <w:t>volume weighted average trading price of the units on NASDAQ during the 10 consecutive trading days ending June 25, 2014.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discussed elsewhere in this Report, on January 21, 2014, we issued $1.200 billion in aggregate principal of the Additional 2020 Notes, $1.275 billion in aggregate principal of the 2019 Notes and $1.175 billion in aggregate principal amount of the 2017 Notes. The net proceeds of the New Notes were approximately $3.650 billion, after deducting the initial purchasers' discount and commission and estimated fees and expenses related to the offerings. 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on January 29, 2014, the Issuers issued $1.350 billion aggregate principal amount of the 2022 Notes. The 2022 Notes were priced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 of their face amount. The net proceeds from the sale of the 2022 Notes were approximately $1.340 billion, after deducting the initial purchaser’s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 and commission and estimated fees and expenses related to the offering.</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January 2014, a subsidiary of ARI (the "ARI Subsidiary") refinanced its Original ARI Term Loan under an amended and restated credit agreement to, among other things; increase the aggregate borrowings available thereunder. In connection with the refinancing, ARI Subsidiary received borrowings of $316 million, net of fees and expenses. Of this amount, $194 million was used to refinance the Original ARI Term Loan, resulting in net proceeds of $122 million. In conjunction with the refinancing, ARI incurred a $2 million loss on extinguishment of debt, which is reflected in other income (loss), net in our consolidated statements of operations.</w:t>
      </w:r>
    </w:p>
    <w:p>
      <w:pPr>
        <w:spacing w:after="0" w:line="80"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On March 27, 2014, a certain subsidiary of ARL entered into a new $300 million term loan (the “RCF Term Loan”). Proceeds of the RCF Term Loan, along with $256 million in cash, were used to pay off a certain term note that matured in March 2014 with a certain subsidiary of ARL.</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financing transactions detailed above.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76"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490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Icahn Enterprises</w:t>
            </w:r>
          </w:p>
        </w:tc>
        <w:tc>
          <w:tcPr>
            <w:tcW w:w="120" w:type="dxa"/>
            <w:vAlign w:val="bottom"/>
          </w:tcPr>
          <w:p>
            <w:pPr>
              <w:spacing w:after="0"/>
              <w:rPr>
                <w:sz w:val="24"/>
                <w:szCs w:val="24"/>
                <w:color w:val="auto"/>
              </w:rPr>
            </w:pPr>
          </w:p>
        </w:tc>
        <w:tc>
          <w:tcPr>
            <w:tcW w:w="28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44"/>
        </w:trPr>
        <w:tc>
          <w:tcPr>
            <w:tcW w:w="4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tcPr>
          <w:p>
            <w:pPr>
              <w:jc w:val="center"/>
              <w:ind w:right="20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840" w:type="dxa"/>
            <w:vAlign w:val="bottom"/>
            <w:gridSpan w:val="4"/>
          </w:tcPr>
          <w:p>
            <w:pPr>
              <w:jc w:val="right"/>
              <w:ind w:right="1010"/>
              <w:spacing w:after="0"/>
              <w:rPr>
                <w:sz w:val="20"/>
                <w:szCs w:val="20"/>
                <w:color w:val="auto"/>
              </w:rPr>
            </w:pPr>
            <w:r>
              <w:rPr>
                <w:rFonts w:ascii="Arial" w:cs="Arial" w:eastAsia="Arial" w:hAnsi="Arial"/>
                <w:sz w:val="14"/>
                <w:szCs w:val="14"/>
                <w:color w:val="auto"/>
              </w:rPr>
              <w:t>(in millions)</w:t>
            </w:r>
          </w:p>
        </w:tc>
      </w:tr>
      <w:tr>
        <w:trPr>
          <w:trHeight w:val="235"/>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5.875% senior unsecured notes due 2022 - Icahn Enterprises/Icahn</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1"/>
              </w:rPr>
              <w:t>6.00% senior unsecured notes due 2020 - Icahn Enterprises/Icahn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4.875% senior unsecured notes due 2019 - Icahn Enterprises/Icahn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1"/>
              </w:rPr>
              <w:t>8.00% senior unsecured notes due 2018 - Icahn Enterprises/Icahn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3.50% senior unsecured notes due 2017 - Icahn Enterprises/Icahn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1"/>
              </w:rPr>
              <w:t>7.75% senior unsecured notes due 2016 - Icahn Enterprises/Icahn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rPr>
              <w:t>Senior secured notes and revolving credit facility - Food</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Packaging</w:t>
            </w: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10, “Debt,” to the consolidated financial statements for additional information concerning terms, restrictions and covenants of our debt. As of March 31, 2014,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Other than the financing transactions discussed above, there have been no material changes to our contractual commitments and contingencies as compared to those reported in our Annual Report on Form 10-K for the year ended December 31, 2013</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7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three months ended March 31, 2014 and cash and cash equivalents as of March 31, 2014 for Icahn Enterprises' operating segments and the Holding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2014</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 2014</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995</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Cash used in operating activities during the three months ended March 31, 2014 was primarily attributable to our Investment segment due to net cash used in investment transactions. Additionally, the Holding Company had net cash used in operating activities primarily due to interest payments on our senior unsecured notes. Our Energy segment had net cash provided from operating activities primarily due to earnings during the quarter.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Cash used in investing activities during the three months ended March 31, 2014 is primarily attributable to capital expenditures from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Railcar segment had capital expenditures of $102 million, of which $98 million was for the manufacture or purchase of railcars for its leasing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Automotive and Energy segments had capital expenditures of $96 million and $62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Cash provided from financing activities during the three months ended March 31, 2014 is primarily attributable to certain debt refinancing activities of the Holding Company which resulted in net proceeds of approximately $1.4 billion. This was offset in part by $381 million paid to an affiliate of Mr. Icahn in connection with our purchase of a 75% economic interest in ARL.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As of March 31, 2014, the Investment Funds' net notional exposure was 31%. The Investment Funds' long exposure was 158% (152% long equity and 6% long credit) and the Investment Funds' short exposure was 127% (119% short equity and 8% short credit). The Investment Funds historically have had access to significant amounts of cash from prime brokers, subject to customary terms and market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both March 31, 2014 and December 31, 2013, the borrowing availability under the Federal-Mogul Replacement Revolving Facility $550 million. Federal-Mogul had $38 million and $39 million of letters of credit outstanding as of March 31, 2014 and December 31, 2013, respectively, pertaining to its term loan credit facility. To the extent letters of credit associated with the Federal-Mogul Replacement Facility are issued, there is a corresponding decrease in borrowings available under this facility. See Note 10, "Debt - Automotive," to the consolidated financial statements for additional discussion regarding Federal-Mogul's debt facilities.</w:t>
      </w:r>
    </w:p>
    <w:p>
      <w:pPr>
        <w:spacing w:after="0" w:line="8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$315 million and $271 million as of March 31, 2014 and December 31, 2013, respectively. Of those gross amounts, $303 million and $258 million, respectively, qualify as sales as defined in FASB ASC Topic 860,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w:t>
      </w:r>
      <w:r>
        <w:rPr>
          <w:rFonts w:ascii="Arial" w:cs="Arial" w:eastAsia="Arial" w:hAnsi="Arial"/>
          <w:sz w:val="18"/>
          <w:szCs w:val="18"/>
          <w:color w:val="auto"/>
        </w:rPr>
        <w:t>. The remaining transferred receivables were pledged as collateral and accounted for as secured borrowings and recorded in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within accounts receivable, net and debt. Under the terms of these facilities, Federal-Mogul is not obligated to draw cash immediately upon the transfer of accounts receivable. As of both March 31, 2014 and December 31, 2013, Federal-Mogul had withdrawn all cash related to such transferred receivables. Proceeds from the transfers of accounts receivable qualifying as sales were $410 million and $333 million for the three months ended March 31, 2014 and 2013, respectively.</w:t>
      </w:r>
    </w:p>
    <w:p>
      <w:pPr>
        <w:spacing w:after="0" w:line="8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April 15, 2014, Federal-Mogul Holdings Corporation, as the new borrower, entered into an amendment (the “Amendment”) of the Federal-Mogul Credit Agreement, among Federal-Mogul Corporation, the lenders party thereto, Citicorp USA, Inc., as Administrative Agent, JPMorgan Chase Bank, N.A., as Syndication Agent, and Wachovia Capital Finance Corporation and Wells Fargo Foothill, LLC, as Co-Documentation Agents, with respect to a new tranche B term loan facility (the “New Tranche B Facility”) and a new tranche C term loan facility (the “New Tranche C Facility,” and together with the New Tranche B Facility, the “New Federal-Mogul Facilities”). Immediately following the closing of the transactions contemplated by the Amendment, Federal-Mogul Holdings Corporation contributed all of the net proceeds from the New Federal-Mogul Facilities to Federal-Mogul Corporation, and Federal-Mogul Corporation repaid its existing outstanding indebtedness as a borrower under the tranche B and tranche C term loan facilities. In connection with this debt refinancing, our Automotive segment anticipates recognizing a non-cash loss on debt extinguishment of approximately $35 million during the quarter ending June 30, 2014, which is primarily attributable to the write-off of debt discounts.</w:t>
      </w:r>
    </w:p>
    <w:p>
      <w:pPr>
        <w:spacing w:after="0" w:line="7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Amendment, among other things, (i) provides for aggregate commitments under the New Tranche B Facility of $700 million with a maturity date of April 15, 2018, (ii) provides for aggregate commitments under the New Tranche C Facility of approximately $1.9 billion with a maturity date of April 15, 2021, (iii) increases the interest rates applicable to the New Federal-Mogul Facilities as described below, (iv) provides that for all outstanding letters of credit there is a corresponding decrease in borrowings available under the Federal-Mogul Replacement Revolving Facility, (v) provides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provides for additional incremental indebtedness, secured on a pari passu basis, of an unlimited amount of additional indebtedness if Federal-Mogul meets a financial covenant incurrence test, and (vii) amends certain other restrictive covenants. Pursuant to the Amendment, Federal-Mogul Holdings Corporation assumed all of the obligations of Federal-Mogul Corporation with respect to the Federal-Mogul Replacement Revolving Facility under the Federal-Mogul Credit Agreement.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"Subsequent Events - Automotive," to the consolidated financial statements for further discussion.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estimates its 2014 capital expenditures to be in the range of $370 million to $420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As of March 31, 2014, CRLLC had availability under the Amended and Restated ABL Credit Facility of $373 million and had letters of credit outstanding of $27 million. There were no borrowings outstanding under the ABL Credit Facility as of March 31, 2014. In addition, as of March 31, 2014, CVR Partners had $25 million availability under its revolving credit facility, with an uncommitted incremental facility of up to $50 million.</w:t>
      </w:r>
    </w:p>
    <w:p>
      <w:pPr>
        <w:spacing w:after="0" w:line="5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CVR Refining and CVR Partners have a distribution policy in which they will generally distribute all of their available cash each quarter, within 60 days after the end of each quarter. CVR Refining's distributions began with the quarter 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76" w:right="259" w:bottom="1440" w:gutter="0" w:footer="0" w:header="0"/>
        </w:sectPr>
      </w:pPr>
    </w:p>
    <w:bookmarkStart w:id="77" w:name="page78"/>
    <w:bookmarkEnd w:id="77"/>
    <w:p>
      <w:pPr>
        <w:spacing w:after="0" w:line="272" w:lineRule="auto"/>
        <w:rPr>
          <w:sz w:val="20"/>
          <w:szCs w:val="20"/>
          <w:color w:val="auto"/>
        </w:rPr>
      </w:pPr>
      <w:r>
        <w:rPr>
          <w:rFonts w:ascii="Arial" w:cs="Arial" w:eastAsia="Arial" w:hAnsi="Arial"/>
          <w:sz w:val="17"/>
          <w:szCs w:val="17"/>
          <w:color w:val="auto"/>
        </w:rPr>
        <w:t>March 31, 2013 and have been adjusted to exclude the period prior to the CVR Refining IPO from January 1, 2013 through January 22, 2013. The distributions will be made to all common unitholders. CVR currently holds approximately 71%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January 24, 2013, the board of directors of CVR adopted a quarterly cash dividend policy. Subject to declaration by its board of directors, CVR's quarterly dividend is currently $0.75 per share, or $3.00 per share on annualized basis. Additionally, CVR declared and paid two special cash dividends during the year ended December 31, 2013. CVR paid an aggregate total of approximately $65 million in dividends, during the three months ended March 31, 2014, of which $53 million was paid to us.</w:t>
      </w:r>
    </w:p>
    <w:p>
      <w:pPr>
        <w:spacing w:after="0" w:line="79"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CVR estimates that the total capital spending 2014 to be approximately $360 million to $375 million.</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the Nitrogen Fertilizer Partnership's nitrogen fertilizer business has been and will be determined by the board of directors of its general partner. Capital spending for CVR's petroleum business will be determined by the board of directors of its general partner.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March 31, 2014 as compared to those reported in our Annual Report on Form 10-K for the year ended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No. 2014-8,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are currently evaluating the impact that the adoption of this guidance will have on our consolidated financial position, results of operations, cash flows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2013 and those set forth in this Report.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March 31, 2014, we estimate that in the event of a 10% adverse change in the fair value of these investments, the fair values of securities owned, securities sold, not yet purchased and derivatives would decrease by $1.4 billion, $90 million and $1.6 billion, respectively. However, as of March 31, 2014, we estimate that the impact to our share of the net (loss) gain from investment activities reported in our consolidated statement of operations would be less than the change in fair value since we have an investment of approximately 50% in these Investment Funds, and the non-controlling interests in income would correspondingly offset approximately 50%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See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three months ended March 31, 2014, our Automotive segment derived 36% of its sales in the United States and 64% internationally. Of these international sales, 58%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three months ended March 31, 2014 would have decreased net income attributable to Icahn Enterprises for our Automotive segment by approximately $4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4" w:right="239" w:bottom="1440" w:gutter="0" w:footer="0" w:header="0"/>
        </w:sectPr>
      </w:pPr>
    </w:p>
    <w:bookmarkStart w:id="79" w:name="page80"/>
    <w:bookmarkEnd w:id="79"/>
    <w:p>
      <w:pPr>
        <w:ind w:right="540"/>
        <w:spacing w:after="0" w:line="277" w:lineRule="auto"/>
        <w:rPr>
          <w:sz w:val="20"/>
          <w:szCs w:val="20"/>
          <w:color w:val="auto"/>
        </w:rPr>
      </w:pPr>
      <w:r>
        <w:rPr>
          <w:rFonts w:ascii="Arial" w:cs="Arial" w:eastAsia="Arial" w:hAnsi="Arial"/>
          <w:sz w:val="18"/>
          <w:szCs w:val="18"/>
          <w:color w:val="auto"/>
        </w:rPr>
        <w:t>products sold in the future both at its petroleum business and the nitrogen fertilizer business, as all of the products manufactured in both businesses are commodities.</w:t>
      </w:r>
    </w:p>
    <w:p>
      <w:pPr>
        <w:spacing w:after="0" w:line="6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March 31, 2014, CVR Refining had open commodity hedging instruments consisting of 18.1 million barrels of crack spreads primarily to fix the margin on a portion of our future gasoline and distillate production. The fair value of the outstanding contracts at March 31, 2014 was a net unrealized gain of $72 million. A change of $1.00 per barrel in the fair value of the crack spread swaps would result in an increase or decrease in the related fair values of commodity hedging instruments of approximately $18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5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on a dollar for dollar basis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Our Railcar segment's financial results could be affected by changes in interest rates due to the impact those changes have on its variable rate debt obligation as of March 31, 2014. A one percentage point increase in the rate would have had a $5 million impact on our Railcar segment's interest expense.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76"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March 31, 2014,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March 31, 2014, the impact of a 100 basis point increase or decrease in interest rates on fixed rate debt would have no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March 31, 2014, the effects of a 10% adverse change in the fair value of these investments would result in loss of approximately $56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March 31, 2014,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Other than changes for our Automotive segment as discussed below, there were no other material changes to our risk factors during the three months ended March 31, 2014 as compared to those reported in our Annual Report on Form 10-K for the year ended December 31, 2013.</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Federal-Mogul has substantial indebtedness, which could restrict its business activities and could subject it to significant interest rate risk.</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Federal-Mogul has substantial indebtedness, which could restrict its business activities and could subject it to significant interest rate risk. As of March 31, 2014, our Automotive segment had approximately $2.6 billion of outstanding indebtedness. Federal-Mogul is permitted by the terms of its debt instruments to incur substantial additional indebtedness, subject to the restrictions therein. Federal-Mogul’s inability to generate sufficient cash flow to satisfy its debt obligations, or to refinance its debt obligations on commercially reasonable terms, would have a material adverse effect on its business, financial condition and results of operations. Federal-Mogul's indebtedness could:</w:t>
      </w:r>
    </w:p>
    <w:p>
      <w:pPr>
        <w:spacing w:after="0" w:line="8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its ability to borrow money for working capital, capital expenditures, debt service requirements or other corporate purposes;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it to dedicate a substantial portion of its cash flow to payments on indebtedness, which would reduce the amount of cash flow available to fund working capital, capital expenditures, product development and other corporate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its vulnerability to general adverse economic and industry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its ability to respond to business opportunities.</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 significant portion of Federal-Mogul’s indebtedness accrues interest at variable rates. To the extent market interest rates rise, the cost of Federal-Mogul’s debt would increase, adversely affecting our Automotive segment's financial condition, results of operations, and cash flows. On April 15, 2014, Federal-Mogul Holdings Corporation, as the new borrower, entered into an amendment of its Term Loan and Revolving Credit Agreement dated as of December 27, 2007, which among other things, (i) provides for aggregate commitments under a new tranche B loan facility of $700 million with a maturity date of April 15, 2018, and (ii) provides for aggregate commitments under a new tranche C loan facility of $1.9 billion with a maturity date of April 15, 2021. See Note 18, "Subsequent Events - Automotive," to the consolidated financial statements for a further discussion of this amendment. Although this amendment extended the maturity of our Automotive segment's outstanding indebtedness, Federal-Mogul may need to borrow additional funds or refinancing its existing indebtedness in the future, and there are no assurances that it will be able to do so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364"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quarterly period ended March 31, 2014, formatted in XBRL (Extensible Business Reporting Language) includes: (i) the Consolidated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Balance Sheets as of March 31, 2014 and December 31, 2013, (ii) the Consolidated Statements of Operations for the three months ended</w:t>
            </w:r>
          </w:p>
        </w:tc>
      </w:tr>
    </w:tbl>
    <w:p>
      <w:pPr>
        <w:ind w:left="1520" w:right="160"/>
        <w:spacing w:after="0" w:line="254" w:lineRule="auto"/>
        <w:rPr>
          <w:sz w:val="20"/>
          <w:szCs w:val="20"/>
          <w:color w:val="auto"/>
        </w:rPr>
      </w:pPr>
      <w:r>
        <w:rPr>
          <w:rFonts w:ascii="Arial" w:cs="Arial" w:eastAsia="Arial" w:hAnsi="Arial"/>
          <w:sz w:val="18"/>
          <w:szCs w:val="18"/>
          <w:color w:val="auto"/>
        </w:rPr>
        <w:t>March 31, 2014 and 2013, (iii) the Consolidated Statements of Comprehensive Income for the three months ended March 31, 2014 and 2013, (iv) the Consolidated Statements of Changes in Equity for the three months ended March 31, 2014, (v) the Consolidated Statements of Cash Flows for the three months ended March 31, 2014 and 2013 and (vi) the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340" w:hanging="251"/>
        <w:spacing w:after="0" w:line="257"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83" w:name="page84"/>
    <w:bookmarkEnd w:id="8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364" w:right="4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year ended March 31,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March 31,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March 31, 2014;</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340"/>
          </w:cols>
          <w:pgMar w:left="240" w:top="580" w:right="3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March 31,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 Keith Cozza, President and Chief Executive Officer of Icahn Enterprises G.P. Inc., the general partner of Icahn Enterprises L.P., certify that, to the best of my knowledge, based upon a review of the Icahn Enterprises L.P. quarterly report on Form 10-Q for the year ended March 31, 2014:</w:t>
      </w:r>
    </w:p>
    <w:p>
      <w:pPr>
        <w:spacing w:after="0" w:line="147"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March 31, 2014:</w:t>
      </w:r>
    </w:p>
    <w:p>
      <w:pPr>
        <w:spacing w:after="0" w:line="147"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color w:val="auto"/>
        </w:rPr>
        <w:t>I, Keith Cozza, President and Chief Executive Officer of Icahn Enterprises G.P. Inc., the general partner of Icahn Enterprises Holdings L.P., certify that, to the best of my knowledge, based upon a review of the Icahn Enterprises Holdings L.P. quarterly report on Form 10-Q for the year ended March 31, 2014:</w:t>
      </w:r>
    </w:p>
    <w:p>
      <w:pPr>
        <w:spacing w:after="0" w:line="124"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March 31, 2014:</w:t>
      </w:r>
    </w:p>
    <w:p>
      <w:pPr>
        <w:spacing w:after="0" w:line="147"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2019-12-06T00:09:06Z</dcterms:created>
  <dcterms:modified xsi:type="dcterms:W3CDTF">2019-12-06T00:09:06Z</dcterms:modified>
</cp:coreProperties>
</file>