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640" w:right="2720" w:hanging="3630"/>
        <w:spacing w:after="0" w:line="424" w:lineRule="auto"/>
        <w:tabs>
          <w:tab w:leader="none" w:pos="18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2022</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8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4"/>
                <w:szCs w:val="24"/>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88"/>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r>
      <w:tr>
        <w:trPr>
          <w:trHeight w:val="182"/>
        </w:trPr>
        <w:tc>
          <w:tcPr>
            <w:tcW w:w="3300" w:type="dxa"/>
            <w:vAlign w:val="bottom"/>
          </w:tcPr>
          <w:p>
            <w:pPr>
              <w:jc w:val="center"/>
              <w:ind w:right="608"/>
              <w:spacing w:after="0"/>
              <w:rPr>
                <w:sz w:val="20"/>
                <w:szCs w:val="20"/>
                <w:color w:val="auto"/>
              </w:rPr>
            </w:pPr>
            <w:r>
              <w:rPr>
                <w:rFonts w:ascii="Arial" w:cs="Arial" w:eastAsia="Arial" w:hAnsi="Arial"/>
                <w:sz w:val="14"/>
                <w:szCs w:val="14"/>
                <w:color w:val="auto"/>
                <w:w w:val="94"/>
              </w:rPr>
              <w:t>(Commission File Number)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5"/>
                <w:szCs w:val="15"/>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311"/>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r>
      <w:tr>
        <w:trPr>
          <w:trHeight w:val="246"/>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70"/>
        </w:trPr>
        <w:tc>
          <w:tcPr>
            <w:tcW w:w="3300" w:type="dxa"/>
            <w:vAlign w:val="bottom"/>
          </w:tcPr>
          <w:p>
            <w:pPr>
              <w:spacing w:after="0"/>
              <w:rPr>
                <w:sz w:val="23"/>
                <w:szCs w:val="23"/>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51"/>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6"/>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r>
      <w:tr>
        <w:trPr>
          <w:trHeight w:val="225"/>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3"/>
              </w:rPr>
              <w:t>Depositary Units of Icahn Enterprises L.P.</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9"/>
                <w:szCs w:val="19"/>
                <w:color w:val="auto"/>
              </w:rPr>
            </w:pPr>
          </w:p>
        </w:tc>
        <w:tc>
          <w:tcPr>
            <w:tcW w:w="340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Nasdaq Global Select Market</w:t>
            </w:r>
          </w:p>
        </w:tc>
      </w:tr>
      <w:tr>
        <w:trPr>
          <w:trHeight w:val="182"/>
        </w:trPr>
        <w:tc>
          <w:tcPr>
            <w:tcW w:w="3300" w:type="dxa"/>
            <w:vAlign w:val="bottom"/>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200" w:lineRule="exact"/>
        <w:rPr>
          <w:sz w:val="24"/>
          <w:szCs w:val="24"/>
          <w:color w:val="auto"/>
        </w:rPr>
      </w:pPr>
    </w:p>
    <w:p>
      <w:pPr>
        <w:spacing w:after="0" w:line="249" w:lineRule="exact"/>
        <w:rPr>
          <w:sz w:val="24"/>
          <w:szCs w:val="24"/>
          <w:color w:val="auto"/>
        </w:rPr>
      </w:pPr>
    </w:p>
    <w:p>
      <w:pPr>
        <w:jc w:val="both"/>
        <w:ind w:left="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79" w:lineRule="exact"/>
        <w:rPr>
          <w:sz w:val="24"/>
          <w:szCs w:val="24"/>
          <w:color w:val="auto"/>
        </w:rPr>
      </w:pPr>
    </w:p>
    <w:p>
      <w:pPr>
        <w:ind w:left="20"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38" w:lineRule="exact"/>
        <w:rPr>
          <w:sz w:val="24"/>
          <w:szCs w:val="24"/>
          <w:color w:val="auto"/>
        </w:rPr>
      </w:pPr>
    </w:p>
    <w:p>
      <w:pPr>
        <w:ind w:left="20"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6"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0"/>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ind w:left="22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7"/>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90" w:lineRule="exact"/>
        <w:rPr>
          <w:sz w:val="24"/>
          <w:szCs w:val="24"/>
          <w:color w:val="auto"/>
        </w:rPr>
      </w:pPr>
    </w:p>
    <w:p>
      <w:pPr>
        <w:ind w:left="20" w:right="1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4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3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6, 2022, there were 306,968,320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503555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6"/>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Forward-Looking Statements</w:t>
              </w:r>
            </w:hyperlink>
          </w:p>
        </w:tc>
        <w:tc>
          <w:tcPr>
            <w:tcW w:w="4780" w:type="dxa"/>
            <w:vAlign w:val="bottom"/>
            <w:gridSpan w:val="4"/>
            <w:vMerge w:val="restart"/>
          </w:tcPr>
          <w:p>
            <w:pPr>
              <w:spacing w:after="0"/>
              <w:rPr>
                <w:sz w:val="14"/>
                <w:szCs w:val="1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tcBorders>
              <w:bottom w:val="single" w:sz="8" w:color="0000EE"/>
            </w:tcBorders>
            <w:gridSpan w:val="6"/>
            <w:vMerge w:val="continue"/>
          </w:tcPr>
          <w:p>
            <w:pPr>
              <w:spacing w:after="0"/>
              <w:rPr>
                <w:sz w:val="15"/>
                <w:szCs w:val="15"/>
                <w:color w:val="auto"/>
              </w:rPr>
            </w:pPr>
          </w:p>
        </w:tc>
        <w:tc>
          <w:tcPr>
            <w:tcW w:w="4780" w:type="dxa"/>
            <w:vAlign w:val="bottom"/>
            <w:gridSpan w:val="4"/>
            <w:vMerge w:val="continue"/>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9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80" w:type="dxa"/>
            <w:vAlign w:val="bottom"/>
            <w:gridSpan w:val="2"/>
          </w:tcPr>
          <w:p>
            <w:pPr>
              <w:spacing w:after="0"/>
              <w:rPr>
                <w:sz w:val="16"/>
                <w:szCs w:val="16"/>
                <w:color w:val="auto"/>
              </w:rPr>
            </w:pPr>
          </w:p>
        </w:tc>
        <w:tc>
          <w:tcPr>
            <w:tcW w:w="242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4480" w:type="dxa"/>
            <w:vAlign w:val="bottom"/>
            <w:gridSpan w:val="3"/>
          </w:tcPr>
          <w:p>
            <w:pPr>
              <w:spacing w:after="0"/>
              <w:rPr>
                <w:sz w:val="16"/>
                <w:szCs w:val="16"/>
                <w:color w:val="auto"/>
              </w:rPr>
            </w:pP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2.</w:t>
              </w:r>
            </w:hyperlink>
          </w:p>
        </w:tc>
        <w:tc>
          <w:tcPr>
            <w:tcW w:w="480" w:type="dxa"/>
            <w:vAlign w:val="bottom"/>
            <w:gridSpan w:val="2"/>
          </w:tcPr>
          <w:p>
            <w:pPr>
              <w:spacing w:after="0"/>
              <w:rPr>
                <w:sz w:val="17"/>
                <w:szCs w:val="17"/>
                <w:color w:val="auto"/>
              </w:rPr>
            </w:pPr>
          </w:p>
        </w:tc>
        <w:tc>
          <w:tcPr>
            <w:tcW w:w="64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4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1000" w:type="dxa"/>
            <w:vAlign w:val="bottom"/>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6900" w:type="dxa"/>
            <w:vAlign w:val="bottom"/>
            <w:gridSpan w:val="1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600" w:type="dxa"/>
            <w:vAlign w:val="bottom"/>
            <w:tcBorders>
              <w:left w:val="single" w:sz="8" w:color="0000EE"/>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4</w:t>
              </w:r>
            </w:hyperlink>
            <w:r>
              <w:rPr>
                <w:rFonts w:ascii="Arial" w:cs="Arial" w:eastAsia="Arial" w:hAnsi="Arial"/>
                <w:sz w:val="18"/>
                <w:szCs w:val="18"/>
                <w:color w:val="000000"/>
              </w:rPr>
              <w:t>.</w:t>
            </w:r>
          </w:p>
        </w:tc>
        <w:tc>
          <w:tcPr>
            <w:tcW w:w="6900" w:type="dxa"/>
            <w:vAlign w:val="bottom"/>
            <w:gridSpan w:val="1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492"/>
        </w:trPr>
        <w:tc>
          <w:tcPr>
            <w:tcW w:w="4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1.</w:t>
              </w:r>
            </w:hyperlink>
          </w:p>
        </w:tc>
        <w:tc>
          <w:tcPr>
            <w:tcW w:w="480" w:type="dxa"/>
            <w:vAlign w:val="bottom"/>
            <w:gridSpan w:val="2"/>
          </w:tcPr>
          <w:p>
            <w:pPr>
              <w:spacing w:after="0"/>
              <w:rPr>
                <w:sz w:val="16"/>
                <w:szCs w:val="16"/>
                <w:color w:val="auto"/>
              </w:rPr>
            </w:pPr>
          </w:p>
        </w:tc>
        <w:tc>
          <w:tcPr>
            <w:tcW w:w="134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Legal Proceedings</w:t>
              </w:r>
            </w:hyperlink>
          </w:p>
        </w:tc>
        <w:tc>
          <w:tcPr>
            <w:tcW w:w="5560" w:type="dxa"/>
            <w:vAlign w:val="bottom"/>
            <w:gridSpan w:val="6"/>
          </w:tcPr>
          <w:p>
            <w:pPr>
              <w:spacing w:after="0"/>
              <w:rPr>
                <w:sz w:val="16"/>
                <w:szCs w:val="16"/>
                <w:color w:val="auto"/>
              </w:rPr>
            </w:pP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Item 1A.</w:t>
              </w:r>
            </w:hyperlink>
          </w:p>
        </w:tc>
        <w:tc>
          <w:tcPr>
            <w:tcW w:w="360" w:type="dxa"/>
            <w:vAlign w:val="bottom"/>
          </w:tcPr>
          <w:p>
            <w:pPr>
              <w:spacing w:after="0"/>
              <w:rPr>
                <w:sz w:val="17"/>
                <w:szCs w:val="17"/>
                <w:color w:val="auto"/>
              </w:rPr>
            </w:pPr>
          </w:p>
        </w:tc>
        <w:tc>
          <w:tcPr>
            <w:tcW w:w="6900" w:type="dxa"/>
            <w:vAlign w:val="bottom"/>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2</w:t>
              </w:r>
            </w:hyperlink>
            <w:r>
              <w:rPr>
                <w:rFonts w:ascii="Arial" w:cs="Arial" w:eastAsia="Arial" w:hAnsi="Arial"/>
                <w:sz w:val="18"/>
                <w:szCs w:val="18"/>
                <w:color w:val="000000"/>
              </w:rPr>
              <w:t>.</w:t>
            </w:r>
          </w:p>
        </w:tc>
        <w:tc>
          <w:tcPr>
            <w:tcW w:w="360" w:type="dxa"/>
            <w:vAlign w:val="bottom"/>
          </w:tcPr>
          <w:p>
            <w:pPr>
              <w:spacing w:after="0"/>
              <w:rPr>
                <w:sz w:val="17"/>
                <w:szCs w:val="17"/>
                <w:color w:val="auto"/>
              </w:rPr>
            </w:pPr>
          </w:p>
        </w:tc>
        <w:tc>
          <w:tcPr>
            <w:tcW w:w="6900" w:type="dxa"/>
            <w:vAlign w:val="bottom"/>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480" w:type="dxa"/>
            <w:vAlign w:val="bottom"/>
            <w:gridSpan w:val="2"/>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Other Information</w:t>
              </w:r>
            </w:hyperlink>
          </w:p>
        </w:tc>
        <w:tc>
          <w:tcPr>
            <w:tcW w:w="5580" w:type="dxa"/>
            <w:vAlign w:val="bottom"/>
            <w:gridSpan w:val="7"/>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480" w:type="dxa"/>
            <w:vAlign w:val="bottom"/>
            <w:gridSpan w:val="2"/>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Exhibits</w:t>
              </w:r>
            </w:hyperlink>
          </w:p>
        </w:tc>
        <w:tc>
          <w:tcPr>
            <w:tcW w:w="6300" w:type="dxa"/>
            <w:vAlign w:val="bottom"/>
            <w:gridSpan w:val="9"/>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9" w:lineRule="exact"/>
        <w:rPr>
          <w:sz w:val="20"/>
          <w:szCs w:val="20"/>
          <w:color w:val="auto"/>
        </w:rPr>
      </w:pPr>
    </w:p>
    <w:p>
      <w:pPr>
        <w:ind w:left="60" w:right="5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the impacts from the Russia/Ukraine conflict, including economic volatility and the impacts of export controls and other economic sanctions;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declines in global demand for crude oil, refined products and liquid transportation fuels as result of the COVID-19 pandemic, other feed stocks and refined products,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including as a result of the Russia/Ukraine conflict; labor shortages and workforce availability;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2021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tcPr>
          <w:p>
            <w:pPr>
              <w:jc w:val="center"/>
              <w:ind w:left="22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jc w:val="center"/>
              <w:ind w:left="227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7"/>
              </w:rPr>
              <w:t>(in millions, except</w:t>
            </w:r>
          </w:p>
        </w:tc>
        <w:tc>
          <w:tcPr>
            <w:tcW w:w="1100" w:type="dxa"/>
            <w:vAlign w:val="bottom"/>
            <w:gridSpan w:val="2"/>
          </w:tcPr>
          <w:p>
            <w:pPr>
              <w:jc w:val="right"/>
              <w:ind w:right="90"/>
              <w:spacing w:after="0" w:line="129" w:lineRule="exact"/>
              <w:rPr>
                <w:sz w:val="20"/>
                <w:szCs w:val="20"/>
                <w:color w:val="auto"/>
              </w:rPr>
            </w:pPr>
            <w:r>
              <w:rPr>
                <w:rFonts w:ascii="Arial" w:cs="Arial" w:eastAsia="Arial" w:hAnsi="Arial"/>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2,160</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Derivative liabilities,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Limited partners: Depositary units: 296,852,879 units issued and outstanding at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March 31, 2022 and 293,403,243 units issued and outstanding at December 31, 2021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20" w:type="dxa"/>
            <w:vAlign w:val="bottom"/>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40" w:type="dxa"/>
            <w:vAlign w:val="bottom"/>
            <w:gridSpan w:val="4"/>
          </w:tcPr>
          <w:p>
            <w:pPr>
              <w:ind w:left="1140"/>
              <w:spacing w:after="0"/>
              <w:rPr>
                <w:sz w:val="20"/>
                <w:szCs w:val="20"/>
                <w:color w:val="auto"/>
              </w:rPr>
            </w:pPr>
            <w:r>
              <w:rPr>
                <w:rFonts w:ascii="Arial" w:cs="Arial" w:eastAsia="Arial" w:hAnsi="Arial"/>
                <w:sz w:val="18"/>
                <w:szCs w:val="18"/>
                <w:b w:val="1"/>
                <w:bCs w:val="1"/>
                <w:color w:val="auto"/>
                <w:w w:val="99"/>
              </w:rPr>
              <w:t>CONDENSED CONSOLIDATED STATEMENTS OF OPERATIONS (UNAUDITED)</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5"/>
              </w:rPr>
              <w:t>(in millions, except</w:t>
            </w:r>
          </w:p>
        </w:tc>
        <w:tc>
          <w:tcPr>
            <w:tcW w:w="108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5"/>
              </w:rPr>
              <w:t>per 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2,968</w:t>
            </w:r>
          </w:p>
        </w:tc>
        <w:tc>
          <w:tcPr>
            <w:tcW w:w="22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Net gain from investment activities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Other loss, net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Icahn Enterprises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Net income attributable to Icahn Enterprises allocated to:</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partner</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income per LP unit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Basic weighted average LP units outstanding</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income per LP unit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weighted average LP units outstanding</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Distributions declared per LP unit</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8"/>
                <w:szCs w:val="18"/>
                <w:color w:val="auto"/>
              </w:rPr>
            </w:pPr>
          </w:p>
        </w:tc>
      </w:tr>
      <w:tr>
        <w:trPr>
          <w:trHeight w:val="128"/>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4"/>
          </w:tcPr>
          <w:p>
            <w:pPr>
              <w:jc w:val="right"/>
              <w:ind w:right="570"/>
              <w:spacing w:after="0" w:line="129"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1"/>
                <w:szCs w:val="1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r>
      <w:tr>
        <w:trPr>
          <w:trHeight w:val="21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Icahn Enterprises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Icahn Enterprises allocated to:</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Limited partners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09"/>
        </w:trPr>
        <w:tc>
          <w:tcPr>
            <w:tcW w:w="67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00" w:type="dxa"/>
            <w:vAlign w:val="bottom"/>
            <w:gridSpan w:val="10"/>
          </w:tcPr>
          <w:p>
            <w:pPr>
              <w:ind w:left="2520"/>
              <w:spacing w:after="0"/>
              <w:rPr>
                <w:sz w:val="20"/>
                <w:szCs w:val="20"/>
                <w:color w:val="auto"/>
              </w:rPr>
            </w:pPr>
            <w:r>
              <w:rPr>
                <w:rFonts w:ascii="Arial" w:cs="Arial" w:eastAsia="Arial" w:hAnsi="Arial"/>
                <w:sz w:val="18"/>
                <w:szCs w:val="18"/>
                <w:b w:val="1"/>
                <w:bCs w:val="1"/>
                <w:color w:val="auto"/>
              </w:rPr>
              <w:t>ICAHN ENTERPRISES L.P. AND SUBSIDIARIES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gridSpan w:val="14"/>
          </w:tcPr>
          <w:p>
            <w:pPr>
              <w:ind w:left="780"/>
              <w:spacing w:after="0"/>
              <w:rPr>
                <w:sz w:val="20"/>
                <w:szCs w:val="20"/>
                <w:color w:val="auto"/>
              </w:rPr>
            </w:pPr>
            <w:r>
              <w:rPr>
                <w:rFonts w:ascii="Arial" w:cs="Arial" w:eastAsia="Arial" w:hAnsi="Arial"/>
                <w:sz w:val="18"/>
                <w:szCs w:val="18"/>
                <w:b w:val="1"/>
                <w:bCs w:val="1"/>
                <w:color w:val="auto"/>
              </w:rPr>
              <w:t>CONDENSED CONSOLIDATED STATEMENTS OF CHANGES IN EQUITY (UNAUDITED)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00" w:type="dxa"/>
            <w:vAlign w:val="bottom"/>
          </w:tcPr>
          <w:p>
            <w:pPr>
              <w:spacing w:after="0"/>
              <w:rPr>
                <w:sz w:val="24"/>
                <w:szCs w:val="2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General</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3"/>
              </w:rPr>
              <w:t>Limited</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Partner’s</w:t>
            </w: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Partners’</w:t>
            </w: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(Deficit) Equity</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200" w:type="dxa"/>
            <w:vAlign w:val="bottom"/>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 payable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 non-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 in subsidiaries</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820" w:type="dxa"/>
            <w:vAlign w:val="bottom"/>
          </w:tcPr>
          <w:p>
            <w:pPr>
              <w:ind w:left="20"/>
              <w:spacing w:after="0" w:line="201" w:lineRule="exact"/>
              <w:rPr>
                <w:sz w:val="20"/>
                <w:szCs w:val="20"/>
                <w:color w:val="auto"/>
              </w:rPr>
            </w:pPr>
            <w:r>
              <w:rPr>
                <w:rFonts w:ascii="Arial" w:cs="Arial" w:eastAsia="Arial" w:hAnsi="Arial"/>
                <w:sz w:val="18"/>
                <w:szCs w:val="18"/>
                <w:color w:val="auto"/>
              </w:rPr>
              <w:t>Changes in subsidiary equity and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2022</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00" w:type="dxa"/>
            <w:vAlign w:val="bottom"/>
          </w:tcPr>
          <w:p>
            <w:pPr>
              <w:spacing w:after="0"/>
              <w:rPr>
                <w:sz w:val="24"/>
                <w:szCs w:val="2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General</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3"/>
              </w:rPr>
              <w:t>Limited</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Partner’s</w:t>
            </w: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Partners’</w:t>
            </w: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Partners’</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(Deficit) Equity</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200" w:type="dxa"/>
            <w:vAlign w:val="bottom"/>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Partnership distributions payable</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2820" w:type="dxa"/>
            <w:vAlign w:val="bottom"/>
          </w:tcPr>
          <w:p>
            <w:pPr>
              <w:ind w:left="20"/>
              <w:spacing w:after="0" w:line="201" w:lineRule="exact"/>
              <w:rPr>
                <w:sz w:val="20"/>
                <w:szCs w:val="20"/>
                <w:color w:val="auto"/>
              </w:rPr>
            </w:pPr>
            <w:r>
              <w:rPr>
                <w:rFonts w:ascii="Arial" w:cs="Arial" w:eastAsia="Arial" w:hAnsi="Arial"/>
                <w:sz w:val="18"/>
                <w:szCs w:val="18"/>
                <w:color w:val="auto"/>
              </w:rPr>
              <w:t>Investment segment contributions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from non-controlling interests</w:t>
            </w:r>
          </w:p>
        </w:tc>
        <w:tc>
          <w:tcPr>
            <w:tcW w:w="1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Changes in subsidiary equity and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6,352</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0" w:type="dxa"/>
            <w:vAlign w:val="bottom"/>
            <w:gridSpan w:val="2"/>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5"/>
          </w:tcPr>
          <w:p>
            <w:pPr>
              <w:ind w:left="114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40" w:type="dxa"/>
            <w:vAlign w:val="bottom"/>
          </w:tcPr>
          <w:p>
            <w:pPr>
              <w:spacing w:after="0"/>
              <w:rPr>
                <w:sz w:val="24"/>
                <w:szCs w:val="2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83"/>
        </w:trPr>
        <w:tc>
          <w:tcPr>
            <w:tcW w:w="6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ind w:right="7"/>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Adjustments to reconcile net income to net cash provided by (used in) operating</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Net gain from securities transactions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(1,133)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Changes in derivative assets and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Turnaround expenditures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Proceeds from sale of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Proceeds from Holding Company senior unsecured notes</w:t>
            </w:r>
          </w:p>
        </w:tc>
        <w:tc>
          <w:tcPr>
            <w:tcW w:w="2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Proceeds from subsidiary borrowings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subsidiary borrowings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line="182" w:lineRule="exact"/>
              <w:rPr>
                <w:sz w:val="20"/>
                <w:szCs w:val="20"/>
                <w:color w:val="auto"/>
              </w:rPr>
            </w:pPr>
            <w:r>
              <w:rPr>
                <w:rFonts w:ascii="Arial" w:cs="Arial" w:eastAsia="Arial" w:hAnsi="Arial"/>
                <w:sz w:val="18"/>
                <w:szCs w:val="18"/>
                <w:color w:val="auto"/>
                <w:w w:val="90"/>
              </w:rPr>
              <w:t>Effect of exchange rate changes on cash and cash equivalents and restricted cash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4"/>
              </w:rPr>
              <w:t>Net increase (decrease) in cash and cash equivalents and restricted cash and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cash equivalents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2"/>
        </w:trPr>
        <w:tc>
          <w:tcPr>
            <w:tcW w:w="6340" w:type="dxa"/>
            <w:vAlign w:val="bottom"/>
          </w:tcPr>
          <w:p>
            <w:pPr>
              <w:ind w:left="20"/>
              <w:spacing w:after="0" w:line="201" w:lineRule="exact"/>
              <w:rPr>
                <w:sz w:val="20"/>
                <w:szCs w:val="20"/>
                <w:color w:val="auto"/>
              </w:rPr>
            </w:pPr>
            <w:r>
              <w:rPr>
                <w:rFonts w:ascii="Arial" w:cs="Arial" w:eastAsia="Arial" w:hAnsi="Arial"/>
                <w:sz w:val="18"/>
                <w:szCs w:val="18"/>
                <w:color w:val="auto"/>
                <w:w w:val="99"/>
              </w:rPr>
              <w:t>Cash and cash equivalents and restricted cash and restricted cash equivalents,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182"/>
        </w:trPr>
        <w:tc>
          <w:tcPr>
            <w:tcW w:w="63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Cash and cash equivalents and restricted cash and restricted cash equivalents, end of</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2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1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References to “we,” “our” or “us” herein include both Icahn Enterprises and Icahn Enterprises Holdings and their subsidiaries, unless the context otherwise requires.</w:t>
      </w:r>
    </w:p>
    <w:p>
      <w:pPr>
        <w:spacing w:after="0" w:line="184"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2022, representing an aggregate 1.99% general partner interest in Icahn Enterprises Holdings and us. Mr. Icahn and his affiliates owned approximately 87% of our outstanding depositary units as of March 31, 2022.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359" w:firstLine="324"/>
        <w:spacing w:after="0" w:line="254"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Energy, Automotive, Food Packaging, Real Estate, Home Fashion and Pharma. In addition, we operated our Metals segment until sold in December 2021. We also report the results of our Holding Company, which includes the results of certain subsidiaries of Icahn Enterprises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$4.7 billion and $4.2 billion as of March 31, 2022 and December 31, 2021,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approximately 37% outstanding common units of CVR Partners as of March 31, 2022. As of March 31, 2022, we owned approximately 71% of the total outstanding common stock of CVR Energy.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We conduct our Automotive segment through our wholly owned subsidiary, Icahn Automotive Group LLC (“Icahn Automotive”). Icahn Automotive is engaged in the retail and wholesale distribution of automotive parts in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Chief Executive Officer and management teams.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March 31, 2022, we owned approximately 89% of the total outstanding common stock of Viskase.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Real Estate segment consists primarily of investment properties, the development and sale of single-family homes and the management of a country club.</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We conduct our Pharma segment through our wholly owned subsidiary, Vivus LLC, formerly Vivus, Inc. (“Vivus”). Vivus is a specialty pharmaceutical company with two approved therapies and one product candidate in active clinical development.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conducted our Metals segment through our wholly 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p>
    <w:p>
      <w:pPr>
        <w:spacing w:after="0" w:line="171"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On December 7, 2021, we closed on the previously announced sale of 100% of the equity interests in PSC Metals. As a result of the sale of PSC Metals, we no longer operate a Metals segment at December 31, 2021 and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Ltd.,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2021.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81"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59" w:firstLine="324"/>
        <w:spacing w:after="0" w:line="31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8"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2022 was approximately $7.1 billion and $7.0 billion, respectively. The carrying value and estimated fair value of our long-term debt as of December 31, 2021 was approximately $7.7 billion and $7.8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cash held at consolidated affiliated partnerships balance was $2,084 million and $102 million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March 31, 2022 and December 31, 2021, respectively. Cash held at consolidated affiliated partnerships relates to our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Investment segment and consists of cash and cash equivalents held by the Investment Funds that, although not legally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are not available to fund the general liquidity needs of the Investment segment or Icahn Enterprises.</w:t>
      </w:r>
    </w:p>
    <w:p>
      <w:pPr>
        <w:spacing w:after="0" w:line="211" w:lineRule="exact"/>
        <w:rPr>
          <w:sz w:val="20"/>
          <w:szCs w:val="20"/>
          <w:color w:val="auto"/>
        </w:rPr>
      </w:pPr>
    </w:p>
    <w:p>
      <w:pPr>
        <w:jc w:val="both"/>
        <w:ind w:left="60" w:right="399" w:firstLine="324"/>
        <w:spacing w:after="0" w:line="263" w:lineRule="auto"/>
        <w:rPr>
          <w:sz w:val="20"/>
          <w:szCs w:val="20"/>
          <w:color w:val="auto"/>
        </w:rPr>
      </w:pPr>
      <w:r>
        <w:rPr>
          <w:rFonts w:ascii="Arial" w:cs="Arial" w:eastAsia="Arial" w:hAnsi="Arial"/>
          <w:sz w:val="18"/>
          <w:szCs w:val="18"/>
          <w:color w:val="auto"/>
        </w:rPr>
        <w:t>Our restricted cash balance was $1,717 million and $2,013 million as of March 31, 2022 and December 31, 2021, respectively. Restricted cash includes, but is not limited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60" w:right="159" w:firstLine="324"/>
        <w:spacing w:after="0" w:line="290"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Our Energy segment had deferred revenue of $81 million and $87 million as of March 31, 2022 and December 31, 2021, respectively. For the three months ended March 31, 2022 and 2021, our Energy segment recorded revenue of $17 million and $8 million, respectively, with respect to deferred revenue outstanding as of the beginning of each respective period.</w:t>
      </w:r>
    </w:p>
    <w:p>
      <w:pPr>
        <w:spacing w:after="0" w:line="181"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7"/>
          <w:szCs w:val="17"/>
          <w:color w:val="auto"/>
        </w:rPr>
        <w:t>As of March 31, 2022, our Energy segment had $10 million of remaining performance obligations for contracts with an original expected duration of more than one year. Our Energy segment expects to recognize approximately $6 million of these performance obligations as revenue by the end of 2022 and the remaining balance thereafter.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Our Automotive segment has deferred revenue with respect to extended warranty plans of $42 million at each of March 31, 2022 and December 31, 2021, which are included in accrued expenses and other liabilities on the condensed consolidated balance sheets. For the three months ended March 31, 2022 and 2021, our Automotive segment recorded revenue of $6 million and $6 million, respectively, with respect to deferred revenue outstanding as of the beginning of each respective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amends FASB ASC Topic 848,</w:t>
      </w:r>
      <w:r>
        <w:rPr>
          <w:rFonts w:ascii="Arial" w:cs="Arial" w:eastAsia="Arial" w:hAnsi="Arial"/>
          <w:sz w:val="16"/>
          <w:szCs w:val="16"/>
          <w:i w:val="1"/>
          <w:iCs w:val="1"/>
          <w:color w:val="auto"/>
        </w:rPr>
        <w:t xml:space="preserve"> Reference Rate Reform</w:t>
      </w:r>
      <w:r>
        <w:rPr>
          <w:rFonts w:ascii="Arial" w:cs="Arial" w:eastAsia="Arial" w:hAnsi="Arial"/>
          <w:sz w:val="16"/>
          <w:szCs w:val="16"/>
          <w:color w:val="auto"/>
        </w:rPr>
        <w:t>. By June 30 2023, banks will no longer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adopting this new accounting standard and do not expect it to have a material impact on our condensed consolidated financial statements.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60" w:right="479" w:firstLine="324"/>
        <w:spacing w:after="0" w:line="259" w:lineRule="auto"/>
        <w:rPr>
          <w:sz w:val="20"/>
          <w:szCs w:val="20"/>
          <w:color w:val="auto"/>
        </w:rPr>
      </w:pPr>
      <w:r>
        <w:rPr>
          <w:rFonts w:ascii="Arial" w:cs="Arial" w:eastAsia="Arial" w:hAnsi="Arial"/>
          <w:sz w:val="18"/>
          <w:szCs w:val="18"/>
          <w:color w:val="auto"/>
        </w:rPr>
        <w:t>As of March 31, 2022 and December 31, 2021, the total fair market value of investments in the Investment Funds made by Mr. Icahn and his affiliates (excluding us and Brett Icahn) was approximately $5.5 billion and $5.0 billion, respectively, representing approximately 54% and 54% of the Investment Funds’ assets under management as of each respective date.</w:t>
      </w:r>
    </w:p>
    <w:p>
      <w:pPr>
        <w:spacing w:after="0" w:line="187"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March 31, 2022 and 2021, $3 million and $5 million, respectively, was allocated to the Investment Funds based on this expense-sharing arrangement.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Hertz Global Holdings, Inc. and 767 Auto Leasing LLC</w:t>
      </w:r>
    </w:p>
    <w:p>
      <w:pPr>
        <w:spacing w:after="0" w:line="225" w:lineRule="exact"/>
        <w:rPr>
          <w:sz w:val="20"/>
          <w:szCs w:val="20"/>
          <w:color w:val="auto"/>
        </w:rPr>
      </w:pPr>
    </w:p>
    <w:p>
      <w:pPr>
        <w:jc w:val="both"/>
        <w:ind w:left="60" w:right="259" w:firstLine="324"/>
        <w:spacing w:after="0" w:line="286" w:lineRule="auto"/>
        <w:rPr>
          <w:sz w:val="20"/>
          <w:szCs w:val="20"/>
          <w:color w:val="auto"/>
        </w:rPr>
      </w:pPr>
      <w:r>
        <w:rPr>
          <w:rFonts w:ascii="Arial" w:cs="Arial" w:eastAsia="Arial" w:hAnsi="Arial"/>
          <w:sz w:val="17"/>
          <w:szCs w:val="17"/>
          <w:color w:val="auto"/>
        </w:rPr>
        <w:t>The Investment Funds had an investment in the common stock of Hertz Global Holdings, Inc. (“Hertz”) measured at fair value that would have otherwise been subject to the equity method of accounting (until sold in the second quarter of 2020). Icahn Automotive provides services to Hertz in the ordinary course of business.</w:t>
      </w:r>
    </w:p>
    <w:p>
      <w:pPr>
        <w:spacing w:after="0" w:line="165"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During 2021, this agreement was amended to commence the early disposition of vehicles owned by 767 Leasing. As of December 31, 2021, substantially all of 767 Leasing’s assets were sold and its operations have ceased.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did not consolidate the results of 767 Leasing. Our exposure to loss with respect to 767 Leasing is primarily limited to our direct investment in 767 Leasing as well as any payment obligations of 767 Leasing that we guarantee, which are not material.</w:t>
      </w:r>
    </w:p>
    <w:p>
      <w:pPr>
        <w:spacing w:after="0" w:line="390" w:lineRule="exact"/>
        <w:rPr>
          <w:sz w:val="20"/>
          <w:szCs w:val="20"/>
          <w:color w:val="auto"/>
        </w:rPr>
      </w:pPr>
    </w:p>
    <w:p>
      <w:pPr>
        <w:ind w:left="60" w:right="139" w:firstLine="369"/>
        <w:spacing w:after="0" w:line="277" w:lineRule="auto"/>
        <w:rPr>
          <w:sz w:val="20"/>
          <w:szCs w:val="20"/>
          <w:color w:val="auto"/>
        </w:rPr>
      </w:pPr>
      <w:r>
        <w:rPr>
          <w:rFonts w:ascii="Arial" w:cs="Arial" w:eastAsia="Arial" w:hAnsi="Arial"/>
          <w:sz w:val="18"/>
          <w:szCs w:val="18"/>
          <w:color w:val="auto"/>
        </w:rPr>
        <w:t>For the three months ended March 31, 2021, 767 Leasing distributed $11 million to us. As of December 31, 2021 and March 31, 2022, we no longer had an equity investment in 767 Leasing.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Related Party Agreements</w:t>
      </w:r>
    </w:p>
    <w:p>
      <w:pPr>
        <w:spacing w:after="0" w:line="225"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2022, Brett Icahn did not make any contributions in accordance with the manager agreement and in three months ended March 31, 2021 he contributed $40 million. As of March 31, 2022 and December 31, 2021 he had investments in the Investment Funds with a total fair market value of $86 million and $93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259" w:firstLine="324"/>
        <w:spacing w:after="0" w:line="275" w:lineRule="auto"/>
        <w:rPr>
          <w:sz w:val="20"/>
          <w:szCs w:val="20"/>
          <w:color w:val="auto"/>
        </w:rPr>
      </w:pPr>
      <w:r>
        <w:rPr>
          <w:rFonts w:ascii="Arial" w:cs="Arial" w:eastAsia="Arial" w:hAnsi="Arial"/>
          <w:sz w:val="17"/>
          <w:szCs w:val="17"/>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2021</w:t>
            </w:r>
          </w:p>
        </w:tc>
      </w:tr>
      <w:tr>
        <w:trPr>
          <w:trHeight w:val="129"/>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Communications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Energy</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3,184</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09"/>
        </w:trPr>
        <w:tc>
          <w:tcPr>
            <w:tcW w:w="6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r>
      <w:tr>
        <w:trPr>
          <w:trHeight w:val="210"/>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50"/>
        </w:trPr>
        <w:tc>
          <w:tcPr>
            <w:tcW w:w="66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w:t>
            </w:r>
          </w:p>
        </w:tc>
      </w:tr>
      <w:tr>
        <w:trPr>
          <w:trHeight w:val="196"/>
        </w:trPr>
        <w:tc>
          <w:tcPr>
            <w:tcW w:w="6620" w:type="dxa"/>
            <w:vAlign w:val="bottom"/>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813</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Healthcare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09"/>
        </w:trPr>
        <w:tc>
          <w:tcPr>
            <w:tcW w:w="6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ind w:left="60" w:right="679" w:firstLine="324"/>
        <w:spacing w:after="0" w:line="342" w:lineRule="auto"/>
        <w:rPr>
          <w:sz w:val="20"/>
          <w:szCs w:val="20"/>
          <w:color w:val="auto"/>
        </w:rPr>
      </w:pPr>
      <w:r>
        <w:rPr>
          <w:rFonts w:ascii="Arial" w:cs="Arial" w:eastAsia="Arial" w:hAnsi="Arial"/>
          <w:sz w:val="16"/>
          <w:szCs w:val="16"/>
          <w:color w:val="auto"/>
        </w:rPr>
        <w:t>The portion of unrealized gains that relates to securities still held by our Investment segment, primarily equity securities, was $403 million and $1,122 million for the three months ended March 31, 2022 and 2021, respectively.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22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2021</w:t>
            </w:r>
          </w:p>
        </w:tc>
      </w:tr>
      <w:tr>
        <w:trPr>
          <w:trHeight w:val="128"/>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09"/>
        </w:trPr>
        <w:tc>
          <w:tcPr>
            <w:tcW w:w="6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The portion of unrealized gains that relates to equity securities still held by our other segments and Holding Company was .$58 million for each of the three months ended March 31, 2022 and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4"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color w:val="auto"/>
        </w:rPr>
        <w:t>Assets and liabilities measured and reported at fair value are classified and disclosed in one of the following categories: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are available in active markets for identical assets and liabilities as of the reporting date.</w:t>
      </w:r>
    </w:p>
    <w:p>
      <w:pPr>
        <w:spacing w:after="0" w:line="237" w:lineRule="exact"/>
        <w:rPr>
          <w:sz w:val="20"/>
          <w:szCs w:val="20"/>
          <w:color w:val="auto"/>
        </w:rPr>
      </w:pPr>
    </w:p>
    <w:p>
      <w:pPr>
        <w:ind w:left="380" w:right="559"/>
        <w:spacing w:after="0" w:line="25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88" w:lineRule="exact"/>
        <w:rPr>
          <w:sz w:val="20"/>
          <w:szCs w:val="20"/>
          <w:color w:val="auto"/>
        </w:rPr>
      </w:pPr>
    </w:p>
    <w:p>
      <w:pPr>
        <w:ind w:left="380" w:right="99"/>
        <w:spacing w:after="0" w:line="279" w:lineRule="auto"/>
        <w:rPr>
          <w:sz w:val="20"/>
          <w:szCs w:val="20"/>
          <w:color w:val="auto"/>
        </w:rPr>
      </w:pPr>
      <w:r>
        <w:rPr>
          <w:rFonts w:ascii="Arial" w:cs="Arial" w:eastAsia="Arial" w:hAnsi="Arial"/>
          <w:sz w:val="17"/>
          <w:szCs w:val="17"/>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71"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March 31, 2022</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w w:val="94"/>
              </w:rPr>
              <w:t>December 31, 2021</w:t>
            </w:r>
          </w:p>
        </w:tc>
        <w:tc>
          <w:tcPr>
            <w:tcW w:w="620" w:type="dxa"/>
            <w:vAlign w:val="bottom"/>
            <w:tcBorders>
              <w:bottom w:val="single" w:sz="8" w:color="auto"/>
            </w:tcBorders>
          </w:tcPr>
          <w:p>
            <w:pPr>
              <w:spacing w:after="0"/>
              <w:rPr>
                <w:sz w:val="20"/>
                <w:szCs w:val="20"/>
                <w:color w:val="auto"/>
              </w:rPr>
            </w:pPr>
          </w:p>
        </w:tc>
      </w:tr>
      <w:tr>
        <w:trPr>
          <w:trHeight w:val="210"/>
        </w:trPr>
        <w:tc>
          <w:tcPr>
            <w:tcW w:w="28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128"/>
        </w:trPr>
        <w:tc>
          <w:tcPr>
            <w:tcW w:w="2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3"/>
          </w:tcPr>
          <w:p>
            <w:pPr>
              <w:jc w:val="right"/>
              <w:ind w:right="23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86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Investments (Note 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$ 7,154</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$ 7,307</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$ 8,905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$ 9,060</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 (Note 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50"/>
        </w:trPr>
        <w:tc>
          <w:tcPr>
            <w:tcW w:w="286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$ 7,154</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$ 7,776</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$ 8,905</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$ 9,672</w:t>
            </w:r>
          </w:p>
        </w:tc>
      </w:tr>
      <w:tr>
        <w:trPr>
          <w:trHeight w:val="197"/>
        </w:trPr>
        <w:tc>
          <w:tcPr>
            <w:tcW w:w="2860" w:type="dxa"/>
            <w:vAlign w:val="bottom"/>
            <w:shd w:val="clear" w:color="auto" w:fill="CCEEFF"/>
          </w:tcPr>
          <w:p>
            <w:pPr>
              <w:ind w:left="980"/>
              <w:spacing w:after="0" w:line="196" w:lineRule="exact"/>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2"/>
        </w:trPr>
        <w:tc>
          <w:tcPr>
            <w:tcW w:w="2860" w:type="dxa"/>
            <w:vAlign w:val="bottom"/>
          </w:tcPr>
          <w:p>
            <w:pPr>
              <w:ind w:left="20"/>
              <w:spacing w:after="0" w:line="201" w:lineRule="exact"/>
              <w:rPr>
                <w:sz w:val="20"/>
                <w:szCs w:val="20"/>
                <w:color w:val="auto"/>
              </w:rPr>
            </w:pPr>
            <w:r>
              <w:rPr>
                <w:rFonts w:ascii="Arial" w:cs="Arial" w:eastAsia="Arial" w:hAnsi="Arial"/>
                <w:sz w:val="18"/>
                <w:szCs w:val="18"/>
                <w:color w:val="auto"/>
              </w:rPr>
              <w:t>Securities sold, not yet purchased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(Note 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$ 4,776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$ 4,776</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$ 5,340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$ 5,340</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 net (Note 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RFS obligations (Note 16)</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10"/>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$ 4,776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$ 6,090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$ 5,340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$ 6,621</w:t>
            </w: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as of March 31, 2022 and December 31, 2021 was $1 million and $0 million, respectively.</w:t>
      </w:r>
    </w:p>
    <w:p>
      <w:pPr>
        <w:spacing w:after="0" w:line="192"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6"/>
              </w:rPr>
              <w:t>December 31, 2021</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3500" w:type="dxa"/>
            <w:vAlign w:val="bottom"/>
            <w:vMerge w:val="restart"/>
          </w:tcPr>
          <w:p>
            <w:pPr>
              <w:spacing w:after="0"/>
              <w:rPr>
                <w:sz w:val="20"/>
                <w:szCs w:val="20"/>
                <w:color w:val="auto"/>
              </w:rPr>
            </w:pPr>
            <w:r>
              <w:rPr>
                <w:rFonts w:ascii="Arial" w:cs="Arial" w:eastAsia="Arial" w:hAnsi="Arial"/>
                <w:sz w:val="18"/>
                <w:szCs w:val="18"/>
                <w:color w:val="auto"/>
              </w:rPr>
              <w:t>Primary underlying risk:</w:t>
            </w:r>
          </w:p>
        </w:tc>
        <w:tc>
          <w:tcPr>
            <w:tcW w:w="1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right"/>
              <w:ind w:right="37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5,986</w:t>
            </w:r>
          </w:p>
        </w:tc>
        <w:tc>
          <w:tcPr>
            <w:tcW w:w="0" w:type="dxa"/>
            <w:vAlign w:val="bottom"/>
          </w:tcPr>
          <w:p>
            <w:pPr>
              <w:spacing w:after="0"/>
              <w:rPr>
                <w:sz w:val="1"/>
                <w:szCs w:val="1"/>
                <w:color w:val="auto"/>
              </w:rPr>
            </w:pPr>
          </w:p>
        </w:tc>
      </w:tr>
      <w:tr>
        <w:trPr>
          <w:trHeight w:val="353"/>
        </w:trPr>
        <w:tc>
          <w:tcPr>
            <w:tcW w:w="3500" w:type="dxa"/>
            <w:vAlign w:val="bottom"/>
          </w:tcPr>
          <w:p>
            <w:pPr>
              <w:ind w:left="10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17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1,710</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41" w:lineRule="exact"/>
        <w:rPr>
          <w:sz w:val="20"/>
          <w:szCs w:val="20"/>
          <w:color w:val="auto"/>
        </w:rPr>
      </w:pPr>
    </w:p>
    <w:p>
      <w:pPr>
        <w:ind w:left="380" w:right="159" w:hanging="330"/>
        <w:spacing w:after="0" w:line="255"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$6.6 billion at March 31, 2022. However, because credit spreads cannot compress below zero, our downside short notional exposure to loss is approximately $1.7 billion as of March 31, 2022. The short notional amount on our credit default swap positions was approximately $6.6 billion as of December 31, 2021. However, because credit spreads cannot compress below zero, our downside short notional exposure to loss is approximately $2.1 billion as of December 31, 2021.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7"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87"/>
              </w:rPr>
              <w:t>Derivative Assets</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Derivative Liabilities</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4"/>
              </w:rPr>
              <w:t>March 31, 2022  December 31, 2021</w:t>
            </w:r>
          </w:p>
        </w:tc>
        <w:tc>
          <w:tcPr>
            <w:tcW w:w="200" w:type="dxa"/>
            <w:vAlign w:val="bottom"/>
          </w:tcPr>
          <w:p>
            <w:pPr>
              <w:spacing w:after="0"/>
              <w:rPr>
                <w:sz w:val="18"/>
                <w:szCs w:val="18"/>
                <w:color w:val="auto"/>
              </w:rPr>
            </w:pPr>
          </w:p>
        </w:tc>
        <w:tc>
          <w:tcPr>
            <w:tcW w:w="28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4"/>
              </w:rPr>
              <w:t>March 31, 2022  December 31, 2021</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gridSpan w:val="3"/>
          </w:tcPr>
          <w:p>
            <w:pPr>
              <w:jc w:val="right"/>
              <w:ind w:right="61"/>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6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r>
      <w:tr>
        <w:trPr>
          <w:trHeight w:val="216"/>
        </w:trPr>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Credit contracts</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2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r>
      <w:tr>
        <w:trPr>
          <w:trHeight w:val="216"/>
        </w:trPr>
        <w:tc>
          <w:tcPr>
            <w:tcW w:w="296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Netting across contract types</w:t>
            </w:r>
            <w:r>
              <w:rPr>
                <w:rFonts w:ascii="Arial" w:cs="Arial" w:eastAsia="Arial" w:hAnsi="Arial"/>
                <w:sz w:val="25"/>
                <w:szCs w:val="25"/>
                <w:color w:val="auto"/>
                <w:vertAlign w:val="superscript"/>
              </w:rPr>
              <w:t>(1)</w:t>
            </w:r>
          </w:p>
        </w:tc>
        <w:tc>
          <w:tcPr>
            <w:tcW w:w="4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(454)</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r>
      <w:tr>
        <w:trPr>
          <w:trHeight w:val="210"/>
        </w:trPr>
        <w:tc>
          <w:tcPr>
            <w:tcW w:w="296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139" w:hanging="330"/>
        <w:spacing w:after="0" w:line="185" w:lineRule="auto"/>
        <w:tabs>
          <w:tab w:leader="none" w:pos="380" w:val="left"/>
        </w:tabs>
        <w:numPr>
          <w:ilvl w:val="0"/>
          <w:numId w:val="4"/>
        </w:numPr>
        <w:rPr>
          <w:rFonts w:ascii="Arial" w:cs="Arial" w:eastAsia="Arial" w:hAnsi="Arial"/>
          <w:sz w:val="28"/>
          <w:szCs w:val="28"/>
          <w:color w:val="auto"/>
          <w:vertAlign w:val="subscript"/>
        </w:rPr>
      </w:pPr>
      <w:r>
        <w:rPr>
          <w:rFonts w:ascii="Arial" w:cs="Arial" w:eastAsia="Arial" w:hAnsi="Arial"/>
          <w:sz w:val="13"/>
          <w:szCs w:val="13"/>
          <w:color w:val="auto"/>
        </w:rPr>
        <w:t>Excludes netting of cash collateral received and posted. The total collateral posted at March 31, 2022 and December 31, 2021 was $1,615 million and $1,906 million, respectively, across all counterparties, which are included in cash held at consolidated affiliated partnerships and restricted cash in the condensed consolidated balance sheets.</w:t>
      </w:r>
    </w:p>
    <w:p>
      <w:pPr>
        <w:spacing w:after="0" w:line="187"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60" w:type="dxa"/>
            <w:vAlign w:val="bottom"/>
            <w:gridSpan w:val="6"/>
          </w:tcPr>
          <w:p>
            <w:pPr>
              <w:ind w:left="200"/>
              <w:spacing w:after="0"/>
              <w:rPr>
                <w:sz w:val="20"/>
                <w:szCs w:val="20"/>
                <w:color w:val="auto"/>
              </w:rPr>
            </w:pPr>
            <w:r>
              <w:rPr>
                <w:rFonts w:ascii="Arial" w:cs="Arial" w:eastAsia="Arial" w:hAnsi="Arial"/>
                <w:sz w:val="18"/>
                <w:szCs w:val="18"/>
                <w:b w:val="1"/>
                <w:bCs w:val="1"/>
                <w:color w:val="auto"/>
                <w:w w:val="93"/>
              </w:rPr>
              <w:t xml:space="preserve">Gain (loss) Recognized in Income </w:t>
            </w:r>
            <w:r>
              <w:rPr>
                <w:rFonts w:ascii="Arial" w:cs="Arial" w:eastAsia="Arial" w:hAnsi="Arial"/>
                <w:sz w:val="26"/>
                <w:szCs w:val="26"/>
                <w:b w:val="1"/>
                <w:bCs w:val="1"/>
                <w:color w:val="auto"/>
                <w:w w:val="93"/>
                <w:vertAlign w:val="superscript"/>
              </w:rPr>
              <w:t>(1)</w:t>
            </w:r>
          </w:p>
        </w:tc>
      </w:tr>
      <w:tr>
        <w:trPr>
          <w:trHeight w:val="210"/>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140" w:type="dxa"/>
            <w:vAlign w:val="bottom"/>
            <w:tcBorders>
              <w:top w:val="single" w:sz="8" w:color="auto"/>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 March 31,</w:t>
            </w:r>
          </w:p>
        </w:tc>
        <w:tc>
          <w:tcPr>
            <w:tcW w:w="2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10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0"/>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35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41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regularly enters into various commodity derivative transactions. CVR Refining holds derivative instruments, such as exchange-traded crude oil futures and over-the-counter forward swap agreements,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9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As of March 31, 2022 and December 31, 2021, CVR Refining had 1 million and no outstanding commodity swap positions, respectively. As of March 31, 2022 and December 31, 2021, CVR Refining had open forward purchase commitments for approximately 1 million barrels at each date, and less than 1 million and 1 million barrels in forward sale commitments, respectively. As of March 31, 2022 and December 31, 2021, CVR Refining had open fixed-price commitments to purchase a net 1 million and 2 million RINs,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99" w:firstLine="324"/>
        <w:spacing w:after="0" w:line="285" w:lineRule="auto"/>
        <w:rPr>
          <w:sz w:val="20"/>
          <w:szCs w:val="20"/>
          <w:color w:val="auto"/>
        </w:rPr>
      </w:pPr>
      <w:r>
        <w:rPr>
          <w:rFonts w:ascii="Arial" w:cs="Arial" w:eastAsia="Arial" w:hAnsi="Arial"/>
          <w:sz w:val="16"/>
          <w:szCs w:val="16"/>
          <w:color w:val="auto"/>
        </w:rPr>
        <w:t>Certain derivative contracts executed by our Energy segment with a single counterparty are reported on a net-by-counterparty basis where a legal right of offset exists under an enforceable netting agreement. As of March 31, 2022, our Energy segment had net asset derivatives of $13 million and net liability derivatives of $0 million and as of December 31, 2021, our Energy segment had net asset derivatives of $1 million and net liability derivatives of $2 million. Gains (losses) recognized on derivatives for our Energy segment were $2 million and $(32) million for the three months ended</w:t>
      </w:r>
    </w:p>
    <w:p>
      <w:pPr>
        <w:spacing w:after="0" w:line="2"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March 31, 2022 and 2021, respectively. Gains and losses recognized on derivatives for our Energy segment are included in cost of goods sold on the condensed consolidated statements of operations.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7. Inventories,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gridSpan w:val="4"/>
          </w:tcPr>
          <w:p>
            <w:pPr>
              <w:ind w:left="320"/>
              <w:spacing w:after="0"/>
              <w:rPr>
                <w:sz w:val="20"/>
                <w:szCs w:val="20"/>
                <w:color w:val="auto"/>
              </w:rPr>
            </w:pPr>
            <w:r>
              <w:rPr>
                <w:rFonts w:ascii="Arial" w:cs="Arial" w:eastAsia="Arial" w:hAnsi="Arial"/>
                <w:sz w:val="18"/>
                <w:szCs w:val="18"/>
                <w:color w:val="auto"/>
              </w:rPr>
              <w:t>Inventories, net consists of the following:</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ind w:left="480"/>
              <w:spacing w:after="0" w:line="129"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1,720</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8. Goodwill and Intangible Assets, Net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w w:val="98"/>
              </w:rPr>
              <w:t>Goodwill consists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March 31, 2022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4"/>
              </w:rPr>
              <w:t>December 31, 2021</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38"/>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gridSpan w:val="23"/>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5"/>
          </w:tcPr>
          <w:p>
            <w:pPr>
              <w:jc w:val="right"/>
              <w:ind w:right="338"/>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Food Packaging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Home Fashion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Pharma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5"/>
              </w:rPr>
              <w:t>March 31, 2022</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7"/>
              </w:rPr>
              <w:t>December 31, 2021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9"/>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91"/>
              </w:rPr>
              <w:t>Carrying</w:t>
            </w:r>
          </w:p>
        </w:tc>
        <w:tc>
          <w:tcPr>
            <w:tcW w:w="2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33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vMerge w:val="restart"/>
          </w:tcPr>
          <w:p>
            <w:pPr>
              <w:jc w:val="right"/>
              <w:ind w:right="27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27"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Amortization expense associated with definite-lived intangible assets was $14 million and $15 million for the three months ended March 31, 2022 and 2021,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utilize the straight-line method of amortization, recognized over the estimated useful lives of the assets.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ind w:left="340"/>
              <w:spacing w:after="0"/>
              <w:rPr>
                <w:sz w:val="20"/>
                <w:szCs w:val="20"/>
                <w:color w:val="auto"/>
              </w:rPr>
            </w:pPr>
            <w:r>
              <w:rPr>
                <w:rFonts w:ascii="Arial" w:cs="Arial" w:eastAsia="Arial" w:hAnsi="Arial"/>
                <w:sz w:val="18"/>
                <w:szCs w:val="18"/>
                <w:color w:val="auto"/>
              </w:rPr>
              <w:t>Right-of-use assets and lease liabilities are as follows: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6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r>
      <w:tr>
        <w:trPr>
          <w:trHeight w:val="128"/>
        </w:trPr>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bl>
    <w:p>
      <w:pPr>
        <w:spacing w:after="0" w:line="202"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March 31, 2022 and December 31, 2021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March 31, 2022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4.1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4.4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5.8%</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10.4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40" w:type="dxa"/>
            <w:vAlign w:val="bottom"/>
            <w:gridSpan w:val="6"/>
          </w:tcPr>
          <w:p>
            <w:pPr>
              <w:jc w:val="center"/>
              <w:ind w:left="10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20" w:type="dxa"/>
            <w:vAlign w:val="bottom"/>
            <w:gridSpan w:val="8"/>
          </w:tcPr>
          <w:p>
            <w:pPr>
              <w:jc w:val="center"/>
              <w:ind w:left="450"/>
              <w:spacing w:after="0"/>
              <w:rPr>
                <w:sz w:val="20"/>
                <w:szCs w:val="20"/>
                <w:color w:val="auto"/>
              </w:rPr>
            </w:pPr>
            <w:r>
              <w:rPr>
                <w:rFonts w:ascii="Arial" w:cs="Arial" w:eastAsia="Arial" w:hAnsi="Arial"/>
                <w:sz w:val="18"/>
                <w:szCs w:val="18"/>
                <w:b w:val="1"/>
                <w:bCs w:val="1"/>
                <w:color w:val="auto"/>
                <w:w w:val="89"/>
              </w:rPr>
              <w:t>Notes to Condensed Consolidated Financial Statements (Unaudited)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Right-</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Of-Use</w:t>
            </w:r>
          </w:p>
        </w:tc>
        <w:tc>
          <w:tcPr>
            <w:tcW w:w="1020" w:type="dxa"/>
            <w:vAlign w:val="bottom"/>
            <w:gridSpan w:val="3"/>
          </w:tcPr>
          <w:p>
            <w:pPr>
              <w:ind w:left="200"/>
              <w:spacing w:after="0"/>
              <w:rPr>
                <w:sz w:val="20"/>
                <w:szCs w:val="20"/>
                <w:color w:val="auto"/>
              </w:rPr>
            </w:pPr>
            <w:r>
              <w:rPr>
                <w:rFonts w:ascii="Arial" w:cs="Arial" w:eastAsia="Arial" w:hAnsi="Arial"/>
                <w:sz w:val="18"/>
                <w:szCs w:val="18"/>
                <w:b w:val="1"/>
                <w:bCs w:val="1"/>
                <w:color w:val="auto"/>
              </w:rPr>
              <w:t>Lease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Operating Leases as of December 31, 2021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ind w:right="10"/>
              <w:spacing w:after="0" w:line="142" w:lineRule="exact"/>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4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4.1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w:t>
            </w:r>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4.9 years</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5.8%</w:t>
            </w:r>
          </w:p>
        </w:tc>
        <w:tc>
          <w:tcPr>
            <w:tcW w:w="20" w:type="dxa"/>
            <w:vAlign w:val="bottom"/>
          </w:tcPr>
          <w:p>
            <w:pPr>
              <w:spacing w:after="0"/>
              <w:rPr>
                <w:sz w:val="18"/>
                <w:szCs w:val="18"/>
                <w:color w:val="auto"/>
              </w:rPr>
            </w:pPr>
          </w:p>
        </w:tc>
      </w:tr>
      <w:tr>
        <w:trPr>
          <w:trHeight w:val="216"/>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Food Packaging</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10.5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shd w:val="clear" w:color="auto" w:fill="CCEEFF"/>
          </w:tcPr>
          <w:p>
            <w:pPr>
              <w:spacing w:after="0"/>
              <w:rPr>
                <w:sz w:val="18"/>
                <w:szCs w:val="18"/>
                <w:color w:val="auto"/>
              </w:rPr>
            </w:pPr>
          </w:p>
        </w:tc>
      </w:tr>
      <w:tr>
        <w:trPr>
          <w:trHeight w:val="216"/>
        </w:trPr>
        <w:tc>
          <w:tcPr>
            <w:tcW w:w="5320" w:type="dxa"/>
            <w:vAlign w:val="bottom"/>
            <w:gridSpan w:val="5"/>
          </w:tcPr>
          <w:p>
            <w:pPr>
              <w:ind w:left="20"/>
              <w:spacing w:after="0"/>
              <w:rPr>
                <w:sz w:val="20"/>
                <w:szCs w:val="20"/>
                <w:color w:val="auto"/>
              </w:rPr>
            </w:pPr>
            <w:r>
              <w:rPr>
                <w:rFonts w:ascii="Arial" w:cs="Arial" w:eastAsia="Arial" w:hAnsi="Arial"/>
                <w:sz w:val="18"/>
                <w:szCs w:val="18"/>
                <w:color w:val="auto"/>
              </w:rPr>
              <w:t>Other segments and Holding Company</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37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For the three months ended March 31, 2022 and 2021, lease cost was comprised of (i) operating lease cost of $47 million and $51 million, respectively, (ii) amortization of financing lease right-of-use assets of $3 million and $3 million, respectively, and (iii) interest expense on financing lease liabilities of $1 million and $1 million, respectively. Our automotive segment accounted for $40 million and $43 million of total lease cost for the three months ended March 31, 2022 and 2021,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Our Real Estate segment leases real estate, primarily commercial properties under long-term operating leases. As of March 31, 2022 and December 31, 2021, our Real Estate segment has assets leased to others included in property, plant and equipment of $252 million and $251 million, respectively, net of accumulated depreciation. Our Real Estate segment’s revenue from operating leases were $2 million and $5 million for the three months ended March 31, 2022 and 2021, respectively. Revenues from operating leases are included in other revenue from operations in the condensed consolidated statements of operations.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10. Debt</w:t>
            </w: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6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318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29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Reporting Segments:</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Energy</w:t>
            </w: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2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980" w:type="dxa"/>
            <w:vAlign w:val="bottom"/>
          </w:tcPr>
          <w:p>
            <w:pPr>
              <w:spacing w:after="0"/>
              <w:rPr>
                <w:sz w:val="18"/>
                <w:szCs w:val="18"/>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80" w:type="dxa"/>
            <w:vAlign w:val="bottom"/>
            <w:vMerge w:val="restart"/>
          </w:tcPr>
          <w:p>
            <w:pPr>
              <w:jc w:val="right"/>
              <w:ind w:right="199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jc w:val="both"/>
        <w:ind w:left="60" w:right="179" w:firstLine="324"/>
        <w:spacing w:after="0" w:line="342" w:lineRule="auto"/>
        <w:rPr>
          <w:sz w:val="20"/>
          <w:szCs w:val="20"/>
          <w:color w:val="auto"/>
        </w:rPr>
      </w:pPr>
      <w:r>
        <w:rPr>
          <w:rFonts w:ascii="Arial" w:cs="Arial" w:eastAsia="Arial" w:hAnsi="Arial"/>
          <w:sz w:val="16"/>
          <w:szCs w:val="16"/>
          <w:color w:val="auto"/>
        </w:rPr>
        <w:t>In February 2022, we redeemed all of our $500 million aggregate principal amount of 6.750% senior unsecured notes due 2024 at par. As a result of this transaction, Icahn Enterprises recorded a loss on extinguishment of debt of $1 million.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In February 2022, CVR Partners redeemed the remaining $65 million aggregate principal amount of its 9.25% senior secured notes due June 2023 at par. As a result of this transaction, CVR Partners recognized a loss on extinguishment of debt of $1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60" w:right="499" w:firstLine="324"/>
        <w:spacing w:after="0" w:line="263"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condensed consolidated statements of operations were $1 million and $1 million for the three months ended March 31, 2022 and 2021, respectively.</w:t>
      </w:r>
    </w:p>
    <w:p>
      <w:pPr>
        <w:spacing w:after="0" w:line="180" w:lineRule="exact"/>
        <w:rPr>
          <w:sz w:val="20"/>
          <w:szCs w:val="20"/>
          <w:color w:val="auto"/>
        </w:rPr>
      </w:pPr>
    </w:p>
    <w:p>
      <w:pPr>
        <w:ind w:left="360" w:hanging="310"/>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The components of the computation of basic and diluted income per LP unit of Icahn Enterprises are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ind w:left="260"/>
              <w:spacing w:after="0" w:line="129" w:lineRule="exact"/>
              <w:rPr>
                <w:sz w:val="20"/>
                <w:szCs w:val="20"/>
                <w:color w:val="auto"/>
              </w:rPr>
            </w:pPr>
            <w:r>
              <w:rPr>
                <w:rFonts w:ascii="Arial" w:cs="Arial" w:eastAsia="Arial" w:hAnsi="Arial"/>
                <w:sz w:val="14"/>
                <w:szCs w:val="14"/>
                <w:color w:val="auto"/>
                <w:w w:val="97"/>
              </w:rPr>
              <w:t>(in millions, except</w:t>
            </w:r>
          </w:p>
        </w:tc>
        <w:tc>
          <w:tcPr>
            <w:tcW w:w="116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per unit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Icahn Enterprises</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4"/>
              </w:rPr>
              <w:t>Net income attributable to Icahn Enterprises allocated to limited partners (98.01%</w:t>
            </w: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120" w:type="dxa"/>
            <w:vAlign w:val="bottom"/>
            <w:vMerge w:val="continue"/>
          </w:tcPr>
          <w:p>
            <w:pPr>
              <w:spacing w:after="0"/>
              <w:rPr>
                <w:sz w:val="13"/>
                <w:szCs w:val="13"/>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9"/>
              </w:rPr>
              <w:t>317</w:t>
            </w:r>
          </w:p>
        </w:tc>
        <w:tc>
          <w:tcPr>
            <w:tcW w:w="4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7"/>
        </w:trPr>
        <w:tc>
          <w:tcPr>
            <w:tcW w:w="6140" w:type="dxa"/>
            <w:vAlign w:val="bottom"/>
            <w:gridSpan w:val="2"/>
          </w:tcPr>
          <w:p>
            <w:pPr>
              <w:spacing w:after="0"/>
              <w:rPr>
                <w:sz w:val="20"/>
                <w:szCs w:val="20"/>
                <w:color w:val="auto"/>
              </w:rPr>
            </w:pPr>
            <w:r>
              <w:rPr>
                <w:rFonts w:ascii="Arial" w:cs="Arial" w:eastAsia="Arial" w:hAnsi="Arial"/>
                <w:sz w:val="18"/>
                <w:szCs w:val="18"/>
                <w:color w:val="auto"/>
              </w:rPr>
              <w:t>allocation)</w:t>
            </w:r>
          </w:p>
        </w:tc>
        <w:tc>
          <w:tcPr>
            <w:tcW w:w="1000" w:type="dxa"/>
            <w:vAlign w:val="bottom"/>
            <w:gridSpan w:val="2"/>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Basic income per LP unit: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LP units outstanding</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294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LP unit: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LP units outstanding</w:t>
            </w: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299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On February 23, 2022, we declared a quarterly distribution in the amount of $2.00 per depositary unit in which each depositary unitholder had the option to make an election to receive either cash or additional depositary units. Because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depositary unitholders had the election to receive the distribution either in cash or additional depositary units, we recorded a unit distribution liability of $603 million as the unit distribution had not been made as of March 31, 2022.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78"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In April 2022, we distributed an aggregate 10,115,441 depositary units to unitholders who did not elect to receive cash, of which an aggregate of 9,585,515 depositary units were distributed to Mr. Icahn and his affiliates. In connection with these distributions, aggregate cash distributions to all depositary unitholders that made a timely election to receive cash was $48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During the three months ended March 31, 2022, Icahn Enterprises sold 3,436,553 depositary units pursuant to its Open Market Sale Agreement entered into on December 3, 2021, resulting in gross proceeds of $182 million. As of March 31, 2022, we continue to have an active Open Market Sale Agreement and Icahn Enterprises may sell its depositary units for up to an additional $145 million in aggregate gross sale proceeds pursuant to this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Incentive Plan</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During the three months ended March 31, 2022, Icahn Enterprises distributed 13,083 depositary units, net of payroll withholdings, with respect to certain restricted depositary units that vested during the period in connection with the Icahn Enterprises L.P. 2017 Long Term Incentive Plan (the “2017 Incentive Plan”). The aggregate impact of the 2017 Incentive Plan is not material with respect to our condensed consolidated financial statements, including the calculation of potentially dilutive units and diluted income per LP unit.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1"/>
          </w:tcPr>
          <w:p>
            <w:pPr>
              <w:jc w:val="center"/>
              <w:ind w:right="220"/>
              <w:spacing w:after="0"/>
              <w:rPr>
                <w:sz w:val="20"/>
                <w:szCs w:val="20"/>
                <w:color w:val="auto"/>
              </w:rPr>
            </w:pPr>
            <w:r>
              <w:rPr>
                <w:rFonts w:ascii="Arial" w:cs="Arial" w:eastAsia="Arial" w:hAnsi="Arial"/>
                <w:sz w:val="13"/>
                <w:szCs w:val="13"/>
                <w:b w:val="1"/>
                <w:bCs w:val="1"/>
                <w:color w:val="auto"/>
                <w:w w:val="89"/>
              </w:rPr>
              <w:t>Three Months Ended March 31, 2022</w:t>
            </w: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Food</w:t>
            </w:r>
          </w:p>
        </w:tc>
        <w:tc>
          <w:tcPr>
            <w:tcW w:w="4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Fashion</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spacing w:after="0" w:line="115" w:lineRule="exact"/>
              <w:rPr>
                <w:sz w:val="20"/>
                <w:szCs w:val="20"/>
                <w:color w:val="auto"/>
              </w:rPr>
            </w:pPr>
            <w:r>
              <w:rPr>
                <w:rFonts w:ascii="Arial" w:cs="Arial" w:eastAsia="Arial" w:hAnsi="Arial"/>
                <w:sz w:val="13"/>
                <w:szCs w:val="13"/>
                <w:color w:val="auto"/>
                <w:w w:val="94"/>
              </w:rPr>
              <w:t>(in millions)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2,373</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407</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101</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tcPr>
          <w:p>
            <w:pPr>
              <w:spacing w:after="0"/>
              <w:rPr>
                <w:sz w:val="11"/>
                <w:szCs w:val="11"/>
                <w:color w:val="auto"/>
              </w:rPr>
            </w:pP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55</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2,968</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gain from investment activities</w:t>
            </w: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908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939</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20" w:type="dxa"/>
            <w:vAlign w:val="bottom"/>
          </w:tcPr>
          <w:p>
            <w:pPr>
              <w:spacing w:after="0"/>
              <w:rPr>
                <w:sz w:val="11"/>
                <w:szCs w:val="11"/>
                <w:color w:val="auto"/>
              </w:rPr>
            </w:pP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2,363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556</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55</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4,084</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2,123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45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2,538</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2,192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56</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3,101</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Income (loss) before income tax benefit</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rPr>
                <w:sz w:val="20"/>
                <w:szCs w:val="20"/>
                <w:color w:val="auto"/>
              </w:rPr>
            </w:pPr>
            <w:r>
              <w:rPr>
                <w:rFonts w:ascii="Arial" w:cs="Arial" w:eastAsia="Arial" w:hAnsi="Arial"/>
                <w:sz w:val="13"/>
                <w:szCs w:val="13"/>
                <w:color w:val="auto"/>
              </w:rPr>
              <w:t>(expense)</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171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(37)</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(50)</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895</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141</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(126)</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income (loss) attributable to non-</w:t>
            </w: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controlling interests</w:t>
            </w:r>
          </w:p>
        </w:tc>
        <w:tc>
          <w:tcPr>
            <w:tcW w:w="2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Net income (loss) attributable to Icahn</w:t>
            </w:r>
          </w:p>
        </w:tc>
        <w:tc>
          <w:tcPr>
            <w:tcW w:w="22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414</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61</w:t>
            </w:r>
          </w:p>
        </w:tc>
        <w:tc>
          <w:tcPr>
            <w:tcW w:w="140" w:type="dxa"/>
            <w:vAlign w:val="bottom"/>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(28)</w:t>
            </w: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8"/>
                <w:szCs w:val="8"/>
                <w:color w:val="auto"/>
              </w:rPr>
            </w:pPr>
          </w:p>
        </w:tc>
        <w:tc>
          <w:tcPr>
            <w:tcW w:w="260" w:type="dxa"/>
            <w:vAlign w:val="bottom"/>
            <w:vMerge w:val="restart"/>
          </w:tcPr>
          <w:p>
            <w:pPr>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(5)</w:t>
            </w: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(126)</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36" w:lineRule="exact"/>
              <w:rPr>
                <w:sz w:val="20"/>
                <w:szCs w:val="20"/>
                <w:color w:val="auto"/>
              </w:rPr>
            </w:pPr>
            <w:r>
              <w:rPr>
                <w:rFonts w:ascii="Arial" w:cs="Arial" w:eastAsia="Arial" w:hAnsi="Arial"/>
                <w:sz w:val="13"/>
                <w:szCs w:val="13"/>
                <w:color w:val="auto"/>
              </w:rPr>
              <w:t>Enterprises</w:t>
            </w:r>
          </w:p>
        </w:tc>
        <w:tc>
          <w:tcPr>
            <w:tcW w:w="2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11"/>
          </w:tcPr>
          <w:p>
            <w:pPr>
              <w:jc w:val="right"/>
              <w:ind w:right="77"/>
              <w:spacing w:after="0"/>
              <w:rPr>
                <w:sz w:val="20"/>
                <w:szCs w:val="20"/>
                <w:color w:val="auto"/>
              </w:rPr>
            </w:pPr>
            <w:r>
              <w:rPr>
                <w:rFonts w:ascii="Arial" w:cs="Arial" w:eastAsia="Arial" w:hAnsi="Arial"/>
                <w:sz w:val="13"/>
                <w:szCs w:val="13"/>
                <w:b w:val="1"/>
                <w:bCs w:val="1"/>
                <w:color w:val="auto"/>
                <w:w w:val="90"/>
              </w:rPr>
              <w:t>Three Months Ended March 31, 2021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10"/>
        </w:trPr>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4"/>
              </w:rPr>
              <w:t>Real</w:t>
            </w:r>
          </w:p>
        </w:tc>
        <w:tc>
          <w:tcPr>
            <w:tcW w:w="140" w:type="dxa"/>
            <w:vAlign w:val="bottom"/>
          </w:tcPr>
          <w:p>
            <w:pPr>
              <w:spacing w:after="0"/>
              <w:rPr>
                <w:sz w:val="9"/>
                <w:szCs w:val="9"/>
                <w:color w:val="auto"/>
              </w:rPr>
            </w:pPr>
          </w:p>
        </w:tc>
        <w:tc>
          <w:tcPr>
            <w:tcW w:w="4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53"/>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Energy</w:t>
            </w: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Automotive</w:t>
            </w:r>
          </w:p>
        </w:tc>
        <w:tc>
          <w:tcPr>
            <w:tcW w:w="700" w:type="dxa"/>
            <w:vAlign w:val="bottom"/>
            <w:gridSpan w:val="3"/>
          </w:tcPr>
          <w:p>
            <w:pPr>
              <w:ind w:left="140"/>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Estate</w:t>
            </w:r>
          </w:p>
        </w:tc>
        <w:tc>
          <w:tcPr>
            <w:tcW w:w="580" w:type="dxa"/>
            <w:vAlign w:val="bottom"/>
            <w:gridSpan w:val="3"/>
          </w:tcPr>
          <w:p>
            <w:pPr>
              <w:ind w:left="140"/>
              <w:spacing w:after="0"/>
              <w:rPr>
                <w:sz w:val="20"/>
                <w:szCs w:val="20"/>
                <w:color w:val="auto"/>
              </w:rPr>
            </w:pPr>
            <w:r>
              <w:rPr>
                <w:rFonts w:ascii="Arial" w:cs="Arial" w:eastAsia="Arial" w:hAnsi="Arial"/>
                <w:sz w:val="13"/>
                <w:szCs w:val="13"/>
                <w:b w:val="1"/>
                <w:bCs w:val="1"/>
                <w:color w:val="auto"/>
                <w:w w:val="84"/>
              </w:rPr>
              <w:t>Fashion</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7"/>
              </w:rPr>
              <w:t>Pharma</w:t>
            </w:r>
          </w:p>
        </w:tc>
        <w:tc>
          <w:tcPr>
            <w:tcW w:w="14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w w:val="83"/>
              </w:rPr>
              <w:t>Metals</w:t>
            </w:r>
          </w:p>
        </w:tc>
        <w:tc>
          <w:tcPr>
            <w:tcW w:w="120" w:type="dxa"/>
            <w:vAlign w:val="bottom"/>
          </w:tcPr>
          <w:p>
            <w:pPr>
              <w:spacing w:after="0"/>
              <w:rPr>
                <w:sz w:val="13"/>
                <w:szCs w:val="13"/>
                <w:color w:val="auto"/>
              </w:rPr>
            </w:pPr>
          </w:p>
        </w:tc>
        <w:tc>
          <w:tcPr>
            <w:tcW w:w="1320" w:type="dxa"/>
            <w:vAlign w:val="bottom"/>
            <w:gridSpan w:val="5"/>
          </w:tcPr>
          <w:p>
            <w:pPr>
              <w:ind w:left="20"/>
              <w:spacing w:after="0"/>
              <w:rPr>
                <w:sz w:val="20"/>
                <w:szCs w:val="20"/>
                <w:color w:val="auto"/>
              </w:rPr>
            </w:pPr>
            <w:r>
              <w:rPr>
                <w:rFonts w:ascii="Arial" w:cs="Arial" w:eastAsia="Arial" w:hAnsi="Arial"/>
                <w:sz w:val="13"/>
                <w:szCs w:val="13"/>
                <w:b w:val="1"/>
                <w:bCs w:val="1"/>
                <w:color w:val="auto"/>
                <w:w w:val="88"/>
              </w:rPr>
              <w:t>Company Consolidated</w:t>
            </w: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115"/>
        </w:trPr>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4"/>
          </w:tcPr>
          <w:p>
            <w:pPr>
              <w:jc w:val="right"/>
              <w:ind w:right="17"/>
              <w:spacing w:after="0" w:line="115" w:lineRule="exact"/>
              <w:rPr>
                <w:sz w:val="20"/>
                <w:szCs w:val="20"/>
                <w:color w:val="auto"/>
              </w:rPr>
            </w:pPr>
            <w:r>
              <w:rPr>
                <w:rFonts w:ascii="Arial" w:cs="Arial" w:eastAsia="Arial" w:hAnsi="Arial"/>
                <w:sz w:val="13"/>
                <w:szCs w:val="13"/>
                <w:color w:val="auto"/>
              </w:rPr>
              <w:t>(in millions)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5"/>
        </w:trPr>
        <w:tc>
          <w:tcPr>
            <w:tcW w:w="2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3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79"/>
              </w:rPr>
              <w:t>1,463</w:t>
            </w:r>
          </w:p>
        </w:tc>
        <w:tc>
          <w:tcPr>
            <w:tcW w:w="360" w:type="dxa"/>
            <w:vAlign w:val="bottom"/>
            <w:gridSpan w:val="2"/>
          </w:tcPr>
          <w:p>
            <w:pPr>
              <w:jc w:val="right"/>
              <w:ind w:right="154"/>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456</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101</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2"/>
              </w:rPr>
              <w:t>120</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2,218</w:t>
            </w: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w:t>
            </w: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Net gain from investment activities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939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1,006</w:t>
            </w: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r>
      <w:tr>
        <w:trPr>
          <w:trHeight w:val="135"/>
        </w:trPr>
        <w:tc>
          <w:tcPr>
            <w:tcW w:w="26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w:t>
            </w:r>
          </w:p>
        </w:tc>
      </w:tr>
      <w:tr>
        <w:trPr>
          <w:trHeight w:val="128"/>
        </w:trPr>
        <w:tc>
          <w:tcPr>
            <w:tcW w:w="2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9"/>
              </w:rPr>
              <w:t>1,532</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121</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3,384</w:t>
            </w:r>
          </w:p>
        </w:tc>
      </w:tr>
      <w:tr>
        <w:trPr>
          <w:trHeight w:val="129"/>
        </w:trPr>
        <w:tc>
          <w:tcPr>
            <w:tcW w:w="260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9"/>
              </w:rPr>
              <w:t>1,579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2,139</w:t>
            </w: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118</w:t>
            </w: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w:t>
            </w:r>
          </w:p>
        </w:tc>
      </w:tr>
      <w:tr>
        <w:trPr>
          <w:trHeight w:val="135"/>
        </w:trPr>
        <w:tc>
          <w:tcPr>
            <w:tcW w:w="26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76</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83</w:t>
            </w: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195</w:t>
            </w:r>
          </w:p>
        </w:tc>
      </w:tr>
      <w:tr>
        <w:trPr>
          <w:trHeight w:val="128"/>
        </w:trPr>
        <w:tc>
          <w:tcPr>
            <w:tcW w:w="2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9"/>
              </w:rPr>
              <w:t>1,645</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655</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116</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2,768</w:t>
            </w:r>
          </w:p>
        </w:tc>
      </w:tr>
      <w:tr>
        <w:trPr>
          <w:trHeight w:val="128"/>
        </w:trPr>
        <w:tc>
          <w:tcPr>
            <w:tcW w:w="2600" w:type="dxa"/>
            <w:vAlign w:val="bottom"/>
          </w:tcPr>
          <w:p>
            <w:pPr>
              <w:spacing w:after="0" w:line="129" w:lineRule="exact"/>
              <w:rPr>
                <w:sz w:val="20"/>
                <w:szCs w:val="20"/>
                <w:color w:val="auto"/>
              </w:rPr>
            </w:pPr>
            <w:r>
              <w:rPr>
                <w:rFonts w:ascii="Arial" w:cs="Arial" w:eastAsia="Arial" w:hAnsi="Arial"/>
                <w:sz w:val="13"/>
                <w:szCs w:val="13"/>
                <w:color w:val="auto"/>
                <w:w w:val="89"/>
              </w:rPr>
              <w:t>Income (loss) before income tax benefit (expense)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862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rPr>
              <w:t>(113)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(83)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616</w:t>
            </w:r>
          </w:p>
        </w:tc>
      </w:tr>
      <w:tr>
        <w:trPr>
          <w:trHeight w:val="135"/>
        </w:trPr>
        <w:tc>
          <w:tcPr>
            <w:tcW w:w="2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 benefit (expense)</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r>
      <w:tr>
        <w:trPr>
          <w:trHeight w:val="129"/>
        </w:trPr>
        <w:tc>
          <w:tcPr>
            <w:tcW w:w="2600" w:type="dxa"/>
            <w:vAlign w:val="bottom"/>
          </w:tcPr>
          <w:p>
            <w:pPr>
              <w:spacing w:after="0" w:line="129" w:lineRule="exact"/>
              <w:rPr>
                <w:sz w:val="20"/>
                <w:szCs w:val="20"/>
                <w:color w:val="auto"/>
              </w:rPr>
            </w:pPr>
            <w:r>
              <w:rPr>
                <w:rFonts w:ascii="Arial" w:cs="Arial" w:eastAsia="Arial" w:hAnsi="Arial"/>
                <w:sz w:val="13"/>
                <w:szCs w:val="13"/>
                <w:color w:val="auto"/>
              </w:rPr>
              <w:t>Net income (loss)</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862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(67)</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(46)</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(157)</w:t>
            </w:r>
          </w:p>
        </w:tc>
        <w:tc>
          <w:tcPr>
            <w:tcW w:w="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599</w:t>
            </w:r>
          </w:p>
        </w:tc>
      </w:tr>
      <w:tr>
        <w:trPr>
          <w:trHeight w:val="121"/>
        </w:trPr>
        <w:tc>
          <w:tcPr>
            <w:tcW w:w="2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Less: net income loss attributable to non-</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49"/>
        </w:trPr>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controlling interests</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w:t>
            </w:r>
          </w:p>
        </w:tc>
      </w:tr>
      <w:tr>
        <w:trPr>
          <w:trHeight w:val="168"/>
        </w:trPr>
        <w:tc>
          <w:tcPr>
            <w:tcW w:w="26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w w:val="89"/>
              </w:rPr>
              <w:t>Net (loss) income attributable to Icahn Enterprises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391</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(157)</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162</w:t>
            </w:r>
          </w:p>
        </w:tc>
      </w:tr>
      <w:tr>
        <w:trPr>
          <w:trHeight w:val="115"/>
        </w:trPr>
        <w:tc>
          <w:tcPr>
            <w:tcW w:w="26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Supplemental information:</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3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360" w:type="dxa"/>
            <w:vAlign w:val="bottom"/>
            <w:gridSpan w:val="2"/>
          </w:tcPr>
          <w:p>
            <w:pPr>
              <w:jc w:val="right"/>
              <w:ind w:right="154"/>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and amortization</w:t>
            </w:r>
          </w:p>
        </w:tc>
        <w:tc>
          <w:tcPr>
            <w:tcW w:w="3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360" w:type="dxa"/>
            <w:vAlign w:val="bottom"/>
            <w:gridSpan w:val="2"/>
            <w:shd w:val="clear" w:color="auto" w:fill="CCEEFF"/>
          </w:tcPr>
          <w:p>
            <w:pPr>
              <w:jc w:val="right"/>
              <w:ind w:right="154"/>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3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w:t>
            </w: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w w:val="93"/>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5"/>
          </w:tcPr>
          <w:p>
            <w:pPr>
              <w:jc w:val="right"/>
              <w:spacing w:after="0" w:line="129" w:lineRule="exact"/>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2400" w:type="dxa"/>
            <w:vAlign w:val="bottom"/>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600" w:type="dxa"/>
            <w:vAlign w:val="bottom"/>
            <w:gridSpan w:val="4"/>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2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Automotive</w:t>
            </w:r>
          </w:p>
        </w:tc>
        <w:tc>
          <w:tcPr>
            <w:tcW w:w="2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w w:val="93"/>
              </w:rPr>
              <w:t>Three Months Ended March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Automotive services</w:t>
            </w:r>
          </w:p>
        </w:tc>
        <w:tc>
          <w:tcPr>
            <w:tcW w:w="240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600" w:type="dxa"/>
            <w:vAlign w:val="bottom"/>
            <w:gridSpan w:val="4"/>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Aftermarket parts sales</w:t>
            </w:r>
          </w:p>
        </w:tc>
        <w:tc>
          <w:tcPr>
            <w:tcW w:w="2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0"/>
              </w:rPr>
              <w:t>March 31, 2022</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10"/>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6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Home</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53"/>
        </w:trPr>
        <w:tc>
          <w:tcPr>
            <w:tcW w:w="26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Energy</w:t>
            </w: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Estate</w:t>
            </w: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Fashion</w:t>
            </w:r>
          </w:p>
        </w:tc>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Pharma</w:t>
            </w:r>
          </w:p>
        </w:tc>
        <w:tc>
          <w:tcPr>
            <w:tcW w:w="7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Company</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r>
      <w:tr>
        <w:trPr>
          <w:trHeight w:val="115"/>
        </w:trPr>
        <w:tc>
          <w:tcPr>
            <w:tcW w:w="2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w w:val="85"/>
              </w:rPr>
              <w:t>(in millions)</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35"/>
        </w:trPr>
        <w:tc>
          <w:tcPr>
            <w:tcW w:w="262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676</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1,369</w:t>
            </w:r>
          </w:p>
        </w:tc>
        <w:tc>
          <w:tcPr>
            <w:tcW w:w="12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2,160</w:t>
            </w:r>
          </w:p>
        </w:tc>
      </w:tr>
      <w:tr>
        <w:trPr>
          <w:trHeight w:val="121"/>
        </w:trPr>
        <w:tc>
          <w:tcPr>
            <w:tcW w:w="26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Cash held at consolidated affiliated partnerships</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restricted cash</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3,801</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7,276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7,397</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604</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683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1,720</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2,720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4,067</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216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869</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6,178</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277</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7,211</w:t>
            </w:r>
          </w:p>
        </w:tc>
      </w:tr>
      <w:tr>
        <w:trPr>
          <w:trHeight w:val="168"/>
        </w:trPr>
        <w:tc>
          <w:tcPr>
            <w:tcW w:w="26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17,173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5,010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2,612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1,492</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27,829</w:t>
            </w:r>
          </w:p>
        </w:tc>
      </w:tr>
      <w:tr>
        <w:trPr>
          <w:trHeight w:val="116"/>
        </w:trPr>
        <w:tc>
          <w:tcPr>
            <w:tcW w:w="2620" w:type="dxa"/>
            <w:vAlign w:val="bottom"/>
            <w:shd w:val="clear" w:color="auto" w:fill="CCEEFF"/>
          </w:tcPr>
          <w:p>
            <w:pPr>
              <w:ind w:left="46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tcPr>
          <w:p>
            <w:pPr>
              <w:ind w:left="20"/>
              <w:spacing w:after="0" w:line="121" w:lineRule="exact"/>
              <w:rPr>
                <w:sz w:val="20"/>
                <w:szCs w:val="20"/>
                <w:color w:val="auto"/>
              </w:rPr>
            </w:pPr>
            <w:r>
              <w:rPr>
                <w:rFonts w:ascii="Arial" w:cs="Arial" w:eastAsia="Arial" w:hAnsi="Arial"/>
                <w:sz w:val="13"/>
                <w:szCs w:val="13"/>
                <w:color w:val="auto"/>
                <w:w w:val="94"/>
              </w:rPr>
              <w:t>Accounts payable, accrued expenses and other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262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2,113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1,973</w:t>
            </w:r>
          </w:p>
        </w:tc>
        <w:tc>
          <w:tcPr>
            <w:tcW w:w="1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986</w:t>
            </w:r>
          </w:p>
        </w:tc>
        <w:tc>
          <w:tcPr>
            <w:tcW w:w="1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152</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775</w:t>
            </w:r>
          </w:p>
        </w:tc>
        <w:tc>
          <w:tcPr>
            <w:tcW w:w="12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6,169</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Securities sold, not yet purchased, at fair value</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4,776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4,776</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1,595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5,311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7,126</w:t>
            </w:r>
          </w:p>
        </w:tc>
      </w:tr>
      <w:tr>
        <w:trPr>
          <w:trHeight w:val="128"/>
        </w:trPr>
        <w:tc>
          <w:tcPr>
            <w:tcW w:w="26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6,889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3,568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6,086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18,071</w:t>
            </w:r>
          </w:p>
        </w:tc>
      </w:tr>
      <w:tr>
        <w:trPr>
          <w:trHeight w:val="128"/>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(4,594)</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3,443</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w w:val="99"/>
              </w:rPr>
              <w:t>Equity attributable to non-controlling interests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5,600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696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6,315</w:t>
            </w:r>
          </w:p>
        </w:tc>
      </w:tr>
      <w:tr>
        <w:trPr>
          <w:trHeight w:val="128"/>
        </w:trPr>
        <w:tc>
          <w:tcPr>
            <w:tcW w:w="26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10,284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1,442</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1,606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138</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254</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(4,594)</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9,758</w:t>
            </w:r>
          </w:p>
        </w:tc>
      </w:tr>
      <w:tr>
        <w:trPr>
          <w:trHeight w:val="128"/>
        </w:trPr>
        <w:tc>
          <w:tcPr>
            <w:tcW w:w="2620" w:type="dxa"/>
            <w:vAlign w:val="bottom"/>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17,173</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5,010</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2,612</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472</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305</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1,492</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27,829</w:t>
            </w: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357"/>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Food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Home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center"/>
              <w:ind w:right="160"/>
              <w:spacing w:after="0" w:line="110" w:lineRule="exact"/>
              <w:rPr>
                <w:sz w:val="20"/>
                <w:szCs w:val="20"/>
                <w:color w:val="auto"/>
              </w:rPr>
            </w:pPr>
            <w:r>
              <w:rPr>
                <w:rFonts w:ascii="Arial" w:cs="Arial" w:eastAsia="Arial" w:hAnsi="Arial"/>
                <w:sz w:val="12"/>
                <w:szCs w:val="12"/>
                <w:b w:val="1"/>
                <w:bCs w:val="1"/>
                <w:color w:val="auto"/>
                <w:w w:val="98"/>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auto"/>
                <w:w w:val="86"/>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jc w:val="right"/>
              <w:spacing w:after="0"/>
              <w:rPr>
                <w:sz w:val="20"/>
                <w:szCs w:val="20"/>
                <w:color w:val="auto"/>
              </w:rPr>
            </w:pPr>
            <w:r>
              <w:rPr>
                <w:rFonts w:ascii="Arial" w:cs="Arial" w:eastAsia="Arial" w:hAnsi="Arial"/>
                <w:sz w:val="13"/>
                <w:szCs w:val="13"/>
                <w:b w:val="1"/>
                <w:bCs w:val="1"/>
                <w:color w:val="auto"/>
              </w:rPr>
              <w:t>Packaging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4"/>
              </w:rPr>
              <w:t>Fashion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7"/>
              </w:rPr>
              <w:t>Pharma</w:t>
            </w:r>
          </w:p>
        </w:tc>
        <w:tc>
          <w:tcPr>
            <w:tcW w:w="12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color w:val="auto"/>
                <w:w w:val="82"/>
              </w:rPr>
              <w:t>(in millions)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2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510</w:t>
            </w:r>
          </w:p>
        </w:tc>
        <w:tc>
          <w:tcPr>
            <w:tcW w:w="300" w:type="dxa"/>
            <w:vAlign w:val="bottom"/>
            <w:gridSpan w:val="2"/>
          </w:tcPr>
          <w:p>
            <w:pPr>
              <w:jc w:val="right"/>
              <w:ind w:right="6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240" w:type="dxa"/>
            <w:vAlign w:val="bottom"/>
            <w:gridSpan w:val="2"/>
          </w:tcPr>
          <w:p>
            <w:pPr>
              <w:jc w:val="right"/>
              <w:ind w:right="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1,707</w:t>
            </w:r>
          </w:p>
        </w:tc>
        <w:tc>
          <w:tcPr>
            <w:tcW w:w="10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Cash held at consolidated affiliated partnerships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and restricted cash</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8,952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484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2,735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254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6,156</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252</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506</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shd w:val="clear" w:color="auto" w:fill="CCEEFF"/>
          </w:tcPr>
          <w:p>
            <w:pPr>
              <w:ind w:left="40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3"/>
                <w:szCs w:val="13"/>
                <w:color w:val="auto"/>
                <w:w w:val="89"/>
              </w:rPr>
              <w:t>Accounts payable, accrued expenses and 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2"/>
          </w:tcPr>
          <w:p>
            <w:pPr>
              <w:spacing w:after="0"/>
              <w:rPr>
                <w:sz w:val="20"/>
                <w:szCs w:val="20"/>
                <w:color w:val="auto"/>
              </w:rPr>
            </w:pPr>
            <w:r>
              <w:rPr>
                <w:rFonts w:ascii="Arial" w:cs="Arial" w:eastAsia="Arial" w:hAnsi="Arial"/>
                <w:sz w:val="13"/>
                <w:szCs w:val="13"/>
                <w:color w:val="auto"/>
              </w:rPr>
              <w:t>liabilities</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2,405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1,579</w:t>
            </w:r>
          </w:p>
        </w:tc>
        <w:tc>
          <w:tcPr>
            <w:tcW w:w="3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981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w:t>
            </w:r>
          </w:p>
        </w:tc>
        <w:tc>
          <w:tcPr>
            <w:tcW w:w="24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Securities sold, not yet purchased, at fair value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1,660</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5,810</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7,692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7,745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3,239</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1,007</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18,403</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Equity attributable to Icahn Enterprises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(3,994)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w w:val="93"/>
              </w:rPr>
              <w:t>Equity attributable to non-controlling interests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5,119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662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5,799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9,390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1,348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476</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(3,994)</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17,135</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4,587</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2,582</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309</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1,906</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0" w:right="120" w:firstLine="324"/>
        <w:spacing w:after="0" w:line="259" w:lineRule="auto"/>
        <w:rPr>
          <w:sz w:val="20"/>
          <w:szCs w:val="20"/>
          <w:color w:val="auto"/>
        </w:rPr>
      </w:pPr>
      <w:r>
        <w:rPr>
          <w:rFonts w:ascii="Arial" w:cs="Arial" w:eastAsia="Arial" w:hAnsi="Arial"/>
          <w:sz w:val="18"/>
          <w:szCs w:val="18"/>
          <w:color w:val="auto"/>
        </w:rPr>
        <w:t>For the three months ended March 31, 2022, we recorded an income tax expense of $98 million on pre-tax income of $983 million compared to an income tax expense of $17 million on pre-tax income of $616 million for the three months ended March 31, 2021. Our effective income tax rate was 10.0% and 2.8% for the three months ended March 31, 2022 and 2021, respectively.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For the three months ended March 31, 2022, the effective tax rate was lower than the statutory federal rate of 21%, for corporations, primarily due to partnership income for which there was no tax expense, as such income is allocated to the partners.</w:t>
      </w:r>
    </w:p>
    <w:p>
      <w:pPr>
        <w:spacing w:after="0" w:line="184"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For the three months ended March 31, 2021, the effective tax rate was lower than the statutory federal rate of 21%, for corporations, primarily due to partnership income for which there was no tax expense, as such income is allocated to the partners.</w:t>
      </w:r>
    </w:p>
    <w:p>
      <w:pPr>
        <w:spacing w:after="0" w:line="180"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5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Post-Retirement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 Net</w:t>
            </w:r>
          </w:p>
        </w:tc>
        <w:tc>
          <w:tcPr>
            <w:tcW w:w="15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Benefits and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Tax</w:t>
            </w:r>
          </w:p>
        </w:tc>
        <w:tc>
          <w:tcPr>
            <w:tcW w:w="15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Other, Net of Tax</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(36)</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20"/>
              <w:spacing w:after="0" w:line="201" w:lineRule="exact"/>
              <w:rPr>
                <w:sz w:val="20"/>
                <w:szCs w:val="20"/>
                <w:color w:val="auto"/>
              </w:rPr>
            </w:pPr>
            <w:r>
              <w:rPr>
                <w:rFonts w:ascii="Arial" w:cs="Arial" w:eastAsia="Arial" w:hAnsi="Arial"/>
                <w:sz w:val="18"/>
                <w:szCs w:val="18"/>
                <w:color w:val="auto"/>
                <w:w w:val="95"/>
              </w:rPr>
              <w:t>Other comprehensive (loss) income before reclassifications,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Reclassifications from accumulated other comprehensive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to earnings, net of tax</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15. Other (Loss) Income, Net</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tcPr>
          <w:p>
            <w:pPr>
              <w:ind w:left="340"/>
              <w:spacing w:after="0"/>
              <w:rPr>
                <w:sz w:val="20"/>
                <w:szCs w:val="20"/>
                <w:color w:val="auto"/>
              </w:rPr>
            </w:pPr>
            <w:r>
              <w:rPr>
                <w:rFonts w:ascii="Arial" w:cs="Arial" w:eastAsia="Arial" w:hAnsi="Arial"/>
                <w:sz w:val="18"/>
                <w:szCs w:val="18"/>
                <w:color w:val="auto"/>
              </w:rPr>
              <w:t>Other (loss) income, net consists of the following:</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5"/>
          </w:tcPr>
          <w:p>
            <w:pPr>
              <w:jc w:val="right"/>
              <w:spacing w:after="0" w:line="129" w:lineRule="exact"/>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 expense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Equity earnings from non-consolidated affiliates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currency transaction gain (loss)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(Loss) gain on extinguishment of debt,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on an undiscounted basis were $25 million and $13 million as of March 31, 2022 and December 31, 2021,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A wholly-owned subsidiary of CVR Refining is party to proceedings pending before the United States District Court for the District of Kansas (“D. Kan.”) relating to claims by United States Department of Justice (the “DOJ”) on behalf of the U.S. Environmental Protection Agency (the “EPA”) and the Kansas Department of Health and Environment (“KDHE”)</w:t>
      </w:r>
    </w:p>
    <w:p>
      <w:pPr>
        <w:spacing w:after="0" w:line="2" w:lineRule="exact"/>
        <w:rPr>
          <w:sz w:val="20"/>
          <w:szCs w:val="20"/>
          <w:color w:val="auto"/>
        </w:rPr>
      </w:pPr>
    </w:p>
    <w:p>
      <w:pPr>
        <w:ind w:left="60" w:right="99" w:hanging="10"/>
        <w:spacing w:after="0" w:line="284" w:lineRule="auto"/>
        <w:tabs>
          <w:tab w:leader="none" w:pos="305"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alleging violations of the Clean Air Act and a 2012 Consent Decree (“CD”) between CVR Refining, the United States (on behalf of the EPA) and KDHE at its Coffeyville refinery primarily relating to flares and seeking stipulated penalties under the CD (the “Stipulated Claims”) and (b) alleging violations of the CAA, the Kansas State Implementation Plan, Kansas law, Part 63 of the National Emission Standards for Hazardous Air Pollutants from Petroleum Refineries Subparts CC and R (“NESHAP”) and CRRM’s permits relating to flares, heaters, and related matters and seeking civil penalties, injunctive and related relief under an amended complaint filed by the United States (on behalf of the EPA) and KDHE on February 17, 2022 (collectively, the “Statutory Claims”). On March 30, 2022, D. Kan. denied CVR Refining’s petition for judicial review of approximately $6.8 million in Stipulated Claims, which amount CVR Refining previously deposited into a commercial escrow account. CVR Refining is currently evaluating its response to this denial, including its appeal rights. The escrowed funds are legally restricted for use and are included within Prepaid expenses and other current assets on CVR Energy’s consolidated balance sheets. On March 21, 2022, CVR Refining filed with D. Kan. a Motion to Dismiss the Statutory Claims, which motion is currently pending before the court. As negotiations and proceedings relating to the Stipulated Claims and the Statutory Claims are ongoing, CVR Energy cannot at this time determine the outcome of these matters, including whether such outcome, or any subsequent enforcement or litigation relating thereto would have a material impact on our Energy segment’s financial position, results of operations, or cash flows.</w:t>
      </w:r>
    </w:p>
    <w:p>
      <w:pPr>
        <w:spacing w:after="0" w:line="176"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As of March 31, 2022 and December 31, 2021, our Energy segment had environmental accruals of $24 million and $12 million, respectively, representing estimated costs for future remediation efforts at certain sites.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CVR Refining is subject to the Renewable Fuel Standard (“RFS”) implemented primarily by the EPA which requires refiners to either blend renewable fuels into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or other exemptions from the EPA, to the extent available, in order to comply with the RFS. Wholly owned subsidiaries of CVR Refining are or expect to be party to or have interest in various lawsuits relating to the RFS, including a lawsuit against the EPA for damages sustained by the EPA’s failure to timely issue small refinery exemptions (“SREs”) to its Wynnewood refinery. On April 7, 2022, the EPA notified CVR Refining that it was now denying the 2018 SRE previously granted to Wynnewood, though is not requiring it to purchase or redeem additional RFS credits as a result of this denial. On December 7, 2021, the EPA also issued a Proposed RFS Small Refinery Exemption Decision (the “Proposed Denial”), in which the EPA announced its intention to change its statutory interpretation of the CAA and deny 65 pending SRE petitions, including those submitted by Wynnewood for 2019, 2020, and 2021. CVR Refining expects to file litigation against the EPA should it finalize its Proposed Denial. Given the early stages of these matters, CVR Energy cannot determine at this time the outcomes of these matters. CVR Energy firmly believes the EPA’s actions are unlawful and violate the RFS, and while it intends to pursue all available legal remedies, if these matters are ultimately concluded in a manner adverse to CVR Energy, they could have a material effect on CVR Energy’s financial position, results of operations, or cash flows.</w:t>
      </w:r>
    </w:p>
    <w:p>
      <w:pPr>
        <w:spacing w:after="0" w:line="176"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For the three months ended March 31, 2022 and 2021, our Energy segment recognized an expense of $107 million and $178 million, respectively, for CVR Refining’s compliance with the RFS (based on our Energy segment’s 2020 annual renewal volume obligation (“RVO”) for all periods since the EPA has not yet set the 2021 RVO and excluding the impacts of any exemptions or waivers to which our Energy segment may be entitled). These recognized amounts are included in cost of goods sold in the condensed consolidated statements of operations and represent costs to comply with the RFS obligation through purchasing of RINs not otherwise reduced by blending of ethanol or biodiesel. At each</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reporting period, to the extent RINs purchased or generated through blending are less than the RFS obligation (excluding the impact of exemptions or waivers to which CVR Refining may be entitled), the remaining position is marked-to-market using RIN market prices at period end. As of March 31, 2022 and December 31, 2021, CVR Refining’s RFS position was $585 million and $494 million, respectively, and is included in accrued expenses and other liabilities in the condensed consolidated balance sheets.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On July 29, 2021, trial concluded in the consolidated lawsuits filed by purported former unitholders of CVR Refining on behalf of themselves and an alleged class of similarly situated unitholders against CVR Energy, CVR Refining and its general partner, CVR Refining Holdings, Icahn Enterprises and certain directors and affiliates in the Court of Chancery of the State of Delaware related to CVR Energy’s exercise of the call option under the CVR Refining Amended and Restated Agreement of Limited Partnership assigned to it by CVR Refining’s general partner (the “Delaware Lawsuits”) primarily alleging breach of contract, tortious interference, and breach of the implied covenant of good faith and fair dealing. The parties are currently in post-trial proceedings. The plaintiffs filed their Opening Post-Trial Brief on December 22, 2021, quantifying alleged damages in excess of $300 million, the Call Defendants filed their Post-Trial Answering Brief on February 22, 2022, and the plaintiffs filed their Reply Post-Trial Brief on April 1, 2022. Post-trial briefing and related activities are in process. CVR Energy believes the Delaware Lawsuits are without merit and has vigorously defended against them. As no ruling in the case has yet been issued, CVR Energy cannot determine at this time the outcome of the Delaware Lawsuits. However, while CVR Energy firmly believes the Delaware Lawsuits are without merit, if concluded in a manner averse to CVR Energy, they could have a material impact on our Energy segment’s financial position, results of operations, or cash flows.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Mr. Icahn, through certain affiliates, owns 100% of Icahn Enterprises GP and approximately 87% of Icahn Enterprises’ outstanding depositary units as of March 31, 2022.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March 31, 2022. If the plans were voluntarily terminated, they would be underfunded by an aggregate of approximately $90 million as of March 31, 2022.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8"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former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believe that we maintain a strong compliance program and, while no assurances can be made, we do not believe these inquiries will have a material impact on our business, financial condition, results of operations or cash flows.</w:t>
      </w:r>
    </w:p>
    <w:p>
      <w:pPr>
        <w:spacing w:after="0" w:line="162"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information consists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560" w:type="dxa"/>
            <w:vAlign w:val="bottom"/>
            <w:gridSpan w:val="6"/>
          </w:tcPr>
          <w:p>
            <w:pPr>
              <w:ind w:left="104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5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128"/>
        </w:trPr>
        <w:tc>
          <w:tcPr>
            <w:tcW w:w="5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3"/>
          </w:tcPr>
          <w:p>
            <w:pPr>
              <w:jc w:val="right"/>
              <w:ind w:right="80"/>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17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Cash (payments) receipts for income taxes, net of payments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Partnership distributions payable</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(603)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On May 4, 2022, the Board of Directors of the general partner of Icahn Enterprises declared a quarterly distribution in the amount of $2.00 per depositary unit, which will be paid on or about June 29, 2022 to depositary unitholders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record at the close of business on May 20, 2022. Depositary unitholders will have until June 16, 2022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24, 2022. Icahn Enterprises will make a cash payment in lieu of issuing fractional depositary units to any unitholders electing to receive (or who are deemed to have elected to receive) depositary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March 31, 2022 (this “Report”), as well as our Annual Report on Form 10-K for the year ended December 31, 2021 filed with the Securities and Exchange Commission on February 25, 2022.</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In addition, we operated our Metals segment until sold in December 2021. We also report the results of our Holding Company, which includes the results of certain subsidiaries of Icahn Enterprises (unless otherwise noted), and investment activity and expenses associated with our Holding Company. References to “we,” “our” or “us” herein include Icahn Enterprises and its subsidiaries, unless the context otherwise requires.</w:t>
      </w:r>
    </w:p>
    <w:p>
      <w:pPr>
        <w:spacing w:after="0" w:line="166"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2022, representing an aggregate 1.99% general partner interest in Icahn Enterprises Holdings and us. Mr. Icahn and his affiliates owned approximately 87% of Icahn Enterprises’ outstanding depositary units as of March 31, 2022.</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On October 27, 2021, IEP Utility Holdings LLC (“IEP Utility”), a wholly owned subsidiary of Icahn Enterprises Holdings, commenced a cash offer (the “SWX Tender Offer”) to acquire, subject to certain terms and conditions, all of the issued and outstanding shares of common stock of Southwest Gas Holdings, Inc. (“Southwest Gas”) not held by affiliates of Icahn Enterprises Holdings at a price of $75.00 per share. On March 14, 2022, IEP Utility amended its SWX Tender Offer purchase price to $82.50 per share. Southwest Gas, through its wholly owned subsidiaries, is engaged in the business of purchasing, distributing, and transporting natural gas for customers in portions of Arizona, Nevada, and California. Southwest Gas’ shares of common stock are listed on the New York Stock Exchange under the symbol “SWX.” The SWX Tender Offer has been extended and is scheduled to expire at 12:00 midnight, New York City Time, on May 9, 2022, unless the offer is further extended.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Repayments</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In February 2022, we redeemed all of our $500 million aggregate principal amount of 6.750% senior unsecured notes due 2024 at par.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57" w:lineRule="auto"/>
        <w:rPr>
          <w:sz w:val="20"/>
          <w:szCs w:val="20"/>
          <w:color w:val="auto"/>
        </w:rPr>
      </w:pPr>
      <w:r>
        <w:rPr>
          <w:rFonts w:ascii="Arial" w:cs="Arial" w:eastAsia="Arial" w:hAnsi="Arial"/>
          <w:sz w:val="18"/>
          <w:szCs w:val="18"/>
          <w:color w:val="auto"/>
        </w:rPr>
        <w:t>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88"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(as defined below), and the results of operations of our Energy segment, impacted by the demand and pricing for its products. Refer to our respective segment discussions and “Other Consolidated Results of Operations,” below for further discussion.</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Revenues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Net Income (Loss)</w:t>
            </w:r>
          </w:p>
        </w:tc>
        <w:tc>
          <w:tcPr>
            <w:tcW w:w="80" w:type="dxa"/>
            <w:vAlign w:val="bottom"/>
          </w:tcPr>
          <w:p>
            <w:pPr>
              <w:spacing w:after="0"/>
              <w:rPr>
                <w:sz w:val="14"/>
                <w:szCs w:val="14"/>
                <w:color w:val="auto"/>
              </w:rPr>
            </w:pPr>
          </w:p>
        </w:tc>
        <w:tc>
          <w:tcPr>
            <w:tcW w:w="2100" w:type="dxa"/>
            <w:vAlign w:val="bottom"/>
            <w:gridSpan w:val="5"/>
          </w:tcPr>
          <w:p>
            <w:pPr>
              <w:ind w:left="44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6"/>
              </w:rPr>
              <w:t>Three Months Ended March 31,</w:t>
            </w:r>
          </w:p>
        </w:tc>
        <w:tc>
          <w:tcPr>
            <w:tcW w:w="140" w:type="dxa"/>
            <w:vAlign w:val="bottom"/>
          </w:tcPr>
          <w:p>
            <w:pPr>
              <w:spacing w:after="0"/>
              <w:rPr>
                <w:sz w:val="12"/>
                <w:szCs w:val="12"/>
                <w:color w:val="auto"/>
              </w:rPr>
            </w:pPr>
          </w:p>
        </w:tc>
        <w:tc>
          <w:tcPr>
            <w:tcW w:w="204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6"/>
              </w:rPr>
              <w:t>Three Months Ended March 31,</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4"/>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Three Months Ended 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right"/>
              <w:ind w:right="508"/>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Other Operating Segments: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2,363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1,532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Automotive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Home Fashion</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Pharma</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Metals</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3,121</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2,433</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4,084</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3,384</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885</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323</w:t>
            </w: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invest our proprietary capital through various private investment funds (“Investment Funds”). As of</w:t>
      </w:r>
    </w:p>
    <w:p>
      <w:pPr>
        <w:spacing w:after="0" w:line="23"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March 31, 2022 and December 31, 2021, we had investments with a fair market value of approximately $4.7 billion and $4.2 billion, respectively, in the Investment Funds. As of March 31, 2022 and December 31, 2021, the total fair market value of investments in the Investment Funds made by Mr. Icahn and his affiliates (excluding us and Brett Icahn) was approximately $5.5 billion and $5.0 billion, respectively.</w:t>
      </w:r>
    </w:p>
    <w:p>
      <w:pPr>
        <w:spacing w:after="0" w:line="193"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March 31, 2022.</w:t>
      </w:r>
    </w:p>
    <w:p>
      <w:pPr>
        <w:spacing w:after="0" w:line="179" w:lineRule="exact"/>
        <w:rPr>
          <w:sz w:val="20"/>
          <w:szCs w:val="20"/>
          <w:color w:val="auto"/>
        </w:rPr>
      </w:pPr>
    </w:p>
    <w:p>
      <w:pPr>
        <w:ind w:left="60" w:right="759" w:firstLine="324"/>
        <w:spacing w:after="0" w:line="263" w:lineRule="auto"/>
        <w:rPr>
          <w:sz w:val="20"/>
          <w:szCs w:val="20"/>
          <w:color w:val="auto"/>
        </w:rPr>
      </w:pPr>
      <w:r>
        <w:rPr>
          <w:rFonts w:ascii="Arial" w:cs="Arial" w:eastAsia="Arial" w:hAnsi="Arial"/>
          <w:sz w:val="18"/>
          <w:szCs w:val="18"/>
          <w:color w:val="auto"/>
        </w:rPr>
        <w:t>For the three months ended March 31, 2022 and 2021, our Investment Funds’ returns were 9.6% and 9.2%, respectively. Our Investment Funds’ returns represent a weighted-average composite of the average returns, net of expenses.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8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09"/>
        </w:trPr>
        <w:tc>
          <w:tcPr>
            <w:tcW w:w="6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8"/>
                <w:szCs w:val="18"/>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Short positions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(9.2)%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09"/>
        </w:trPr>
        <w:tc>
          <w:tcPr>
            <w:tcW w:w="6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6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months ended March 31, 2022 and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5180" w:type="dxa"/>
            <w:vAlign w:val="bottom"/>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3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r>
      <w:tr>
        <w:trPr>
          <w:trHeight w:val="128"/>
        </w:trPr>
        <w:tc>
          <w:tcPr>
            <w:tcW w:w="37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4"/>
          </w:tcPr>
          <w:p>
            <w:pPr>
              <w:jc w:val="right"/>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28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Short positions</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9"/>
        </w:trPr>
        <w:tc>
          <w:tcPr>
            <w:tcW w:w="3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r>
      <w:tr>
        <w:trPr>
          <w:trHeight w:val="20"/>
        </w:trPr>
        <w:tc>
          <w:tcPr>
            <w:tcW w:w="3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2022 and 2021</w:t>
      </w:r>
    </w:p>
    <w:p>
      <w:pPr>
        <w:spacing w:after="0" w:line="225"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For the three months ended March 31, 2022, the Investment Funds’ positive performance was primarily driven by net gains in long positions, offset in part by net losses in short positions. The positive performance of our Investment segment’s long positions was driven primarily by gains in two energy sector investments aggregating approximately $1.8 billion. The positive performance of our Investment segment’s long positions was offset in part by losses from two healthcare sector investments aggregating $267 million and a consumer, cyclical sector investment of $109 million. The negative performance of our Investment segment’s short positions was driven primarily by the negative performance of an energy sector hedge of $416 million and the negative performance of certain credit default swaps positions of $314 million. These decreases were offset in part by the positive performance of a broad market hedge totaling $269 million.</w:t>
      </w:r>
    </w:p>
    <w:p>
      <w:pPr>
        <w:spacing w:after="0" w:line="165" w:lineRule="exact"/>
        <w:rPr>
          <w:sz w:val="20"/>
          <w:szCs w:val="20"/>
          <w:color w:val="auto"/>
        </w:rPr>
      </w:pPr>
    </w:p>
    <w:p>
      <w:pPr>
        <w:ind w:left="60" w:right="199" w:firstLine="324"/>
        <w:spacing w:after="0" w:line="288" w:lineRule="auto"/>
        <w:rPr>
          <w:sz w:val="20"/>
          <w:szCs w:val="20"/>
          <w:color w:val="auto"/>
        </w:rPr>
      </w:pPr>
      <w:r>
        <w:rPr>
          <w:rFonts w:ascii="Arial" w:cs="Arial" w:eastAsia="Arial" w:hAnsi="Arial"/>
          <w:sz w:val="16"/>
          <w:szCs w:val="16"/>
          <w:color w:val="auto"/>
        </w:rPr>
        <w:t>For the three months ended March 31, 2021, the Investment Funds’ positive performance was driven by net gains in their long positions, offset in part by net losses in their short positions. The positive performance of our Investment segment’s long positions was driven primarily by gains in two energy sector investments aggregating approximately $1.1 billion and a consumer, cyclical sector investment of $253 million. The aggregate performance of investments with net gains across various sectors accounted for an additional positive performance of our Investment segment’s long positions. The negative performance of our Investment segment’s short positions was driven primarily by the negative performance of an energy sector investment of $494 million and broad market hedges of $329 million. The aggregate performance of investments with net losses across various sectors accounted for an additional negative performance of our Investment segment’s short positions. The negative performance of our Investment segment’s short positions was offset in part by gains from a consumer, cyclical sector investment of $196 million.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91% and 96% of our Energy segment’s net sales for the three months ended March 31, 2022 and 2021, respectively.</w:t>
      </w:r>
    </w:p>
    <w:p>
      <w:pPr>
        <w:spacing w:after="0" w:line="184"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7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addition to recent market conditions, including the impact of the Russia/Ukraine conflict,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the operating companies in our Energy segment to either blend “renewable fuels” with their transportation fuels or purchase renewable identification numbers (“RINs”), to the extent available, in lieu of blending, or to seek other exemptions.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179"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In December 2020, our Energy segment approved a renewable diesel project at one of its refineries, which would convert the refinery’s hydrocracker to a renewable diesel unit (“RDU”) capable of producing 100 million gallons of renewable diesel per year and approximately 170 to 180 million RINs annually. As a result of conversion, the crude oil capacity of the refinery will be reduced. Further, the conversion enables our Energy segment to capture additional benefits associated with the existing blenders’ tax credit that expires at the end of 2022 and low carbon fuel standard programs in states such as California. Our Energy segment has additional plans to add pretreating capabilities for the RDU and construction of a similar facility at its other refinery. These collective renewable diesel efforts could reduce our Energy segment’s Renewable Fuels Standard (“RFS”) exposure. However, any actions taken by the Supreme Court, resulting administration efforts under the RFS, such as denial of existing or previous waiver applications, and market conditions could significantly impact the amount by which our Energy segment’s renewable diesel business mitigates our costs to comply with the RFS, if at all.</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128"/>
        </w:trPr>
        <w:tc>
          <w:tcPr>
            <w:tcW w:w="6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ind w:right="47"/>
              <w:spacing w:after="0" w:line="129" w:lineRule="exact"/>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March 31, 2022 and 2021</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Net sales for our Energy segment increased by $910 million (62%) for the three months ended March 31, 2022 as compared to the comparable prior year period due to an increase in our petroleum business’ net sales, which increased $748 million, as well as an increase in our nitrogen fertilizer business’ net sales, which increased $162 million over the comparable periods. The increase in the petroleum business’ net sales was primarily due to an increase in prices of gasoline and distillates mainly attributable to the ongoing conflict in Ukraine resulting in a global increase in commodity prices. Volumes were lower in the comparable prior year period due to the reduced utilization of the refineries resulting from the impact of a weather event. Our nitrogen fertilizer business’ net sales increased primarily due to an increase in urea ammonium nitrate (“UAN”) sales primarily due to favorable pricing conditions.</w:t>
      </w:r>
    </w:p>
    <w:p>
      <w:pPr>
        <w:spacing w:after="0" w:line="178" w:lineRule="exact"/>
        <w:rPr>
          <w:sz w:val="20"/>
          <w:szCs w:val="20"/>
          <w:color w:val="auto"/>
        </w:rPr>
      </w:pPr>
    </w:p>
    <w:p>
      <w:pPr>
        <w:ind w:left="60" w:right="279" w:firstLine="324"/>
        <w:spacing w:after="0" w:line="301" w:lineRule="auto"/>
        <w:rPr>
          <w:sz w:val="20"/>
          <w:szCs w:val="20"/>
          <w:color w:val="auto"/>
        </w:rPr>
      </w:pPr>
      <w:r>
        <w:rPr>
          <w:rFonts w:ascii="Arial" w:cs="Arial" w:eastAsia="Arial" w:hAnsi="Arial"/>
          <w:sz w:val="16"/>
          <w:szCs w:val="16"/>
          <w:color w:val="auto"/>
        </w:rPr>
        <w:t>Cost of goods sold for our Energy segment increased by $544 million (34%) for the three months ended March 31, 2022 as compared to the comparable prior year period. The increase was primarily due to our petroleum business as a result of higher cost of consumed crude oil. The higher cost of consumed crude oil was due to an increase in volumes, as discussed above, offset in part by lower net cost of RINs of $71 million and higher derivative performance of $34</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million. Gross margin for our Energy segment improved by $366 million for the three months ended March 31, 2022 as compared to the comparable prior year period. Gross margin as a percentage of net sales was 11% and (8)% for the three months ended March 31, 2022 and 2021, respectively. The improvement in the gross margin as a percentage of net sales was primarily attributable to the petroleum business, which was primarily due to higher crack spreads and a decrease in the net cost of RINs, in addition to higher net sales and pricing in the nitrogen fertilizer business. These improvements were offset in part by increased RFS compliance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Automotive segment’s results of operations are generally driven by the distribution and installation of automotive aftermarket parts and the demand for automotive service and maintenance, and is affected by the relative strength of automotive part replacement trends, among other factors.</w:t>
      </w:r>
    </w:p>
    <w:p>
      <w:pPr>
        <w:spacing w:after="0" w:line="184"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Our Automotive segment has been in the process of implementing a multi-year transformation plan, which includes the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As part of this plan, in 2021 Icahn Automotive entered into an agreement to sell certain inventory assets relating to its aftermarket parts business at 109 locations and a distribution center in California and certain other inventory and fixed assets in California. Costs to implement the transformation plan include restructuring charges, which are recorded when specific plans are approved, and which may be significant.</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customer experience initiatives and selective upgrades in facilities;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09"/>
        </w:trPr>
        <w:tc>
          <w:tcPr>
            <w:tcW w:w="63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r>
      <w:tr>
        <w:trPr>
          <w:trHeight w:val="196"/>
        </w:trPr>
        <w:tc>
          <w:tcPr>
            <w:tcW w:w="6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7"/>
                <w:szCs w:val="17"/>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and other revenues from operations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and other expenses from operations</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384</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170</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6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2022 and 2021</w:t>
      </w:r>
    </w:p>
    <w:p>
      <w:pPr>
        <w:spacing w:after="0" w:line="225"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Net sales and other revenues from operations for our Automotive segment for the three months ended March 31, 2022 decreased by $44 million (7%) as compared to the comparable prior year period. The decrease was attributable to a decrease in aftermarket parts sales of $70 million (26%), offset in part by an increase in automotive services revenue of $26 million (8%). On an organic basis, aftermarket parts sales increased $7 million over the comparable periods including an increase in ecommerce of $3 million (30%) and an increase in commercial sales of $2 million (3%). Store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closures related to the transformation plan accounted for a $77 million decrease in aftermarket parts sales. The increase in automotive services revenues represents an increase on a primarily organic basis as prices have increased 2% over the comparable prior year.</w:t>
      </w:r>
    </w:p>
    <w:p>
      <w:pPr>
        <w:spacing w:after="0" w:line="184"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Cost of goods sold and other expenses from operations for the three months ended March 31, 2022 decreased by $41 million (10%) as compared to the comparable prior year period. The decrease was primarily due to lower costs attributable to lower aftermarket parts sales which exceeded higher costs associated with higher services revenues. Gross margin on net sales and other revenue from operations for the three months ended March 31, 2022 decreased by $3 million (2%) as compared to the comparable prior year period. Gross margin as a percentage of net sales and other revenue from operations was 31% and 29% for the three months ended March 31, 2022 and 2021,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2022 and 2021</w:t>
      </w:r>
    </w:p>
    <w:p>
      <w:pPr>
        <w:spacing w:after="0" w:line="22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Net sales for the three months ended March 31, 2022 were flat as compared to the comparable prior year period. Impacts to sales were due to an increase of $10 million in price and product mix, offset by a decrease of $2 million due to unfavorable effects of foreign exchange and a decrease of $8 million due to lower volumes. Cost of goods sold for the three months ended March 31, 2022 increased by $1 million (1%) as compared to the comparable prior year period due to the effects of raw material price inflation, manufacturing variances and distribution costs, offset in part by lower volumes. Gross margin as a percentage of net sales was 20% and 21% for the three months ended March 31, 2022 and 2021,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 three months ended March 31, 2022 and 2021 were primarily derived from the sale of residential units and rental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2022 and 2021</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Net sales for the three months ended March 31, 2022 increased by $14 million (34%) compared to the comparable prior year period primarily due to an increase in demand as leisure and business travel have increased due to the reduced impact of the COVID-19 pandemic on our Home Fashion segment’s hospitality business. Cost of goods sold for the three months ended March 31, 2022 increased $11 million (32%) compared to the comparable prior year period due to higher material and freight costs. Gross margin as a percentage of net sales was 18% and 17% for the three months ended March 31, 2022 and 2021, respectively. The increase is primarily due to customer price increases and improved production capacity.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Pharma segment derives revenues primarily from the sale of its products directly to customers, wholesalers and pharmacies.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2022 and 2021</w:t>
      </w:r>
    </w:p>
    <w:p>
      <w:pPr>
        <w:spacing w:after="0" w:line="225"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Net sales for the three months ended March 31, 2022 decreased by $14 million (48%) compared to the comparable prior year period primarily due to the absence of a $13 million one-time sale of product to a single customer in the first quarter of 2021. Cost of goods sold for the three months ended March 31, 2022 decreased $2 million (14%) compared to the prior year period due to lower volumes. Gross margin as a percentage of net sales was 20% and 52% for the three months ending March 31, 2022 and 2021, respectively. The decrease is due to the absence of the one-time sale in the first quarter of 2021 mentioned above.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259" w:firstLine="324"/>
        <w:spacing w:after="0" w:line="342" w:lineRule="auto"/>
        <w:rPr>
          <w:sz w:val="20"/>
          <w:szCs w:val="20"/>
          <w:color w:val="auto"/>
        </w:rPr>
      </w:pPr>
      <w:r>
        <w:rPr>
          <w:rFonts w:ascii="Arial" w:cs="Arial" w:eastAsia="Arial" w:hAnsi="Arial"/>
          <w:sz w:val="16"/>
          <w:szCs w:val="16"/>
          <w:color w:val="auto"/>
        </w:rPr>
        <w:t>Our Holding Company’s results of operations primarily reflect the interest expense on its senior unsecured notes and investment gains and losses from equity investments for each of the three months ended March 31, 2022 and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2022 and 2021</w:t>
      </w:r>
    </w:p>
    <w:p>
      <w:pPr>
        <w:spacing w:after="0" w:line="225" w:lineRule="exact"/>
        <w:rPr>
          <w:sz w:val="20"/>
          <w:szCs w:val="20"/>
          <w:color w:val="auto"/>
        </w:rPr>
      </w:pPr>
    </w:p>
    <w:p>
      <w:pPr>
        <w:jc w:val="both"/>
        <w:ind w:left="60" w:right="119" w:firstLine="324"/>
        <w:spacing w:after="0" w:line="263" w:lineRule="auto"/>
        <w:rPr>
          <w:sz w:val="20"/>
          <w:szCs w:val="20"/>
          <w:color w:val="auto"/>
        </w:rPr>
      </w:pPr>
      <w:r>
        <w:rPr>
          <w:rFonts w:ascii="Arial" w:cs="Arial" w:eastAsia="Arial" w:hAnsi="Arial"/>
          <w:sz w:val="18"/>
          <w:szCs w:val="18"/>
          <w:color w:val="auto"/>
        </w:rPr>
        <w:t>Our consolidated selling, general and administrative during the three months ended March 31, 2022 decreased by $15 million (5%) as compared to the comparable prior year period primarily due to lower expenses of our Automotive segment mainly related to its transformation plan.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2022 and 2021</w:t>
      </w:r>
    </w:p>
    <w:p>
      <w:pPr>
        <w:spacing w:after="0" w:line="225"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Our consolidated interest expense during the three months ended March 31, 2022 decreased by $61 million (31%) as compared to the comparable prior year period. The decrease was primarily due to lower interest expense from our Investment segment due to lower balances on margin accounts.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7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As of March 31, 2022, our Holding Company had cash and cash equivalents of approximately $1.4 billion and total debt of approximately $5.3 billion. As of March 31, 2022, our Holding Company had investments in the Investment Funds with a total fair market value of approximately $4.7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7"/>
        </w:trPr>
        <w:tc>
          <w:tcPr>
            <w:tcW w:w="66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2021</w:t>
            </w:r>
          </w:p>
        </w:tc>
      </w:tr>
      <w:tr>
        <w:trPr>
          <w:trHeight w:val="128"/>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6.750% senior unsecured notes due 2024</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4.375% senior unsecured notes due 2029</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10"/>
        </w:trPr>
        <w:tc>
          <w:tcPr>
            <w:tcW w:w="6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84"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In February 2022, we redeemed all of our $500 million in aggregate principal amount of 6.750% senior unsecured notes due 2024 at par. This transaction is expected to result in annual savings of approximately $34 million in future interest expense.</w:t>
      </w:r>
    </w:p>
    <w:p>
      <w:pPr>
        <w:spacing w:after="0" w:line="184"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March 31, 2022, except for the 4.750% senior unsecured notes due 2024, the 5.250% senior unsecured notes due 2027 and 4.375% senior unsecured notes due 2029, are subject to optional redemption premiums in the event we redeem any of the notes prior to certain dates as described in the indentures.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79" w:lineRule="auto"/>
        <w:rPr>
          <w:sz w:val="20"/>
          <w:szCs w:val="20"/>
          <w:color w:val="auto"/>
        </w:rPr>
      </w:pPr>
      <w:r>
        <w:rPr>
          <w:rFonts w:ascii="Arial" w:cs="Arial" w:eastAsia="Arial" w:hAnsi="Arial"/>
          <w:sz w:val="17"/>
          <w:szCs w:val="17"/>
          <w:color w:val="auto"/>
        </w:rPr>
        <w:t>As of March 31, 2022 and December 31, 2021, we were in compliance with all covenants, including maintaining certain minimum financial ratios, as defined in the indentures. Additionally, as of March 31, 2022, based on covenants in the indentures governing our senior unsecured notes, we are not permitted to incur additional indebtedness; however, we are permitted to issue new notes in connection with debt refinancings of existing notes.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During the three months ended March 31, 2022, Icahn Enterprises sold 3,436,553 depositary units pursuant to its Open Market Sale Agreement entered into on December 3, 2021, resulting in gross proceeds of $182 million. As of March 31, 2022, we continue to have an active Open Market Sale Agreement and Icahn Enterprises may sell its depositary units for up to an additional $145 million in aggregate gross sale proceeds pursuant to this agreement.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once we have sold the full amount of our existing Open Market Sale Agreement. Our ability to access remaining capital under our “at-the-market” program may be limited by market conditions at the time of any future potential sale. While we were able to sell shares during the three months ended March 31, 2022, there can be no assurance that any future capital will be available on acceptable terms or at all under this program.</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On February 23, 2022, Icahn Enterprises declared a quarterly distribution in the amount of $2.00 per depositary unit in which each depositary unitholder had the option to make an election to receive either cash or additional depositary units. In connection with this distribution, aggregate cash distributions to all depositary unitholders that made a timely election to receive cash was $48 million in April 2022.</w:t>
      </w:r>
    </w:p>
    <w:p>
      <w:pPr>
        <w:spacing w:after="0" w:line="187"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On May 4, 2022, the Board of Directors of the general partner of Icahn Enterprises declared a quarterly distribution in the amount of $2.00 per depositary unit, which will be paid on or about June 29, 2022 to depositary unitholders of record at the close of business on May 20, 2022. Depositary unitholders will have until June 16, 2022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24, 2022. Icahn Enterprises will make a cash payment in lieu of issuing fractional depositary units to any unitholders electing to receive (or who are deemed to have elected to receive) depositary units.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Investments</w:t>
      </w:r>
    </w:p>
    <w:p>
      <w:pPr>
        <w:spacing w:after="0" w:line="225"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During the three months ended March 31, 2022, we received proceeds of $107 million from the sale of equity investments held by the Holding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46"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March 31, 2022, the Investment Funds’ had a net short notional exposure of 21%. The Investment Funds’ long exposure was 85% (84% long equity and 1% long credit) and its short exposure was 106% (89% short equity and 17% short credit). The notional exposure represents the ratio of the notional exposure of the Investment Funds’ invested capital to the net asset value of the Investment Funds at March 31, 2022.</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Of the Investment Funds’ 85% long exposure, 71% was comprised of the fair value of its long positions (with certain adjustments) and 14% was comprised of single name equity forward contracts and credit contracts. Of the Investment Funds’ 106% short exposure, 46% was comprised of the fair value of its short positions and 60% was comprised of short broad market index swap derivative contracts and short credit default swap contracts.</w:t>
      </w:r>
    </w:p>
    <w:p>
      <w:pPr>
        <w:spacing w:after="0" w:line="171"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(71% long exposure) and our short positions that are not notionalized (46%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(60%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ind w:left="580"/>
              <w:spacing w:after="0" w:line="129"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Pharma</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Segment Borrowings and Availability</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640" w:type="dxa"/>
            <w:vAlign w:val="bottom"/>
          </w:tcPr>
          <w:p>
            <w:pPr>
              <w:ind w:left="340"/>
              <w:spacing w:after="0"/>
              <w:rPr>
                <w:sz w:val="20"/>
                <w:szCs w:val="20"/>
                <w:color w:val="auto"/>
              </w:rPr>
            </w:pPr>
            <w:r>
              <w:rPr>
                <w:rFonts w:ascii="Arial" w:cs="Arial" w:eastAsia="Arial" w:hAnsi="Arial"/>
                <w:sz w:val="18"/>
                <w:szCs w:val="18"/>
                <w:color w:val="auto"/>
              </w:rPr>
              <w:t>Segment 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3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r>
      <w:tr>
        <w:trPr>
          <w:trHeight w:val="129"/>
        </w:trPr>
        <w:tc>
          <w:tcPr>
            <w:tcW w:w="39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jc w:val="right"/>
              <w:spacing w:after="0" w:line="129"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1"/>
                <w:szCs w:val="1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29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Automotive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Real Estate</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Home Fashion</w:t>
            </w:r>
          </w:p>
        </w:tc>
        <w:tc>
          <w:tcPr>
            <w:tcW w:w="2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3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r>
      <w:tr>
        <w:trPr>
          <w:trHeight w:val="20"/>
        </w:trPr>
        <w:tc>
          <w:tcPr>
            <w:tcW w:w="3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2021 for information concerning terms, restrictions and covenants pertaining to our subsidiaries’ debt. As of March 31, 2022, all of our subsidiaries were in compliance with all debt covenants.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Our segments have additional borrowing availability under certain revolving credit facilities as summarized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Energy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Food Packaging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Home Fashion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168"/>
        <w:spacing w:after="0"/>
        <w:rPr>
          <w:sz w:val="20"/>
          <w:szCs w:val="20"/>
          <w:color w:val="auto"/>
        </w:rPr>
      </w:pPr>
      <w:r>
        <w:rPr>
          <w:rFonts w:ascii="Arial" w:cs="Arial" w:eastAsia="Arial" w:hAnsi="Arial"/>
          <w:sz w:val="18"/>
          <w:szCs w:val="18"/>
          <w:b w:val="1"/>
          <w:bCs w:val="1"/>
          <w:color w:val="auto"/>
        </w:rPr>
        <w:t>March 31,</w:t>
      </w:r>
    </w:p>
    <w:p>
      <w:pPr>
        <w:spacing w:after="0" w:line="27" w:lineRule="exact"/>
        <w:rPr>
          <w:sz w:val="20"/>
          <w:szCs w:val="20"/>
          <w:color w:val="auto"/>
        </w:rPr>
      </w:pPr>
    </w:p>
    <w:p>
      <w:pPr>
        <w:ind w:left="408"/>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46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ind w:left="228"/>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635</wp:posOffset>
            </wp:positionV>
            <wp:extent cx="56489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848" w:hanging="848"/>
        <w:spacing w:after="0"/>
        <w:tabs>
          <w:tab w:leader="none" w:pos="8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406</w:t>
      </w:r>
    </w:p>
    <w:p>
      <w:pPr>
        <w:spacing w:after="0" w:line="30" w:lineRule="exact"/>
        <w:rPr>
          <w:rFonts w:ascii="Arial" w:cs="Arial" w:eastAsia="Arial" w:hAnsi="Arial"/>
          <w:sz w:val="16"/>
          <w:szCs w:val="16"/>
          <w:color w:val="auto"/>
        </w:rPr>
      </w:pPr>
    </w:p>
    <w:p>
      <w:pPr>
        <w:ind w:left="948"/>
        <w:spacing w:after="0"/>
        <w:rPr>
          <w:rFonts w:ascii="Arial" w:cs="Arial" w:eastAsia="Arial" w:hAnsi="Arial"/>
          <w:sz w:val="16"/>
          <w:szCs w:val="16"/>
          <w:color w:val="auto"/>
        </w:rPr>
      </w:pPr>
      <w:r>
        <w:rPr>
          <w:rFonts w:ascii="Arial" w:cs="Arial" w:eastAsia="Arial" w:hAnsi="Arial"/>
          <w:sz w:val="16"/>
          <w:szCs w:val="16"/>
          <w:color w:val="auto"/>
        </w:rPr>
        <w:t>19</w:t>
      </w:r>
    </w:p>
    <w:p>
      <w:pPr>
        <w:spacing w:after="0" w:line="32" w:lineRule="exact"/>
        <w:rPr>
          <w:rFonts w:ascii="Arial" w:cs="Arial" w:eastAsia="Arial" w:hAnsi="Arial"/>
          <w:sz w:val="16"/>
          <w:szCs w:val="16"/>
          <w:color w:val="auto"/>
        </w:rPr>
      </w:pPr>
    </w:p>
    <w:p>
      <w:pPr>
        <w:ind w:left="948"/>
        <w:spacing w:after="0"/>
        <w:rPr>
          <w:rFonts w:ascii="Arial" w:cs="Arial" w:eastAsia="Arial" w:hAnsi="Arial"/>
          <w:sz w:val="16"/>
          <w:szCs w:val="16"/>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-116205</wp:posOffset>
            </wp:positionV>
            <wp:extent cx="564896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2" w:lineRule="exact"/>
        <w:rPr>
          <w:sz w:val="20"/>
          <w:szCs w:val="20"/>
          <w:color w:val="auto"/>
        </w:rPr>
      </w:pPr>
    </w:p>
    <w:p>
      <w:pPr>
        <w:ind w:left="848" w:hanging="848"/>
        <w:spacing w:after="0"/>
        <w:tabs>
          <w:tab w:leader="none" w:pos="8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46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46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52" w:space="720"/>
            <w:col w:w="1247"/>
          </w:cols>
          <w:pgMar w:left="1440" w:top="517" w:right="1440" w:bottom="1440" w:gutter="0" w:footer="0" w:header="0"/>
          <w:type w:val="continuous"/>
        </w:sectPr>
      </w:pPr>
    </w:p>
    <w:p>
      <w:pPr>
        <w:spacing w:after="0" w:line="88"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70"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In February 2022, CVR Partners redeemed the remaining $65 million aggregate principal amount of its 9.25% senior secured notes due June 2023 at par. This transaction is expected to result in annual savings of approximately $6 million in future interest expense.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the three months ended March 31, 2022 and 2021, CVR Partners repurchased 111,695 and 24,378 common units, respectively, on the open market at a cost of $12 million and $1 million, respectively. As of March 31, 2022, CVR Partners has a nominal amount remaining under its unit repurchase program.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In the first quarter of 2022, our Energy segment, declared a cash dividend of $0.40 per share, which is payable May 23, 2022 to shareholders of record as of May 13, 2022. Our portion of the dividend will include approximately $28 million in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issuances of equity by Icahn Enterprises.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4"/>
              </w:rPr>
              <w:t>Three Months Ended March 31, 2022</w:t>
            </w:r>
          </w:p>
        </w:tc>
        <w:tc>
          <w:tcPr>
            <w:tcW w:w="80" w:type="dxa"/>
            <w:vAlign w:val="bottom"/>
          </w:tcPr>
          <w:p>
            <w:pPr>
              <w:spacing w:after="0"/>
              <w:rPr>
                <w:sz w:val="14"/>
                <w:szCs w:val="14"/>
                <w:color w:val="auto"/>
              </w:rPr>
            </w:pPr>
          </w:p>
        </w:tc>
        <w:tc>
          <w:tcPr>
            <w:tcW w:w="27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5"/>
              </w:rPr>
              <w:t>Three Months Ended March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7"/>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Investing</w:t>
            </w:r>
          </w:p>
        </w:tc>
        <w:tc>
          <w:tcPr>
            <w:tcW w:w="1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12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Activities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15"/>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Home Fashion</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Pharma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operating segments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before eliminations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Holding Company’s cash flows from operating activities for each of three months ended March 31, 2022 and 2021 were primarily attributable to our semi-annual interest payments on our senior unsecured notes. The decrease in interest payments over the comparable period is primarily due to the redemption of $500 million of senior unsecured notes in February 2022.</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Holding Company’s cash flows from investing activities for the three months ended March 31, 2022 were primarily attributable to proceeds from the sale of equity investments aggregating $107 million offset in part by investments in/contributions to our operating subsidiaries aggregating $55 million, including an investment in our Automotive segment of $60 million. Our Holding Company’s cash flows from investing activities for the three months ended March 31, 2021 were primarily attributable to proceeds from the sale of equity investments of $171 million offset in part by investments in/contributions to our operating subsidiaries aggregating $55 million, including an investment in our Automotive segment of $50 million.</w:t>
      </w:r>
    </w:p>
    <w:p>
      <w:pPr>
        <w:spacing w:after="0" w:line="19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Our Holding Company’s cash flows from financing activities for the three months ended March 31, 2022 were due to the redemption of $500 million of senior unsecured notes offset by proceeds from our “at-the-market” offering. Our Holding Company’s cash flows from financing activities for the three months ended March 31, 2021 were due to proceeds from our “at-the-market” offering, offset in part by the net effect of a debt refinancing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259" w:firstLine="324"/>
        <w:spacing w:after="0" w:line="308" w:lineRule="auto"/>
        <w:rPr>
          <w:sz w:val="20"/>
          <w:szCs w:val="20"/>
          <w:color w:val="auto"/>
        </w:rPr>
      </w:pPr>
      <w:r>
        <w:rPr>
          <w:rFonts w:ascii="Arial" w:cs="Arial" w:eastAsia="Arial" w:hAnsi="Arial"/>
          <w:sz w:val="17"/>
          <w:szCs w:val="17"/>
          <w:color w:val="auto"/>
        </w:rPr>
        <w:t>Our Investment segment’s cash flows from financing activities for the three months ended March 31, 2022 and 2021 were attributable to Brett Icahn’s contribution to the Funds of $2 million and $40 million, respectively.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other operating segments’ cash flows from operating activities included net cash flows from operating activities before changes in operating assets and liabilities of $233 million and $(82) million for the three months ended March 31, 2022 and 2021, respectively, primarily due the results of our Energy segment during both periods. The change in cash flows from operating activities for the three months ended March 31, 2022 as compared to the comparable prior year was primarily due to an increase in the operating results of our Energy segment offset in part by a decrease in working capital within our Energy segment primarily associated with the increases in our open RFS position and a gain in derivatives compared to a loss in 2021.</w:t>
      </w:r>
    </w:p>
    <w:p>
      <w:pPr>
        <w:spacing w:after="0" w:line="195" w:lineRule="exact"/>
        <w:rPr>
          <w:sz w:val="20"/>
          <w:szCs w:val="20"/>
          <w:color w:val="auto"/>
        </w:rPr>
      </w:pPr>
    </w:p>
    <w:p>
      <w:pPr>
        <w:ind w:left="60" w:right="459" w:firstLine="324"/>
        <w:spacing w:after="0" w:line="279" w:lineRule="auto"/>
        <w:rPr>
          <w:sz w:val="20"/>
          <w:szCs w:val="20"/>
          <w:color w:val="auto"/>
        </w:rPr>
      </w:pPr>
      <w:r>
        <w:rPr>
          <w:rFonts w:ascii="Arial" w:cs="Arial" w:eastAsia="Arial" w:hAnsi="Arial"/>
          <w:sz w:val="17"/>
          <w:szCs w:val="17"/>
          <w:color w:val="auto"/>
        </w:rPr>
        <w:t>Our other operating segments’ cash flows from investing activities were primarily due to capital expenditures and turnaround expenditures of $41 million in 2022 compared to $35 million in 2021 in our Energy segment and capital expenditures of $21 million in 2022 compared to $8 million in 2021 within our Automotive segment. In addition, our Energy segment acquired a pipeline for cash consideration of $20 million in the first quarter of 2021.</w:t>
      </w:r>
    </w:p>
    <w:p>
      <w:pPr>
        <w:spacing w:after="0" w:line="171"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Our other operating segments’ cash flows from financing activities were primarily due to our Energy segment. In 2022, our Energy segment redeemed senior notes of $65 million, paid a distribution to noncontrolling interests of $36 million, and had $12 million in unit repurchases. In addition, our other operating segments had net contributions from our Holding Company aggregating $55 million for the three months ended March 31, 2022 compared to net contributions aggregating $55 million for the three months ended March 31,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739" w:firstLine="324"/>
        <w:spacing w:after="0" w:line="342" w:lineRule="auto"/>
        <w:rPr>
          <w:sz w:val="20"/>
          <w:szCs w:val="20"/>
          <w:color w:val="auto"/>
        </w:rPr>
      </w:pPr>
      <w:r>
        <w:rPr>
          <w:rFonts w:ascii="Arial" w:cs="Arial" w:eastAsia="Arial" w:hAnsi="Arial"/>
          <w:sz w:val="16"/>
          <w:szCs w:val="16"/>
          <w:color w:val="auto"/>
        </w:rPr>
        <w:t>There have been no material changes to our planned capital expenditures as compared to the estimated capital expenditures for 2021 reported in our Annual Report on Form 10-K for the year ended December 31,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2021.</w:t>
      </w:r>
    </w:p>
    <w:p>
      <w:pPr>
        <w:spacing w:after="0" w:line="188" w:lineRule="exact"/>
        <w:rPr>
          <w:sz w:val="20"/>
          <w:szCs w:val="20"/>
          <w:color w:val="auto"/>
        </w:rPr>
      </w:pPr>
    </w:p>
    <w:p>
      <w:pPr>
        <w:ind w:left="60" w:right="119" w:firstLine="324"/>
        <w:spacing w:after="0" w:line="342" w:lineRule="auto"/>
        <w:rPr>
          <w:sz w:val="20"/>
          <w:szCs w:val="20"/>
          <w:color w:val="auto"/>
        </w:rPr>
      </w:pPr>
      <w:r>
        <w:rPr>
          <w:rFonts w:ascii="Arial" w:cs="Arial" w:eastAsia="Arial" w:hAnsi="Arial"/>
          <w:sz w:val="16"/>
          <w:szCs w:val="16"/>
          <w:color w:val="auto"/>
        </w:rPr>
        <w:t>There have been no material changes to our critical accounting policies and estimates during the three months ended March 31, 2022 as compared to those reported in our Annual Report on Form 10-K for the year ended December 31,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2022, we estimate that in the event of a 10% adverse change in the fair value of these investments, the fair values of securities owned, securities sold, not yet purchased and derivatives would be negatively impacted by approximately $728 million, $478 million and $1,007 million, respectively. However, as of March 31, 2022, we estimate that the impact to our share of the net gain (loss) from investment activities reported in our condensed consolidated statement of operations would be less than the change in fair value since we have an interest of approximately 45% in the Investment Funds.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As of March 31, 2022,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239" w:firstLine="324"/>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16, there were no material changes to our lawsuits and proceedings as compared to those reported in our Annual Report on Form 10-K for the year ended December 31,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Except for the risk factors updated below there were no material changes to our risk factors during the three months ended March 31, 2022 as compared to those reported in our Annual Report on Form 10-K for the year ended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economic conditions may have adverse impacts on our businesses and financial condition.</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and general inflationary pressures can have a material adverse impact on our businesses, and may adversely affect demand for sales of our businesses’ products, or the costs of materials and services utilized in their operations, and the performance of our Investment Funds. The ongoing conflict in Ukraine has exacerbated many of these issues, including leading to increased prices of gasoline and distillates as a result of the global increase in commodity prices, which for example, has impacted, and may continue to impact, the input costs for our Energy segment. These factors could have a material adverse effect on our revenues, income from operations and our cash flows.</w:t>
      </w:r>
    </w:p>
    <w:p>
      <w:pPr>
        <w:spacing w:after="0" w:line="17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170"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Further, the United States government has warned of the potential risk of Russian cyberattacks stemming from the ongoing Russian/Ukraine conflict.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or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We do not have a publicly announced repurchase plan or program in effect. The table below summarizes other repurchases of our depositary units during the quarter ended March 31, 2022, all of which represent units withheld to pay taxes on the vesting of restricted depositary units.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2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Total Number of Units</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4"/>
              </w:rPr>
              <w:t>(or Approximate Dollar</w:t>
            </w:r>
          </w:p>
        </w:tc>
      </w:tr>
      <w:tr>
        <w:trPr>
          <w:trHeight w:val="203"/>
        </w:trPr>
        <w:tc>
          <w:tcPr>
            <w:tcW w:w="2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Purchased as Part of</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3"/>
              </w:rPr>
              <w:t>Value) of Units that May</w:t>
            </w:r>
          </w:p>
        </w:tc>
      </w:tr>
      <w:tr>
        <w:trPr>
          <w:trHeight w:val="203"/>
        </w:trPr>
        <w:tc>
          <w:tcPr>
            <w:tcW w:w="218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Number of Units</w:t>
            </w:r>
          </w:p>
        </w:tc>
        <w:tc>
          <w:tcPr>
            <w:tcW w:w="1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Average Price</w:t>
            </w: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Publicly Announced</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 the</w:t>
            </w:r>
          </w:p>
        </w:tc>
      </w:tr>
      <w:tr>
        <w:trPr>
          <w:trHeight w:val="213"/>
        </w:trPr>
        <w:tc>
          <w:tcPr>
            <w:tcW w:w="2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Repurchased</w:t>
            </w: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Per Unit</w:t>
            </w:r>
          </w:p>
        </w:tc>
        <w:tc>
          <w:tcPr>
            <w:tcW w:w="2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Plans or Programs</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r>
      <w:tr>
        <w:trPr>
          <w:trHeight w:val="199"/>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3 through January 31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52.14</w:t>
            </w:r>
          </w:p>
        </w:tc>
        <w:tc>
          <w:tcPr>
            <w:tcW w:w="22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ind w:left="1660"/>
              <w:spacing w:after="0"/>
              <w:rPr>
                <w:sz w:val="20"/>
                <w:szCs w:val="20"/>
                <w:color w:val="auto"/>
              </w:rPr>
            </w:pPr>
            <w:r>
              <w:rPr>
                <w:rFonts w:ascii="Arial" w:cs="Arial" w:eastAsia="Arial" w:hAnsi="Arial"/>
                <w:sz w:val="16"/>
                <w:szCs w:val="16"/>
                <w:color w:val="auto"/>
              </w:rPr>
              <w:t>—</w:t>
            </w:r>
          </w:p>
        </w:tc>
      </w:tr>
      <w:tr>
        <w:trPr>
          <w:trHeight w:val="203"/>
        </w:trPr>
        <w:tc>
          <w:tcPr>
            <w:tcW w:w="2180" w:type="dxa"/>
            <w:vAlign w:val="bottom"/>
          </w:tcPr>
          <w:p>
            <w:pPr>
              <w:ind w:left="20"/>
              <w:spacing w:after="0"/>
              <w:rPr>
                <w:sz w:val="20"/>
                <w:szCs w:val="20"/>
                <w:color w:val="auto"/>
              </w:rPr>
            </w:pPr>
            <w:r>
              <w:rPr>
                <w:rFonts w:ascii="Arial" w:cs="Arial" w:eastAsia="Arial" w:hAnsi="Arial"/>
                <w:sz w:val="16"/>
                <w:szCs w:val="16"/>
                <w:color w:val="auto"/>
                <w:w w:val="94"/>
              </w:rPr>
              <w:t>February 1 through February 28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860" w:type="dxa"/>
            <w:vAlign w:val="bottom"/>
          </w:tcPr>
          <w:p>
            <w:pPr>
              <w:ind w:left="1660"/>
              <w:spacing w:after="0"/>
              <w:rPr>
                <w:sz w:val="20"/>
                <w:szCs w:val="20"/>
                <w:color w:val="auto"/>
              </w:rPr>
            </w:pPr>
            <w:r>
              <w:rPr>
                <w:rFonts w:ascii="Arial" w:cs="Arial" w:eastAsia="Arial" w:hAnsi="Arial"/>
                <w:sz w:val="16"/>
                <w:szCs w:val="16"/>
                <w:color w:val="auto"/>
              </w:rPr>
              <w:t>—</w:t>
            </w:r>
          </w:p>
        </w:tc>
      </w:tr>
      <w:tr>
        <w:trPr>
          <w:trHeight w:val="20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through March 31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On May 5, 2022, Icahn Enterprises entered into Amendment No. 1 (the “</w:t>
      </w:r>
      <w:r>
        <w:rPr>
          <w:rFonts w:ascii="Arial" w:cs="Arial" w:eastAsia="Arial" w:hAnsi="Arial"/>
          <w:sz w:val="17"/>
          <w:szCs w:val="17"/>
          <w:u w:val="single" w:color="auto"/>
          <w:color w:val="auto"/>
        </w:rPr>
        <w:t>Amendment</w:t>
      </w:r>
      <w:r>
        <w:rPr>
          <w:rFonts w:ascii="Arial" w:cs="Arial" w:eastAsia="Arial" w:hAnsi="Arial"/>
          <w:sz w:val="17"/>
          <w:szCs w:val="17"/>
          <w:color w:val="auto"/>
        </w:rPr>
        <w:t>”) to the Management Agreement, dated as of October 1, 2020 (the “</w:t>
      </w:r>
      <w:r>
        <w:rPr>
          <w:rFonts w:ascii="Arial" w:cs="Arial" w:eastAsia="Arial" w:hAnsi="Arial"/>
          <w:sz w:val="17"/>
          <w:szCs w:val="17"/>
          <w:u w:val="single" w:color="auto"/>
          <w:color w:val="auto"/>
        </w:rPr>
        <w:t>Manager Agreement</w:t>
      </w:r>
      <w:r>
        <w:rPr>
          <w:rFonts w:ascii="Arial" w:cs="Arial" w:eastAsia="Arial" w:hAnsi="Arial"/>
          <w:sz w:val="17"/>
          <w:szCs w:val="17"/>
          <w:color w:val="auto"/>
        </w:rPr>
        <w:t>”), by and among Icahn Enterprises, Icahn Capital LP, a Delaware limited partnership (the “</w:t>
      </w:r>
      <w:r>
        <w:rPr>
          <w:rFonts w:ascii="Arial" w:cs="Arial" w:eastAsia="Arial" w:hAnsi="Arial"/>
          <w:sz w:val="17"/>
          <w:szCs w:val="17"/>
          <w:u w:val="single" w:color="auto"/>
          <w:color w:val="auto"/>
        </w:rPr>
        <w:t>General Partner</w:t>
      </w:r>
      <w:r>
        <w:rPr>
          <w:rFonts w:ascii="Arial" w:cs="Arial" w:eastAsia="Arial" w:hAnsi="Arial"/>
          <w:sz w:val="17"/>
          <w:szCs w:val="17"/>
          <w:color w:val="auto"/>
        </w:rPr>
        <w:t>” and together with the Icahn Enterprises, the “</w:t>
      </w:r>
      <w:r>
        <w:rPr>
          <w:rFonts w:ascii="Arial" w:cs="Arial" w:eastAsia="Arial" w:hAnsi="Arial"/>
          <w:sz w:val="17"/>
          <w:szCs w:val="17"/>
          <w:u w:val="single" w:color="auto"/>
          <w:color w:val="auto"/>
        </w:rPr>
        <w:t>Employer</w:t>
      </w:r>
      <w:r>
        <w:rPr>
          <w:rFonts w:ascii="Arial" w:cs="Arial" w:eastAsia="Arial" w:hAnsi="Arial"/>
          <w:sz w:val="17"/>
          <w:szCs w:val="17"/>
          <w:color w:val="auto"/>
        </w:rPr>
        <w:t>”), Brett Icahn, Isthmus LLC, a Delaware limited liability company wholly-owned by Brett Icahn (“</w:t>
      </w:r>
      <w:r>
        <w:rPr>
          <w:rFonts w:ascii="Arial" w:cs="Arial" w:eastAsia="Arial" w:hAnsi="Arial"/>
          <w:sz w:val="17"/>
          <w:szCs w:val="17"/>
          <w:u w:val="single" w:color="auto"/>
          <w:color w:val="auto"/>
        </w:rPr>
        <w:t>Isthmus</w:t>
      </w:r>
      <w:r>
        <w:rPr>
          <w:rFonts w:ascii="Arial" w:cs="Arial" w:eastAsia="Arial" w:hAnsi="Arial"/>
          <w:sz w:val="17"/>
          <w:szCs w:val="17"/>
          <w:color w:val="auto"/>
        </w:rPr>
        <w:t>”), Icahn Partners LP, a Delaware limited partnership (“</w:t>
      </w:r>
      <w:r>
        <w:rPr>
          <w:rFonts w:ascii="Arial" w:cs="Arial" w:eastAsia="Arial" w:hAnsi="Arial"/>
          <w:sz w:val="17"/>
          <w:szCs w:val="17"/>
          <w:u w:val="single" w:color="auto"/>
          <w:color w:val="auto"/>
        </w:rPr>
        <w:t>Icahn Partners</w:t>
      </w:r>
      <w:r>
        <w:rPr>
          <w:rFonts w:ascii="Arial" w:cs="Arial" w:eastAsia="Arial" w:hAnsi="Arial"/>
          <w:sz w:val="17"/>
          <w:szCs w:val="17"/>
          <w:color w:val="auto"/>
        </w:rPr>
        <w:t>”), and Icahn Partners Master Fund LP, a Delaware limited partnership (“</w:t>
      </w:r>
      <w:r>
        <w:rPr>
          <w:rFonts w:ascii="Arial" w:cs="Arial" w:eastAsia="Arial" w:hAnsi="Arial"/>
          <w:sz w:val="17"/>
          <w:szCs w:val="17"/>
          <w:u w:val="single" w:color="auto"/>
          <w:color w:val="auto"/>
        </w:rPr>
        <w:t>Icahn Master Fund</w:t>
      </w:r>
      <w:r>
        <w:rPr>
          <w:rFonts w:ascii="Arial" w:cs="Arial" w:eastAsia="Arial" w:hAnsi="Arial"/>
          <w:sz w:val="17"/>
          <w:szCs w:val="17"/>
          <w:color w:val="auto"/>
        </w:rPr>
        <w:t>” and together with Icahn Partners, the “</w:t>
      </w:r>
      <w:r>
        <w:rPr>
          <w:rFonts w:ascii="Arial" w:cs="Arial" w:eastAsia="Arial" w:hAnsi="Arial"/>
          <w:sz w:val="17"/>
          <w:szCs w:val="17"/>
          <w:u w:val="single" w:color="auto"/>
          <w:color w:val="auto"/>
        </w:rPr>
        <w:t>Funds</w:t>
      </w:r>
      <w:r>
        <w:rPr>
          <w:rFonts w:ascii="Arial" w:cs="Arial" w:eastAsia="Arial" w:hAnsi="Arial"/>
          <w:sz w:val="17"/>
          <w:szCs w:val="17"/>
          <w:color w:val="auto"/>
        </w:rPr>
        <w:t>”).</w:t>
      </w:r>
    </w:p>
    <w:p>
      <w:pPr>
        <w:spacing w:after="0" w:line="178"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Under the Manager Agreement, Brett Icahn serves as the portfolio manager of the Mesa Portfolio, a designated portfolio of assets within the Funds (the “</w:t>
      </w:r>
      <w:r>
        <w:rPr>
          <w:rFonts w:ascii="Arial" w:cs="Arial" w:eastAsia="Arial" w:hAnsi="Arial"/>
          <w:sz w:val="17"/>
          <w:szCs w:val="17"/>
          <w:u w:val="single" w:color="auto"/>
          <w:color w:val="auto"/>
        </w:rPr>
        <w:t>Mesa Portfolio</w:t>
      </w:r>
      <w:r>
        <w:rPr>
          <w:rFonts w:ascii="Arial" w:cs="Arial" w:eastAsia="Arial" w:hAnsi="Arial"/>
          <w:sz w:val="17"/>
          <w:szCs w:val="17"/>
          <w:color w:val="auto"/>
        </w:rPr>
        <w:t>”). Additionally, Brett Icahn provides the River Services (as defined in the Manager Agreement) upon the request of Icahn Enterprises and Icahn Capital, which can entail providing research, analysis and advice with respect to certain securities in the River Portfolio, a designated portfolio of assets within the Funds (together with the Mesa Portfolio, the “</w:t>
      </w:r>
      <w:r>
        <w:rPr>
          <w:rFonts w:ascii="Arial" w:cs="Arial" w:eastAsia="Arial" w:hAnsi="Arial"/>
          <w:sz w:val="17"/>
          <w:szCs w:val="17"/>
          <w:u w:val="single" w:color="auto"/>
          <w:color w:val="auto"/>
        </w:rPr>
        <w:t>Existing Portfolios</w:t>
      </w:r>
      <w:r>
        <w:rPr>
          <w:rFonts w:ascii="Arial" w:cs="Arial" w:eastAsia="Arial" w:hAnsi="Arial"/>
          <w:sz w:val="17"/>
          <w:szCs w:val="17"/>
          <w:color w:val="auto"/>
        </w:rPr>
        <w:t>”).</w:t>
      </w:r>
    </w:p>
    <w:p>
      <w:pPr>
        <w:spacing w:after="0" w:line="17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Pursuant to the terms of the Amendment, the Manager Agreement was amended to, among other things, allow the Funds to add, from time to time, two additional separately tracked investment portfolios designated as the Mesa 2.0 Portfolio and the River 2.0 Portfolio (each an “</w:t>
      </w:r>
      <w:r>
        <w:rPr>
          <w:rFonts w:ascii="Arial" w:cs="Arial" w:eastAsia="Arial" w:hAnsi="Arial"/>
          <w:sz w:val="18"/>
          <w:szCs w:val="18"/>
          <w:u w:val="single" w:color="auto"/>
          <w:color w:val="auto"/>
        </w:rPr>
        <w:t>Additional Portfolio</w:t>
      </w:r>
      <w:r>
        <w:rPr>
          <w:rFonts w:ascii="Arial" w:cs="Arial" w:eastAsia="Arial" w:hAnsi="Arial"/>
          <w:sz w:val="18"/>
          <w:szCs w:val="18"/>
          <w:color w:val="auto"/>
        </w:rPr>
        <w:t>”), in addition to the Existing Portfolios. The activities of each Additional Portfolio will not be subject to the Manager Agreement, while the activities of the Existing Portfolios will continue to be conducted pursuant to the Manager Agreement. Brett Icahn will have no obligations under the Manager Agreement with respect to each Additional Portfolio.</w:t>
      </w:r>
    </w:p>
    <w:p>
      <w:pPr>
        <w:spacing w:after="0" w:line="192"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In addition, under the Amendment, the Employer and Brett Icahn may, from time to time, agree that any (i) securities of an issuer which are held from time to time in the Mesa Portfolio or (ii) any property received by the Funds in exchange therefor pursuant to any merger, exchange offer, like kind exchange offer or other transaction (a “</w:t>
      </w:r>
      <w:r>
        <w:rPr>
          <w:rFonts w:ascii="Arial" w:cs="Arial" w:eastAsia="Arial" w:hAnsi="Arial"/>
          <w:sz w:val="17"/>
          <w:szCs w:val="17"/>
          <w:u w:val="single" w:color="auto"/>
          <w:color w:val="auto"/>
        </w:rPr>
        <w:t>Mesa</w:t>
      </w:r>
      <w:r>
        <w:rPr>
          <w:rFonts w:ascii="Arial" w:cs="Arial" w:eastAsia="Arial" w:hAnsi="Arial"/>
          <w:sz w:val="17"/>
          <w:szCs w:val="17"/>
          <w:color w:val="auto"/>
        </w:rPr>
        <w:t xml:space="preserve"> </w:t>
      </w:r>
      <w:r>
        <w:rPr>
          <w:rFonts w:ascii="Arial" w:cs="Arial" w:eastAsia="Arial" w:hAnsi="Arial"/>
          <w:sz w:val="17"/>
          <w:szCs w:val="17"/>
          <w:u w:val="single" w:color="auto"/>
          <w:color w:val="auto"/>
        </w:rPr>
        <w:t>Position</w:t>
      </w:r>
      <w:r>
        <w:rPr>
          <w:rFonts w:ascii="Arial" w:cs="Arial" w:eastAsia="Arial" w:hAnsi="Arial"/>
          <w:sz w:val="17"/>
          <w:szCs w:val="17"/>
          <w:color w:val="auto"/>
        </w:rPr>
        <w:t>”), will be deemed to have been (x) sold for cash, in such amounts and at such times and prices as may be agreed by the Employer (with the approval of the board of directors of the General Partner or the audit committee thereof) and Brett Icahn, each in their sole and absolute discretion (it being understood and agreed that such deemed sale prices will be based generally on the trading prices of the applicable securities at the time of such deemed sales, as reasonably adjusted to take into account liquidity and other relevant factors), and (y) purchased by the Mesa 2.0 Portfolio in the same amounts and at the same times and prices as applicable to such deemed sale. Such deemed sale would be considered a permitted sale under the Manager Agreement and the Individual Hurdle Amount, Individual Mesa Expenses, Individual Mesa Net Profit Amount and Individual Mesa P&amp;L Amount (all as defined in the Manager Agreement) will be calculated as of the time of such deemed sale.</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Further, neither Isthmus, Brett Icahn nor their affiliates will, or will be eligible to, make or hold investments in each Additional Portfolio (or in any securities held by each Additional Portfolio).</w:t>
      </w:r>
    </w:p>
    <w:p>
      <w:pPr>
        <w:spacing w:after="0" w:line="170"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Except as specifically provided for in the Amendment, the Manager Agreement remains in full force and effect and none of the provisions described in the Amendment are intended to alter Brett Icahn’s employment status with the Employer for any purpose.</w:t>
      </w:r>
    </w:p>
    <w:p>
      <w:pPr>
        <w:spacing w:after="0" w:line="184"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The foregoing description of the Amendment does not purport to be complete and is qualified in its entirety by reference to the Amendment, which is filed hereto as Exhibit 10.1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Item 6. Exhibits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80" w:type="dxa"/>
            <w:vAlign w:val="bottom"/>
            <w:gridSpan w:val="8"/>
          </w:tcPr>
          <w:p>
            <w:pPr>
              <w:ind w:left="1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360" w:type="dxa"/>
            <w:vAlign w:val="bottom"/>
            <w:tcBorders>
              <w:bottom w:val="single" w:sz="8" w:color="0000EE"/>
            </w:tcBorders>
            <w:gridSpan w:val="7"/>
          </w:tcPr>
          <w:p>
            <w:pPr>
              <w:spacing w:after="0" w:line="169"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Amendment No. 1 dated May 5, 2022 to the Management Agreement, dated as of October 1, 2020, by</w:t>
              </w:r>
            </w:hyperlink>
          </w:p>
        </w:tc>
        <w:tc>
          <w:tcPr>
            <w:tcW w:w="2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and among Icahn Enterprises, Icahn Capital LP, Brett Icahn, Isthmus LLC, Icahn Partners LP, and Icahn</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1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Partners Master Fund LP.</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0" w:type="dxa"/>
            <w:vAlign w:val="bottom"/>
            <w:gridSpan w:val="10"/>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Certification of Chief Executive Officer pursuant to Section 302(a) of the Sarbanes-Oxley Act of 2002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and Rule 13a-14(a) of the Securities Exchange Act of 1934.</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Chief Financial Officer pursuant to Section 302(a) of the Sarbanes-Oxley Act of 2002</w:t>
              </w:r>
            </w:hyperlink>
          </w:p>
        </w:tc>
        <w:tc>
          <w:tcPr>
            <w:tcW w:w="2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1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and Rule 13a-14(a) of the Securities Exchange Act of 1934.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10"/>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Certification of Chief Executive Officer and Chief Financial Officer pursuant to Section 906 of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10"/>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Sarbanes-Oxley Act of 2002 (18 U.S.C. 1350) and Rule 13a-14(b) of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8">
              <w:r>
                <w:rPr>
                  <w:rFonts w:ascii="Arial" w:cs="Arial" w:eastAsia="Arial" w:hAnsi="Arial"/>
                  <w:sz w:val="18"/>
                  <w:szCs w:val="18"/>
                  <w:color w:val="0000EE"/>
                  <w:w w:val="84"/>
                </w:rPr>
                <w:t>1934.</w:t>
              </w:r>
            </w:hyperlink>
          </w:p>
        </w:tc>
        <w:tc>
          <w:tcPr>
            <w:tcW w:w="142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1"/>
                <w:szCs w:val="21"/>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Willetts,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President, Chief Executive Officer and Director</w:t>
      </w:r>
    </w:p>
    <w:p>
      <w:pPr>
        <w:spacing w:after="0" w:line="200" w:lineRule="exact"/>
        <w:rPr>
          <w:sz w:val="20"/>
          <w:szCs w:val="20"/>
          <w:color w:val="auto"/>
        </w:rPr>
      </w:pPr>
    </w:p>
    <w:p>
      <w:pPr>
        <w:spacing w:after="0" w:line="238"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Chief Financial Officer, Chief Accounting Officer</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and Director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u w:val="single" w:color="auto"/>
          <w:color w:val="auto"/>
        </w:rPr>
        <w:t>AMENDMENT NO. 1 TO MANAGER AGREEMENT</w:t>
      </w:r>
    </w:p>
    <w:p>
      <w:pPr>
        <w:spacing w:after="0" w:line="239"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Amendment No. 1 dated as of May 5, 2022 (this “</w:t>
      </w:r>
      <w:r>
        <w:rPr>
          <w:rFonts w:ascii="Arial" w:cs="Arial" w:eastAsia="Arial" w:hAnsi="Arial"/>
          <w:sz w:val="21"/>
          <w:szCs w:val="21"/>
          <w:u w:val="single" w:color="auto"/>
          <w:color w:val="auto"/>
        </w:rPr>
        <w:t>Amendment</w:t>
      </w:r>
      <w:r>
        <w:rPr>
          <w:rFonts w:ascii="Arial" w:cs="Arial" w:eastAsia="Arial" w:hAnsi="Arial"/>
          <w:sz w:val="21"/>
          <w:szCs w:val="21"/>
          <w:color w:val="auto"/>
        </w:rPr>
        <w:t>”) to the Manager Agreement dated as of October 1, 2020 (the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by and among </w:t>
      </w:r>
      <w:r>
        <w:rPr>
          <w:rFonts w:ascii="Arial" w:cs="Arial" w:eastAsia="Arial" w:hAnsi="Arial"/>
          <w:sz w:val="21"/>
          <w:szCs w:val="21"/>
          <w:b w:val="1"/>
          <w:bCs w:val="1"/>
          <w:color w:val="auto"/>
        </w:rPr>
        <w:t>Icahn Enterprises L.P.</w:t>
      </w:r>
      <w:r>
        <w:rPr>
          <w:rFonts w:ascii="Arial" w:cs="Arial" w:eastAsia="Arial" w:hAnsi="Arial"/>
          <w:sz w:val="21"/>
          <w:szCs w:val="21"/>
          <w:color w:val="auto"/>
        </w:rPr>
        <w:t>, a Delaware limited partnership (“</w:t>
      </w:r>
      <w:r>
        <w:rPr>
          <w:rFonts w:ascii="Arial" w:cs="Arial" w:eastAsia="Arial" w:hAnsi="Arial"/>
          <w:sz w:val="21"/>
          <w:szCs w:val="21"/>
          <w:u w:val="single" w:color="auto"/>
          <w:color w:val="auto"/>
        </w:rPr>
        <w:t>IEP</w:t>
      </w:r>
      <w:r>
        <w:rPr>
          <w:rFonts w:ascii="Arial" w:cs="Arial" w:eastAsia="Arial" w:hAnsi="Arial"/>
          <w:sz w:val="21"/>
          <w:szCs w:val="21"/>
          <w:color w:val="auto"/>
        </w:rPr>
        <w:t xml:space="preserve">”), </w:t>
      </w:r>
      <w:r>
        <w:rPr>
          <w:rFonts w:ascii="Arial" w:cs="Arial" w:eastAsia="Arial" w:hAnsi="Arial"/>
          <w:sz w:val="21"/>
          <w:szCs w:val="21"/>
          <w:b w:val="1"/>
          <w:bCs w:val="1"/>
          <w:color w:val="auto"/>
        </w:rPr>
        <w:t>Icahn Capital LP</w:t>
      </w:r>
      <w:r>
        <w:rPr>
          <w:rFonts w:ascii="Arial" w:cs="Arial" w:eastAsia="Arial" w:hAnsi="Arial"/>
          <w:sz w:val="21"/>
          <w:szCs w:val="21"/>
          <w:color w:val="auto"/>
        </w:rPr>
        <w:t>, a Delaware limited partnership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and together with IEP, the “</w:t>
      </w:r>
      <w:r>
        <w:rPr>
          <w:rFonts w:ascii="Arial" w:cs="Arial" w:eastAsia="Arial" w:hAnsi="Arial"/>
          <w:sz w:val="21"/>
          <w:szCs w:val="21"/>
          <w:u w:val="single" w:color="auto"/>
          <w:color w:val="auto"/>
        </w:rPr>
        <w:t>Employer</w:t>
      </w:r>
      <w:r>
        <w:rPr>
          <w:rFonts w:ascii="Arial" w:cs="Arial" w:eastAsia="Arial" w:hAnsi="Arial"/>
          <w:sz w:val="21"/>
          <w:szCs w:val="21"/>
          <w:color w:val="auto"/>
        </w:rPr>
        <w:t xml:space="preserve">”), </w:t>
      </w:r>
      <w:r>
        <w:rPr>
          <w:rFonts w:ascii="Arial" w:cs="Arial" w:eastAsia="Arial" w:hAnsi="Arial"/>
          <w:sz w:val="21"/>
          <w:szCs w:val="21"/>
          <w:b w:val="1"/>
          <w:bCs w:val="1"/>
          <w:color w:val="auto"/>
        </w:rPr>
        <w:t>Brett Icahn</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Employee</w:t>
      </w:r>
      <w:r>
        <w:rPr>
          <w:rFonts w:ascii="Arial" w:cs="Arial" w:eastAsia="Arial" w:hAnsi="Arial"/>
          <w:sz w:val="21"/>
          <w:szCs w:val="21"/>
          <w:color w:val="auto"/>
        </w:rPr>
        <w:t xml:space="preserve">”), </w:t>
      </w:r>
      <w:r>
        <w:rPr>
          <w:rFonts w:ascii="Arial" w:cs="Arial" w:eastAsia="Arial" w:hAnsi="Arial"/>
          <w:sz w:val="21"/>
          <w:szCs w:val="21"/>
          <w:b w:val="1"/>
          <w:bCs w:val="1"/>
          <w:color w:val="auto"/>
        </w:rPr>
        <w:t>Isthmus LLC</w:t>
      </w:r>
      <w:r>
        <w:rPr>
          <w:rFonts w:ascii="Arial" w:cs="Arial" w:eastAsia="Arial" w:hAnsi="Arial"/>
          <w:sz w:val="21"/>
          <w:szCs w:val="21"/>
          <w:color w:val="auto"/>
        </w:rPr>
        <w:t>, a Delaware limited liability company wholly owned by the Employee (“</w:t>
      </w:r>
      <w:r>
        <w:rPr>
          <w:rFonts w:ascii="Arial" w:cs="Arial" w:eastAsia="Arial" w:hAnsi="Arial"/>
          <w:sz w:val="21"/>
          <w:szCs w:val="21"/>
          <w:u w:val="single" w:color="auto"/>
          <w:color w:val="auto"/>
        </w:rPr>
        <w:t>Isthmus</w:t>
      </w:r>
      <w:r>
        <w:rPr>
          <w:rFonts w:ascii="Arial" w:cs="Arial" w:eastAsia="Arial" w:hAnsi="Arial"/>
          <w:sz w:val="21"/>
          <w:szCs w:val="21"/>
          <w:color w:val="auto"/>
        </w:rPr>
        <w:t>”),</w:t>
      </w:r>
      <w:r>
        <w:rPr>
          <w:rFonts w:ascii="Arial" w:cs="Arial" w:eastAsia="Arial" w:hAnsi="Arial"/>
          <w:sz w:val="21"/>
          <w:szCs w:val="21"/>
          <w:b w:val="1"/>
          <w:bCs w:val="1"/>
          <w:color w:val="auto"/>
        </w:rPr>
        <w:t xml:space="preserve"> Icahn Partners LP</w:t>
      </w:r>
      <w:r>
        <w:rPr>
          <w:rFonts w:ascii="Arial" w:cs="Arial" w:eastAsia="Arial" w:hAnsi="Arial"/>
          <w:sz w:val="21"/>
          <w:szCs w:val="21"/>
          <w:color w:val="auto"/>
        </w:rPr>
        <w:t>, a Delaware limited partnership (“</w:t>
      </w:r>
      <w:r>
        <w:rPr>
          <w:rFonts w:ascii="Arial" w:cs="Arial" w:eastAsia="Arial" w:hAnsi="Arial"/>
          <w:sz w:val="21"/>
          <w:szCs w:val="21"/>
          <w:u w:val="single" w:color="auto"/>
          <w:color w:val="auto"/>
        </w:rPr>
        <w:t>Icahn Partners</w:t>
      </w:r>
      <w:r>
        <w:rPr>
          <w:rFonts w:ascii="Arial" w:cs="Arial" w:eastAsia="Arial" w:hAnsi="Arial"/>
          <w:sz w:val="21"/>
          <w:szCs w:val="21"/>
          <w:color w:val="auto"/>
        </w:rPr>
        <w:t>”), and</w:t>
      </w:r>
      <w:r>
        <w:rPr>
          <w:rFonts w:ascii="Arial" w:cs="Arial" w:eastAsia="Arial" w:hAnsi="Arial"/>
          <w:sz w:val="21"/>
          <w:szCs w:val="21"/>
          <w:b w:val="1"/>
          <w:bCs w:val="1"/>
          <w:color w:val="auto"/>
        </w:rPr>
        <w:t xml:space="preserve"> Icahn Partners Master Fund LP</w:t>
      </w:r>
      <w:r>
        <w:rPr>
          <w:rFonts w:ascii="Arial" w:cs="Arial" w:eastAsia="Arial" w:hAnsi="Arial"/>
          <w:sz w:val="21"/>
          <w:szCs w:val="21"/>
          <w:color w:val="auto"/>
        </w:rPr>
        <w:t>, a Delaware limited partnership (“</w:t>
      </w:r>
      <w:r>
        <w:rPr>
          <w:rFonts w:ascii="Arial" w:cs="Arial" w:eastAsia="Arial" w:hAnsi="Arial"/>
          <w:sz w:val="21"/>
          <w:szCs w:val="21"/>
          <w:u w:val="single" w:color="auto"/>
          <w:color w:val="auto"/>
        </w:rPr>
        <w:t>Icahn Master</w:t>
      </w:r>
      <w:r>
        <w:rPr>
          <w:rFonts w:ascii="Arial" w:cs="Arial" w:eastAsia="Arial" w:hAnsi="Arial"/>
          <w:sz w:val="21"/>
          <w:szCs w:val="21"/>
          <w:color w:val="auto"/>
        </w:rPr>
        <w:t>” and together with Icahn</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 the “</w:t>
      </w:r>
      <w:r>
        <w:rPr>
          <w:rFonts w:ascii="Arial" w:cs="Arial" w:eastAsia="Arial" w:hAnsi="Arial"/>
          <w:sz w:val="21"/>
          <w:szCs w:val="21"/>
          <w:u w:val="single" w:color="auto"/>
          <w:color w:val="auto"/>
        </w:rPr>
        <w:t>Funds</w:t>
      </w:r>
      <w:r>
        <w:rPr>
          <w:rFonts w:ascii="Arial" w:cs="Arial" w:eastAsia="Arial" w:hAnsi="Arial"/>
          <w:sz w:val="21"/>
          <w:szCs w:val="21"/>
          <w:color w:val="auto"/>
        </w:rPr>
        <w:t>”). Unless otherwise defined herein a capitalized term used herein shall have the meaning attributed to it in the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The Funds currently include two separately tracked investment portfolios, the Mesa Portfolio and the River Portfolio, the activities of which are currently, and will continue to be, conducted pursuant to the Agreement. Isthmus currently is, and will continue to be, eligible to make and hold investments in the Mesa Portfolio and the River Portfolio through the Co-Investment Portfolio.</w:t>
      </w:r>
    </w:p>
    <w:p>
      <w:pPr>
        <w:spacing w:after="0" w:line="214"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The parties now wish to provide for the Funds to include two additional separately tracked investment portfolios to be known as the “</w:t>
      </w:r>
      <w:r>
        <w:rPr>
          <w:rFonts w:ascii="Arial" w:cs="Arial" w:eastAsia="Arial" w:hAnsi="Arial"/>
          <w:sz w:val="22"/>
          <w:szCs w:val="22"/>
          <w:u w:val="single" w:color="auto"/>
          <w:color w:val="auto"/>
        </w:rPr>
        <w:t>Mesa 2.0 Portfolio</w:t>
      </w:r>
      <w:r>
        <w:rPr>
          <w:rFonts w:ascii="Arial" w:cs="Arial" w:eastAsia="Arial" w:hAnsi="Arial"/>
          <w:sz w:val="22"/>
          <w:szCs w:val="22"/>
          <w:color w:val="auto"/>
        </w:rPr>
        <w:t>” and the “</w:t>
      </w:r>
      <w:r>
        <w:rPr>
          <w:rFonts w:ascii="Arial" w:cs="Arial" w:eastAsia="Arial" w:hAnsi="Arial"/>
          <w:sz w:val="22"/>
          <w:szCs w:val="22"/>
          <w:u w:val="single" w:color="auto"/>
          <w:color w:val="auto"/>
        </w:rPr>
        <w:t>River 2.0 Portfolio</w:t>
      </w:r>
      <w:r>
        <w:rPr>
          <w:rFonts w:ascii="Arial" w:cs="Arial" w:eastAsia="Arial" w:hAnsi="Arial"/>
          <w:sz w:val="22"/>
          <w:szCs w:val="22"/>
          <w:color w:val="auto"/>
        </w:rPr>
        <w:t>”, the activities of which would be conducted outside of the Agreement. Isthmus would not be eligible to make or hold investments in the Mesa 2.0 Portfolio or the River 2.0 Portfolio through the Co-Investment Portfolio or otherwise.</w:t>
      </w:r>
    </w:p>
    <w:p>
      <w:pPr>
        <w:spacing w:after="0" w:line="214"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NOW THEREFORE, in consideration of the premises and other good and valuable consideration, the receipt and sufficiency of which is hereby acknowledged, the parties hereto, desiring to be legally bound, hereby agree as follows:</w:t>
      </w:r>
    </w:p>
    <w:p>
      <w:pPr>
        <w:spacing w:after="0" w:line="207" w:lineRule="exact"/>
        <w:rPr>
          <w:sz w:val="20"/>
          <w:szCs w:val="20"/>
          <w:color w:val="auto"/>
        </w:rPr>
      </w:pPr>
    </w:p>
    <w:p>
      <w:pPr>
        <w:jc w:val="both"/>
        <w:ind w:left="200" w:right="219" w:firstLine="657"/>
        <w:spacing w:after="0" w:line="244" w:lineRule="auto"/>
        <w:tabs>
          <w:tab w:leader="none" w:pos="1496" w:val="left"/>
        </w:tabs>
        <w:numPr>
          <w:ilvl w:val="0"/>
          <w:numId w:val="14"/>
        </w:numPr>
        <w:rPr>
          <w:rFonts w:ascii="Arial" w:cs="Arial" w:eastAsia="Arial" w:hAnsi="Arial"/>
          <w:sz w:val="21"/>
          <w:szCs w:val="21"/>
          <w:color w:val="auto"/>
        </w:rPr>
      </w:pPr>
      <w:r>
        <w:rPr>
          <w:rFonts w:ascii="Arial" w:cs="Arial" w:eastAsia="Arial" w:hAnsi="Arial"/>
          <w:sz w:val="21"/>
          <w:szCs w:val="21"/>
          <w:b w:val="1"/>
          <w:bCs w:val="1"/>
          <w:u w:val="single" w:color="auto"/>
          <w:color w:val="auto"/>
        </w:rPr>
        <w:t>Establishment of Mesa 2.0 Portfolio and River 2.0 Portfolio</w:t>
      </w:r>
      <w:r>
        <w:rPr>
          <w:rFonts w:ascii="Arial" w:cs="Arial" w:eastAsia="Arial" w:hAnsi="Arial"/>
          <w:sz w:val="21"/>
          <w:szCs w:val="21"/>
          <w:color w:val="auto"/>
        </w:rPr>
        <w:t>. The Funds may</w:t>
      </w:r>
      <w:r>
        <w:rPr>
          <w:rFonts w:ascii="Arial" w:cs="Arial" w:eastAsia="Arial" w:hAnsi="Arial"/>
          <w:sz w:val="21"/>
          <w:szCs w:val="21"/>
          <w:b w:val="1"/>
          <w:bCs w:val="1"/>
          <w:color w:val="auto"/>
        </w:rPr>
        <w:t xml:space="preserve"> </w:t>
      </w:r>
      <w:r>
        <w:rPr>
          <w:rFonts w:ascii="Arial" w:cs="Arial" w:eastAsia="Arial" w:hAnsi="Arial"/>
          <w:sz w:val="21"/>
          <w:szCs w:val="21"/>
          <w:color w:val="auto"/>
        </w:rPr>
        <w:t>create and include the Mesa 2.0 Portfolio and the River 2.0 Portfolio, the activities of which will be conducted outside of the Agreement. Neither Isthmus, the Employee nor their Affiliates will, or will be eligible to, make or hold investments in the Mesa 2.0 Portfolio or the River 2.0 Portfolio (or in any Securities held by the Mesa 2.0 Portfolio or the River 2.0 Portfolio) through the Co-Investment Portfolio or otherwise. For the avoidance of doubt, the Calculation of any Amounts under the Agreement in respect of Isthmus, the Employee and/or their Affiliates will in no event, directly or indirectly, take into account or be increased, decreased or otherwise affected by any activities conducted in the Mesa 2.0 Portfolio or the River 2.0 Portfolio. Without limiting the foregoing, it is expressly understood and agreed by the parties that (x) Expenses incurred in respect of the Mesa 2.0 Portfolio or the River 2.0 Portfolio will not, directly or indirectly, reduce any Amounts that may become payable to Isthmus, the Employee and/or their Affiliates under the Agreement and (y) gains and losses (whether realized or unrealized) in respect of the Mesa 2.0 Portfolio or the River 2.0 Portfolio will not, directly or indirectly, increase or decrease any Amounts that may become payable to Isthmus, the Employee and/or their Affiliates under the Agreement.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2" w:name="page53"/>
    <w:bookmarkEnd w:id="52"/>
    <w:p>
      <w:pPr>
        <w:jc w:val="both"/>
        <w:ind w:left="200" w:right="219" w:firstLine="657"/>
        <w:spacing w:after="0" w:line="270" w:lineRule="auto"/>
        <w:tabs>
          <w:tab w:leader="none" w:pos="1496" w:val="left"/>
        </w:tabs>
        <w:numPr>
          <w:ilvl w:val="0"/>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Deemed Sales of Mesa Positions</w:t>
      </w:r>
      <w:r>
        <w:rPr>
          <w:rFonts w:ascii="Arial" w:cs="Arial" w:eastAsia="Arial" w:hAnsi="Arial"/>
          <w:sz w:val="19"/>
          <w:szCs w:val="19"/>
          <w:color w:val="auto"/>
        </w:rPr>
        <w:t>. The Employer and the Employee may, from time</w:t>
      </w:r>
      <w:r>
        <w:rPr>
          <w:rFonts w:ascii="Arial" w:cs="Arial" w:eastAsia="Arial" w:hAnsi="Arial"/>
          <w:sz w:val="19"/>
          <w:szCs w:val="19"/>
          <w:b w:val="1"/>
          <w:bCs w:val="1"/>
          <w:color w:val="auto"/>
        </w:rPr>
        <w:t xml:space="preserve"> </w:t>
      </w:r>
      <w:r>
        <w:rPr>
          <w:rFonts w:ascii="Arial" w:cs="Arial" w:eastAsia="Arial" w:hAnsi="Arial"/>
          <w:sz w:val="19"/>
          <w:szCs w:val="19"/>
          <w:color w:val="auto"/>
        </w:rPr>
        <w:t>to time, agree that any Mesa Position (or any portion thereof) will be deemed to have been (x) Sold for cash, in such Amounts and at such times and prices as may be agreed by the Employer (with the approval of the board of directors of the General Partner or the audit committee thereof) and the Employee, each in their sole and absolute discretion (it being understood and agreed that such deemed Sale prices will be based generally on the trading prices of the applicable Securities at the time of such deemed Sales, as reasonably adjusted to take into account liquidity and other relevant factors), and (y) purchased by the Mesa 2.0 Portfolio in the same Amounts and at the same times and prices as applicable to such deemed Sale, in which case: (i) such deemed Sale shall be considered for all purposes under the Agreement to be a Permitted Sale of such Mesa Position (or portion thereof); and (ii) with respect to each such Mesa Position (or portion thereof) deemed to have been Sold, the Individual Hurdle Amount, Individual Mesa Expenses, Individual Mesa Net Profit Amount and Individual Mesa P&amp;L Amount will be Calculated as of the time of such deemed Sale. For the avoidance of doubt, (x) each such deemed Sale of a Mesa Position (or portion thereof) will include the deemed Sale of a pro-rata amount of any related Securities attributable to the Co-Investment Portfolio, (y) subject to the provisions of Section 14(i) of the Agreement (provided, that, for purposes thereof, Isthmus’s pro-rata share of the deemed sale proceeds contemplated under this Section 2 shall be treated as cash under clause (x) of such Section 14(i) of the Agreement), Isthmus shall be entitled to withdraw an Amount of cash equal to its share of the deemed Sale proceeds (it being understood that following such deemed sale, Isthmus will have no right to cash on an actual future sale of such Securities by the Mesa 2.0 Portfolio), and (z) the capital accounts of Isthmus in the Funds shall be appropriately adjusted as reasonably determined in good faith and consistent with past practices by the Employer to reflect the foregoing.</w:t>
      </w:r>
    </w:p>
    <w:p>
      <w:pPr>
        <w:spacing w:after="0" w:line="178" w:lineRule="exact"/>
        <w:rPr>
          <w:rFonts w:ascii="Arial" w:cs="Arial" w:eastAsia="Arial" w:hAnsi="Arial"/>
          <w:sz w:val="19"/>
          <w:szCs w:val="19"/>
          <w:color w:val="auto"/>
        </w:rPr>
      </w:pPr>
    </w:p>
    <w:p>
      <w:pPr>
        <w:jc w:val="both"/>
        <w:ind w:left="200" w:right="219" w:firstLine="657"/>
        <w:spacing w:after="0" w:line="244" w:lineRule="auto"/>
        <w:tabs>
          <w:tab w:leader="none" w:pos="1496" w:val="left"/>
        </w:tabs>
        <w:numPr>
          <w:ilvl w:val="0"/>
          <w:numId w:val="15"/>
        </w:numPr>
        <w:rPr>
          <w:rFonts w:ascii="Arial" w:cs="Arial" w:eastAsia="Arial" w:hAnsi="Arial"/>
          <w:sz w:val="21"/>
          <w:szCs w:val="21"/>
          <w:color w:val="auto"/>
        </w:rPr>
      </w:pPr>
      <w:r>
        <w:rPr>
          <w:rFonts w:ascii="Arial" w:cs="Arial" w:eastAsia="Arial" w:hAnsi="Arial"/>
          <w:sz w:val="21"/>
          <w:szCs w:val="21"/>
          <w:b w:val="1"/>
          <w:bCs w:val="1"/>
          <w:u w:val="single" w:color="auto"/>
          <w:color w:val="auto"/>
        </w:rPr>
        <w:t>NSA Compensation</w:t>
      </w:r>
      <w:r>
        <w:rPr>
          <w:rFonts w:ascii="Arial" w:cs="Arial" w:eastAsia="Arial" w:hAnsi="Arial"/>
          <w:sz w:val="21"/>
          <w:szCs w:val="21"/>
          <w:color w:val="auto"/>
        </w:rPr>
        <w:t>. For purposes of the Agreement and the Calculations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thereby in respect of Isthmus, the Employee and/or their Affiliates, the aggregate Amount of any “Base Salary” and “Bonus Amounts” (as set forth in Exhibit A of the NSA Agreements) for each NSA shall not exceed the Amounts set forth in the NSAs Agreements attached as Exhibit A to the Agreement without regard to any amendments to such agreements which would otherwise increase the Base Salary and Bonus Amounts (such Amounts in the aggregate, the “</w:t>
      </w:r>
      <w:r>
        <w:rPr>
          <w:rFonts w:ascii="Arial" w:cs="Arial" w:eastAsia="Arial" w:hAnsi="Arial"/>
          <w:sz w:val="21"/>
          <w:szCs w:val="21"/>
          <w:u w:val="single" w:color="auto"/>
          <w:color w:val="auto"/>
        </w:rPr>
        <w:t>Aggregate NSAs Compensation</w:t>
      </w:r>
      <w:r>
        <w:rPr>
          <w:rFonts w:ascii="Arial" w:cs="Arial" w:eastAsia="Arial" w:hAnsi="Arial"/>
          <w:sz w:val="21"/>
          <w:szCs w:val="21"/>
          <w:color w:val="auto"/>
        </w:rPr>
        <w:t xml:space="preserve">”) without the express written consent of the Employee. In the event that the Employer agrees to increase the Aggregate NSAs Compensation or otherwise provide to the NSAs any other compensation in respect of the Mesa 2.0 Portfolio or the River 2.0 Portfolio that exceeds the Aggregate NSAs Compensation, any such Amounts in excess of the Aggregate NSAs Compensation shall in no event, directly or indirectly, be taken into account or increase, decrease or otherwise affect the Calculation of any Amounts under the Agreement in respect of Isthmus, the Employee and/or their Affiliates. Without limiting the foregoing, it is expressly understood and agreed by the parties that, in Calculating the Offset Amount as of the Final Time, the Amounts set forth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attached hereto shall not be exceeded.</w:t>
      </w:r>
    </w:p>
    <w:p>
      <w:pPr>
        <w:spacing w:after="0" w:line="175" w:lineRule="exact"/>
        <w:rPr>
          <w:rFonts w:ascii="Arial" w:cs="Arial" w:eastAsia="Arial" w:hAnsi="Arial"/>
          <w:sz w:val="21"/>
          <w:szCs w:val="21"/>
          <w:color w:val="auto"/>
        </w:rPr>
      </w:pPr>
    </w:p>
    <w:p>
      <w:pPr>
        <w:ind w:left="200" w:right="239" w:firstLine="657"/>
        <w:spacing w:after="0" w:line="256" w:lineRule="auto"/>
        <w:tabs>
          <w:tab w:leader="none" w:pos="1496"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 The provisions of Section 14 (Miscellaneous) of the Agreement are</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into this Amendment mutatis mutandis.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3" w:name="page54"/>
    <w:bookmarkEnd w:id="53"/>
    <w:p>
      <w:pPr>
        <w:jc w:val="both"/>
        <w:ind w:left="200" w:right="219"/>
        <w:spacing w:after="0"/>
        <w:rPr>
          <w:sz w:val="20"/>
          <w:szCs w:val="20"/>
          <w:color w:val="auto"/>
        </w:rPr>
      </w:pPr>
      <w:r>
        <w:rPr>
          <w:rFonts w:ascii="Arial" w:cs="Arial" w:eastAsia="Arial" w:hAnsi="Arial"/>
          <w:sz w:val="22"/>
          <w:szCs w:val="22"/>
          <w:color w:val="auto"/>
        </w:rPr>
        <w:t>Except as specifically provided for herein, the Agreement shall remain in full force and effect and none of the provisions described in this Amendment are intended to alter Employee’s employment status with the Employer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4" w:name="page55"/>
    <w:bookmarkEnd w:id="54"/>
    <w:p>
      <w:pPr>
        <w:ind w:left="860"/>
        <w:spacing w:after="0"/>
        <w:rPr>
          <w:sz w:val="20"/>
          <w:szCs w:val="20"/>
          <w:color w:val="auto"/>
        </w:rPr>
      </w:pPr>
      <w:r>
        <w:rPr>
          <w:rFonts w:ascii="Arial" w:cs="Arial" w:eastAsia="Arial" w:hAnsi="Arial"/>
          <w:sz w:val="19"/>
          <w:szCs w:val="19"/>
          <w:color w:val="auto"/>
        </w:rPr>
        <w:t>IN WITNESS WHEREOF, undersigned have executed this Amendment as of May 5, 2022.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300" w:type="dxa"/>
        <w:tblCellMar>
          <w:top w:w="0" w:type="dxa"/>
          <w:left w:w="0" w:type="dxa"/>
          <w:bottom w:w="0" w:type="dxa"/>
          <w:right w:w="0" w:type="dxa"/>
        </w:tblCellMar>
      </w:tblPr>
      <w:tr>
        <w:trPr>
          <w:trHeight w:val="280"/>
        </w:trPr>
        <w:tc>
          <w:tcPr>
            <w:tcW w:w="4600" w:type="dxa"/>
            <w:vAlign w:val="bottom"/>
          </w:tcPr>
          <w:p>
            <w:pPr>
              <w:spacing w:after="0"/>
              <w:rPr>
                <w:sz w:val="20"/>
                <w:szCs w:val="20"/>
                <w:color w:val="auto"/>
              </w:rPr>
            </w:pPr>
            <w:r>
              <w:rPr>
                <w:rFonts w:ascii="Arial" w:cs="Arial" w:eastAsia="Arial" w:hAnsi="Arial"/>
                <w:sz w:val="22"/>
                <w:szCs w:val="22"/>
                <w:b w:val="1"/>
                <w:bCs w:val="1"/>
                <w:color w:val="auto"/>
              </w:rPr>
              <w:t>EMPLOYEE</w:t>
            </w:r>
          </w:p>
        </w:tc>
        <w:tc>
          <w:tcPr>
            <w:tcW w:w="3960" w:type="dxa"/>
            <w:vAlign w:val="bottom"/>
          </w:tcPr>
          <w:p>
            <w:pPr>
              <w:ind w:left="260"/>
              <w:spacing w:after="0"/>
              <w:rPr>
                <w:sz w:val="20"/>
                <w:szCs w:val="20"/>
                <w:color w:val="auto"/>
              </w:rPr>
            </w:pPr>
            <w:r>
              <w:rPr>
                <w:rFonts w:ascii="Arial" w:cs="Arial" w:eastAsia="Arial" w:hAnsi="Arial"/>
                <w:sz w:val="22"/>
                <w:szCs w:val="22"/>
                <w:color w:val="auto"/>
              </w:rPr>
              <w:t>ISTHMUS LLC</w:t>
            </w:r>
          </w:p>
        </w:tc>
        <w:tc>
          <w:tcPr>
            <w:tcW w:w="0" w:type="dxa"/>
            <w:vAlign w:val="bottom"/>
          </w:tcPr>
          <w:p>
            <w:pPr>
              <w:spacing w:after="0"/>
              <w:rPr>
                <w:sz w:val="1"/>
                <w:szCs w:val="1"/>
                <w:color w:val="auto"/>
              </w:rPr>
            </w:pPr>
          </w:p>
        </w:tc>
      </w:tr>
      <w:tr>
        <w:trPr>
          <w:trHeight w:val="455"/>
        </w:trPr>
        <w:tc>
          <w:tcPr>
            <w:tcW w:w="4600" w:type="dxa"/>
            <w:vAlign w:val="bottom"/>
          </w:tcPr>
          <w:p>
            <w:pPr>
              <w:spacing w:after="0"/>
              <w:rPr>
                <w:sz w:val="20"/>
                <w:szCs w:val="20"/>
                <w:color w:val="auto"/>
              </w:rPr>
            </w:pPr>
            <w:r>
              <w:rPr>
                <w:rFonts w:ascii="Arial" w:cs="Arial" w:eastAsia="Arial" w:hAnsi="Arial"/>
                <w:sz w:val="22"/>
                <w:szCs w:val="22"/>
                <w:color w:val="auto"/>
              </w:rPr>
              <w:t>_____________________________</w:t>
            </w:r>
          </w:p>
        </w:tc>
        <w:tc>
          <w:tcPr>
            <w:tcW w:w="3960" w:type="dxa"/>
            <w:vAlign w:val="bottom"/>
          </w:tcPr>
          <w:p>
            <w:pPr>
              <w:ind w:left="340"/>
              <w:spacing w:after="0"/>
              <w:rPr>
                <w:sz w:val="20"/>
                <w:szCs w:val="20"/>
                <w:color w:val="auto"/>
              </w:rPr>
            </w:pPr>
            <w:r>
              <w:rPr>
                <w:rFonts w:ascii="Arial" w:cs="Arial" w:eastAsia="Arial" w:hAnsi="Arial"/>
                <w:sz w:val="22"/>
                <w:szCs w:val="22"/>
                <w:color w:val="auto"/>
                <w:w w:val="91"/>
              </w:rPr>
              <w:t>By: _____________________________</w:t>
            </w:r>
          </w:p>
        </w:tc>
        <w:tc>
          <w:tcPr>
            <w:tcW w:w="0" w:type="dxa"/>
            <w:vAlign w:val="bottom"/>
          </w:tcPr>
          <w:p>
            <w:pPr>
              <w:spacing w:after="0"/>
              <w:rPr>
                <w:sz w:val="1"/>
                <w:szCs w:val="1"/>
                <w:color w:val="auto"/>
              </w:rPr>
            </w:pPr>
          </w:p>
        </w:tc>
      </w:tr>
      <w:tr>
        <w:trPr>
          <w:trHeight w:val="243"/>
        </w:trPr>
        <w:tc>
          <w:tcPr>
            <w:tcW w:w="4600" w:type="dxa"/>
            <w:vAlign w:val="bottom"/>
          </w:tcPr>
          <w:p>
            <w:pPr>
              <w:spacing w:after="0" w:line="243" w:lineRule="exact"/>
              <w:rPr>
                <w:sz w:val="20"/>
                <w:szCs w:val="20"/>
                <w:color w:val="auto"/>
              </w:rPr>
            </w:pPr>
            <w:r>
              <w:rPr>
                <w:rFonts w:ascii="Arial" w:cs="Arial" w:eastAsia="Arial" w:hAnsi="Arial"/>
                <w:sz w:val="22"/>
                <w:szCs w:val="22"/>
                <w:color w:val="auto"/>
              </w:rPr>
              <w:t>Brett Icahn</w:t>
            </w:r>
          </w:p>
        </w:tc>
        <w:tc>
          <w:tcPr>
            <w:tcW w:w="3960" w:type="dxa"/>
            <w:vAlign w:val="bottom"/>
          </w:tcPr>
          <w:p>
            <w:pPr>
              <w:ind w:left="660"/>
              <w:spacing w:after="0" w:line="243" w:lineRule="exact"/>
              <w:rPr>
                <w:sz w:val="20"/>
                <w:szCs w:val="20"/>
                <w:color w:val="auto"/>
              </w:rPr>
            </w:pPr>
            <w:r>
              <w:rPr>
                <w:rFonts w:ascii="Arial" w:cs="Arial" w:eastAsia="Arial" w:hAnsi="Arial"/>
                <w:sz w:val="22"/>
                <w:szCs w:val="22"/>
                <w:color w:val="auto"/>
              </w:rPr>
              <w:t>Name: Brett Icahn</w:t>
            </w:r>
          </w:p>
        </w:tc>
        <w:tc>
          <w:tcPr>
            <w:tcW w:w="0" w:type="dxa"/>
            <w:vAlign w:val="bottom"/>
          </w:tcPr>
          <w:p>
            <w:pPr>
              <w:spacing w:after="0"/>
              <w:rPr>
                <w:sz w:val="1"/>
                <w:szCs w:val="1"/>
                <w:color w:val="auto"/>
              </w:rPr>
            </w:pPr>
          </w:p>
        </w:tc>
      </w:tr>
      <w:tr>
        <w:trPr>
          <w:trHeight w:val="274"/>
        </w:trPr>
        <w:tc>
          <w:tcPr>
            <w:tcW w:w="4600" w:type="dxa"/>
            <w:vAlign w:val="bottom"/>
          </w:tcPr>
          <w:p>
            <w:pPr>
              <w:spacing w:after="0"/>
              <w:rPr>
                <w:sz w:val="23"/>
                <w:szCs w:val="23"/>
                <w:color w:val="auto"/>
              </w:rPr>
            </w:pPr>
          </w:p>
        </w:tc>
        <w:tc>
          <w:tcPr>
            <w:tcW w:w="3960" w:type="dxa"/>
            <w:vAlign w:val="bottom"/>
          </w:tcPr>
          <w:p>
            <w:pPr>
              <w:ind w:left="660"/>
              <w:spacing w:after="0"/>
              <w:rPr>
                <w:sz w:val="20"/>
                <w:szCs w:val="20"/>
                <w:color w:val="auto"/>
              </w:rPr>
            </w:pPr>
            <w:r>
              <w:rPr>
                <w:rFonts w:ascii="Arial" w:cs="Arial" w:eastAsia="Arial" w:hAnsi="Arial"/>
                <w:sz w:val="22"/>
                <w:szCs w:val="22"/>
                <w:color w:val="auto"/>
              </w:rPr>
              <w:t>Title: Sole Member</w:t>
            </w:r>
          </w:p>
        </w:tc>
        <w:tc>
          <w:tcPr>
            <w:tcW w:w="0" w:type="dxa"/>
            <w:vAlign w:val="bottom"/>
          </w:tcPr>
          <w:p>
            <w:pPr>
              <w:spacing w:after="0"/>
              <w:rPr>
                <w:sz w:val="1"/>
                <w:szCs w:val="1"/>
                <w:color w:val="auto"/>
              </w:rPr>
            </w:pPr>
          </w:p>
        </w:tc>
      </w:tr>
      <w:tr>
        <w:trPr>
          <w:trHeight w:val="972"/>
        </w:trPr>
        <w:tc>
          <w:tcPr>
            <w:tcW w:w="4600" w:type="dxa"/>
            <w:vAlign w:val="bottom"/>
          </w:tcPr>
          <w:p>
            <w:pPr>
              <w:spacing w:after="0"/>
              <w:rPr>
                <w:sz w:val="20"/>
                <w:szCs w:val="20"/>
                <w:color w:val="auto"/>
              </w:rPr>
            </w:pPr>
            <w:r>
              <w:rPr>
                <w:rFonts w:ascii="Arial" w:cs="Arial" w:eastAsia="Arial" w:hAnsi="Arial"/>
                <w:sz w:val="22"/>
                <w:szCs w:val="22"/>
                <w:b w:val="1"/>
                <w:bCs w:val="1"/>
                <w:color w:val="auto"/>
              </w:rPr>
              <w:t>EMPLOYER</w:t>
            </w:r>
          </w:p>
        </w:tc>
        <w:tc>
          <w:tcPr>
            <w:tcW w:w="3960" w:type="dxa"/>
            <w:vAlign w:val="bottom"/>
          </w:tcPr>
          <w:p>
            <w:pPr>
              <w:ind w:left="260"/>
              <w:spacing w:after="0"/>
              <w:rPr>
                <w:sz w:val="20"/>
                <w:szCs w:val="20"/>
                <w:color w:val="auto"/>
              </w:rPr>
            </w:pPr>
            <w:r>
              <w:rPr>
                <w:rFonts w:ascii="Arial" w:cs="Arial" w:eastAsia="Arial" w:hAnsi="Arial"/>
                <w:sz w:val="22"/>
                <w:szCs w:val="22"/>
                <w:b w:val="1"/>
                <w:bCs w:val="1"/>
                <w:color w:val="auto"/>
              </w:rPr>
              <w:t>EXISTING FUNDS</w:t>
            </w:r>
          </w:p>
        </w:tc>
        <w:tc>
          <w:tcPr>
            <w:tcW w:w="0" w:type="dxa"/>
            <w:vAlign w:val="bottom"/>
          </w:tcPr>
          <w:p>
            <w:pPr>
              <w:spacing w:after="0"/>
              <w:rPr>
                <w:sz w:val="1"/>
                <w:szCs w:val="1"/>
                <w:color w:val="auto"/>
              </w:rPr>
            </w:pPr>
          </w:p>
        </w:tc>
      </w:tr>
      <w:tr>
        <w:trPr>
          <w:trHeight w:val="455"/>
        </w:trPr>
        <w:tc>
          <w:tcPr>
            <w:tcW w:w="4600" w:type="dxa"/>
            <w:vAlign w:val="bottom"/>
          </w:tcPr>
          <w:p>
            <w:pPr>
              <w:spacing w:after="0"/>
              <w:rPr>
                <w:sz w:val="20"/>
                <w:szCs w:val="20"/>
                <w:color w:val="auto"/>
              </w:rPr>
            </w:pPr>
            <w:r>
              <w:rPr>
                <w:rFonts w:ascii="Arial" w:cs="Arial" w:eastAsia="Arial" w:hAnsi="Arial"/>
                <w:sz w:val="22"/>
                <w:szCs w:val="22"/>
                <w:color w:val="auto"/>
              </w:rPr>
              <w:t>ICAHN ENTERPRISES L.P.</w:t>
            </w:r>
          </w:p>
        </w:tc>
        <w:tc>
          <w:tcPr>
            <w:tcW w:w="3960" w:type="dxa"/>
            <w:vAlign w:val="bottom"/>
          </w:tcPr>
          <w:p>
            <w:pPr>
              <w:ind w:left="260"/>
              <w:spacing w:after="0"/>
              <w:rPr>
                <w:sz w:val="20"/>
                <w:szCs w:val="20"/>
                <w:color w:val="auto"/>
              </w:rPr>
            </w:pPr>
            <w:r>
              <w:rPr>
                <w:rFonts w:ascii="Arial" w:cs="Arial" w:eastAsia="Arial" w:hAnsi="Arial"/>
                <w:sz w:val="22"/>
                <w:szCs w:val="22"/>
                <w:color w:val="auto"/>
              </w:rPr>
              <w:t>ICAHN PARTNERS LP</w:t>
            </w:r>
          </w:p>
        </w:tc>
        <w:tc>
          <w:tcPr>
            <w:tcW w:w="0" w:type="dxa"/>
            <w:vAlign w:val="bottom"/>
          </w:tcPr>
          <w:p>
            <w:pPr>
              <w:spacing w:after="0"/>
              <w:rPr>
                <w:sz w:val="1"/>
                <w:szCs w:val="1"/>
                <w:color w:val="auto"/>
              </w:rPr>
            </w:pPr>
          </w:p>
        </w:tc>
      </w:tr>
      <w:tr>
        <w:trPr>
          <w:trHeight w:val="274"/>
        </w:trPr>
        <w:tc>
          <w:tcPr>
            <w:tcW w:w="4600" w:type="dxa"/>
            <w:vAlign w:val="bottom"/>
          </w:tcPr>
          <w:p>
            <w:pPr>
              <w:spacing w:after="0"/>
              <w:rPr>
                <w:sz w:val="20"/>
                <w:szCs w:val="20"/>
                <w:color w:val="auto"/>
              </w:rPr>
            </w:pPr>
            <w:r>
              <w:rPr>
                <w:rFonts w:ascii="Arial" w:cs="Arial" w:eastAsia="Arial" w:hAnsi="Arial"/>
                <w:sz w:val="22"/>
                <w:szCs w:val="22"/>
                <w:color w:val="auto"/>
                <w:w w:val="93"/>
              </w:rPr>
              <w:t>By: Icahn Enterprises G.P. Inc., its general partner</w:t>
            </w:r>
          </w:p>
        </w:tc>
        <w:tc>
          <w:tcPr>
            <w:tcW w:w="3960" w:type="dxa"/>
            <w:vAlign w:val="bottom"/>
          </w:tcPr>
          <w:p>
            <w:pPr>
              <w:ind w:left="260"/>
              <w:spacing w:after="0"/>
              <w:rPr>
                <w:sz w:val="20"/>
                <w:szCs w:val="20"/>
                <w:color w:val="auto"/>
              </w:rPr>
            </w:pPr>
            <w:r>
              <w:rPr>
                <w:rFonts w:ascii="Arial" w:cs="Arial" w:eastAsia="Arial" w:hAnsi="Arial"/>
                <w:sz w:val="22"/>
                <w:szCs w:val="22"/>
                <w:color w:val="auto"/>
                <w:w w:val="90"/>
              </w:rPr>
              <w:t>By: Icahn Onshore LP, its general partner</w:t>
            </w:r>
          </w:p>
        </w:tc>
        <w:tc>
          <w:tcPr>
            <w:tcW w:w="0" w:type="dxa"/>
            <w:vAlign w:val="bottom"/>
          </w:tcPr>
          <w:p>
            <w:pPr>
              <w:spacing w:after="0"/>
              <w:rPr>
                <w:sz w:val="1"/>
                <w:szCs w:val="1"/>
                <w:color w:val="auto"/>
              </w:rPr>
            </w:pPr>
          </w:p>
        </w:tc>
      </w:tr>
      <w:tr>
        <w:trPr>
          <w:trHeight w:val="455"/>
        </w:trPr>
        <w:tc>
          <w:tcPr>
            <w:tcW w:w="4600" w:type="dxa"/>
            <w:vAlign w:val="bottom"/>
          </w:tcPr>
          <w:p>
            <w:pPr>
              <w:spacing w:after="0"/>
              <w:rPr>
                <w:sz w:val="20"/>
                <w:szCs w:val="20"/>
                <w:color w:val="auto"/>
              </w:rPr>
            </w:pPr>
            <w:r>
              <w:rPr>
                <w:rFonts w:ascii="Arial" w:cs="Arial" w:eastAsia="Arial" w:hAnsi="Arial"/>
                <w:sz w:val="22"/>
                <w:szCs w:val="22"/>
                <w:color w:val="auto"/>
              </w:rPr>
              <w:t>By: _____________________________</w:t>
            </w:r>
          </w:p>
        </w:tc>
        <w:tc>
          <w:tcPr>
            <w:tcW w:w="3960" w:type="dxa"/>
            <w:vAlign w:val="bottom"/>
          </w:tcPr>
          <w:p>
            <w:pPr>
              <w:ind w:left="260"/>
              <w:spacing w:after="0"/>
              <w:rPr>
                <w:sz w:val="20"/>
                <w:szCs w:val="20"/>
                <w:color w:val="auto"/>
              </w:rPr>
            </w:pPr>
            <w:r>
              <w:rPr>
                <w:rFonts w:ascii="Arial" w:cs="Arial" w:eastAsia="Arial" w:hAnsi="Arial"/>
                <w:sz w:val="22"/>
                <w:szCs w:val="22"/>
                <w:color w:val="auto"/>
                <w:w w:val="93"/>
              </w:rPr>
              <w:t>By: _____________________________</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line="243" w:lineRule="exact"/>
              <w:rPr>
                <w:sz w:val="20"/>
                <w:szCs w:val="20"/>
                <w:color w:val="auto"/>
              </w:rPr>
            </w:pPr>
            <w:r>
              <w:rPr>
                <w:rFonts w:ascii="Arial" w:cs="Arial" w:eastAsia="Arial" w:hAnsi="Arial"/>
                <w:sz w:val="22"/>
                <w:szCs w:val="22"/>
                <w:color w:val="auto"/>
              </w:rPr>
              <w:t>Name: Ted Papapostolou</w:t>
            </w:r>
          </w:p>
        </w:tc>
        <w:tc>
          <w:tcPr>
            <w:tcW w:w="3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line="243" w:lineRule="exact"/>
              <w:rPr>
                <w:sz w:val="20"/>
                <w:szCs w:val="20"/>
                <w:color w:val="auto"/>
              </w:rPr>
            </w:pPr>
            <w:r>
              <w:rPr>
                <w:rFonts w:ascii="Arial" w:cs="Arial" w:eastAsia="Arial" w:hAnsi="Arial"/>
                <w:sz w:val="22"/>
                <w:szCs w:val="22"/>
                <w:color w:val="auto"/>
              </w:rPr>
              <w:t>Title: Chief Financial Officer</w:t>
            </w:r>
          </w:p>
        </w:tc>
        <w:tc>
          <w:tcPr>
            <w:tcW w:w="3960" w:type="dxa"/>
            <w:vAlign w:val="bottom"/>
          </w:tcPr>
          <w:p>
            <w:pPr>
              <w:ind w:left="640"/>
              <w:spacing w:after="0" w:line="243" w:lineRule="exact"/>
              <w:rPr>
                <w:sz w:val="20"/>
                <w:szCs w:val="20"/>
                <w:color w:val="auto"/>
              </w:rPr>
            </w:pPr>
            <w:r>
              <w:rPr>
                <w:rFonts w:ascii="Arial" w:cs="Arial" w:eastAsia="Arial" w:hAnsi="Arial"/>
                <w:sz w:val="22"/>
                <w:szCs w:val="22"/>
                <w:color w:val="auto"/>
              </w:rPr>
              <w:t>Name: Jesse Lynn</w:t>
            </w:r>
          </w:p>
        </w:tc>
        <w:tc>
          <w:tcPr>
            <w:tcW w:w="0" w:type="dxa"/>
            <w:vAlign w:val="bottom"/>
          </w:tcPr>
          <w:p>
            <w:pPr>
              <w:spacing w:after="0"/>
              <w:rPr>
                <w:sz w:val="1"/>
                <w:szCs w:val="1"/>
                <w:color w:val="auto"/>
              </w:rPr>
            </w:pPr>
          </w:p>
        </w:tc>
      </w:tr>
      <w:tr>
        <w:trPr>
          <w:trHeight w:val="274"/>
        </w:trPr>
        <w:tc>
          <w:tcPr>
            <w:tcW w:w="4600" w:type="dxa"/>
            <w:vAlign w:val="bottom"/>
          </w:tcPr>
          <w:p>
            <w:pPr>
              <w:spacing w:after="0"/>
              <w:rPr>
                <w:sz w:val="23"/>
                <w:szCs w:val="23"/>
                <w:color w:val="auto"/>
              </w:rPr>
            </w:pPr>
          </w:p>
        </w:tc>
        <w:tc>
          <w:tcPr>
            <w:tcW w:w="3960" w:type="dxa"/>
            <w:vAlign w:val="bottom"/>
          </w:tcPr>
          <w:p>
            <w:pPr>
              <w:ind w:left="640"/>
              <w:spacing w:after="0"/>
              <w:rPr>
                <w:sz w:val="20"/>
                <w:szCs w:val="20"/>
                <w:color w:val="auto"/>
              </w:rPr>
            </w:pPr>
            <w:r>
              <w:rPr>
                <w:rFonts w:ascii="Arial" w:cs="Arial" w:eastAsia="Arial" w:hAnsi="Arial"/>
                <w:sz w:val="22"/>
                <w:szCs w:val="22"/>
                <w:color w:val="auto"/>
              </w:rPr>
              <w:t>Title: Chief Operating Officer</w:t>
            </w:r>
          </w:p>
        </w:tc>
        <w:tc>
          <w:tcPr>
            <w:tcW w:w="0" w:type="dxa"/>
            <w:vAlign w:val="bottom"/>
          </w:tcPr>
          <w:p>
            <w:pPr>
              <w:spacing w:after="0"/>
              <w:rPr>
                <w:sz w:val="1"/>
                <w:szCs w:val="1"/>
                <w:color w:val="auto"/>
              </w:rPr>
            </w:pPr>
          </w:p>
        </w:tc>
      </w:tr>
      <w:tr>
        <w:trPr>
          <w:trHeight w:val="455"/>
        </w:trPr>
        <w:tc>
          <w:tcPr>
            <w:tcW w:w="4600" w:type="dxa"/>
            <w:vAlign w:val="bottom"/>
          </w:tcPr>
          <w:p>
            <w:pPr>
              <w:spacing w:after="0"/>
              <w:rPr>
                <w:sz w:val="20"/>
                <w:szCs w:val="20"/>
                <w:color w:val="auto"/>
              </w:rPr>
            </w:pPr>
            <w:r>
              <w:rPr>
                <w:rFonts w:ascii="Arial" w:cs="Arial" w:eastAsia="Arial" w:hAnsi="Arial"/>
                <w:sz w:val="22"/>
                <w:szCs w:val="22"/>
                <w:color w:val="auto"/>
              </w:rPr>
              <w:t>ICAHN CAPITAL LP</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line="243" w:lineRule="exact"/>
              <w:rPr>
                <w:sz w:val="20"/>
                <w:szCs w:val="20"/>
                <w:color w:val="auto"/>
              </w:rPr>
            </w:pPr>
            <w:r>
              <w:rPr>
                <w:rFonts w:ascii="Arial" w:cs="Arial" w:eastAsia="Arial" w:hAnsi="Arial"/>
                <w:sz w:val="22"/>
                <w:szCs w:val="22"/>
                <w:color w:val="auto"/>
              </w:rPr>
              <w:t>By: IPH GP LLC, its general partner</w:t>
            </w:r>
          </w:p>
        </w:tc>
        <w:tc>
          <w:tcPr>
            <w:tcW w:w="3960" w:type="dxa"/>
            <w:vAlign w:val="bottom"/>
          </w:tcPr>
          <w:p>
            <w:pPr>
              <w:ind w:left="260"/>
              <w:spacing w:after="0" w:line="243" w:lineRule="exact"/>
              <w:rPr>
                <w:sz w:val="20"/>
                <w:szCs w:val="20"/>
                <w:color w:val="auto"/>
              </w:rPr>
            </w:pPr>
            <w:r>
              <w:rPr>
                <w:rFonts w:ascii="Arial" w:cs="Arial" w:eastAsia="Arial" w:hAnsi="Arial"/>
                <w:sz w:val="22"/>
                <w:szCs w:val="22"/>
                <w:color w:val="auto"/>
                <w:w w:val="93"/>
              </w:rPr>
              <w:t>ICAHN PARTNERS MASTER FUND LP</w:t>
            </w:r>
          </w:p>
        </w:tc>
        <w:tc>
          <w:tcPr>
            <w:tcW w:w="0" w:type="dxa"/>
            <w:vAlign w:val="bottom"/>
          </w:tcPr>
          <w:p>
            <w:pPr>
              <w:spacing w:after="0"/>
              <w:rPr>
                <w:sz w:val="1"/>
                <w:szCs w:val="1"/>
                <w:color w:val="auto"/>
              </w:rPr>
            </w:pPr>
          </w:p>
        </w:tc>
      </w:tr>
      <w:tr>
        <w:trPr>
          <w:trHeight w:val="274"/>
        </w:trPr>
        <w:tc>
          <w:tcPr>
            <w:tcW w:w="4600" w:type="dxa"/>
            <w:vAlign w:val="bottom"/>
            <w:vMerge w:val="restart"/>
          </w:tcPr>
          <w:p>
            <w:pPr>
              <w:spacing w:after="0"/>
              <w:rPr>
                <w:sz w:val="20"/>
                <w:szCs w:val="20"/>
                <w:color w:val="auto"/>
              </w:rPr>
            </w:pPr>
            <w:r>
              <w:rPr>
                <w:rFonts w:ascii="Arial" w:cs="Arial" w:eastAsia="Arial" w:hAnsi="Arial"/>
                <w:sz w:val="22"/>
                <w:szCs w:val="22"/>
                <w:color w:val="auto"/>
              </w:rPr>
              <w:t>By: _____________________________</w:t>
            </w:r>
          </w:p>
        </w:tc>
        <w:tc>
          <w:tcPr>
            <w:tcW w:w="3960" w:type="dxa"/>
            <w:vAlign w:val="bottom"/>
          </w:tcPr>
          <w:p>
            <w:pPr>
              <w:ind w:left="260"/>
              <w:spacing w:after="0"/>
              <w:rPr>
                <w:sz w:val="20"/>
                <w:szCs w:val="20"/>
                <w:color w:val="auto"/>
              </w:rPr>
            </w:pPr>
            <w:r>
              <w:rPr>
                <w:rFonts w:ascii="Arial" w:cs="Arial" w:eastAsia="Arial" w:hAnsi="Arial"/>
                <w:sz w:val="22"/>
                <w:szCs w:val="22"/>
                <w:color w:val="auto"/>
                <w:w w:val="90"/>
              </w:rPr>
              <w:t>By: Icahn Offshore LP, its general partner</w:t>
            </w:r>
          </w:p>
        </w:tc>
        <w:tc>
          <w:tcPr>
            <w:tcW w:w="0" w:type="dxa"/>
            <w:vAlign w:val="bottom"/>
          </w:tcPr>
          <w:p>
            <w:pPr>
              <w:spacing w:after="0"/>
              <w:rPr>
                <w:sz w:val="1"/>
                <w:szCs w:val="1"/>
                <w:color w:val="auto"/>
              </w:rPr>
            </w:pPr>
          </w:p>
        </w:tc>
      </w:tr>
      <w:tr>
        <w:trPr>
          <w:trHeight w:val="212"/>
        </w:trPr>
        <w:tc>
          <w:tcPr>
            <w:tcW w:w="460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line="243" w:lineRule="exact"/>
              <w:rPr>
                <w:sz w:val="20"/>
                <w:szCs w:val="20"/>
                <w:color w:val="auto"/>
              </w:rPr>
            </w:pPr>
            <w:r>
              <w:rPr>
                <w:rFonts w:ascii="Arial" w:cs="Arial" w:eastAsia="Arial" w:hAnsi="Arial"/>
                <w:sz w:val="22"/>
                <w:szCs w:val="22"/>
                <w:color w:val="auto"/>
              </w:rPr>
              <w:t>Name: Jesse Lynn</w:t>
            </w:r>
          </w:p>
        </w:tc>
        <w:tc>
          <w:tcPr>
            <w:tcW w:w="3960" w:type="dxa"/>
            <w:vAlign w:val="bottom"/>
          </w:tcPr>
          <w:p>
            <w:pPr>
              <w:ind w:left="260"/>
              <w:spacing w:after="0" w:line="243" w:lineRule="exact"/>
              <w:rPr>
                <w:sz w:val="20"/>
                <w:szCs w:val="20"/>
                <w:color w:val="auto"/>
              </w:rPr>
            </w:pPr>
            <w:r>
              <w:rPr>
                <w:rFonts w:ascii="Arial" w:cs="Arial" w:eastAsia="Arial" w:hAnsi="Arial"/>
                <w:sz w:val="22"/>
                <w:szCs w:val="22"/>
                <w:color w:val="auto"/>
                <w:w w:val="93"/>
              </w:rPr>
              <w:t>By: _____________________________</w:t>
            </w:r>
          </w:p>
        </w:tc>
        <w:tc>
          <w:tcPr>
            <w:tcW w:w="0" w:type="dxa"/>
            <w:vAlign w:val="bottom"/>
          </w:tcPr>
          <w:p>
            <w:pPr>
              <w:spacing w:after="0"/>
              <w:rPr>
                <w:sz w:val="1"/>
                <w:szCs w:val="1"/>
                <w:color w:val="auto"/>
              </w:rPr>
            </w:pPr>
          </w:p>
        </w:tc>
      </w:tr>
      <w:tr>
        <w:trPr>
          <w:trHeight w:val="274"/>
        </w:trPr>
        <w:tc>
          <w:tcPr>
            <w:tcW w:w="4600" w:type="dxa"/>
            <w:vAlign w:val="bottom"/>
          </w:tcPr>
          <w:p>
            <w:pPr>
              <w:ind w:left="380"/>
              <w:spacing w:after="0"/>
              <w:rPr>
                <w:sz w:val="20"/>
                <w:szCs w:val="20"/>
                <w:color w:val="auto"/>
              </w:rPr>
            </w:pPr>
            <w:r>
              <w:rPr>
                <w:rFonts w:ascii="Arial" w:cs="Arial" w:eastAsia="Arial" w:hAnsi="Arial"/>
                <w:sz w:val="22"/>
                <w:szCs w:val="22"/>
                <w:color w:val="auto"/>
              </w:rPr>
              <w:t>Title: Chief Operating Officer</w:t>
            </w:r>
          </w:p>
        </w:tc>
        <w:tc>
          <w:tcPr>
            <w:tcW w:w="3960" w:type="dxa"/>
            <w:vAlign w:val="bottom"/>
            <w:vMerge w:val="restart"/>
          </w:tcPr>
          <w:p>
            <w:pPr>
              <w:ind w:left="640"/>
              <w:spacing w:after="0"/>
              <w:rPr>
                <w:sz w:val="20"/>
                <w:szCs w:val="20"/>
                <w:color w:val="auto"/>
              </w:rPr>
            </w:pPr>
            <w:r>
              <w:rPr>
                <w:rFonts w:ascii="Arial" w:cs="Arial" w:eastAsia="Arial" w:hAnsi="Arial"/>
                <w:sz w:val="22"/>
                <w:szCs w:val="22"/>
                <w:color w:val="auto"/>
              </w:rPr>
              <w:t>Name: Jesse Lynn</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600" w:type="dxa"/>
            <w:vAlign w:val="bottom"/>
          </w:tcPr>
          <w:p>
            <w:pPr>
              <w:spacing w:after="0"/>
              <w:rPr>
                <w:sz w:val="23"/>
                <w:szCs w:val="23"/>
                <w:color w:val="auto"/>
              </w:rPr>
            </w:pPr>
          </w:p>
        </w:tc>
        <w:tc>
          <w:tcPr>
            <w:tcW w:w="3960" w:type="dxa"/>
            <w:vAlign w:val="bottom"/>
          </w:tcPr>
          <w:p>
            <w:pPr>
              <w:ind w:left="640"/>
              <w:spacing w:after="0"/>
              <w:rPr>
                <w:sz w:val="20"/>
                <w:szCs w:val="20"/>
                <w:color w:val="auto"/>
              </w:rPr>
            </w:pPr>
            <w:r>
              <w:rPr>
                <w:rFonts w:ascii="Arial" w:cs="Arial" w:eastAsia="Arial" w:hAnsi="Arial"/>
                <w:sz w:val="22"/>
                <w:szCs w:val="22"/>
                <w:color w:val="auto"/>
              </w:rPr>
              <w:t>Title: Chief Operating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Amendment No. 1 to Manager Agreement]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Willetts, certify that:</w:t>
      </w:r>
    </w:p>
    <w:p>
      <w:pPr>
        <w:spacing w:after="0" w:line="225" w:lineRule="exact"/>
        <w:rPr>
          <w:sz w:val="20"/>
          <w:szCs w:val="20"/>
          <w:color w:val="auto"/>
        </w:rPr>
      </w:pPr>
    </w:p>
    <w:p>
      <w:pPr>
        <w:ind w:left="500" w:hanging="179"/>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Icahn Enterprises L.P. for the period ended March 31, 2022;</w:t>
      </w:r>
    </w:p>
    <w:p>
      <w:pPr>
        <w:spacing w:after="0" w:line="236" w:lineRule="exact"/>
        <w:rPr>
          <w:rFonts w:ascii="Arial" w:cs="Arial" w:eastAsia="Arial" w:hAnsi="Arial"/>
          <w:sz w:val="17"/>
          <w:szCs w:val="17"/>
          <w:color w:val="auto"/>
        </w:rPr>
      </w:pPr>
    </w:p>
    <w:p>
      <w:pPr>
        <w:ind w:right="80" w:firstLine="321"/>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20" w:firstLine="321"/>
        <w:spacing w:after="0" w:line="263"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Willetts</w:t>
      </w:r>
    </w:p>
    <w:p>
      <w:pPr>
        <w:spacing w:after="0" w:line="252" w:lineRule="exact"/>
        <w:rPr>
          <w:sz w:val="20"/>
          <w:szCs w:val="20"/>
          <w:color w:val="auto"/>
        </w:rPr>
      </w:pPr>
    </w:p>
    <w:p>
      <w:pPr>
        <w:ind w:left="4120" w:right="80"/>
        <w:spacing w:after="0" w:line="235"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Icahn Enterprises L.P. for the period ended March 31, 2022;</w:t>
      </w:r>
    </w:p>
    <w:p>
      <w:pPr>
        <w:spacing w:after="0" w:line="236" w:lineRule="exact"/>
        <w:rPr>
          <w:rFonts w:ascii="Arial" w:cs="Arial" w:eastAsia="Arial" w:hAnsi="Arial"/>
          <w:sz w:val="17"/>
          <w:szCs w:val="17"/>
          <w:color w:val="auto"/>
        </w:rPr>
      </w:pPr>
    </w:p>
    <w:p>
      <w:pPr>
        <w:ind w:right="80" w:firstLine="321"/>
        <w:spacing w:after="0" w:line="263"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0" w:firstLine="321"/>
        <w:spacing w:after="0" w:line="263"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50"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57" w:name="page58"/>
    <w:bookmarkEnd w:id="57"/>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connection with the quarterly report on Form 10-Q of Icahn Enterprises L.P., for the period ended March 31, 2022, the undersigned certify that, to the best of his knowledge, based upon a review of the Icahn Enterprises L.P. quarterly report on Form 10-Q for the period ended March 31, 2022:</w:t>
      </w:r>
    </w:p>
    <w:p>
      <w:pPr>
        <w:spacing w:after="0" w:line="184" w:lineRule="exact"/>
        <w:rPr>
          <w:sz w:val="20"/>
          <w:szCs w:val="20"/>
          <w:color w:val="auto"/>
        </w:rPr>
      </w:pPr>
    </w:p>
    <w:p>
      <w:pPr>
        <w:ind w:right="460" w:firstLine="321"/>
        <w:spacing w:after="0" w:line="277" w:lineRule="auto"/>
        <w:tabs>
          <w:tab w:leader="none" w:pos="5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14605</wp:posOffset>
            </wp:positionV>
            <wp:extent cx="34118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David Willetts</w:t>
      </w:r>
    </w:p>
    <w:p>
      <w:pPr>
        <w:spacing w:after="0" w:line="252" w:lineRule="exact"/>
        <w:rPr>
          <w:sz w:val="20"/>
          <w:szCs w:val="20"/>
          <w:color w:val="auto"/>
        </w:rPr>
      </w:pPr>
    </w:p>
    <w:p>
      <w:pPr>
        <w:ind w:left="4080" w:right="120"/>
        <w:spacing w:after="0" w:line="235"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50"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1."/>
      <w:numFmt w:val="decimal"/>
      <w:start w:val="14"/>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17"/>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04"/>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2022-05-06T23:32:17Z</dcterms:created>
  <dcterms:modified xsi:type="dcterms:W3CDTF">2022-05-06T23:32:17Z</dcterms:modified>
</cp:coreProperties>
</file>