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520" w:right="2720" w:hanging="3510"/>
        <w:spacing w:after="0" w:line="424" w:lineRule="auto"/>
        <w:tabs>
          <w:tab w:leader="none" w:pos="18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2020</w:t>
      </w:r>
    </w:p>
    <w:p>
      <w:pPr>
        <w:spacing w:after="0" w:line="217"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4"/>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300" w:type="dxa"/>
            <w:vAlign w:val="bottom"/>
          </w:tcPr>
          <w:p>
            <w:pPr>
              <w:spacing w:after="0"/>
              <w:rPr>
                <w:sz w:val="13"/>
                <w:szCs w:val="13"/>
                <w:color w:val="auto"/>
              </w:rPr>
            </w:pPr>
          </w:p>
        </w:tc>
        <w:tc>
          <w:tcPr>
            <w:tcW w:w="3520" w:type="dxa"/>
            <w:vAlign w:val="bottom"/>
            <w:gridSpan w:val="5"/>
          </w:tcPr>
          <w:p>
            <w:pPr>
              <w:jc w:val="center"/>
              <w:ind w:left="88"/>
              <w:spacing w:after="0" w:line="154" w:lineRule="exact"/>
              <w:rPr>
                <w:sz w:val="20"/>
                <w:szCs w:val="20"/>
                <w:color w:val="auto"/>
              </w:rPr>
            </w:pPr>
            <w:r>
              <w:rPr>
                <w:rFonts w:ascii="Arial" w:cs="Arial" w:eastAsia="Arial" w:hAnsi="Arial"/>
                <w:sz w:val="14"/>
                <w:szCs w:val="14"/>
                <w:color w:val="auto"/>
                <w:w w:val="93"/>
              </w:rPr>
              <w:t>(Exact Name of Registrant as Specified in Its Charter)</w:t>
            </w:r>
          </w:p>
        </w:tc>
        <w:tc>
          <w:tcPr>
            <w:tcW w:w="2100" w:type="dxa"/>
            <w:vAlign w:val="bottom"/>
          </w:tcPr>
          <w:p>
            <w:pPr>
              <w:jc w:val="center"/>
              <w:ind w:left="808"/>
              <w:spacing w:after="0" w:line="154"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tcPr>
          <w:p>
            <w:pPr>
              <w:jc w:val="center"/>
              <w:ind w:left="6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91"/>
        </w:trPr>
        <w:tc>
          <w:tcPr>
            <w:tcW w:w="3300" w:type="dxa"/>
            <w:vAlign w:val="bottom"/>
          </w:tcPr>
          <w:p>
            <w:pPr>
              <w:ind w:left="520"/>
              <w:spacing w:after="0"/>
              <w:rPr>
                <w:sz w:val="20"/>
                <w:szCs w:val="20"/>
                <w:color w:val="auto"/>
              </w:rPr>
            </w:pPr>
            <w:r>
              <w:rPr>
                <w:rFonts w:ascii="Arial" w:cs="Arial" w:eastAsia="Arial" w:hAnsi="Arial"/>
                <w:sz w:val="14"/>
                <w:szCs w:val="14"/>
                <w:color w:val="auto"/>
              </w:rPr>
              <w:t>(Commission File Number)</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(Telephone Number)</w:t>
            </w:r>
          </w:p>
        </w:tc>
        <w:tc>
          <w:tcPr>
            <w:tcW w:w="500" w:type="dxa"/>
            <w:vAlign w:val="bottom"/>
          </w:tcPr>
          <w:p>
            <w:pPr>
              <w:spacing w:after="0"/>
              <w:rPr>
                <w:sz w:val="16"/>
                <w:szCs w:val="16"/>
                <w:color w:val="auto"/>
              </w:rPr>
            </w:pPr>
          </w:p>
        </w:tc>
        <w:tc>
          <w:tcPr>
            <w:tcW w:w="2100" w:type="dxa"/>
            <w:vAlign w:val="bottom"/>
          </w:tcPr>
          <w:p>
            <w:pPr>
              <w:jc w:val="center"/>
              <w:ind w:left="788"/>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97"/>
        </w:trPr>
        <w:tc>
          <w:tcPr>
            <w:tcW w:w="3300" w:type="dxa"/>
            <w:vAlign w:val="bottom"/>
          </w:tcPr>
          <w:p>
            <w:pPr>
              <w:jc w:val="right"/>
              <w:ind w:right="1728"/>
              <w:spacing w:after="0"/>
              <w:rPr>
                <w:sz w:val="20"/>
                <w:szCs w:val="20"/>
                <w:color w:val="auto"/>
              </w:rPr>
            </w:pPr>
            <w:r>
              <w:rPr>
                <w:rFonts w:ascii="Arial" w:cs="Arial" w:eastAsia="Arial" w:hAnsi="Arial"/>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13-3398766</w:t>
            </w:r>
          </w:p>
        </w:tc>
        <w:tc>
          <w:tcPr>
            <w:tcW w:w="0" w:type="dxa"/>
            <w:vAlign w:val="bottom"/>
          </w:tcPr>
          <w:p>
            <w:pPr>
              <w:spacing w:after="0"/>
              <w:rPr>
                <w:sz w:val="1"/>
                <w:szCs w:val="1"/>
                <w:color w:val="auto"/>
              </w:rPr>
            </w:pPr>
          </w:p>
        </w:tc>
      </w:tr>
      <w:tr>
        <w:trPr>
          <w:trHeight w:val="36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16690 Collins Avenue, PH-1</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3300" w:type="dxa"/>
            <w:vAlign w:val="bottom"/>
          </w:tcPr>
          <w:p>
            <w:pPr>
              <w:jc w:val="right"/>
              <w:ind w:right="1488"/>
              <w:spacing w:after="0"/>
              <w:rPr>
                <w:sz w:val="20"/>
                <w:szCs w:val="20"/>
                <w:color w:val="auto"/>
              </w:rPr>
            </w:pPr>
            <w:r>
              <w:rPr>
                <w:rFonts w:ascii="Arial" w:cs="Arial" w:eastAsia="Arial" w:hAnsi="Arial"/>
                <w:sz w:val="14"/>
                <w:szCs w:val="14"/>
                <w:b w:val="1"/>
                <w:bCs w:val="1"/>
                <w:color w:val="auto"/>
              </w:rPr>
              <w:t>333-118021-01</w:t>
            </w:r>
          </w:p>
        </w:tc>
        <w:tc>
          <w:tcPr>
            <w:tcW w:w="3520" w:type="dxa"/>
            <w:vAlign w:val="bottom"/>
            <w:gridSpan w:val="5"/>
          </w:tcPr>
          <w:p>
            <w:pPr>
              <w:jc w:val="center"/>
              <w:ind w:left="88"/>
              <w:spacing w:after="0"/>
              <w:rPr>
                <w:sz w:val="20"/>
                <w:szCs w:val="20"/>
                <w:color w:val="auto"/>
              </w:rPr>
            </w:pPr>
            <w:r>
              <w:rPr>
                <w:rFonts w:ascii="Arial" w:cs="Arial" w:eastAsia="Arial" w:hAnsi="Arial"/>
                <w:sz w:val="14"/>
                <w:szCs w:val="14"/>
                <w:b w:val="1"/>
                <w:bCs w:val="1"/>
                <w:color w:val="auto"/>
              </w:rPr>
              <w:t>ICAHN ENTERPRISES HOLDINGS L.P.</w:t>
            </w: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13-3398767</w:t>
            </w:r>
          </w:p>
        </w:tc>
        <w:tc>
          <w:tcPr>
            <w:tcW w:w="0" w:type="dxa"/>
            <w:vAlign w:val="bottom"/>
          </w:tcPr>
          <w:p>
            <w:pPr>
              <w:spacing w:after="0"/>
              <w:rPr>
                <w:sz w:val="1"/>
                <w:szCs w:val="1"/>
                <w:color w:val="auto"/>
              </w:rPr>
            </w:pPr>
          </w:p>
        </w:tc>
      </w:tr>
      <w:tr>
        <w:trPr>
          <w:trHeight w:val="36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16690 Collins Avenue, PH-1</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3520" w:type="dxa"/>
            <w:vAlign w:val="bottom"/>
            <w:gridSpan w:val="5"/>
          </w:tcPr>
          <w:p>
            <w:pPr>
              <w:jc w:val="center"/>
              <w:ind w:left="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300" w:type="dxa"/>
            <w:vAlign w:val="bottom"/>
          </w:tcPr>
          <w:p>
            <w:pPr>
              <w:jc w:val="center"/>
              <w:ind w:left="528"/>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Symbol(s)</w:t>
            </w:r>
          </w:p>
        </w:tc>
        <w:tc>
          <w:tcPr>
            <w:tcW w:w="500" w:type="dxa"/>
            <w:vAlign w:val="bottom"/>
          </w:tcPr>
          <w:p>
            <w:pPr>
              <w:spacing w:after="0"/>
              <w:rPr>
                <w:sz w:val="24"/>
                <w:szCs w:val="24"/>
                <w:color w:val="auto"/>
              </w:rPr>
            </w:pPr>
          </w:p>
        </w:tc>
        <w:tc>
          <w:tcPr>
            <w:tcW w:w="34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300" w:type="dxa"/>
            <w:vAlign w:val="bottom"/>
          </w:tcPr>
          <w:p>
            <w:pPr>
              <w:jc w:val="center"/>
              <w:ind w:left="488"/>
              <w:spacing w:after="0"/>
              <w:rPr>
                <w:sz w:val="20"/>
                <w:szCs w:val="20"/>
                <w:color w:val="auto"/>
              </w:rPr>
            </w:pPr>
            <w:r>
              <w:rPr>
                <w:rFonts w:ascii="Arial" w:cs="Arial" w:eastAsia="Arial" w:hAnsi="Arial"/>
                <w:sz w:val="14"/>
                <w:szCs w:val="14"/>
                <w:color w:val="auto"/>
                <w:w w:val="93"/>
              </w:rPr>
              <w:t>Depositary Units of Icahn Enterprises L.P.</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8"/>
              </w:rPr>
              <w:t>IEP</w:t>
            </w:r>
          </w:p>
        </w:tc>
        <w:tc>
          <w:tcPr>
            <w:tcW w:w="500" w:type="dxa"/>
            <w:vAlign w:val="bottom"/>
          </w:tcPr>
          <w:p>
            <w:pPr>
              <w:spacing w:after="0"/>
              <w:rPr>
                <w:sz w:val="15"/>
                <w:szCs w:val="15"/>
                <w:color w:val="auto"/>
              </w:rPr>
            </w:pPr>
          </w:p>
        </w:tc>
        <w:tc>
          <w:tcPr>
            <w:tcW w:w="3400" w:type="dxa"/>
            <w:vAlign w:val="bottom"/>
            <w:gridSpan w:val="2"/>
            <w:vMerge w:val="restart"/>
          </w:tcPr>
          <w:p>
            <w:pPr>
              <w:jc w:val="center"/>
              <w:ind w:right="388"/>
              <w:spacing w:after="0"/>
              <w:rPr>
                <w:sz w:val="20"/>
                <w:szCs w:val="20"/>
                <w:color w:val="auto"/>
              </w:rPr>
            </w:pPr>
            <w:r>
              <w:rPr>
                <w:rFonts w:ascii="Arial" w:cs="Arial" w:eastAsia="Arial" w:hAnsi="Arial"/>
                <w:sz w:val="14"/>
                <w:szCs w:val="14"/>
                <w:color w:val="auto"/>
                <w:w w:val="98"/>
              </w:rPr>
              <w:t>NASDAQ  Global Select Market</w:t>
            </w:r>
          </w:p>
        </w:tc>
        <w:tc>
          <w:tcPr>
            <w:tcW w:w="0" w:type="dxa"/>
            <w:vAlign w:val="bottom"/>
          </w:tcPr>
          <w:p>
            <w:pPr>
              <w:spacing w:after="0"/>
              <w:rPr>
                <w:sz w:val="1"/>
                <w:szCs w:val="1"/>
                <w:color w:val="auto"/>
              </w:rPr>
            </w:pPr>
          </w:p>
        </w:tc>
      </w:tr>
      <w:tr>
        <w:trPr>
          <w:trHeight w:val="94"/>
        </w:trPr>
        <w:tc>
          <w:tcPr>
            <w:tcW w:w="3300" w:type="dxa"/>
            <w:vAlign w:val="bottom"/>
            <w:vMerge w:val="restart"/>
          </w:tcPr>
          <w:p>
            <w:pPr>
              <w:jc w:val="center"/>
              <w:ind w:left="528"/>
              <w:spacing w:after="0"/>
              <w:rPr>
                <w:sz w:val="20"/>
                <w:szCs w:val="20"/>
                <w:color w:val="auto"/>
              </w:rPr>
            </w:pPr>
            <w:r>
              <w:rPr>
                <w:rFonts w:ascii="Arial" w:cs="Arial" w:eastAsia="Arial" w:hAnsi="Arial"/>
                <w:sz w:val="14"/>
                <w:szCs w:val="14"/>
                <w:color w:val="auto"/>
                <w:w w:val="92"/>
              </w:rPr>
              <w:t>Representing Limited Partner Interests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3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ind w:left="20" w:right="240"/>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4" w:lineRule="exact"/>
        <w:rPr>
          <w:sz w:val="24"/>
          <w:szCs w:val="24"/>
          <w:color w:val="auto"/>
        </w:rPr>
      </w:pPr>
    </w:p>
    <w:p>
      <w:pPr>
        <w:ind w:left="20" w:right="60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5"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left="20" w:right="1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24" w:lineRule="exact"/>
        <w:rPr>
          <w:sz w:val="24"/>
          <w:szCs w:val="24"/>
          <w:color w:val="auto"/>
        </w:rPr>
      </w:pPr>
    </w:p>
    <w:tbl>
      <w:tblPr>
        <w:tblLayout w:type="fixed"/>
        <w:tblInd w:w="8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color w:val="auto"/>
              </w:rPr>
              <w:t>Icahn Enterprises L.P.</w:t>
            </w:r>
          </w:p>
        </w:tc>
        <w:tc>
          <w:tcPr>
            <w:tcW w:w="2000" w:type="dxa"/>
            <w:vAlign w:val="bottom"/>
          </w:tcPr>
          <w:p>
            <w:pPr>
              <w:spacing w:after="0"/>
              <w:rPr>
                <w:sz w:val="14"/>
                <w:szCs w:val="14"/>
                <w:color w:val="auto"/>
              </w:rPr>
            </w:pPr>
          </w:p>
        </w:tc>
        <w:tc>
          <w:tcPr>
            <w:tcW w:w="4680" w:type="dxa"/>
            <w:vAlign w:val="bottom"/>
            <w:gridSpan w:val="5"/>
          </w:tcPr>
          <w:p>
            <w:pPr>
              <w:ind w:left="1360"/>
              <w:spacing w:after="0"/>
              <w:rPr>
                <w:sz w:val="20"/>
                <w:szCs w:val="20"/>
                <w:color w:val="auto"/>
              </w:rPr>
            </w:pPr>
            <w:r>
              <w:rPr>
                <w:rFonts w:ascii="Arial" w:cs="Arial" w:eastAsia="Arial" w:hAnsi="Arial"/>
                <w:sz w:val="14"/>
                <w:szCs w:val="14"/>
                <w:color w:val="auto"/>
              </w:rPr>
              <w:t>Icahn Enterprises Holdings L.P.</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57" w:lineRule="exact"/>
              <w:rPr>
                <w:sz w:val="20"/>
                <w:szCs w:val="20"/>
                <w:color w:val="auto"/>
              </w:rPr>
            </w:pPr>
            <w:r>
              <w:rPr>
                <w:rFonts w:ascii="Arial" w:cs="Arial" w:eastAsia="Arial" w:hAnsi="Arial"/>
                <w:sz w:val="14"/>
                <w:szCs w:val="14"/>
                <w:color w:val="auto"/>
                <w:w w:val="86"/>
              </w:rPr>
              <w:t>Large Accelerated</w:t>
            </w: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vMerge w:val="restart"/>
          </w:tcPr>
          <w:p>
            <w:pPr>
              <w:spacing w:after="0" w:line="15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vMerge w:val="restart"/>
          </w:tcPr>
          <w:p>
            <w:pPr>
              <w:spacing w:after="0" w:line="15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0" w:type="dxa"/>
            <w:vAlign w:val="bottom"/>
          </w:tcPr>
          <w:p>
            <w:pPr>
              <w:spacing w:after="0" w:line="20" w:lineRule="exact"/>
              <w:rPr>
                <w:sz w:val="1"/>
                <w:szCs w:val="1"/>
                <w:color w:val="auto"/>
              </w:rPr>
            </w:pPr>
          </w:p>
        </w:tc>
      </w:tr>
      <w:tr>
        <w:trPr>
          <w:trHeight w:val="136"/>
        </w:trPr>
        <w:tc>
          <w:tcPr>
            <w:tcW w:w="1000" w:type="dxa"/>
            <w:vAlign w:val="bottom"/>
            <w:vMerge w:val="continue"/>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4"/>
                <w:szCs w:val="14"/>
                <w:color w:val="auto"/>
              </w:rPr>
              <w:t>Filer</w:t>
            </w:r>
          </w:p>
        </w:tc>
        <w:tc>
          <w:tcPr>
            <w:tcW w:w="460" w:type="dxa"/>
            <w:vAlign w:val="bottom"/>
          </w:tcPr>
          <w:p>
            <w:pPr>
              <w:ind w:left="60"/>
              <w:spacing w:after="0" w:line="136" w:lineRule="exact"/>
              <w:rPr>
                <w:sz w:val="20"/>
                <w:szCs w:val="20"/>
                <w:color w:val="auto"/>
              </w:rPr>
            </w:pPr>
            <w:r>
              <w:rPr>
                <w:rFonts w:ascii="MS PGothic" w:cs="MS PGothic" w:eastAsia="MS PGothic" w:hAnsi="MS PGothic"/>
                <w:sz w:val="14"/>
                <w:szCs w:val="14"/>
                <w:color w:val="auto"/>
              </w:rPr>
              <w:t>☒</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94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Large Accelerated Filer</w:t>
            </w:r>
          </w:p>
        </w:tc>
        <w:tc>
          <w:tcPr>
            <w:tcW w:w="520" w:type="dxa"/>
            <w:vAlign w:val="bottom"/>
          </w:tcPr>
          <w:p>
            <w:pPr>
              <w:ind w:left="80"/>
              <w:spacing w:after="0" w:line="136" w:lineRule="exact"/>
              <w:rPr>
                <w:sz w:val="20"/>
                <w:szCs w:val="20"/>
                <w:color w:val="auto"/>
              </w:rPr>
            </w:pPr>
            <w:r>
              <w:rPr>
                <w:rFonts w:ascii="MS PGothic" w:cs="MS PGothic" w:eastAsia="MS PGothic" w:hAnsi="MS PGothic"/>
                <w:sz w:val="14"/>
                <w:szCs w:val="14"/>
                <w:color w:val="auto"/>
              </w:rPr>
              <w:t>☐</w:t>
            </w:r>
          </w:p>
        </w:tc>
        <w:tc>
          <w:tcPr>
            <w:tcW w:w="7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420" w:type="dxa"/>
            <w:vAlign w:val="bottom"/>
            <w:gridSpan w:val="2"/>
          </w:tcPr>
          <w:p>
            <w:pPr>
              <w:jc w:val="right"/>
              <w:spacing w:after="0"/>
              <w:rPr>
                <w:sz w:val="20"/>
                <w:szCs w:val="20"/>
                <w:color w:val="auto"/>
              </w:rPr>
            </w:pPr>
            <w:r>
              <w:rPr>
                <w:rFonts w:ascii="Arial" w:cs="Arial" w:eastAsia="Arial" w:hAnsi="Arial"/>
                <w:sz w:val="14"/>
                <w:szCs w:val="14"/>
                <w:color w:val="auto"/>
              </w:rPr>
              <w:t>Non-accelerated Filer</w:t>
            </w:r>
          </w:p>
        </w:tc>
        <w:tc>
          <w:tcPr>
            <w:tcW w:w="4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gridSpan w:val="3"/>
          </w:tcPr>
          <w:p>
            <w:pPr>
              <w:ind w:left="2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Non-accelerated Filer</w:t>
            </w:r>
          </w:p>
        </w:tc>
        <w:tc>
          <w:tcPr>
            <w:tcW w:w="5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2220" w:type="dxa"/>
            <w:vAlign w:val="bottom"/>
            <w:gridSpan w:val="2"/>
          </w:tcPr>
          <w:p>
            <w:pPr>
              <w:ind w:left="300"/>
              <w:spacing w:after="0" w:line="161" w:lineRule="exact"/>
              <w:rPr>
                <w:sz w:val="20"/>
                <w:szCs w:val="20"/>
                <w:color w:val="auto"/>
              </w:rPr>
            </w:pPr>
            <w:r>
              <w:rPr>
                <w:rFonts w:ascii="Arial" w:cs="Arial" w:eastAsia="Arial" w:hAnsi="Arial"/>
                <w:sz w:val="14"/>
                <w:szCs w:val="14"/>
                <w:color w:val="auto"/>
                <w:w w:val="96"/>
              </w:rPr>
              <w:t xml:space="preserve">Smaller Reporting Company  </w:t>
            </w:r>
            <w:r>
              <w:rPr>
                <w:rFonts w:ascii="MS PGothic" w:cs="MS PGothic" w:eastAsia="MS PGothic" w:hAnsi="MS PGothic"/>
                <w:sz w:val="14"/>
                <w:szCs w:val="14"/>
                <w:color w:val="auto"/>
                <w:w w:val="96"/>
              </w:rPr>
              <w:t>☐</w:t>
            </w:r>
          </w:p>
        </w:tc>
        <w:tc>
          <w:tcPr>
            <w:tcW w:w="0" w:type="dxa"/>
            <w:vAlign w:val="bottom"/>
          </w:tcPr>
          <w:p>
            <w:pPr>
              <w:spacing w:after="0"/>
              <w:rPr>
                <w:sz w:val="1"/>
                <w:szCs w:val="1"/>
                <w:color w:val="auto"/>
              </w:rPr>
            </w:pPr>
          </w:p>
        </w:tc>
      </w:tr>
      <w:tr>
        <w:trPr>
          <w:trHeight w:val="226"/>
        </w:trPr>
        <w:tc>
          <w:tcPr>
            <w:tcW w:w="2580" w:type="dxa"/>
            <w:vAlign w:val="bottom"/>
            <w:gridSpan w:val="5"/>
          </w:tcPr>
          <w:p>
            <w:pPr>
              <w:ind w:left="920"/>
              <w:spacing w:after="0"/>
              <w:rPr>
                <w:sz w:val="20"/>
                <w:szCs w:val="20"/>
                <w:color w:val="auto"/>
              </w:rPr>
            </w:pPr>
            <w:r>
              <w:rPr>
                <w:rFonts w:ascii="Arial" w:cs="Arial" w:eastAsia="Arial" w:hAnsi="Arial"/>
                <w:sz w:val="14"/>
                <w:szCs w:val="14"/>
                <w:color w:val="auto"/>
                <w:w w:val="94"/>
              </w:rPr>
              <w:t>Emerging Growth Company</w:t>
            </w:r>
          </w:p>
        </w:tc>
        <w:tc>
          <w:tcPr>
            <w:tcW w:w="20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tcPr>
          <w:p>
            <w:pPr>
              <w:spacing w:after="0"/>
              <w:rPr>
                <w:sz w:val="19"/>
                <w:szCs w:val="19"/>
                <w:color w:val="auto"/>
              </w:rPr>
            </w:pPr>
          </w:p>
        </w:tc>
        <w:tc>
          <w:tcPr>
            <w:tcW w:w="3320" w:type="dxa"/>
            <w:vAlign w:val="bottom"/>
            <w:gridSpan w:val="4"/>
          </w:tcPr>
          <w:p>
            <w:pPr>
              <w:ind w:left="1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1507490</wp:posOffset>
            </wp:positionH>
            <wp:positionV relativeFrom="paragraph">
              <wp:posOffset>-329565</wp:posOffset>
            </wp:positionV>
            <wp:extent cx="69215" cy="7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-329565</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-329565</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-329565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-217805</wp:posOffset>
            </wp:positionV>
            <wp:extent cx="69215" cy="7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-217805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-217805</wp:posOffset>
            </wp:positionV>
            <wp:extent cx="69215" cy="70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-106680</wp:posOffset>
            </wp:positionV>
            <wp:extent cx="69215" cy="70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5533390</wp:posOffset>
            </wp:positionH>
            <wp:positionV relativeFrom="paragraph">
              <wp:posOffset>-106680</wp:posOffset>
            </wp:positionV>
            <wp:extent cx="69215" cy="70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60" w:lineRule="exact"/>
        <w:rPr>
          <w:sz w:val="24"/>
          <w:szCs w:val="24"/>
          <w:color w:val="auto"/>
        </w:rPr>
      </w:pPr>
    </w:p>
    <w:p>
      <w:pPr>
        <w:ind w:left="20" w:right="2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left="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95"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November 6, 2020, there were 232,082,223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649795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72390</wp:posOffset>
            </wp:positionV>
            <wp:extent cx="6497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106680</wp:posOffset>
            </wp:positionV>
            <wp:extent cx="649795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7080" w:type="dxa"/>
            <w:vAlign w:val="bottom"/>
            <w:vMerge w:val="restart"/>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Explanatory Note and Forward-Looking Statements</w:t>
              </w:r>
            </w:hyperlink>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 No</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7080" w:type="dxa"/>
            <w:vAlign w:val="bottom"/>
            <w:vMerge w:val="continue"/>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71"/>
        </w:trPr>
        <w:tc>
          <w:tcPr>
            <w:tcW w:w="820" w:type="dxa"/>
            <w:vAlign w:val="bottom"/>
          </w:tcPr>
          <w:p>
            <w:pPr>
              <w:spacing w:after="0"/>
              <w:rPr>
                <w:sz w:val="24"/>
                <w:szCs w:val="24"/>
                <w:color w:val="auto"/>
              </w:rPr>
            </w:pPr>
          </w:p>
        </w:tc>
        <w:tc>
          <w:tcPr>
            <w:tcW w:w="7080" w:type="dxa"/>
            <w:vAlign w:val="bottom"/>
          </w:tcPr>
          <w:p>
            <w:pPr>
              <w:ind w:left="2080"/>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w w:val="97"/>
              </w:rPr>
            </w:pPr>
            <w:hyperlink w:anchor="page46">
              <w:r>
                <w:rPr>
                  <w:rFonts w:ascii="Arial" w:cs="Arial" w:eastAsia="Arial" w:hAnsi="Arial"/>
                  <w:sz w:val="18"/>
                  <w:szCs w:val="18"/>
                  <w:u w:val="single" w:color="auto"/>
                  <w:color w:val="0000EE"/>
                  <w:w w:val="97"/>
                </w:rPr>
                <w:t>Management’s Discussion and Analysis of Financial Condition and Results of Operations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63">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Quantitative and Qualitative Disclosures About Market Risk</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30"/>
        </w:trPr>
        <w:tc>
          <w:tcPr>
            <w:tcW w:w="820" w:type="dxa"/>
            <w:vAlign w:val="bottom"/>
          </w:tcPr>
          <w:p>
            <w:pPr>
              <w:spacing w:after="0"/>
              <w:rPr>
                <w:rFonts w:ascii="Arial" w:cs="Arial" w:eastAsia="Arial" w:hAnsi="Arial"/>
                <w:sz w:val="18"/>
                <w:szCs w:val="18"/>
                <w:color w:val="0000EE"/>
              </w:rPr>
            </w:pPr>
            <w:hyperlink w:anchor="page64">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Controls and Procedures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472"/>
        </w:trPr>
        <w:tc>
          <w:tcPr>
            <w:tcW w:w="820" w:type="dxa"/>
            <w:vAlign w:val="bottom"/>
          </w:tcPr>
          <w:p>
            <w:pPr>
              <w:spacing w:after="0"/>
              <w:rPr>
                <w:sz w:val="24"/>
                <w:szCs w:val="24"/>
                <w:color w:val="auto"/>
              </w:rPr>
            </w:pPr>
          </w:p>
        </w:tc>
        <w:tc>
          <w:tcPr>
            <w:tcW w:w="7080" w:type="dxa"/>
            <w:vAlign w:val="bottom"/>
          </w:tcPr>
          <w:p>
            <w:pPr>
              <w:ind w:left="2220"/>
              <w:spacing w:after="0"/>
              <w:rPr>
                <w:sz w:val="20"/>
                <w:szCs w:val="20"/>
                <w:color w:val="auto"/>
              </w:rPr>
            </w:pPr>
            <w:r>
              <w:rPr>
                <w:rFonts w:ascii="Arial" w:cs="Arial" w:eastAsia="Arial" w:hAnsi="Arial"/>
                <w:sz w:val="18"/>
                <w:szCs w:val="18"/>
                <w:b w:val="1"/>
                <w:bCs w:val="1"/>
                <w:color w:val="auto"/>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65">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Legal Proceedings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1A.</w:t>
              </w:r>
            </w:hyperlink>
          </w:p>
        </w:tc>
        <w:tc>
          <w:tcPr>
            <w:tcW w:w="7080" w:type="dxa"/>
            <w:vAlign w:val="bottom"/>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Risk Factors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30"/>
        </w:trPr>
        <w:tc>
          <w:tcPr>
            <w:tcW w:w="820" w:type="dxa"/>
            <w:vAlign w:val="bottom"/>
          </w:tcPr>
          <w:p>
            <w:pPr>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6</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including the impact of the COVID-19 pandemic,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72"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the severity, magnitude and duration of the COVID-19 pandemic and its impact on the global economy, financial markets and industries in which our subsidiaries operate; risks related to our investment activities, including the nature of the investments made by the private funds in which we invest, declines in the fair value of our investments as a result of the COVID-19 pandemic, losses in the private funds and loss of key employees; risks related to our ability to continue to conduct our activities in a manner so as to not be deemed an investment company under the Investment Company Act of 1940, as amended; risks related to our energy business, including the volatility and availability of crude oil, declines in global demand for crude oil, refined products and liquid transportation fuels as result of the COVID-19 pandemic, other feed stocks and refined products, unfavorable refining margin (crack spread), interrupted access to pipelines, significant fluctuations in nitrogen fertilizer demand in the agricultural industry and seasonality of results; risks related to our automotive activities and exposure to adverse conditions in the automotive industry, including as a result of the COVID-19 pandemic; risks related to our food packaging activities, including competition from better capitalized competitors, inability of its suppliers to timely deliver raw materials, and the failure to effectively respond to industry changes in casings technology; risks related to our scrap metals activities, including potential environmental exposure; risks related to our real estate activities, including the extent of any tenant bankruptcies and insolvencies; risks related to our home fashion operations, including changes in the availability and price of raw materials, and changes in transportation costs and delivery times. These risks and uncertainties also include the risks and uncertainties described in our Annual Report on Form 10-K for the year ended December 31, 2019 and in our Quarterly Reports on Form 10-Q for the quarterly periods ended March 31, 2020 and June 30, 2020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6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4"/>
                <w:szCs w:val="14"/>
                <w:color w:val="auto"/>
                <w:w w:val="91"/>
              </w:rPr>
              <w:t>(In millions, except</w:t>
            </w:r>
          </w:p>
        </w:tc>
        <w:tc>
          <w:tcPr>
            <w:tcW w:w="1120" w:type="dxa"/>
            <w:vAlign w:val="bottom"/>
            <w:gridSpan w:val="2"/>
          </w:tcPr>
          <w:p>
            <w:pPr>
              <w:jc w:val="right"/>
              <w:ind w:right="170"/>
              <w:spacing w:after="0" w:line="129" w:lineRule="exact"/>
              <w:rPr>
                <w:sz w:val="20"/>
                <w:szCs w:val="20"/>
                <w:color w:val="auto"/>
              </w:rPr>
            </w:pPr>
            <w:r>
              <w:rPr>
                <w:rFonts w:ascii="Arial" w:cs="Arial" w:eastAsia="Arial" w:hAnsi="Arial"/>
                <w:sz w:val="14"/>
                <w:szCs w:val="14"/>
                <w:color w:val="auto"/>
                <w:w w:val="98"/>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8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1,862</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derivative contracts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Limited partners: Depositary units: 232,082,223 units issued and outstanding at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September 30, 2020 and 214,078,558 units issued and outstanding at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2019</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00" w:type="dxa"/>
            <w:vAlign w:val="bottom"/>
            <w:gridSpan w:val="7"/>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10"/>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00" w:type="dxa"/>
            <w:vAlign w:val="bottom"/>
          </w:tcPr>
          <w:p>
            <w:pPr>
              <w:spacing w:after="0"/>
              <w:rPr>
                <w:sz w:val="24"/>
                <w:szCs w:val="24"/>
                <w:color w:val="auto"/>
              </w:rPr>
            </w:pPr>
          </w:p>
        </w:tc>
        <w:tc>
          <w:tcPr>
            <w:tcW w:w="19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24"/>
                <w:szCs w:val="24"/>
                <w:color w:val="auto"/>
              </w:rPr>
            </w:pPr>
          </w:p>
        </w:tc>
        <w:tc>
          <w:tcPr>
            <w:tcW w:w="17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7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color w:val="auto"/>
                <w:w w:val="85"/>
              </w:rPr>
              <w:t>(In</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color w:val="auto"/>
                <w:w w:val="94"/>
              </w:rPr>
              <w:t>millions, except</w:t>
            </w:r>
          </w:p>
        </w:tc>
        <w:tc>
          <w:tcPr>
            <w:tcW w:w="1000" w:type="dxa"/>
            <w:vAlign w:val="bottom"/>
            <w:gridSpan w:val="3"/>
          </w:tcPr>
          <w:p>
            <w:pPr>
              <w:jc w:val="right"/>
              <w:spacing w:after="0" w:line="129" w:lineRule="exact"/>
              <w:rPr>
                <w:sz w:val="20"/>
                <w:szCs w:val="20"/>
                <w:color w:val="auto"/>
              </w:rPr>
            </w:pPr>
            <w:r>
              <w:rPr>
                <w:rFonts w:ascii="Arial" w:cs="Arial" w:eastAsia="Arial" w:hAnsi="Arial"/>
                <w:sz w:val="14"/>
                <w:szCs w:val="14"/>
                <w:color w:val="auto"/>
                <w:w w:val="89"/>
              </w:rPr>
              <w:t>per unit amounts)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1,764</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2,484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4,950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Net loss from investment activities</w:t>
            </w:r>
          </w:p>
        </w:tc>
        <w:tc>
          <w:tcPr>
            <w:tcW w:w="160" w:type="dxa"/>
            <w:vAlign w:val="bottom"/>
          </w:tcPr>
          <w:p>
            <w:pPr>
              <w:spacing w:after="0"/>
              <w:rPr>
                <w:sz w:val="18"/>
                <w:szCs w:val="18"/>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8"/>
                <w:szCs w:val="18"/>
                <w:color w:val="auto"/>
              </w:rPr>
              <w:t>(1,259)</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(2,152)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Gain on disposition of assets,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(loss),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expenses from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7,993</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benefit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Pr>
          <w:p>
            <w:pPr>
              <w:spacing w:after="0"/>
              <w:rPr>
                <w:sz w:val="18"/>
                <w:szCs w:val="18"/>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160" w:type="dxa"/>
            <w:vAlign w:val="bottom"/>
          </w:tcPr>
          <w:p>
            <w:pPr>
              <w:spacing w:after="0"/>
              <w:rPr>
                <w:sz w:val="18"/>
                <w:szCs w:val="18"/>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Icahn Enterprises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Icahn Enterprises from:</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8"/>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9"/>
        </w:trPr>
        <w:tc>
          <w:tcPr>
            <w:tcW w:w="5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attributable to Icahn Enterprises allocated to:</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Limited partners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8"/>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partner</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9"/>
        </w:trPr>
        <w:tc>
          <w:tcPr>
            <w:tcW w:w="5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Basic and diluted loss per LP unit: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8"/>
                <w:szCs w:val="18"/>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loss per LP unit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Basic and diluted weighted average LP units outstanding</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distributions declared per LP unit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9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18"/>
                <w:szCs w:val="18"/>
                <w:color w:val="auto"/>
              </w:rPr>
            </w:pPr>
          </w:p>
        </w:tc>
        <w:tc>
          <w:tcPr>
            <w:tcW w:w="16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6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r>
      <w:tr>
        <w:trPr>
          <w:trHeight w:val="128"/>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right"/>
              <w:ind w:right="410"/>
              <w:spacing w:after="0" w:line="129"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(1,637)</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Less: Comprehensive loss attributable to non-controlling interests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4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attributable to Icahn Enterprises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w:t>
            </w:r>
          </w:p>
        </w:tc>
      </w:tr>
      <w:tr>
        <w:trPr>
          <w:trHeight w:val="197"/>
        </w:trPr>
        <w:tc>
          <w:tcPr>
            <w:tcW w:w="5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w w:val="98"/>
              </w:rPr>
              <w:t>Comprehensive loss attributable to Icahn Enterprises allocated to:</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5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13"/>
          </w:tcPr>
          <w:p>
            <w:pPr>
              <w:jc w:val="center"/>
              <w:ind w:right="260"/>
              <w:spacing w:after="0"/>
              <w:rPr>
                <w:sz w:val="20"/>
                <w:szCs w:val="20"/>
                <w:color w:val="auto"/>
              </w:rPr>
            </w:pPr>
            <w:r>
              <w:rPr>
                <w:rFonts w:ascii="Arial" w:cs="Arial" w:eastAsia="Arial" w:hAnsi="Arial"/>
                <w:sz w:val="13"/>
                <w:szCs w:val="13"/>
                <w:b w:val="1"/>
                <w:bCs w:val="1"/>
                <w:color w:val="auto"/>
                <w:w w:val="89"/>
              </w:rPr>
              <w:t>Equity Attributable to Icahn Enterprises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3"/>
          </w:tcPr>
          <w:p>
            <w:pPr>
              <w:ind w:left="80"/>
              <w:spacing w:after="0" w:line="110" w:lineRule="exact"/>
              <w:rPr>
                <w:sz w:val="20"/>
                <w:szCs w:val="20"/>
                <w:color w:val="auto"/>
              </w:rPr>
            </w:pPr>
            <w:r>
              <w:rPr>
                <w:rFonts w:ascii="Arial" w:cs="Arial" w:eastAsia="Arial" w:hAnsi="Arial"/>
                <w:sz w:val="12"/>
                <w:szCs w:val="12"/>
                <w:b w:val="1"/>
                <w:bCs w:val="1"/>
                <w:color w:val="auto"/>
              </w:rPr>
              <w:t>General</w:t>
            </w: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rPr>
              <w:t>Limited</w:t>
            </w: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Partner’s</w:t>
            </w:r>
          </w:p>
        </w:tc>
        <w:tc>
          <w:tcPr>
            <w:tcW w:w="20" w:type="dxa"/>
            <w:vAlign w:val="bottom"/>
          </w:tcPr>
          <w:p>
            <w:pPr>
              <w:spacing w:after="0"/>
              <w:rPr>
                <w:sz w:val="11"/>
                <w:szCs w:val="11"/>
                <w:color w:val="auto"/>
              </w:rPr>
            </w:pPr>
          </w:p>
        </w:tc>
        <w:tc>
          <w:tcPr>
            <w:tcW w:w="7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Partners’</w:t>
            </w:r>
          </w:p>
        </w:tc>
        <w:tc>
          <w:tcPr>
            <w:tcW w:w="20" w:type="dxa"/>
            <w:vAlign w:val="bottom"/>
          </w:tcPr>
          <w:p>
            <w:pPr>
              <w:spacing w:after="0"/>
              <w:rPr>
                <w:sz w:val="11"/>
                <w:szCs w:val="11"/>
                <w:color w:val="auto"/>
              </w:rPr>
            </w:pPr>
          </w:p>
        </w:tc>
        <w:tc>
          <w:tcPr>
            <w:tcW w:w="98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Total Partners’</w:t>
            </w:r>
          </w:p>
        </w:tc>
        <w:tc>
          <w:tcPr>
            <w:tcW w:w="740" w:type="dxa"/>
            <w:vAlign w:val="bottom"/>
            <w:gridSpan w:val="5"/>
          </w:tcPr>
          <w:p>
            <w:pPr>
              <w:spacing w:after="0" w:line="135" w:lineRule="exact"/>
              <w:rPr>
                <w:sz w:val="20"/>
                <w:szCs w:val="20"/>
                <w:color w:val="auto"/>
              </w:rPr>
            </w:pPr>
            <w:r>
              <w:rPr>
                <w:rFonts w:ascii="Arial" w:cs="Arial" w:eastAsia="Arial" w:hAnsi="Arial"/>
                <w:sz w:val="13"/>
                <w:szCs w:val="13"/>
                <w:b w:val="1"/>
                <w:bCs w:val="1"/>
                <w:color w:val="auto"/>
              </w:rPr>
              <w:t>controlling</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9"/>
              </w:rPr>
              <w:t>(Deficit) Equity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Equity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Interests</w:t>
            </w:r>
          </w:p>
        </w:tc>
        <w:tc>
          <w:tcPr>
            <w:tcW w:w="20" w:type="dxa"/>
            <w:vAlign w:val="bottom"/>
          </w:tcPr>
          <w:p>
            <w:pPr>
              <w:spacing w:after="0"/>
              <w:rPr>
                <w:sz w:val="13"/>
                <w:szCs w:val="13"/>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88"/>
              </w:rPr>
              <w:t>Total 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color w:val="auto"/>
              </w:rPr>
              <w:t>(In millions)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Balance, December 31, 2019</w:t>
            </w:r>
          </w:p>
        </w:tc>
        <w:tc>
          <w:tcPr>
            <w:tcW w:w="120" w:type="dxa"/>
            <w:vAlign w:val="bottom"/>
            <w:gridSpan w:val="2"/>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(812)</w:t>
            </w:r>
          </w:p>
        </w:tc>
        <w:tc>
          <w:tcPr>
            <w:tcW w:w="10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6,268</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5,456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5,486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81"/>
              <w:spacing w:after="0" w:line="135"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(1,356)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(1,384)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(922)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(2,306)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Partnership distributions payable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(428)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(437)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Partnership contributions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Investment segment contributions from non-controlling interests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1,241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Dividends and distributions to non-controlling interests in subsidiaries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Changes in subsidiary equity and 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60" w:type="dxa"/>
            <w:vAlign w:val="bottom"/>
            <w:tcBorders>
              <w:top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March 31, 2020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(849)</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4,484</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3,635</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5,782</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6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293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299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565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864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Partnership distributions payable reversal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428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437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Partnership distributions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(461)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Partnership contributions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Dividends and distributions to non-controlling interests in subsidiaries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Changes in subsidiary equity and 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60" w:type="dxa"/>
            <w:vAlign w:val="bottom"/>
            <w:tcBorders>
              <w:top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June 30, 2020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(842)</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4,774</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3,932</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6,333</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6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(14)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(700)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(714)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(686)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(1,400)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Partnership distributions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Partnership contributions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Changes in subsidiary equity and 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6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September 30, 2020</w:t>
            </w:r>
          </w:p>
        </w:tc>
        <w:tc>
          <w:tcPr>
            <w:tcW w:w="120" w:type="dxa"/>
            <w:vAlign w:val="bottom"/>
            <w:tcBorders>
              <w:top w:val="single" w:sz="8" w:color="auto"/>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(856)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4,086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3,230</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5,643</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gridSpan w:val="2"/>
            <w:shd w:val="clear" w:color="auto" w:fill="CCEEFF"/>
          </w:tcPr>
          <w:p>
            <w:pPr>
              <w:jc w:val="right"/>
              <w:ind w:right="81"/>
              <w:spacing w:after="0" w:line="129"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8,873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13"/>
          </w:tcPr>
          <w:p>
            <w:pPr>
              <w:jc w:val="center"/>
              <w:ind w:right="260"/>
              <w:spacing w:after="0"/>
              <w:rPr>
                <w:sz w:val="20"/>
                <w:szCs w:val="20"/>
                <w:color w:val="auto"/>
              </w:rPr>
            </w:pPr>
            <w:r>
              <w:rPr>
                <w:rFonts w:ascii="Arial" w:cs="Arial" w:eastAsia="Arial" w:hAnsi="Arial"/>
                <w:sz w:val="13"/>
                <w:szCs w:val="13"/>
                <w:b w:val="1"/>
                <w:bCs w:val="1"/>
                <w:color w:val="auto"/>
                <w:w w:val="89"/>
              </w:rPr>
              <w:t>Equity Attributable to Icahn Enterprises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3"/>
          </w:tcPr>
          <w:p>
            <w:pPr>
              <w:ind w:left="80"/>
              <w:spacing w:after="0" w:line="110" w:lineRule="exact"/>
              <w:rPr>
                <w:sz w:val="20"/>
                <w:szCs w:val="20"/>
                <w:color w:val="auto"/>
              </w:rPr>
            </w:pPr>
            <w:r>
              <w:rPr>
                <w:rFonts w:ascii="Arial" w:cs="Arial" w:eastAsia="Arial" w:hAnsi="Arial"/>
                <w:sz w:val="12"/>
                <w:szCs w:val="12"/>
                <w:b w:val="1"/>
                <w:bCs w:val="1"/>
                <w:color w:val="auto"/>
              </w:rPr>
              <w:t>General</w:t>
            </w: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rPr>
              <w:t>Limited</w:t>
            </w: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Partner’s</w:t>
            </w:r>
          </w:p>
        </w:tc>
        <w:tc>
          <w:tcPr>
            <w:tcW w:w="20" w:type="dxa"/>
            <w:vAlign w:val="bottom"/>
          </w:tcPr>
          <w:p>
            <w:pPr>
              <w:spacing w:after="0"/>
              <w:rPr>
                <w:sz w:val="11"/>
                <w:szCs w:val="11"/>
                <w:color w:val="auto"/>
              </w:rPr>
            </w:pPr>
          </w:p>
        </w:tc>
        <w:tc>
          <w:tcPr>
            <w:tcW w:w="76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Partners’</w:t>
            </w:r>
          </w:p>
        </w:tc>
        <w:tc>
          <w:tcPr>
            <w:tcW w:w="20" w:type="dxa"/>
            <w:vAlign w:val="bottom"/>
          </w:tcPr>
          <w:p>
            <w:pPr>
              <w:spacing w:after="0"/>
              <w:rPr>
                <w:sz w:val="11"/>
                <w:szCs w:val="11"/>
                <w:color w:val="auto"/>
              </w:rPr>
            </w:pPr>
          </w:p>
        </w:tc>
        <w:tc>
          <w:tcPr>
            <w:tcW w:w="98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Total Partners’</w:t>
            </w:r>
          </w:p>
        </w:tc>
        <w:tc>
          <w:tcPr>
            <w:tcW w:w="740" w:type="dxa"/>
            <w:vAlign w:val="bottom"/>
            <w:gridSpan w:val="5"/>
          </w:tcPr>
          <w:p>
            <w:pPr>
              <w:spacing w:after="0" w:line="135" w:lineRule="exact"/>
              <w:rPr>
                <w:sz w:val="20"/>
                <w:szCs w:val="20"/>
                <w:color w:val="auto"/>
              </w:rPr>
            </w:pPr>
            <w:r>
              <w:rPr>
                <w:rFonts w:ascii="Arial" w:cs="Arial" w:eastAsia="Arial" w:hAnsi="Arial"/>
                <w:sz w:val="13"/>
                <w:szCs w:val="13"/>
                <w:b w:val="1"/>
                <w:bCs w:val="1"/>
                <w:color w:val="auto"/>
              </w:rPr>
              <w:t>controlling</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1"/>
              </w:rPr>
              <w:t>(Deficit) Equity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ind w:left="100"/>
              <w:spacing w:after="0"/>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Interests</w:t>
            </w:r>
          </w:p>
        </w:tc>
        <w:tc>
          <w:tcPr>
            <w:tcW w:w="20" w:type="dxa"/>
            <w:vAlign w:val="bottom"/>
          </w:tcPr>
          <w:p>
            <w:pPr>
              <w:spacing w:after="0"/>
              <w:rPr>
                <w:sz w:val="13"/>
                <w:szCs w:val="13"/>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88"/>
              </w:rPr>
              <w:t>Total 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20"/>
              <w:spacing w:after="0" w:line="115" w:lineRule="exact"/>
              <w:rPr>
                <w:sz w:val="20"/>
                <w:szCs w:val="20"/>
                <w:color w:val="auto"/>
              </w:rPr>
            </w:pPr>
            <w:r>
              <w:rPr>
                <w:rFonts w:ascii="Arial" w:cs="Arial" w:eastAsia="Arial" w:hAnsi="Arial"/>
                <w:sz w:val="13"/>
                <w:szCs w:val="13"/>
                <w:color w:val="auto"/>
                <w:w w:val="93"/>
              </w:rPr>
              <w:t>(In millions)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December 31, 2018</w:t>
            </w:r>
          </w:p>
        </w:tc>
        <w:tc>
          <w:tcPr>
            <w:tcW w:w="120" w:type="dxa"/>
            <w:vAlign w:val="bottom"/>
            <w:gridSpan w:val="2"/>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7,350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6,560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6,420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81"/>
              <w:spacing w:after="0" w:line="135"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12,980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(386)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(394)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Partnership distributions payable</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(383)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(391)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line="135" w:lineRule="exact"/>
              <w:rPr>
                <w:sz w:val="20"/>
                <w:szCs w:val="20"/>
                <w:color w:val="auto"/>
              </w:rPr>
            </w:pPr>
            <w:r>
              <w:rPr>
                <w:rFonts w:ascii="Arial" w:cs="Arial" w:eastAsia="Arial" w:hAnsi="Arial"/>
                <w:sz w:val="13"/>
                <w:szCs w:val="13"/>
                <w:color w:val="auto"/>
              </w:rPr>
              <w:t>Dividends and distributions to non-controlling interests in subsidiaries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Changes in subsidiary equity and other</w:t>
            </w: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Balance, March 31, 2019</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(804)</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6,643</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5,839</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5,813</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11,652</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loss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(488)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(498)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line="135" w:lineRule="exact"/>
              <w:rPr>
                <w:sz w:val="20"/>
                <w:szCs w:val="20"/>
                <w:color w:val="auto"/>
              </w:rPr>
            </w:pPr>
            <w:r>
              <w:rPr>
                <w:rFonts w:ascii="Arial" w:cs="Arial" w:eastAsia="Arial" w:hAnsi="Arial"/>
                <w:sz w:val="13"/>
                <w:szCs w:val="13"/>
                <w:color w:val="auto"/>
              </w:rPr>
              <w:t>Other comprehensive income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Partnership distributions payable reversal</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line="135" w:lineRule="exact"/>
              <w:rPr>
                <w:sz w:val="20"/>
                <w:szCs w:val="20"/>
                <w:color w:val="auto"/>
              </w:rPr>
            </w:pPr>
            <w:r>
              <w:rPr>
                <w:rFonts w:ascii="Arial" w:cs="Arial" w:eastAsia="Arial" w:hAnsi="Arial"/>
                <w:sz w:val="13"/>
                <w:szCs w:val="13"/>
                <w:color w:val="auto"/>
              </w:rPr>
              <w:t>Partnership distributions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Partnership contributions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line="135" w:lineRule="exact"/>
              <w:rPr>
                <w:sz w:val="20"/>
                <w:szCs w:val="20"/>
                <w:color w:val="auto"/>
              </w:rPr>
            </w:pPr>
            <w:r>
              <w:rPr>
                <w:rFonts w:ascii="Arial" w:cs="Arial" w:eastAsia="Arial" w:hAnsi="Arial"/>
                <w:sz w:val="13"/>
                <w:szCs w:val="13"/>
                <w:color w:val="auto"/>
              </w:rPr>
              <w:t>Investment segment contributions from non-controlling interests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and distributions to non-controlling interests in subsidiaries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line="135" w:lineRule="exact"/>
              <w:rPr>
                <w:sz w:val="20"/>
                <w:szCs w:val="20"/>
                <w:color w:val="auto"/>
              </w:rPr>
            </w:pPr>
            <w:r>
              <w:rPr>
                <w:rFonts w:ascii="Arial" w:cs="Arial" w:eastAsia="Arial" w:hAnsi="Arial"/>
                <w:sz w:val="13"/>
                <w:szCs w:val="13"/>
                <w:color w:val="auto"/>
              </w:rPr>
              <w:t>Changes in subsidiary equity and 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June 30, 2019</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(807)</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6,498</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5,691</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5,755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11,446</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line="129" w:lineRule="exact"/>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(48)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(49)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(324)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line="135" w:lineRule="exact"/>
              <w:rPr>
                <w:sz w:val="20"/>
                <w:szCs w:val="20"/>
                <w:color w:val="auto"/>
              </w:rPr>
            </w:pPr>
            <w:r>
              <w:rPr>
                <w:rFonts w:ascii="Arial" w:cs="Arial" w:eastAsia="Arial" w:hAnsi="Arial"/>
                <w:sz w:val="13"/>
                <w:szCs w:val="13"/>
                <w:color w:val="auto"/>
              </w:rPr>
              <w:t>Partnership distributions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Partnership contributions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line="135" w:lineRule="exact"/>
              <w:rPr>
                <w:sz w:val="20"/>
                <w:szCs w:val="20"/>
                <w:color w:val="auto"/>
              </w:rPr>
            </w:pPr>
            <w:r>
              <w:rPr>
                <w:rFonts w:ascii="Arial" w:cs="Arial" w:eastAsia="Arial" w:hAnsi="Arial"/>
                <w:sz w:val="13"/>
                <w:szCs w:val="13"/>
                <w:color w:val="auto"/>
              </w:rPr>
              <w:t>Investment segment contributions from non-controlling interests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150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and distributions to non-controlling interests in subsidiaries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line="135" w:lineRule="exact"/>
              <w:rPr>
                <w:sz w:val="20"/>
                <w:szCs w:val="20"/>
                <w:color w:val="auto"/>
              </w:rPr>
            </w:pPr>
            <w:r>
              <w:rPr>
                <w:rFonts w:ascii="Arial" w:cs="Arial" w:eastAsia="Arial" w:hAnsi="Arial"/>
                <w:sz w:val="13"/>
                <w:szCs w:val="13"/>
                <w:color w:val="auto"/>
              </w:rPr>
              <w:t>Changes in subsidiary equity and 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September 30, 2019</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5"/>
                <w:szCs w:val="5"/>
                <w:b w:val="1"/>
                <w:bCs w:val="1"/>
                <w:color w:val="auto"/>
                <w:w w:val="70"/>
              </w:rPr>
              <w:t>$</w:t>
            </w:r>
          </w:p>
        </w:tc>
        <w:tc>
          <w:tcPr>
            <w:tcW w:w="78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b w:val="1"/>
                <w:bCs w:val="1"/>
                <w:color w:val="auto"/>
              </w:rPr>
              <w:t>(808)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6,441</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5,633</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5"/>
                <w:szCs w:val="5"/>
                <w:b w:val="1"/>
                <w:bCs w:val="1"/>
                <w:color w:val="auto"/>
                <w:w w:val="70"/>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5,515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11,148</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2480" w:type="dxa"/>
            <w:vAlign w:val="bottom"/>
            <w:gridSpan w:val="6"/>
          </w:tcPr>
          <w:p>
            <w:pPr>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199"/>
        </w:trPr>
        <w:tc>
          <w:tcPr>
            <w:tcW w:w="64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7"/>
                <w:szCs w:val="17"/>
                <w:color w:val="auto"/>
              </w:rPr>
            </w:pPr>
          </w:p>
        </w:tc>
      </w:tr>
      <w:tr>
        <w:trPr>
          <w:trHeight w:val="128"/>
        </w:trPr>
        <w:tc>
          <w:tcPr>
            <w:tcW w:w="6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right"/>
              <w:ind w:right="4"/>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(2,842)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(1,634)</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Loss from discontinued operations</w:t>
            </w:r>
          </w:p>
        </w:tc>
        <w:tc>
          <w:tcPr>
            <w:tcW w:w="24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 from securities transactions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(1,480)</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(3,885)</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Payments to cover securities sold, not yet purchased</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(2,291)</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(451)</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609</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disposition of assets, net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389</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taxes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unrealized gains/losses on derivative contracts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(2,309)</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20" w:type="dxa"/>
            <w:vAlign w:val="bottom"/>
          </w:tcPr>
          <w:p>
            <w:pPr>
              <w:spacing w:after="0"/>
              <w:rPr>
                <w:sz w:val="17"/>
                <w:szCs w:val="17"/>
                <w:color w:val="auto"/>
              </w:rPr>
            </w:pPr>
          </w:p>
        </w:tc>
      </w:tr>
      <w:tr>
        <w:trPr>
          <w:trHeight w:val="203"/>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7"/>
                <w:szCs w:val="17"/>
                <w:color w:val="auto"/>
              </w:rPr>
            </w:pP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20" w:type="dxa"/>
            <w:vAlign w:val="bottom"/>
          </w:tcPr>
          <w:p>
            <w:pPr>
              <w:spacing w:after="0"/>
              <w:rPr>
                <w:sz w:val="17"/>
                <w:szCs w:val="17"/>
                <w:color w:val="auto"/>
              </w:rPr>
            </w:pPr>
          </w:p>
        </w:tc>
      </w:tr>
      <w:tr>
        <w:trPr>
          <w:trHeight w:val="190"/>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0" w:type="dxa"/>
            <w:vAlign w:val="bottom"/>
          </w:tcPr>
          <w:p>
            <w:pPr>
              <w:spacing w:after="0"/>
              <w:rPr>
                <w:sz w:val="18"/>
                <w:szCs w:val="18"/>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Turnaround expenditures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(158)</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businesses, net of cash acquired</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(317)</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Proceeds from disposition of businesses and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491</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20" w:type="dxa"/>
            <w:vAlign w:val="bottom"/>
          </w:tcPr>
          <w:p>
            <w:pPr>
              <w:spacing w:after="0"/>
              <w:rPr>
                <w:sz w:val="17"/>
                <w:szCs w:val="17"/>
                <w:color w:val="auto"/>
              </w:rPr>
            </w:pP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Investment segment contributions from non-controlling interests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Partnership contributions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(493)</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additional interests in consolidated subsidiaries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Dividends and distributions to non-controlling interests in subsidiaries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Holding Company senior unsecured notes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Repayments of Holding Company senior unsecured notes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(1,350)</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(1,700)</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subsidiary borrowings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Repayments of subsidiary borrowings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(1,244)</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(597)</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2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17"/>
                <w:szCs w:val="17"/>
                <w:color w:val="auto"/>
              </w:rPr>
            </w:pPr>
          </w:p>
        </w:tc>
      </w:tr>
      <w:tr>
        <w:trPr>
          <w:trHeight w:val="173"/>
        </w:trPr>
        <w:tc>
          <w:tcPr>
            <w:tcW w:w="644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w w:val="93"/>
              </w:rPr>
              <w:t>Effect of exchange rate changes on cash and cash equivalents and restricted cash and restricted</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Add back change in cash and restricted cash of assets held for sale</w:t>
            </w:r>
          </w:p>
        </w:tc>
        <w:tc>
          <w:tcPr>
            <w:tcW w:w="24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7"/>
                <w:szCs w:val="17"/>
                <w:color w:val="auto"/>
              </w:rPr>
            </w:pP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 and restricted cash</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20" w:type="dxa"/>
            <w:vAlign w:val="bottom"/>
          </w:tcPr>
          <w:p>
            <w:pPr>
              <w:spacing w:after="0"/>
              <w:rPr>
                <w:sz w:val="18"/>
                <w:szCs w:val="18"/>
                <w:color w:val="auto"/>
              </w:rPr>
            </w:pPr>
          </w:p>
        </w:tc>
      </w:tr>
      <w:tr>
        <w:trPr>
          <w:trHeight w:val="193"/>
        </w:trPr>
        <w:tc>
          <w:tcPr>
            <w:tcW w:w="6440" w:type="dxa"/>
            <w:vAlign w:val="bottom"/>
          </w:tcPr>
          <w:p>
            <w:pPr>
              <w:ind w:left="20"/>
              <w:spacing w:after="0"/>
              <w:rPr>
                <w:sz w:val="20"/>
                <w:szCs w:val="20"/>
                <w:color w:val="auto"/>
              </w:rPr>
            </w:pPr>
            <w:r>
              <w:rPr>
                <w:rFonts w:ascii="Arial" w:cs="Arial" w:eastAsia="Arial" w:hAnsi="Arial"/>
                <w:sz w:val="16"/>
                <w:szCs w:val="16"/>
                <w:color w:val="auto"/>
                <w:w w:val="98"/>
              </w:rPr>
              <w:t>Cash and cash equivalents and restricted cash and restricted cash equivalents, beginning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5,338</w:t>
            </w:r>
          </w:p>
        </w:tc>
        <w:tc>
          <w:tcPr>
            <w:tcW w:w="20" w:type="dxa"/>
            <w:vAlign w:val="bottom"/>
          </w:tcPr>
          <w:p>
            <w:pPr>
              <w:spacing w:after="0"/>
              <w:rPr>
                <w:sz w:val="18"/>
                <w:szCs w:val="18"/>
                <w:color w:val="auto"/>
              </w:rPr>
            </w:pPr>
          </w:p>
        </w:tc>
      </w:tr>
      <w:tr>
        <w:trPr>
          <w:trHeight w:val="19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Cash and cash equivalents and restricted cash and restricted cash equivalents, end of period</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20" w:type="dxa"/>
            <w:vAlign w:val="bottom"/>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00" w:type="dxa"/>
            <w:vAlign w:val="bottom"/>
            <w:gridSpan w:val="4"/>
          </w:tcPr>
          <w:p>
            <w:pPr>
              <w:ind w:left="1960"/>
              <w:spacing w:after="0"/>
              <w:rPr>
                <w:sz w:val="20"/>
                <w:szCs w:val="20"/>
                <w:color w:val="auto"/>
              </w:rPr>
            </w:pPr>
            <w:r>
              <w:rPr>
                <w:rFonts w:ascii="Arial" w:cs="Arial" w:eastAsia="Arial" w:hAnsi="Arial"/>
                <w:sz w:val="18"/>
                <w:szCs w:val="18"/>
                <w:b w:val="1"/>
                <w:bCs w:val="1"/>
                <w:color w:val="auto"/>
              </w:rPr>
              <w:t>ICAHN ENTERPRISES HOLDINGS L.P. AND SUBSIDIARIES</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ind w:left="1700"/>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44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tcPr>
          <w:p>
            <w:pPr>
              <w:ind w:left="620"/>
              <w:spacing w:after="0" w:line="142"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1,862</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derivative contracts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22,824</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24,639</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(897)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560" w:type="dxa"/>
            <w:vAlign w:val="bottom"/>
            <w:gridSpan w:val="10"/>
          </w:tcPr>
          <w:p>
            <w:pPr>
              <w:ind w:left="1960"/>
              <w:spacing w:after="0"/>
              <w:rPr>
                <w:sz w:val="20"/>
                <w:szCs w:val="20"/>
                <w:color w:val="auto"/>
              </w:rPr>
            </w:pPr>
            <w:r>
              <w:rPr>
                <w:rFonts w:ascii="Arial" w:cs="Arial" w:eastAsia="Arial" w:hAnsi="Arial"/>
                <w:sz w:val="18"/>
                <w:szCs w:val="18"/>
                <w:b w:val="1"/>
                <w:bCs w:val="1"/>
                <w:color w:val="auto"/>
              </w:rPr>
              <w:t>ICAHN ENTERPRISES HOLDINGS L.P. AND SUBSIDIARIES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gridSpan w:val="11"/>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60" w:type="dxa"/>
            <w:vAlign w:val="bottom"/>
          </w:tcPr>
          <w:p>
            <w:pPr>
              <w:spacing w:after="0"/>
              <w:rPr>
                <w:sz w:val="24"/>
                <w:szCs w:val="24"/>
                <w:color w:val="auto"/>
              </w:rPr>
            </w:pPr>
          </w:p>
        </w:tc>
        <w:tc>
          <w:tcPr>
            <w:tcW w:w="30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3"/>
          </w:tcPr>
          <w:p>
            <w:pPr>
              <w:jc w:val="right"/>
              <w:ind w:right="24"/>
              <w:spacing w:after="0" w:line="129" w:lineRule="exact"/>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1,764</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2,484</w:t>
            </w:r>
          </w:p>
        </w:tc>
        <w:tc>
          <w:tcPr>
            <w:tcW w:w="2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4,950</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Net loss from investment activities</w:t>
            </w: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(1,259)</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(657)</w:t>
            </w:r>
          </w:p>
        </w:tc>
        <w:tc>
          <w:tcPr>
            <w:tcW w:w="3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(2,152)</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Gain on disposition of assets,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(loss), net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expenses from operations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net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benefit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02"/>
        </w:trPr>
        <w:tc>
          <w:tcPr>
            <w:tcW w:w="3060" w:type="dxa"/>
            <w:vAlign w:val="bottom"/>
          </w:tcPr>
          <w:p>
            <w:pPr>
              <w:ind w:left="20"/>
              <w:spacing w:after="0" w:line="201" w:lineRule="exact"/>
              <w:rPr>
                <w:sz w:val="20"/>
                <w:szCs w:val="20"/>
                <w:color w:val="auto"/>
              </w:rPr>
            </w:pPr>
            <w:r>
              <w:rPr>
                <w:rFonts w:ascii="Arial" w:cs="Arial" w:eastAsia="Arial" w:hAnsi="Arial"/>
                <w:sz w:val="18"/>
                <w:szCs w:val="18"/>
                <w:color w:val="auto"/>
              </w:rPr>
              <w:t>Less: net loss attributable to non-</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controlling interests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(1,043)</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ind w:left="20"/>
              <w:spacing w:after="0" w:line="201" w:lineRule="exact"/>
              <w:rPr>
                <w:sz w:val="20"/>
                <w:szCs w:val="20"/>
                <w:color w:val="auto"/>
              </w:rPr>
            </w:pPr>
            <w:r>
              <w:rPr>
                <w:rFonts w:ascii="Arial" w:cs="Arial" w:eastAsia="Arial" w:hAnsi="Arial"/>
                <w:sz w:val="18"/>
                <w:szCs w:val="18"/>
                <w:color w:val="auto"/>
              </w:rPr>
              <w:t>Net loss attributable to Icahn</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60" w:type="dxa"/>
            <w:vAlign w:val="bottom"/>
            <w:vMerge w:val="continue"/>
            <w:shd w:val="clear" w:color="auto" w:fill="CCEEFF"/>
          </w:tcPr>
          <w:p>
            <w:pPr>
              <w:spacing w:after="0"/>
              <w:rPr>
                <w:sz w:val="15"/>
                <w:szCs w:val="15"/>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60" w:type="dxa"/>
            <w:vAlign w:val="bottom"/>
            <w:vMerge w:val="restart"/>
            <w:shd w:val="clear" w:color="auto" w:fill="CCEEFF"/>
          </w:tcPr>
          <w:p>
            <w:pPr>
              <w:spacing w:after="0"/>
              <w:rPr>
                <w:sz w:val="15"/>
                <w:szCs w:val="15"/>
                <w:color w:val="auto"/>
              </w:rPr>
            </w:pPr>
          </w:p>
        </w:tc>
        <w:tc>
          <w:tcPr>
            <w:tcW w:w="280" w:type="dxa"/>
            <w:vAlign w:val="bottom"/>
            <w:vMerge w:val="restart"/>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32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(1,799)</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Enterprises Holdings</w:t>
            </w:r>
          </w:p>
        </w:tc>
        <w:tc>
          <w:tcPr>
            <w:tcW w:w="2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loss attributable to Icahn</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Enterprises Holdings from:</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(714)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(1,799)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2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attributable to Icahn</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Enterprises Holdings allocated to:</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Limited partner</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(707)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(1,781)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partner</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304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280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3"/>
          </w:tcPr>
          <w:p>
            <w:pPr>
              <w:jc w:val="right"/>
              <w:ind w:right="24"/>
              <w:spacing w:after="0" w:line="12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02"/>
        </w:trPr>
        <w:tc>
          <w:tcPr>
            <w:tcW w:w="3060" w:type="dxa"/>
            <w:vAlign w:val="bottom"/>
          </w:tcPr>
          <w:p>
            <w:pPr>
              <w:ind w:left="20"/>
              <w:spacing w:after="0" w:line="201" w:lineRule="exact"/>
              <w:rPr>
                <w:sz w:val="20"/>
                <w:szCs w:val="20"/>
                <w:color w:val="auto"/>
              </w:rPr>
            </w:pPr>
            <w:r>
              <w:rPr>
                <w:rFonts w:ascii="Arial" w:cs="Arial" w:eastAsia="Arial" w:hAnsi="Arial"/>
                <w:sz w:val="18"/>
                <w:szCs w:val="18"/>
                <w:color w:val="auto"/>
                <w:w w:val="94"/>
              </w:rPr>
              <w:t>Other comprehensive income (loss), net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of tax:</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30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4"/>
              </w:rPr>
              <w:t>Other comprehensive income (loss), net</w:t>
            </w: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tax</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Less: Comprehensive loss attributable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non-controlling interests</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(1,042)</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line="201" w:lineRule="exact"/>
              <w:rPr>
                <w:sz w:val="20"/>
                <w:szCs w:val="20"/>
                <w:color w:val="auto"/>
              </w:rPr>
            </w:pPr>
            <w:r>
              <w:rPr>
                <w:rFonts w:ascii="Arial" w:cs="Arial" w:eastAsia="Arial" w:hAnsi="Arial"/>
                <w:sz w:val="18"/>
                <w:szCs w:val="18"/>
                <w:color w:val="auto"/>
              </w:rPr>
              <w:t>Comprehensive loss attributable to</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60" w:type="dxa"/>
            <w:vAlign w:val="bottom"/>
            <w:vMerge w:val="continue"/>
          </w:tcPr>
          <w:p>
            <w:pPr>
              <w:spacing w:after="0"/>
              <w:rPr>
                <w:sz w:val="15"/>
                <w:szCs w:val="15"/>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(712)</w:t>
            </w:r>
          </w:p>
        </w:tc>
        <w:tc>
          <w:tcPr>
            <w:tcW w:w="260" w:type="dxa"/>
            <w:vAlign w:val="bottom"/>
            <w:vMerge w:val="restart"/>
          </w:tcPr>
          <w:p>
            <w:pPr>
              <w:spacing w:after="0"/>
              <w:rPr>
                <w:sz w:val="15"/>
                <w:szCs w:val="15"/>
                <w:color w:val="auto"/>
              </w:rPr>
            </w:pPr>
          </w:p>
        </w:tc>
        <w:tc>
          <w:tcPr>
            <w:tcW w:w="280" w:type="dxa"/>
            <w:vAlign w:val="bottom"/>
            <w:vMerge w:val="restart"/>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(52)</w:t>
            </w:r>
          </w:p>
        </w:tc>
        <w:tc>
          <w:tcPr>
            <w:tcW w:w="340" w:type="dxa"/>
            <w:vAlign w:val="bottom"/>
            <w:vMerge w:val="restart"/>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(1,799)</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57"/>
        </w:trPr>
        <w:tc>
          <w:tcPr>
            <w:tcW w:w="3060" w:type="dxa"/>
            <w:vAlign w:val="bottom"/>
          </w:tcPr>
          <w:p>
            <w:pPr>
              <w:ind w:left="140"/>
              <w:spacing w:after="0"/>
              <w:rPr>
                <w:sz w:val="20"/>
                <w:szCs w:val="20"/>
                <w:color w:val="auto"/>
              </w:rPr>
            </w:pPr>
            <w:r>
              <w:rPr>
                <w:rFonts w:ascii="Arial" w:cs="Arial" w:eastAsia="Arial" w:hAnsi="Arial"/>
                <w:sz w:val="18"/>
                <w:szCs w:val="18"/>
                <w:color w:val="auto"/>
              </w:rPr>
              <w:t>Icahn Enterprises Holdings</w:t>
            </w:r>
          </w:p>
        </w:tc>
        <w:tc>
          <w:tcPr>
            <w:tcW w:w="2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0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20"/>
              <w:spacing w:after="0" w:line="201" w:lineRule="exact"/>
              <w:rPr>
                <w:sz w:val="20"/>
                <w:szCs w:val="20"/>
                <w:color w:val="auto"/>
              </w:rPr>
            </w:pPr>
            <w:r>
              <w:rPr>
                <w:rFonts w:ascii="Arial" w:cs="Arial" w:eastAsia="Arial" w:hAnsi="Arial"/>
                <w:sz w:val="18"/>
                <w:szCs w:val="18"/>
                <w:color w:val="auto"/>
              </w:rPr>
              <w:t>Comprehensive loss attributable to</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8"/>
                <w:szCs w:val="18"/>
                <w:color w:val="auto"/>
                <w:w w:val="99"/>
              </w:rPr>
              <w:t>Icahn Enterprises Holdings allocated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to:</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4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40" w:type="dxa"/>
            <w:vAlign w:val="bottom"/>
            <w:gridSpan w:val="9"/>
          </w:tcPr>
          <w:p>
            <w:pPr>
              <w:jc w:val="center"/>
              <w:ind w:right="200"/>
              <w:spacing w:after="0"/>
              <w:rPr>
                <w:sz w:val="20"/>
                <w:szCs w:val="20"/>
                <w:color w:val="auto"/>
              </w:rPr>
            </w:pPr>
            <w:r>
              <w:rPr>
                <w:rFonts w:ascii="Arial" w:cs="Arial" w:eastAsia="Arial" w:hAnsi="Arial"/>
                <w:sz w:val="13"/>
                <w:szCs w:val="13"/>
                <w:b w:val="1"/>
                <w:bCs w:val="1"/>
                <w:color w:val="auto"/>
                <w:w w:val="88"/>
              </w:rPr>
              <w:t>Equity Attributable to Icahn Enterprises Holdings</w:t>
            </w:r>
          </w:p>
        </w:tc>
        <w:tc>
          <w:tcPr>
            <w:tcW w:w="60" w:type="dxa"/>
            <w:vAlign w:val="bottom"/>
          </w:tcPr>
          <w:p>
            <w:pPr>
              <w:spacing w:after="0"/>
              <w:rPr>
                <w:sz w:val="13"/>
                <w:szCs w:val="13"/>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Non-</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4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ind w:left="140"/>
              <w:spacing w:after="0" w:line="110" w:lineRule="exact"/>
              <w:rPr>
                <w:sz w:val="20"/>
                <w:szCs w:val="20"/>
                <w:color w:val="auto"/>
              </w:rPr>
            </w:pPr>
            <w:r>
              <w:rPr>
                <w:rFonts w:ascii="Arial" w:cs="Arial" w:eastAsia="Arial" w:hAnsi="Arial"/>
                <w:sz w:val="12"/>
                <w:szCs w:val="12"/>
                <w:b w:val="1"/>
                <w:bCs w:val="1"/>
                <w:color w:val="auto"/>
              </w:rPr>
              <w:t>General</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ind w:left="60"/>
              <w:spacing w:after="0" w:line="110" w:lineRule="exact"/>
              <w:rPr>
                <w:sz w:val="20"/>
                <w:szCs w:val="20"/>
                <w:color w:val="auto"/>
              </w:rPr>
            </w:pPr>
            <w:r>
              <w:rPr>
                <w:rFonts w:ascii="Arial" w:cs="Arial" w:eastAsia="Arial" w:hAnsi="Arial"/>
                <w:sz w:val="12"/>
                <w:szCs w:val="12"/>
                <w:b w:val="1"/>
                <w:bCs w:val="1"/>
                <w:color w:val="auto"/>
              </w:rPr>
              <w:t>Limited</w:t>
            </w: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Partner’s</w:t>
            </w: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Partner’s</w:t>
            </w:r>
          </w:p>
        </w:tc>
        <w:tc>
          <w:tcPr>
            <w:tcW w:w="1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Total Partners’</w:t>
            </w:r>
          </w:p>
        </w:tc>
        <w:tc>
          <w:tcPr>
            <w:tcW w:w="7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controlling</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(Deficit) Equity</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Equity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4"/>
              </w:rPr>
              <w:t>Interests</w:t>
            </w:r>
          </w:p>
        </w:tc>
        <w:tc>
          <w:tcPr>
            <w:tcW w:w="140" w:type="dxa"/>
            <w:vAlign w:val="bottom"/>
          </w:tcPr>
          <w:p>
            <w:pPr>
              <w:spacing w:after="0"/>
              <w:rPr>
                <w:sz w:val="13"/>
                <w:szCs w:val="13"/>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8"/>
              </w:rPr>
              <w:t>Total Equity</w:t>
            </w:r>
          </w:p>
        </w:tc>
        <w:tc>
          <w:tcPr>
            <w:tcW w:w="0" w:type="dxa"/>
            <w:vAlign w:val="bottom"/>
          </w:tcPr>
          <w:p>
            <w:pPr>
              <w:spacing w:after="0"/>
              <w:rPr>
                <w:sz w:val="1"/>
                <w:szCs w:val="1"/>
                <w:color w:val="auto"/>
              </w:rPr>
            </w:pPr>
          </w:p>
        </w:tc>
      </w:tr>
      <w:tr>
        <w:trPr>
          <w:trHeight w:val="115"/>
        </w:trPr>
        <w:tc>
          <w:tcPr>
            <w:tcW w:w="4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jc w:val="right"/>
              <w:ind w:right="257"/>
              <w:spacing w:after="0" w:line="115" w:lineRule="exact"/>
              <w:rPr>
                <w:sz w:val="20"/>
                <w:szCs w:val="20"/>
                <w:color w:val="auto"/>
              </w:rPr>
            </w:pPr>
            <w:r>
              <w:rPr>
                <w:rFonts w:ascii="Arial" w:cs="Arial" w:eastAsia="Arial" w:hAnsi="Arial"/>
                <w:sz w:val="13"/>
                <w:szCs w:val="13"/>
                <w:color w:val="auto"/>
                <w:w w:val="96"/>
              </w:rPr>
              <w:t>(In millions)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Balance, December 31, 2019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6,328</w:t>
            </w:r>
          </w:p>
        </w:tc>
        <w:tc>
          <w:tcPr>
            <w:tcW w:w="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5,453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5,486</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10,939</w:t>
            </w:r>
          </w:p>
        </w:tc>
        <w:tc>
          <w:tcPr>
            <w:tcW w:w="0" w:type="dxa"/>
            <w:vAlign w:val="bottom"/>
          </w:tcPr>
          <w:p>
            <w:pPr>
              <w:spacing w:after="0"/>
              <w:rPr>
                <w:sz w:val="1"/>
                <w:szCs w:val="1"/>
                <w:color w:val="auto"/>
              </w:rPr>
            </w:pPr>
          </w:p>
        </w:tc>
      </w:tr>
      <w:tr>
        <w:trPr>
          <w:trHeight w:val="135"/>
        </w:trPr>
        <w:tc>
          <w:tcPr>
            <w:tcW w:w="444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6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(1,370)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(1,384)</w:t>
            </w: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(922)</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(2,306)</w:t>
            </w: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loss</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4440" w:type="dxa"/>
            <w:vAlign w:val="bottom"/>
          </w:tcPr>
          <w:p>
            <w:pPr>
              <w:ind w:left="20"/>
              <w:spacing w:after="0" w:line="135" w:lineRule="exact"/>
              <w:rPr>
                <w:sz w:val="20"/>
                <w:szCs w:val="20"/>
                <w:color w:val="auto"/>
              </w:rPr>
            </w:pPr>
            <w:r>
              <w:rPr>
                <w:rFonts w:ascii="Arial" w:cs="Arial" w:eastAsia="Arial" w:hAnsi="Arial"/>
                <w:sz w:val="13"/>
                <w:szCs w:val="13"/>
                <w:color w:val="auto"/>
              </w:rPr>
              <w:t>Partnership distributions payable</w:t>
            </w:r>
          </w:p>
        </w:tc>
        <w:tc>
          <w:tcPr>
            <w:tcW w:w="6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(433)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(437)</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Partnership contributions</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4440" w:type="dxa"/>
            <w:vAlign w:val="bottom"/>
          </w:tcPr>
          <w:p>
            <w:pPr>
              <w:ind w:left="20"/>
              <w:spacing w:after="0" w:line="135" w:lineRule="exact"/>
              <w:rPr>
                <w:sz w:val="20"/>
                <w:szCs w:val="20"/>
                <w:color w:val="auto"/>
              </w:rPr>
            </w:pPr>
            <w:r>
              <w:rPr>
                <w:rFonts w:ascii="Arial" w:cs="Arial" w:eastAsia="Arial" w:hAnsi="Arial"/>
                <w:sz w:val="13"/>
                <w:szCs w:val="13"/>
                <w:color w:val="auto"/>
              </w:rPr>
              <w:t>Investment segment contributions from non-controlling interests</w:t>
            </w:r>
          </w:p>
        </w:tc>
        <w:tc>
          <w:tcPr>
            <w:tcW w:w="6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1,241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1,241</w:t>
            </w: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Dividends and distributions to non-controlling interests in subsidiaries</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4440" w:type="dxa"/>
            <w:vAlign w:val="bottom"/>
          </w:tcPr>
          <w:p>
            <w:pPr>
              <w:ind w:left="20"/>
              <w:spacing w:after="0" w:line="135" w:lineRule="exact"/>
              <w:rPr>
                <w:sz w:val="20"/>
                <w:szCs w:val="20"/>
                <w:color w:val="auto"/>
              </w:rPr>
            </w:pPr>
            <w:r>
              <w:rPr>
                <w:rFonts w:ascii="Arial" w:cs="Arial" w:eastAsia="Arial" w:hAnsi="Arial"/>
                <w:sz w:val="13"/>
                <w:szCs w:val="13"/>
                <w:color w:val="auto"/>
              </w:rPr>
              <w:t>Changes in subsidiary equity and other</w:t>
            </w:r>
          </w:p>
        </w:tc>
        <w:tc>
          <w:tcPr>
            <w:tcW w:w="6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28"/>
        </w:trPr>
        <w:tc>
          <w:tcPr>
            <w:tcW w:w="44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March 31, 2020</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4,525</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3,632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5,782</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9,414</w:t>
            </w:r>
          </w:p>
        </w:tc>
        <w:tc>
          <w:tcPr>
            <w:tcW w:w="0" w:type="dxa"/>
            <w:vAlign w:val="bottom"/>
          </w:tcPr>
          <w:p>
            <w:pPr>
              <w:spacing w:after="0"/>
              <w:rPr>
                <w:sz w:val="1"/>
                <w:szCs w:val="1"/>
                <w:color w:val="auto"/>
              </w:rPr>
            </w:pPr>
          </w:p>
        </w:tc>
      </w:tr>
      <w:tr>
        <w:trPr>
          <w:trHeight w:val="129"/>
        </w:trPr>
        <w:tc>
          <w:tcPr>
            <w:tcW w:w="4440" w:type="dxa"/>
            <w:vAlign w:val="bottom"/>
          </w:tcPr>
          <w:p>
            <w:pPr>
              <w:ind w:left="20"/>
              <w:spacing w:after="0" w:line="129" w:lineRule="exact"/>
              <w:rPr>
                <w:sz w:val="20"/>
                <w:szCs w:val="20"/>
                <w:color w:val="auto"/>
              </w:rPr>
            </w:pPr>
            <w:r>
              <w:rPr>
                <w:rFonts w:ascii="Arial" w:cs="Arial" w:eastAsia="Arial" w:hAnsi="Arial"/>
                <w:sz w:val="13"/>
                <w:szCs w:val="13"/>
                <w:color w:val="auto"/>
              </w:rPr>
              <w:t>Net income</w:t>
            </w:r>
          </w:p>
        </w:tc>
        <w:tc>
          <w:tcPr>
            <w:tcW w:w="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296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299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565</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864</w:t>
            </w: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4440" w:type="dxa"/>
            <w:vAlign w:val="bottom"/>
          </w:tcPr>
          <w:p>
            <w:pPr>
              <w:ind w:left="20"/>
              <w:spacing w:after="0" w:line="135" w:lineRule="exact"/>
              <w:rPr>
                <w:sz w:val="20"/>
                <w:szCs w:val="20"/>
                <w:color w:val="auto"/>
              </w:rPr>
            </w:pPr>
            <w:r>
              <w:rPr>
                <w:rFonts w:ascii="Arial" w:cs="Arial" w:eastAsia="Arial" w:hAnsi="Arial"/>
                <w:sz w:val="13"/>
                <w:szCs w:val="13"/>
                <w:color w:val="auto"/>
              </w:rPr>
              <w:t>Partnership distributions payable reversal</w:t>
            </w: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433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437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Partnership distributions</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(456)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r>
        <w:trPr>
          <w:trHeight w:val="135"/>
        </w:trPr>
        <w:tc>
          <w:tcPr>
            <w:tcW w:w="4440" w:type="dxa"/>
            <w:vAlign w:val="bottom"/>
          </w:tcPr>
          <w:p>
            <w:pPr>
              <w:ind w:left="20"/>
              <w:spacing w:after="0" w:line="135" w:lineRule="exact"/>
              <w:rPr>
                <w:sz w:val="20"/>
                <w:szCs w:val="20"/>
                <w:color w:val="auto"/>
              </w:rPr>
            </w:pPr>
            <w:r>
              <w:rPr>
                <w:rFonts w:ascii="Arial" w:cs="Arial" w:eastAsia="Arial" w:hAnsi="Arial"/>
                <w:sz w:val="13"/>
                <w:szCs w:val="13"/>
                <w:color w:val="auto"/>
              </w:rPr>
              <w:t>Partnership contributions</w:t>
            </w:r>
          </w:p>
        </w:tc>
        <w:tc>
          <w:tcPr>
            <w:tcW w:w="6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Dividends and distributions to non-controlling interests in subsidiaries</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35"/>
        </w:trPr>
        <w:tc>
          <w:tcPr>
            <w:tcW w:w="4440" w:type="dxa"/>
            <w:vAlign w:val="bottom"/>
          </w:tcPr>
          <w:p>
            <w:pPr>
              <w:ind w:left="20"/>
              <w:spacing w:after="0" w:line="135" w:lineRule="exact"/>
              <w:rPr>
                <w:sz w:val="20"/>
                <w:szCs w:val="20"/>
                <w:color w:val="auto"/>
              </w:rPr>
            </w:pPr>
            <w:r>
              <w:rPr>
                <w:rFonts w:ascii="Arial" w:cs="Arial" w:eastAsia="Arial" w:hAnsi="Arial"/>
                <w:sz w:val="13"/>
                <w:szCs w:val="13"/>
                <w:color w:val="auto"/>
              </w:rPr>
              <w:t>Changes in subsidiary equity and other</w:t>
            </w: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44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June 30, 2020</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(890)</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4,819</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3,929</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6,333</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10,262</w:t>
            </w:r>
          </w:p>
        </w:tc>
        <w:tc>
          <w:tcPr>
            <w:tcW w:w="0" w:type="dxa"/>
            <w:vAlign w:val="bottom"/>
          </w:tcPr>
          <w:p>
            <w:pPr>
              <w:spacing w:after="0"/>
              <w:rPr>
                <w:sz w:val="1"/>
                <w:szCs w:val="1"/>
                <w:color w:val="auto"/>
              </w:rPr>
            </w:pPr>
          </w:p>
        </w:tc>
      </w:tr>
      <w:tr>
        <w:trPr>
          <w:trHeight w:val="128"/>
        </w:trPr>
        <w:tc>
          <w:tcPr>
            <w:tcW w:w="4440" w:type="dxa"/>
            <w:vAlign w:val="bottom"/>
          </w:tcPr>
          <w:p>
            <w:pPr>
              <w:ind w:left="20"/>
              <w:spacing w:after="0" w:line="129" w:lineRule="exact"/>
              <w:rPr>
                <w:sz w:val="20"/>
                <w:szCs w:val="20"/>
                <w:color w:val="auto"/>
              </w:rPr>
            </w:pPr>
            <w:r>
              <w:rPr>
                <w:rFonts w:ascii="Arial" w:cs="Arial" w:eastAsia="Arial" w:hAnsi="Arial"/>
                <w:sz w:val="13"/>
                <w:szCs w:val="13"/>
                <w:color w:val="auto"/>
              </w:rPr>
              <w:t>Net loss</w:t>
            </w:r>
          </w:p>
        </w:tc>
        <w:tc>
          <w:tcPr>
            <w:tcW w:w="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(707)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(714)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(686)</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(1,400)</w:t>
            </w: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4440" w:type="dxa"/>
            <w:vAlign w:val="bottom"/>
          </w:tcPr>
          <w:p>
            <w:pPr>
              <w:ind w:left="20"/>
              <w:spacing w:after="0" w:line="135" w:lineRule="exact"/>
              <w:rPr>
                <w:sz w:val="20"/>
                <w:szCs w:val="20"/>
                <w:color w:val="auto"/>
              </w:rPr>
            </w:pPr>
            <w:r>
              <w:rPr>
                <w:rFonts w:ascii="Arial" w:cs="Arial" w:eastAsia="Arial" w:hAnsi="Arial"/>
                <w:sz w:val="13"/>
                <w:szCs w:val="13"/>
                <w:color w:val="auto"/>
              </w:rPr>
              <w:t>Partnership distributions</w:t>
            </w:r>
          </w:p>
        </w:tc>
        <w:tc>
          <w:tcPr>
            <w:tcW w:w="6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Partnership contributions</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35"/>
        </w:trPr>
        <w:tc>
          <w:tcPr>
            <w:tcW w:w="4440" w:type="dxa"/>
            <w:vAlign w:val="bottom"/>
          </w:tcPr>
          <w:p>
            <w:pPr>
              <w:ind w:left="20"/>
              <w:spacing w:after="0" w:line="135" w:lineRule="exact"/>
              <w:rPr>
                <w:sz w:val="20"/>
                <w:szCs w:val="20"/>
                <w:color w:val="auto"/>
              </w:rPr>
            </w:pPr>
            <w:r>
              <w:rPr>
                <w:rFonts w:ascii="Arial" w:cs="Arial" w:eastAsia="Arial" w:hAnsi="Arial"/>
                <w:sz w:val="13"/>
                <w:szCs w:val="13"/>
                <w:color w:val="auto"/>
              </w:rPr>
              <w:t>Changes in subsidiary equity and other</w:t>
            </w:r>
          </w:p>
        </w:tc>
        <w:tc>
          <w:tcPr>
            <w:tcW w:w="6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8"/>
        </w:trPr>
        <w:tc>
          <w:tcPr>
            <w:tcW w:w="44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September 30, 2020</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(897)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4,124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3,227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5,643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8,870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Equity Attributable to Icahn Enterprises Holdings</w:t>
      </w:r>
    </w:p>
    <w:p>
      <w:pPr>
        <w:sectPr>
          <w:pgSz w:w="11900" w:h="16838" w:orient="portrait"/>
          <w:cols w:equalWidth="0" w:num="1">
            <w:col w:w="9019"/>
          </w:cols>
          <w:pgMar w:left="1440" w:top="517" w:right="1440" w:bottom="1440" w:gutter="0" w:footer="0" w:header="0"/>
        </w:sectPr>
      </w:pP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10"/>
        </w:trPr>
        <w:tc>
          <w:tcPr>
            <w:tcW w:w="3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177"/>
              <w:spacing w:after="0" w:line="110" w:lineRule="exact"/>
              <w:rPr>
                <w:sz w:val="20"/>
                <w:szCs w:val="20"/>
                <w:color w:val="auto"/>
              </w:rPr>
            </w:pPr>
            <w:r>
              <w:rPr>
                <w:rFonts w:ascii="Arial" w:cs="Arial" w:eastAsia="Arial" w:hAnsi="Arial"/>
                <w:sz w:val="12"/>
                <w:szCs w:val="12"/>
                <w:b w:val="1"/>
                <w:bCs w:val="1"/>
                <w:color w:val="auto"/>
              </w:rPr>
              <w:t>General</w:t>
            </w: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57"/>
              <w:spacing w:after="0" w:line="110" w:lineRule="exact"/>
              <w:rPr>
                <w:sz w:val="20"/>
                <w:szCs w:val="20"/>
                <w:color w:val="auto"/>
              </w:rPr>
            </w:pPr>
            <w:r>
              <w:rPr>
                <w:rFonts w:ascii="Arial" w:cs="Arial" w:eastAsia="Arial" w:hAnsi="Arial"/>
                <w:sz w:val="12"/>
                <w:szCs w:val="12"/>
                <w:b w:val="1"/>
                <w:bCs w:val="1"/>
                <w:color w:val="auto"/>
              </w:rPr>
              <w:t>Limited</w:t>
            </w: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ind w:right="117"/>
              <w:spacing w:after="0" w:line="110" w:lineRule="exact"/>
              <w:rPr>
                <w:sz w:val="20"/>
                <w:szCs w:val="20"/>
                <w:color w:val="auto"/>
              </w:rPr>
            </w:pPr>
            <w:r>
              <w:rPr>
                <w:rFonts w:ascii="Arial" w:cs="Arial" w:eastAsia="Arial" w:hAnsi="Arial"/>
                <w:sz w:val="12"/>
                <w:szCs w:val="12"/>
                <w:b w:val="1"/>
                <w:bCs w:val="1"/>
                <w:color w:val="auto"/>
              </w:rPr>
              <w:t>Non-</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9"/>
              </w:rPr>
              <w:t>Partner’s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w w:val="95"/>
              </w:rPr>
              <w:t>Partner’s</w:t>
            </w:r>
          </w:p>
        </w:tc>
        <w:tc>
          <w:tcPr>
            <w:tcW w:w="1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2"/>
              </w:rPr>
              <w:t>Total Partners’</w:t>
            </w:r>
          </w:p>
        </w:tc>
        <w:tc>
          <w:tcPr>
            <w:tcW w:w="1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2"/>
              </w:rPr>
              <w:t>controlling</w:t>
            </w:r>
          </w:p>
        </w:tc>
        <w:tc>
          <w:tcPr>
            <w:tcW w:w="0" w:type="dxa"/>
            <w:vAlign w:val="bottom"/>
          </w:tcPr>
          <w:p>
            <w:pPr>
              <w:spacing w:after="0"/>
              <w:rPr>
                <w:sz w:val="1"/>
                <w:szCs w:val="1"/>
                <w:color w:val="auto"/>
              </w:rPr>
            </w:pPr>
          </w:p>
        </w:tc>
      </w:tr>
      <w:tr>
        <w:trPr>
          <w:trHeight w:val="153"/>
        </w:trPr>
        <w:tc>
          <w:tcPr>
            <w:tcW w:w="3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1"/>
              </w:rPr>
              <w:t>(Deficit) Equity</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4"/>
              </w:rPr>
              <w:t>Interests</w:t>
            </w:r>
          </w:p>
        </w:tc>
        <w:tc>
          <w:tcPr>
            <w:tcW w:w="0" w:type="dxa"/>
            <w:vAlign w:val="bottom"/>
          </w:tcPr>
          <w:p>
            <w:pPr>
              <w:spacing w:after="0"/>
              <w:rPr>
                <w:sz w:val="1"/>
                <w:szCs w:val="1"/>
                <w:color w:val="auto"/>
              </w:rPr>
            </w:pPr>
          </w:p>
        </w:tc>
      </w:tr>
      <w:tr>
        <w:trPr>
          <w:trHeight w:val="101"/>
        </w:trPr>
        <w:tc>
          <w:tcPr>
            <w:tcW w:w="3980" w:type="dxa"/>
            <w:vAlign w:val="bottom"/>
            <w:vMerge w:val="restart"/>
          </w:tcPr>
          <w:p>
            <w:pPr>
              <w:spacing w:after="0"/>
              <w:rPr>
                <w:sz w:val="20"/>
                <w:szCs w:val="20"/>
                <w:color w:val="auto"/>
              </w:rPr>
            </w:pPr>
            <w:r>
              <w:rPr>
                <w:rFonts w:ascii="Arial" w:cs="Arial" w:eastAsia="Arial" w:hAnsi="Arial"/>
                <w:sz w:val="13"/>
                <w:szCs w:val="13"/>
                <w:b w:val="1"/>
                <w:bCs w:val="1"/>
                <w:color w:val="auto"/>
              </w:rPr>
              <w:t>Balance, December 31, 2018</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gridSpan w:val="3"/>
          </w:tcPr>
          <w:p>
            <w:pPr>
              <w:jc w:val="right"/>
              <w:ind w:right="257"/>
              <w:spacing w:after="0" w:line="101" w:lineRule="exact"/>
              <w:rPr>
                <w:sz w:val="20"/>
                <w:szCs w:val="20"/>
                <w:color w:val="auto"/>
              </w:rPr>
            </w:pPr>
            <w:r>
              <w:rPr>
                <w:rFonts w:ascii="Arial" w:cs="Arial" w:eastAsia="Arial" w:hAnsi="Arial"/>
                <w:sz w:val="10"/>
                <w:szCs w:val="10"/>
                <w:color w:val="auto"/>
              </w:rPr>
              <w:t>(In millions)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980" w:type="dxa"/>
            <w:vAlign w:val="bottom"/>
            <w:vMerge w:val="continue"/>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(864)</w:t>
            </w:r>
          </w:p>
        </w:tc>
        <w:tc>
          <w:tcPr>
            <w:tcW w:w="2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7,452</w:t>
            </w:r>
          </w:p>
        </w:tc>
        <w:tc>
          <w:tcPr>
            <w:tcW w:w="3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6,588</w:t>
            </w:r>
          </w:p>
        </w:tc>
        <w:tc>
          <w:tcPr>
            <w:tcW w:w="20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6,420</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(394)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Partnership distributions payable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(387)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(391)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w w:val="99"/>
              </w:rPr>
              <w:t>Dividends and distributions to non-controlling interests in subsidiaries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20"/>
                <w:szCs w:val="20"/>
                <w:color w:val="auto"/>
              </w:rPr>
            </w:pPr>
            <w:r>
              <w:rPr>
                <w:rFonts w:ascii="Arial" w:cs="Arial" w:eastAsia="Arial" w:hAnsi="Arial"/>
                <w:sz w:val="13"/>
                <w:szCs w:val="13"/>
                <w:color w:val="auto"/>
              </w:rPr>
              <w:t>Changes in subsidiary equity and other</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28"/>
        </w:trPr>
        <w:tc>
          <w:tcPr>
            <w:tcW w:w="3980" w:type="dxa"/>
            <w:vAlign w:val="bottom"/>
          </w:tcPr>
          <w:p>
            <w:pPr>
              <w:spacing w:after="0" w:line="129" w:lineRule="exact"/>
              <w:rPr>
                <w:sz w:val="20"/>
                <w:szCs w:val="20"/>
                <w:color w:val="auto"/>
              </w:rPr>
            </w:pPr>
            <w:r>
              <w:rPr>
                <w:rFonts w:ascii="Arial" w:cs="Arial" w:eastAsia="Arial" w:hAnsi="Arial"/>
                <w:sz w:val="13"/>
                <w:szCs w:val="13"/>
                <w:b w:val="1"/>
                <w:bCs w:val="1"/>
                <w:color w:val="auto"/>
              </w:rPr>
              <w:t>Balance, March 31, 2019</w:t>
            </w: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(871)</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6,738</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5,867</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5,813</w:t>
            </w:r>
          </w:p>
        </w:tc>
        <w:tc>
          <w:tcPr>
            <w:tcW w:w="0" w:type="dxa"/>
            <w:vAlign w:val="bottom"/>
          </w:tcPr>
          <w:p>
            <w:pPr>
              <w:spacing w:after="0"/>
              <w:rPr>
                <w:sz w:val="1"/>
                <w:szCs w:val="1"/>
                <w:color w:val="auto"/>
              </w:rPr>
            </w:pPr>
          </w:p>
        </w:tc>
      </w:tr>
      <w:tr>
        <w:trPr>
          <w:trHeight w:val="114"/>
        </w:trPr>
        <w:tc>
          <w:tcPr>
            <w:tcW w:w="3980" w:type="dxa"/>
            <w:vAlign w:val="bottom"/>
          </w:tcPr>
          <w:p>
            <w:pPr>
              <w:spacing w:after="0" w:line="114" w:lineRule="exact"/>
              <w:rPr>
                <w:sz w:val="20"/>
                <w:szCs w:val="20"/>
                <w:color w:val="auto"/>
              </w:rPr>
            </w:pPr>
            <w:r>
              <w:rPr>
                <w:rFonts w:ascii="Arial" w:cs="Arial" w:eastAsia="Arial" w:hAnsi="Arial"/>
                <w:sz w:val="13"/>
                <w:szCs w:val="13"/>
                <w:color w:val="auto"/>
              </w:rPr>
              <w:t>Net loss</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Arial" w:cs="Arial" w:eastAsia="Arial" w:hAnsi="Arial"/>
                <w:sz w:val="13"/>
                <w:szCs w:val="13"/>
                <w:color w:val="auto"/>
              </w:rPr>
              <w:t>(5)</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Arial" w:cs="Arial" w:eastAsia="Arial" w:hAnsi="Arial"/>
                <w:sz w:val="13"/>
                <w:szCs w:val="13"/>
                <w:color w:val="auto"/>
              </w:rPr>
              <w:t>(492)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3"/>
                <w:szCs w:val="13"/>
                <w:color w:val="auto"/>
              </w:rPr>
              <w:t>(497)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Other comprehensive income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Partnership distributions payable reversal</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387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391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Partnership distributions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Partnership contributions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Investment segment contributions from non-controlling interests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w w:val="99"/>
              </w:rPr>
              <w:t>Dividends and distributions to non-controlling interests in subsidiaries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20"/>
                <w:szCs w:val="20"/>
                <w:color w:val="auto"/>
              </w:rPr>
            </w:pPr>
            <w:r>
              <w:rPr>
                <w:rFonts w:ascii="Arial" w:cs="Arial" w:eastAsia="Arial" w:hAnsi="Arial"/>
                <w:sz w:val="13"/>
                <w:szCs w:val="13"/>
                <w:color w:val="auto"/>
              </w:rPr>
              <w:t>Changes in subsidiary equity and other</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8"/>
        </w:trPr>
        <w:tc>
          <w:tcPr>
            <w:tcW w:w="3980" w:type="dxa"/>
            <w:vAlign w:val="bottom"/>
          </w:tcPr>
          <w:p>
            <w:pPr>
              <w:spacing w:after="0" w:line="129" w:lineRule="exact"/>
              <w:rPr>
                <w:sz w:val="20"/>
                <w:szCs w:val="20"/>
                <w:color w:val="auto"/>
              </w:rPr>
            </w:pPr>
            <w:r>
              <w:rPr>
                <w:rFonts w:ascii="Arial" w:cs="Arial" w:eastAsia="Arial" w:hAnsi="Arial"/>
                <w:sz w:val="13"/>
                <w:szCs w:val="13"/>
                <w:b w:val="1"/>
                <w:bCs w:val="1"/>
                <w:color w:val="auto"/>
              </w:rPr>
              <w:t>Balance, June 30, 2019</w:t>
            </w: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(872)</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6,592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5,720</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5,755</w:t>
            </w:r>
          </w:p>
        </w:tc>
        <w:tc>
          <w:tcPr>
            <w:tcW w:w="0" w:type="dxa"/>
            <w:vAlign w:val="bottom"/>
          </w:tcPr>
          <w:p>
            <w:pPr>
              <w:spacing w:after="0"/>
              <w:rPr>
                <w:sz w:val="1"/>
                <w:szCs w:val="1"/>
                <w:color w:val="auto"/>
              </w:rPr>
            </w:pPr>
          </w:p>
        </w:tc>
      </w:tr>
      <w:tr>
        <w:trPr>
          <w:trHeight w:val="114"/>
        </w:trPr>
        <w:tc>
          <w:tcPr>
            <w:tcW w:w="3980" w:type="dxa"/>
            <w:vAlign w:val="bottom"/>
          </w:tcPr>
          <w:p>
            <w:pPr>
              <w:spacing w:after="0" w:line="114" w:lineRule="exact"/>
              <w:rPr>
                <w:sz w:val="20"/>
                <w:szCs w:val="20"/>
                <w:color w:val="auto"/>
              </w:rPr>
            </w:pPr>
            <w:r>
              <w:rPr>
                <w:rFonts w:ascii="Arial" w:cs="Arial" w:eastAsia="Arial" w:hAnsi="Arial"/>
                <w:sz w:val="13"/>
                <w:szCs w:val="13"/>
                <w:color w:val="auto"/>
              </w:rPr>
              <w:t>Net loss</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Arial" w:cs="Arial" w:eastAsia="Arial" w:hAnsi="Arial"/>
                <w:sz w:val="13"/>
                <w:szCs w:val="13"/>
                <w:color w:val="auto"/>
              </w:rPr>
              <w:t>(49)</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3"/>
                <w:szCs w:val="13"/>
                <w:color w:val="auto"/>
              </w:rPr>
              <w:t>(49)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Other comprehensive loss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Partnership distributions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Partnership contributions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rPr>
              <w:t>Investment segment contributions from non-controlling interests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3"/>
                <w:szCs w:val="13"/>
                <w:color w:val="auto"/>
                <w:w w:val="99"/>
              </w:rPr>
              <w:t>Dividends and distributions to non-controlling interests in subsidiaries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8"/>
        </w:trPr>
        <w:tc>
          <w:tcPr>
            <w:tcW w:w="3980" w:type="dxa"/>
            <w:vAlign w:val="bottom"/>
          </w:tcPr>
          <w:p>
            <w:pPr>
              <w:spacing w:after="0"/>
              <w:rPr>
                <w:sz w:val="20"/>
                <w:szCs w:val="20"/>
                <w:color w:val="auto"/>
              </w:rPr>
            </w:pPr>
            <w:r>
              <w:rPr>
                <w:rFonts w:ascii="Arial" w:cs="Arial" w:eastAsia="Arial" w:hAnsi="Arial"/>
                <w:sz w:val="13"/>
                <w:szCs w:val="13"/>
                <w:color w:val="auto"/>
              </w:rPr>
              <w:t>Changes in subsidiary equity and other</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-1925320</wp:posOffset>
            </wp:positionV>
            <wp:extent cx="5648960"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-1753870</wp:posOffset>
            </wp:positionV>
            <wp:extent cx="564896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-1582420</wp:posOffset>
            </wp:positionV>
            <wp:extent cx="564896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-1222375</wp:posOffset>
            </wp:positionV>
            <wp:extent cx="5648960"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-1050925</wp:posOffset>
            </wp:positionV>
            <wp:extent cx="564896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-879475</wp:posOffset>
            </wp:positionV>
            <wp:extent cx="5648960"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-519430</wp:posOffset>
            </wp:positionV>
            <wp:extent cx="5648960"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-347980</wp:posOffset>
            </wp:positionV>
            <wp:extent cx="5648960"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-176530</wp:posOffset>
            </wp:positionV>
            <wp:extent cx="5648960"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-5080</wp:posOffset>
            </wp:positionV>
            <wp:extent cx="564896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028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-708025</wp:posOffset>
            </wp:positionV>
            <wp:extent cx="5648960"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-1402715</wp:posOffset>
            </wp:positionV>
            <wp:extent cx="5648960" cy="94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10"/>
        <w:spacing w:after="0"/>
        <w:rPr>
          <w:sz w:val="20"/>
          <w:szCs w:val="20"/>
          <w:color w:val="auto"/>
        </w:rPr>
      </w:pPr>
      <w:r>
        <w:rPr>
          <w:rFonts w:ascii="Arial" w:cs="Arial" w:eastAsia="Arial" w:hAnsi="Arial"/>
          <w:sz w:val="12"/>
          <w:szCs w:val="12"/>
          <w:b w:val="1"/>
          <w:bCs w:val="1"/>
          <w:u w:val="single" w:color="auto"/>
          <w:color w:val="auto"/>
        </w:rPr>
        <w:t>Total Equity</w:t>
      </w:r>
    </w:p>
    <w:p>
      <w:pPr>
        <w:spacing w:after="0" w:line="132" w:lineRule="exact"/>
        <w:rPr>
          <w:sz w:val="20"/>
          <w:szCs w:val="20"/>
          <w:color w:val="auto"/>
        </w:rPr>
      </w:pPr>
    </w:p>
    <w:p>
      <w:pPr>
        <w:ind w:left="310" w:hanging="310"/>
        <w:spacing w:after="0"/>
        <w:tabs>
          <w:tab w:leader="none" w:pos="310" w:val="left"/>
        </w:tabs>
        <w:numPr>
          <w:ilvl w:val="0"/>
          <w:numId w:val="3"/>
        </w:numPr>
        <w:rPr>
          <w:rFonts w:ascii="Arial" w:cs="Arial" w:eastAsia="Arial" w:hAnsi="Arial"/>
          <w:sz w:val="13"/>
          <w:szCs w:val="13"/>
          <w:color w:val="auto"/>
        </w:rPr>
      </w:pPr>
      <w:r>
        <w:rPr>
          <w:rFonts w:ascii="Arial" w:cs="Arial" w:eastAsia="Arial" w:hAnsi="Arial"/>
          <w:sz w:val="13"/>
          <w:szCs w:val="13"/>
          <w:color w:val="auto"/>
        </w:rPr>
        <w:t>13,008</w:t>
      </w:r>
    </w:p>
    <w:p>
      <w:pPr>
        <w:ind w:left="430"/>
        <w:spacing w:after="0"/>
        <w:rPr>
          <w:rFonts w:ascii="Arial" w:cs="Arial" w:eastAsia="Arial" w:hAnsi="Arial"/>
          <w:sz w:val="13"/>
          <w:szCs w:val="13"/>
          <w:color w:val="auto"/>
        </w:rPr>
      </w:pPr>
      <w:r>
        <w:rPr>
          <w:rFonts w:ascii="Arial" w:cs="Arial" w:eastAsia="Arial" w:hAnsi="Arial"/>
          <w:sz w:val="10"/>
          <w:szCs w:val="10"/>
          <w:color w:val="auto"/>
        </w:rPr>
        <w:t>(664)</w:t>
      </w:r>
    </w:p>
    <w:p>
      <w:pPr>
        <w:spacing w:after="0" w:line="20" w:lineRule="exact"/>
        <w:rPr>
          <w:rFonts w:ascii="Arial" w:cs="Arial" w:eastAsia="Arial" w:hAnsi="Arial"/>
          <w:sz w:val="13"/>
          <w:szCs w:val="13"/>
          <w:color w:val="auto"/>
        </w:rPr>
      </w:pPr>
    </w:p>
    <w:p>
      <w:pPr>
        <w:ind w:left="430"/>
        <w:spacing w:after="0"/>
        <w:rPr>
          <w:rFonts w:ascii="Arial" w:cs="Arial" w:eastAsia="Arial" w:hAnsi="Arial"/>
          <w:sz w:val="13"/>
          <w:szCs w:val="13"/>
          <w:color w:val="auto"/>
        </w:rPr>
      </w:pPr>
      <w:r>
        <w:rPr>
          <w:rFonts w:ascii="Arial" w:cs="Arial" w:eastAsia="Arial" w:hAnsi="Arial"/>
          <w:sz w:val="10"/>
          <w:szCs w:val="10"/>
          <w:color w:val="auto"/>
        </w:rPr>
        <w:t>(391)</w:t>
      </w:r>
    </w:p>
    <w:p>
      <w:pPr>
        <w:spacing w:after="0" w:line="20" w:lineRule="exact"/>
        <w:rPr>
          <w:rFonts w:ascii="Arial" w:cs="Arial" w:eastAsia="Arial" w:hAnsi="Arial"/>
          <w:sz w:val="13"/>
          <w:szCs w:val="13"/>
          <w:color w:val="auto"/>
        </w:rPr>
      </w:pPr>
    </w:p>
    <w:p>
      <w:pPr>
        <w:ind w:left="490"/>
        <w:spacing w:after="0" w:line="234" w:lineRule="auto"/>
        <w:rPr>
          <w:rFonts w:ascii="Arial" w:cs="Arial" w:eastAsia="Arial" w:hAnsi="Arial"/>
          <w:sz w:val="13"/>
          <w:szCs w:val="13"/>
          <w:color w:val="auto"/>
        </w:rPr>
      </w:pPr>
      <w:r>
        <w:rPr>
          <w:rFonts w:ascii="Arial" w:cs="Arial" w:eastAsia="Arial" w:hAnsi="Arial"/>
          <w:sz w:val="12"/>
          <w:szCs w:val="12"/>
          <w:color w:val="auto"/>
        </w:rPr>
        <w:t>(30)</w:t>
      </w:r>
    </w:p>
    <w:p>
      <w:pPr>
        <w:ind w:left="430"/>
        <w:spacing w:after="0"/>
        <w:rPr>
          <w:rFonts w:ascii="Arial" w:cs="Arial" w:eastAsia="Arial" w:hAnsi="Arial"/>
          <w:sz w:val="13"/>
          <w:szCs w:val="13"/>
          <w:color w:val="auto"/>
        </w:rPr>
      </w:pPr>
      <w:r>
        <w:rPr>
          <w:rFonts w:ascii="Arial" w:cs="Arial" w:eastAsia="Arial" w:hAnsi="Arial"/>
          <w:sz w:val="10"/>
          <w:szCs w:val="10"/>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4457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4" w:lineRule="exact"/>
        <w:rPr>
          <w:sz w:val="20"/>
          <w:szCs w:val="20"/>
          <w:color w:val="auto"/>
        </w:rPr>
      </w:pPr>
    </w:p>
    <w:p>
      <w:pPr>
        <w:ind w:left="330"/>
        <w:spacing w:after="0"/>
        <w:rPr>
          <w:sz w:val="20"/>
          <w:szCs w:val="20"/>
          <w:color w:val="auto"/>
        </w:rPr>
      </w:pPr>
      <w:r>
        <w:rPr>
          <w:rFonts w:ascii="Arial" w:cs="Arial" w:eastAsia="Arial" w:hAnsi="Arial"/>
          <w:sz w:val="12"/>
          <w:szCs w:val="12"/>
          <w:color w:val="auto"/>
        </w:rPr>
        <w:t>11,680</w:t>
      </w:r>
    </w:p>
    <w:p>
      <w:pPr>
        <w:spacing w:after="0" w:line="11" w:lineRule="exact"/>
        <w:rPr>
          <w:sz w:val="20"/>
          <w:szCs w:val="20"/>
          <w:color w:val="auto"/>
        </w:rPr>
      </w:pPr>
    </w:p>
    <w:p>
      <w:pPr>
        <w:ind w:left="430"/>
        <w:spacing w:after="0"/>
        <w:rPr>
          <w:sz w:val="20"/>
          <w:szCs w:val="20"/>
          <w:color w:val="auto"/>
        </w:rPr>
      </w:pPr>
      <w:r>
        <w:rPr>
          <w:rFonts w:ascii="Arial" w:cs="Arial" w:eastAsia="Arial" w:hAnsi="Arial"/>
          <w:sz w:val="10"/>
          <w:szCs w:val="10"/>
          <w:color w:val="auto"/>
        </w:rPr>
        <w:t>(596)</w:t>
      </w:r>
    </w:p>
    <w:p>
      <w:pPr>
        <w:spacing w:after="0" w:line="6" w:lineRule="exact"/>
        <w:rPr>
          <w:sz w:val="20"/>
          <w:szCs w:val="20"/>
          <w:color w:val="auto"/>
        </w:rPr>
      </w:pPr>
    </w:p>
    <w:p>
      <w:pPr>
        <w:ind w:left="590"/>
        <w:spacing w:after="0"/>
        <w:rPr>
          <w:sz w:val="20"/>
          <w:szCs w:val="20"/>
          <w:color w:val="auto"/>
        </w:rPr>
      </w:pPr>
      <w:r>
        <w:rPr>
          <w:rFonts w:ascii="Arial" w:cs="Arial" w:eastAsia="Arial" w:hAnsi="Arial"/>
          <w:sz w:val="13"/>
          <w:szCs w:val="13"/>
          <w:color w:val="auto"/>
        </w:rPr>
        <w:t>1</w:t>
      </w:r>
    </w:p>
    <w:p>
      <w:pPr>
        <w:ind w:left="470"/>
        <w:spacing w:after="0" w:line="216" w:lineRule="auto"/>
        <w:rPr>
          <w:sz w:val="20"/>
          <w:szCs w:val="20"/>
          <w:color w:val="auto"/>
        </w:rPr>
      </w:pPr>
      <w:r>
        <w:rPr>
          <w:rFonts w:ascii="Arial" w:cs="Arial" w:eastAsia="Arial" w:hAnsi="Arial"/>
          <w:sz w:val="13"/>
          <w:szCs w:val="13"/>
          <w:color w:val="auto"/>
        </w:rPr>
        <w:t>391</w:t>
      </w:r>
    </w:p>
    <w:p>
      <w:pPr>
        <w:jc w:val="right"/>
        <w:ind w:right="59"/>
        <w:spacing w:after="0" w:line="217" w:lineRule="auto"/>
        <w:rPr>
          <w:sz w:val="20"/>
          <w:szCs w:val="20"/>
          <w:color w:val="auto"/>
        </w:rPr>
      </w:pPr>
      <w:r>
        <w:rPr>
          <w:rFonts w:ascii="Arial" w:cs="Arial" w:eastAsia="Arial" w:hAnsi="Arial"/>
          <w:sz w:val="13"/>
          <w:szCs w:val="13"/>
          <w:color w:val="auto"/>
        </w:rPr>
        <w:t>(55)</w:t>
      </w:r>
    </w:p>
    <w:p>
      <w:pPr>
        <w:ind w:left="530"/>
        <w:spacing w:after="0" w:line="217" w:lineRule="auto"/>
        <w:rPr>
          <w:sz w:val="20"/>
          <w:szCs w:val="20"/>
          <w:color w:val="auto"/>
        </w:rPr>
      </w:pPr>
      <w:r>
        <w:rPr>
          <w:rFonts w:ascii="Arial" w:cs="Arial" w:eastAsia="Arial" w:hAnsi="Arial"/>
          <w:sz w:val="13"/>
          <w:szCs w:val="13"/>
          <w:color w:val="auto"/>
        </w:rPr>
        <w:t>10</w:t>
      </w:r>
    </w:p>
    <w:p>
      <w:pPr>
        <w:ind w:left="530"/>
        <w:spacing w:after="0" w:line="216" w:lineRule="auto"/>
        <w:rPr>
          <w:sz w:val="20"/>
          <w:szCs w:val="20"/>
          <w:color w:val="auto"/>
        </w:rPr>
      </w:pPr>
      <w:r>
        <w:rPr>
          <w:rFonts w:ascii="Arial" w:cs="Arial" w:eastAsia="Arial" w:hAnsi="Arial"/>
          <w:sz w:val="13"/>
          <w:szCs w:val="13"/>
          <w:color w:val="auto"/>
        </w:rPr>
        <w:t>70</w:t>
      </w:r>
    </w:p>
    <w:p>
      <w:pPr>
        <w:jc w:val="right"/>
        <w:ind w:right="59"/>
        <w:spacing w:after="0" w:line="217" w:lineRule="auto"/>
        <w:rPr>
          <w:sz w:val="20"/>
          <w:szCs w:val="20"/>
          <w:color w:val="auto"/>
        </w:rPr>
      </w:pPr>
      <w:r>
        <w:rPr>
          <w:rFonts w:ascii="Arial" w:cs="Arial" w:eastAsia="Arial" w:hAnsi="Arial"/>
          <w:sz w:val="13"/>
          <w:szCs w:val="13"/>
          <w:color w:val="auto"/>
        </w:rPr>
        <w:t>(26)</w:t>
      </w:r>
    </w:p>
    <w:p>
      <w:pPr>
        <w:ind w:left="530"/>
        <w:spacing w:after="0"/>
        <w:rPr>
          <w:sz w:val="20"/>
          <w:szCs w:val="20"/>
          <w:color w:val="auto"/>
        </w:rPr>
      </w:pPr>
      <w:r>
        <w:rPr>
          <w:rFonts w:ascii="Arial" w:cs="Arial" w:eastAsia="Arial" w:hAnsi="Arial"/>
          <w:sz w:val="13"/>
          <w:szCs w:val="13"/>
          <w:color w:val="auto"/>
        </w:rPr>
        <w:t>—</w:t>
      </w:r>
    </w:p>
    <w:p>
      <w:pPr>
        <w:ind w:left="330"/>
        <w:spacing w:after="0"/>
        <w:rPr>
          <w:sz w:val="20"/>
          <w:szCs w:val="20"/>
          <w:color w:val="auto"/>
        </w:rPr>
      </w:pPr>
      <w:r>
        <w:rPr>
          <w:rFonts w:ascii="Arial" w:cs="Arial" w:eastAsia="Arial" w:hAnsi="Arial"/>
          <w:sz w:val="12"/>
          <w:szCs w:val="12"/>
          <w:color w:val="auto"/>
        </w:rPr>
        <w:t>11,475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457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ind w:left="430"/>
        <w:spacing w:after="0"/>
        <w:rPr>
          <w:sz w:val="20"/>
          <w:szCs w:val="20"/>
          <w:color w:val="auto"/>
        </w:rPr>
      </w:pPr>
      <w:r>
        <w:rPr>
          <w:rFonts w:ascii="Arial" w:cs="Arial" w:eastAsia="Arial" w:hAnsi="Arial"/>
          <w:sz w:val="10"/>
          <w:szCs w:val="10"/>
          <w:color w:val="auto"/>
        </w:rPr>
        <w:t>(373)</w:t>
      </w:r>
    </w:p>
    <w:p>
      <w:pPr>
        <w:spacing w:after="0" w:line="6" w:lineRule="exact"/>
        <w:rPr>
          <w:sz w:val="20"/>
          <w:szCs w:val="20"/>
          <w:color w:val="auto"/>
        </w:rPr>
      </w:pPr>
    </w:p>
    <w:p>
      <w:pPr>
        <w:jc w:val="right"/>
        <w:ind w:right="59"/>
        <w:spacing w:after="0"/>
        <w:rPr>
          <w:sz w:val="20"/>
          <w:szCs w:val="20"/>
          <w:color w:val="auto"/>
        </w:rPr>
      </w:pPr>
      <w:r>
        <w:rPr>
          <w:rFonts w:ascii="Arial" w:cs="Arial" w:eastAsia="Arial" w:hAnsi="Arial"/>
          <w:sz w:val="13"/>
          <w:szCs w:val="13"/>
          <w:color w:val="auto"/>
        </w:rPr>
        <w:t>(4)</w:t>
      </w:r>
    </w:p>
    <w:p>
      <w:pPr>
        <w:jc w:val="right"/>
        <w:ind w:right="59"/>
        <w:spacing w:after="0" w:line="216" w:lineRule="auto"/>
        <w:rPr>
          <w:sz w:val="20"/>
          <w:szCs w:val="20"/>
          <w:color w:val="auto"/>
        </w:rPr>
      </w:pPr>
      <w:r>
        <w:rPr>
          <w:rFonts w:ascii="Arial" w:cs="Arial" w:eastAsia="Arial" w:hAnsi="Arial"/>
          <w:sz w:val="13"/>
          <w:szCs w:val="13"/>
          <w:color w:val="auto"/>
        </w:rPr>
        <w:t>(60)</w:t>
      </w:r>
    </w:p>
    <w:p>
      <w:pPr>
        <w:jc w:val="right"/>
        <w:ind w:right="99"/>
        <w:spacing w:after="0" w:line="217" w:lineRule="auto"/>
        <w:rPr>
          <w:sz w:val="20"/>
          <w:szCs w:val="20"/>
          <w:color w:val="auto"/>
        </w:rPr>
      </w:pPr>
      <w:r>
        <w:rPr>
          <w:rFonts w:ascii="Arial" w:cs="Arial" w:eastAsia="Arial" w:hAnsi="Arial"/>
          <w:sz w:val="13"/>
          <w:szCs w:val="13"/>
          <w:color w:val="auto"/>
        </w:rPr>
        <w:t>25</w:t>
      </w:r>
    </w:p>
    <w:p>
      <w:pPr>
        <w:jc w:val="right"/>
        <w:ind w:right="99"/>
        <w:spacing w:after="0" w:line="217" w:lineRule="auto"/>
        <w:rPr>
          <w:sz w:val="20"/>
          <w:szCs w:val="20"/>
          <w:color w:val="auto"/>
        </w:rPr>
      </w:pPr>
      <w:r>
        <w:rPr>
          <w:rFonts w:ascii="Arial" w:cs="Arial" w:eastAsia="Arial" w:hAnsi="Arial"/>
          <w:sz w:val="13"/>
          <w:szCs w:val="13"/>
          <w:color w:val="auto"/>
        </w:rPr>
        <w:t>150</w:t>
      </w:r>
    </w:p>
    <w:p>
      <w:pPr>
        <w:jc w:val="right"/>
        <w:ind w:right="59"/>
        <w:spacing w:after="0" w:line="216" w:lineRule="auto"/>
        <w:rPr>
          <w:sz w:val="20"/>
          <w:szCs w:val="20"/>
          <w:color w:val="auto"/>
        </w:rPr>
      </w:pPr>
      <w:r>
        <w:rPr>
          <w:rFonts w:ascii="Arial" w:cs="Arial" w:eastAsia="Arial" w:hAnsi="Arial"/>
          <w:sz w:val="13"/>
          <w:szCs w:val="13"/>
          <w:color w:val="auto"/>
        </w:rPr>
        <w:t>(34)</w:t>
      </w:r>
    </w:p>
    <w:p>
      <w:pPr>
        <w:jc w:val="right"/>
        <w:ind w:right="59"/>
        <w:spacing w:after="0"/>
        <w:rPr>
          <w:sz w:val="20"/>
          <w:szCs w:val="20"/>
          <w:color w:val="auto"/>
        </w:rPr>
      </w:pPr>
      <w:r>
        <w:rPr>
          <w:rFonts w:ascii="Arial" w:cs="Arial" w:eastAsia="Arial" w:hAnsi="Arial"/>
          <w:sz w:val="13"/>
          <w:szCs w:val="13"/>
          <w:color w:val="auto"/>
        </w:rPr>
        <w:t>(34)</w:t>
      </w:r>
    </w:p>
    <w:p>
      <w:pPr>
        <w:spacing w:after="0" w:line="1" w:lineRule="exact"/>
        <w:rPr>
          <w:sz w:val="20"/>
          <w:szCs w:val="20"/>
          <w:color w:val="auto"/>
        </w:rPr>
      </w:pPr>
    </w:p>
    <w:p>
      <w:pPr>
        <w:sectPr>
          <w:pgSz w:w="11900" w:h="16838" w:orient="portrait"/>
          <w:cols w:equalWidth="0" w:num="2">
            <w:col w:w="8120" w:space="130"/>
            <w:col w:w="769"/>
          </w:cols>
          <w:pgMar w:left="1440" w:top="517" w:right="1440" w:bottom="1440" w:gutter="0" w:footer="0" w:header="0"/>
          <w:type w:val="continuous"/>
        </w:sectPr>
      </w:pPr>
    </w:p>
    <w:p>
      <w:pPr>
        <w:ind w:left="60"/>
        <w:spacing w:after="0"/>
        <w:tabs>
          <w:tab w:leader="none" w:pos="4460" w:val="left"/>
          <w:tab w:leader="none" w:pos="5060" w:val="left"/>
          <w:tab w:leader="none" w:pos="5500" w:val="left"/>
          <w:tab w:leader="none" w:pos="5980" w:val="left"/>
          <w:tab w:leader="none" w:pos="6460" w:val="left"/>
          <w:tab w:leader="none" w:pos="7000" w:val="left"/>
          <w:tab w:leader="none" w:pos="7460" w:val="left"/>
          <w:tab w:leader="none" w:pos="7780" w:val="left"/>
          <w:tab w:leader="none" w:pos="8240" w:val="left"/>
          <w:tab w:leader="none" w:pos="8560" w:val="left"/>
        </w:tabs>
        <w:rPr>
          <w:sz w:val="20"/>
          <w:szCs w:val="20"/>
          <w:color w:val="auto"/>
        </w:rPr>
      </w:pPr>
      <w:r>
        <w:rPr>
          <w:rFonts w:ascii="Arial" w:cs="Arial" w:eastAsia="Arial" w:hAnsi="Arial"/>
          <w:sz w:val="13"/>
          <w:szCs w:val="13"/>
          <w:b w:val="1"/>
          <w:bCs w:val="1"/>
          <w:color w:val="auto"/>
        </w:rPr>
        <w:t>Balance, September 30, 2019</w:t>
      </w:r>
      <w:r>
        <w:rPr>
          <w:sz w:val="20"/>
          <w:szCs w:val="20"/>
          <w:color w:val="auto"/>
        </w:rPr>
        <w:tab/>
      </w: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(873)</w:t>
        <w:tab/>
        <w:t>$</w:t>
      </w:r>
      <w:r>
        <w:rPr>
          <w:sz w:val="20"/>
          <w:szCs w:val="20"/>
          <w:color w:val="auto"/>
        </w:rPr>
        <w:tab/>
      </w:r>
      <w:r>
        <w:rPr>
          <w:rFonts w:ascii="Arial" w:cs="Arial" w:eastAsia="Arial" w:hAnsi="Arial"/>
          <w:sz w:val="13"/>
          <w:szCs w:val="13"/>
          <w:b w:val="1"/>
          <w:bCs w:val="1"/>
          <w:color w:val="auto"/>
        </w:rPr>
        <w:t>6,503</w:t>
        <w:tab/>
        <w:t>$</w:t>
      </w:r>
      <w:r>
        <w:rPr>
          <w:sz w:val="20"/>
          <w:szCs w:val="20"/>
          <w:color w:val="auto"/>
        </w:rPr>
        <w:tab/>
      </w:r>
      <w:r>
        <w:rPr>
          <w:rFonts w:ascii="Arial" w:cs="Arial" w:eastAsia="Arial" w:hAnsi="Arial"/>
          <w:sz w:val="13"/>
          <w:szCs w:val="13"/>
          <w:b w:val="1"/>
          <w:bCs w:val="1"/>
          <w:color w:val="auto"/>
        </w:rPr>
        <w:t>5,630</w:t>
        <w:tab/>
        <w:t>$</w:t>
      </w:r>
      <w:r>
        <w:rPr>
          <w:sz w:val="20"/>
          <w:szCs w:val="20"/>
          <w:color w:val="auto"/>
        </w:rPr>
        <w:tab/>
      </w:r>
      <w:r>
        <w:rPr>
          <w:rFonts w:ascii="Arial" w:cs="Arial" w:eastAsia="Arial" w:hAnsi="Arial"/>
          <w:sz w:val="13"/>
          <w:szCs w:val="13"/>
          <w:b w:val="1"/>
          <w:bCs w:val="1"/>
          <w:color w:val="auto"/>
        </w:rPr>
        <w:t>5,515</w:t>
        <w:tab/>
        <w:t>$</w:t>
      </w:r>
      <w:r>
        <w:rPr>
          <w:sz w:val="20"/>
          <w:szCs w:val="20"/>
          <w:color w:val="auto"/>
        </w:rPr>
        <w:tab/>
      </w:r>
      <w:r>
        <w:rPr>
          <w:rFonts w:ascii="Arial" w:cs="Arial" w:eastAsia="Arial" w:hAnsi="Arial"/>
          <w:sz w:val="10"/>
          <w:szCs w:val="10"/>
          <w:b w:val="1"/>
          <w:bCs w:val="1"/>
          <w:color w:val="auto"/>
        </w:rPr>
        <w:t>11,145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10795</wp:posOffset>
            </wp:positionV>
            <wp:extent cx="28371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2480" w:type="dxa"/>
            <w:vAlign w:val="bottom"/>
            <w:gridSpan w:val="6"/>
          </w:tcPr>
          <w:p>
            <w:pPr>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199"/>
        </w:trPr>
        <w:tc>
          <w:tcPr>
            <w:tcW w:w="64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7"/>
                <w:szCs w:val="17"/>
                <w:color w:val="auto"/>
              </w:rPr>
            </w:pPr>
          </w:p>
        </w:tc>
      </w:tr>
      <w:tr>
        <w:trPr>
          <w:trHeight w:val="128"/>
        </w:trPr>
        <w:tc>
          <w:tcPr>
            <w:tcW w:w="6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right"/>
              <w:ind w:right="4"/>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6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(2,842)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(1,633)</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Loss from discontinued operations</w:t>
            </w:r>
          </w:p>
        </w:tc>
        <w:tc>
          <w:tcPr>
            <w:tcW w:w="24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 from securities transactions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(1,480)</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(3,885)</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Payments to cover securities sold, not yet purchased</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(2,291)</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(451)</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609</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disposition of assets, net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389</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taxes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unrealized gains/losses on derivative contracts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(2,309)</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20" w:type="dxa"/>
            <w:vAlign w:val="bottom"/>
          </w:tcPr>
          <w:p>
            <w:pPr>
              <w:spacing w:after="0"/>
              <w:rPr>
                <w:sz w:val="17"/>
                <w:szCs w:val="17"/>
                <w:color w:val="auto"/>
              </w:rPr>
            </w:pPr>
          </w:p>
        </w:tc>
      </w:tr>
      <w:tr>
        <w:trPr>
          <w:trHeight w:val="203"/>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7"/>
                <w:szCs w:val="17"/>
                <w:color w:val="auto"/>
              </w:rPr>
            </w:pP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20" w:type="dxa"/>
            <w:vAlign w:val="bottom"/>
          </w:tcPr>
          <w:p>
            <w:pPr>
              <w:spacing w:after="0"/>
              <w:rPr>
                <w:sz w:val="17"/>
                <w:szCs w:val="17"/>
                <w:color w:val="auto"/>
              </w:rPr>
            </w:pPr>
          </w:p>
        </w:tc>
      </w:tr>
      <w:tr>
        <w:trPr>
          <w:trHeight w:val="190"/>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0" w:type="dxa"/>
            <w:vAlign w:val="bottom"/>
          </w:tcPr>
          <w:p>
            <w:pPr>
              <w:spacing w:after="0"/>
              <w:rPr>
                <w:sz w:val="18"/>
                <w:szCs w:val="18"/>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Turnaround expenditures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(158)</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businesses, net of cash acquired</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(317)</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Proceeds from disposition of businesses and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491</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20" w:type="dxa"/>
            <w:vAlign w:val="bottom"/>
          </w:tcPr>
          <w:p>
            <w:pPr>
              <w:spacing w:after="0"/>
              <w:rPr>
                <w:sz w:val="17"/>
                <w:szCs w:val="17"/>
                <w:color w:val="auto"/>
              </w:rPr>
            </w:pP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Investment segment contributions from non-controlling interests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Partnership contributions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(493)</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additional interests in consolidated subsidiaries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0" w:type="dxa"/>
            <w:vAlign w:val="bottom"/>
          </w:tcPr>
          <w:p>
            <w:pPr>
              <w:spacing w:after="0"/>
              <w:rPr>
                <w:sz w:val="17"/>
                <w:szCs w:val="17"/>
                <w:color w:val="auto"/>
              </w:rPr>
            </w:pPr>
          </w:p>
        </w:tc>
      </w:tr>
      <w:tr>
        <w:trPr>
          <w:trHeight w:val="202"/>
        </w:trPr>
        <w:tc>
          <w:tcPr>
            <w:tcW w:w="6440" w:type="dxa"/>
            <w:vAlign w:val="bottom"/>
          </w:tcPr>
          <w:p>
            <w:pPr>
              <w:ind w:left="20"/>
              <w:spacing w:after="0"/>
              <w:rPr>
                <w:sz w:val="20"/>
                <w:szCs w:val="20"/>
                <w:color w:val="auto"/>
              </w:rPr>
            </w:pPr>
            <w:r>
              <w:rPr>
                <w:rFonts w:ascii="Arial" w:cs="Arial" w:eastAsia="Arial" w:hAnsi="Arial"/>
                <w:sz w:val="16"/>
                <w:szCs w:val="16"/>
                <w:color w:val="auto"/>
              </w:rPr>
              <w:t>Dividends and distributions to non-controlling interests in subsidiaries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Holding Company senior unsecured notes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Repayments of Holding Company senior unsecured notes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(1,350)</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(1,700)</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subsidiary borrowings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Repayments of subsidiary borrowings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(1,244)</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(597)</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2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17"/>
                <w:szCs w:val="17"/>
                <w:color w:val="auto"/>
              </w:rPr>
            </w:pPr>
          </w:p>
        </w:tc>
      </w:tr>
      <w:tr>
        <w:trPr>
          <w:trHeight w:val="173"/>
        </w:trPr>
        <w:tc>
          <w:tcPr>
            <w:tcW w:w="644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w w:val="93"/>
              </w:rPr>
              <w:t>Effect of exchange rate changes on cash and cash equivalents and restricted cash and restricted</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Add back change in cash and restricted cash of assets held for sale</w:t>
            </w:r>
          </w:p>
        </w:tc>
        <w:tc>
          <w:tcPr>
            <w:tcW w:w="24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7"/>
                <w:szCs w:val="17"/>
                <w:color w:val="auto"/>
              </w:rPr>
            </w:pP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 and restricted cash</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20" w:type="dxa"/>
            <w:vAlign w:val="bottom"/>
          </w:tcPr>
          <w:p>
            <w:pPr>
              <w:spacing w:after="0"/>
              <w:rPr>
                <w:sz w:val="18"/>
                <w:szCs w:val="18"/>
                <w:color w:val="auto"/>
              </w:rPr>
            </w:pPr>
          </w:p>
        </w:tc>
      </w:tr>
      <w:tr>
        <w:trPr>
          <w:trHeight w:val="193"/>
        </w:trPr>
        <w:tc>
          <w:tcPr>
            <w:tcW w:w="6440" w:type="dxa"/>
            <w:vAlign w:val="bottom"/>
          </w:tcPr>
          <w:p>
            <w:pPr>
              <w:ind w:left="20"/>
              <w:spacing w:after="0"/>
              <w:rPr>
                <w:sz w:val="20"/>
                <w:szCs w:val="20"/>
                <w:color w:val="auto"/>
              </w:rPr>
            </w:pPr>
            <w:r>
              <w:rPr>
                <w:rFonts w:ascii="Arial" w:cs="Arial" w:eastAsia="Arial" w:hAnsi="Arial"/>
                <w:sz w:val="16"/>
                <w:szCs w:val="16"/>
                <w:color w:val="auto"/>
                <w:w w:val="98"/>
              </w:rPr>
              <w:t>Cash and cash equivalents and restricted cash and restricted cash equivalents, beginning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5,338</w:t>
            </w:r>
          </w:p>
        </w:tc>
        <w:tc>
          <w:tcPr>
            <w:tcW w:w="20" w:type="dxa"/>
            <w:vAlign w:val="bottom"/>
          </w:tcPr>
          <w:p>
            <w:pPr>
              <w:spacing w:after="0"/>
              <w:rPr>
                <w:sz w:val="18"/>
                <w:szCs w:val="18"/>
                <w:color w:val="auto"/>
              </w:rPr>
            </w:pPr>
          </w:p>
        </w:tc>
      </w:tr>
      <w:tr>
        <w:trPr>
          <w:trHeight w:val="19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Cash and cash equivalents and restricted cash and restricted cash equivalents, end of period</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20" w:type="dxa"/>
            <w:vAlign w:val="bottom"/>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L.P. (“Icahn Enterprises”) is a master limited partnership formed in Delaware on February 17, 1987.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Icahn Enterprises Holdings L.P. (“Icahn Enterprises Holdings”) is a limited partnership formed in Delaware 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17, 1987. References to “we,” “our” or “us” herein include both Icahn Enterprises and Icahn Enterprises Holdings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their subsidiaries, unless the context otherwise requires.</w:t>
      </w:r>
    </w:p>
    <w:p>
      <w:pPr>
        <w:spacing w:after="0" w:line="211"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September 30, 2020.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In addition to the above, Mr. Icahn and his affiliates owned approximately 92.0% of Icahn Enterprises’ outstanding depositary units as of September 30, 2020.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are a diversified holding company owning subsidiaries currently engaged in the following continuing operating businesses: Investment, Energy, Automotive, Food Packaging, Metals, Real Estate and Home Fashion. We also report the results of our Holding Company, which includes the results of certain subsidiaries of Icahn Enterprises and Icahn Enterprises Holdings (unless otherwise noted), and investment activity and expenses associated with our Holding Company. Our historical results also report the results of our Mining segment, until sold on August 1, 2019. See Note 12, “Segment Reporting,” for a reconciliation of each of our reporting segment’s results of operations to our consolidated results. Certain additional information with respect to our segments is discussed below.</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 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$4.1 billion and $4.3 billion as of September 30, 2020 and December 31, 2019,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CVR Energy has a general partner interest in each of CVR Refining and CVR Partners. In addition, CVR Energy is the sole limited partner of CVR Refining and owns approximately 35% of the outstanding common units of CVR Partners as of September 30, 2020. As of September 30, 2020, we owned approximately 70.8% of the total outstanding common stock of CVR Energy.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279" w:firstLine="324"/>
        <w:spacing w:after="0" w:line="269" w:lineRule="auto"/>
        <w:rPr>
          <w:sz w:val="20"/>
          <w:szCs w:val="20"/>
          <w:color w:val="auto"/>
        </w:rPr>
      </w:pPr>
      <w:r>
        <w:rPr>
          <w:rFonts w:ascii="Arial" w:cs="Arial" w:eastAsia="Arial" w:hAnsi="Arial"/>
          <w:sz w:val="17"/>
          <w:szCs w:val="17"/>
          <w:color w:val="auto"/>
        </w:rPr>
        <w:t>On January 29, 2019, CVR Energy, pursuant to the exercise of its right to purchase all of the issued and outstanding common units in CVR Refining, purchased the remaining common units of CVR Refining not already owned by CVR Energy, including the purchase of CVR Refining common units owned directly by us. Prior to this, CVR Energy owned approximately 80.6% of the common units of CVR Refining and we directly owned approximately 3.9% of the common units of CVR Refining. As a result of exercising its purchase right, as of January 29, 2019, CVR Energy owns all of the common units of CVR Refining and we no longer have any direct ownership in CVR Refining. In addition, the common units of CVR Refining have subsequently ceased to be publicly traded or listed on the New York Stock Exchange or any other national securities exchange. The remaining common units of CVR Refining acquired in this transaction were purchased for $241 million, excluding the amount paid by CVR Energy to us for the common units of CVR Refining directly owned by us.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conduct our Automotive segment through our wholly 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and therefore are operated as two independent operating companies, each with its own Chief Executive Officer and management teams, and both of which are supported by a central shared service group. Our Automotive segment also includes our separate equity method investment in 767 Auto Leasing LLC (“767 Leasing”), a joint venture created by us to purchase vehicles for lease, as described further in Note 3, “Related Party Transactions.” Our investment in 767 Leasing is included as a component of our Automotive segment due to the nature of the joint venture activities.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299" w:firstLine="324"/>
        <w:spacing w:after="0" w:line="311" w:lineRule="auto"/>
        <w:rPr>
          <w:sz w:val="20"/>
          <w:szCs w:val="20"/>
          <w:color w:val="auto"/>
        </w:rPr>
      </w:pPr>
      <w:r>
        <w:rPr>
          <w:rFonts w:ascii="Arial" w:cs="Arial" w:eastAsia="Arial" w:hAnsi="Arial"/>
          <w:sz w:val="16"/>
          <w:szCs w:val="16"/>
          <w:color w:val="auto"/>
        </w:rPr>
        <w:t>We conduct our Food Packaging segment through our majority owned subsidiary, Viskase Companies, Inc. (“Viskase”). Viskase is a producer of cellulosic, fibrous and plastic casings used to prepare and package processed meat products. As of September 30, 2020, we owned approximately 78.6% of the total outstanding common stock of Viskase.</w:t>
      </w:r>
    </w:p>
    <w:p>
      <w:pPr>
        <w:spacing w:after="0" w:line="149"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In October 2020, Viskase completed an equity private placement whereby we acquired an additional 50,000,000 shares of Viskase common stock for $100 million. In connection with this transaction, our ownership of Viskase increased to approximately 89.0%.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We conduct our Metals segment through our wholly 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7"/>
          <w:szCs w:val="17"/>
          <w:i w:val="1"/>
          <w:iCs w:val="1"/>
          <w:color w:val="auto"/>
        </w:rPr>
        <w: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Our Real Estate operations consist primarily of rental real estate, property development and associated club activities, and hotel, timeshare and casino operations. Our rental real estate operations consist primarily of office and industrial properties. Our property development operations focus primarily on the construction and sale of single-family homes in subdivisions and planned communities and the acquisition of raw land for residential development. Our property development locations also operate golf and club operations. Our Real Estate segment’s hotel, timeshare and casino operations consist of a resort property in Aruba as well as a casino property in Atlantic City, New Jersey, which ceased operations in 2014 prior to our obtaining control of the property.</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conduct our Home Fashion segment through our wholly owned subsidiary, WestPoint Home LLC (“WPH”).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Mining</w:t>
      </w:r>
    </w:p>
    <w:p>
      <w:pPr>
        <w:spacing w:after="0" w:line="22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We conducted our Mining segment through our majority owned subsidiary, Ferrous Resources Ltd. (“Ferrous Resources”). Ferrous Resources acquired certain rights to iron ore mineral resources in Brazil and developed mining operations and related infrastructure to produce and sell iron ore products to the global steel industry. On August 1, 2019, we closed on the previously announced sale of Ferrous Resources. Our proportionate share of the cash proceeds from the sale, net of adjustments, was $451 million during the third quarter of 2019. As a result of the sale of Ferrous Resources, our Mining segment recorded a pretax gain on disposition of assets of $252 million in the third quarter of 2019. Prior to the sale of Ferrous Resources, we owned approximately 77.2% of its total outstanding common stock. Subsequent to the sale, we no longer operate an active Mining segment.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and Ferrous Resources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2019.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Economic Conditions</w:t>
      </w:r>
    </w:p>
    <w:p>
      <w:pPr>
        <w:spacing w:after="0" w:line="225"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In March 2020, the World Health Organization categorized COVID-19 as a pandemic and the President of the United States declared the COVID-19 outbreak a national emergency. The COVID-19 pandemic, and actions taken by governments and others in response thereto, has negatively impacted the global economy, financial markets, and the industries in which our subsidiaries operate. Our consolidated results of operations and financial condition have been impacted primarily by the volatility in the fair value of investments held by our Investment segment and the Holding Company (primarily unrealized) as well as declines in the global demand for refined products, especially gasoline and diesel fuels, with respect to our Energy segment. The impact on our businesses has also included the acceleration of selective planned store closures in our Automotive segment, lowering current year forecasts across various segments and recording write-downs to inventories. We believe that the current economic conditions will continue to impact our businesses through at least the remainder of the year. The extent and duration of the impact on our future results of operations, liquidity and financial condition is uncertain and may be significant.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Our condensed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166"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225"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7"/>
          <w:szCs w:val="17"/>
          <w:color w:val="auto"/>
        </w:rPr>
        <w:t>The following is a discussion of variable interest entities in which we are deemed to be the primary beneficiary and in which we therefore consolidate. In addition, as discussed in Note 3, “Related Party Transactions,” we have a variable interest in an entity in which we are not the primary beneficiary and therefore we do not consolidate.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Icahn Enterprises Holdings</w:t>
      </w:r>
    </w:p>
    <w:p>
      <w:pPr>
        <w:spacing w:after="0" w:line="225"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The condensed consolidated financial statements of Icahn Enterprises Holdings are included in this Report. The balances with respect to Icahn Enterprises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Holdings’ consolidated VIEs are discussed below, comprising the Investment Funds, CVR Partners and Viskase’s joint venture.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CVR Partners is considered a VIE because it is a limited partnership that lacks both substantive kick-out and participating rights. In addition, CVR Energy also concluded that, based upon its general partner’s roles and rights in CVR Partners as afforded by CVR Partners’ partnership agreement, coupled with its exposure to losses and benefits in CVR Partners through its significant limited partner interest, intercompany credit facilities and services agreements, it is the primary beneficiary of CVR Partners.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299" w:firstLine="324"/>
        <w:spacing w:after="0" w:line="286" w:lineRule="auto"/>
        <w:rPr>
          <w:sz w:val="20"/>
          <w:szCs w:val="20"/>
          <w:color w:val="auto"/>
        </w:rPr>
      </w:pPr>
      <w:r>
        <w:rPr>
          <w:rFonts w:ascii="Arial" w:cs="Arial" w:eastAsia="Arial" w:hAnsi="Arial"/>
          <w:sz w:val="17"/>
          <w:szCs w:val="17"/>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165"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following table includes balances of assets and liabilities of VIE’s included in Icahn Enterprises Holdings’ condensed consolidated balance sheets.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r>
      <w:tr>
        <w:trPr>
          <w:trHeight w:val="128"/>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Due from brokers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Inventories, net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Unrealized gain on derivative contracts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assets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 contracts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Securities sold, not yet purchased, at fair value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Due to brokers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Debt</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850"/>
        </w:trPr>
        <w:tc>
          <w:tcPr>
            <w:tcW w:w="5660" w:type="dxa"/>
            <w:vAlign w:val="bottom"/>
            <w:gridSpan w:val="2"/>
          </w:tcPr>
          <w:p>
            <w:pPr>
              <w:jc w:val="right"/>
              <w:ind w:right="1010"/>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188"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September 30, 2020 was approximately $8.1 billion and $8.1 billion, respectively. The carrying value and estimated fair value of our long-term debt as of December 31, 2019 was approximately $8.2 billion and $7.6 billion,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jc w:val="both"/>
        <w:ind w:left="60" w:right="819" w:firstLine="324"/>
        <w:spacing w:after="0" w:line="263"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cash held at consolidated affiliated partnerships balance was $2,365 million and $86 million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2020 and December 31, 2019, respectively. Cash held at consolidated affiliated partnerships relates to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Investment segment and consists of cash and cash equivalents held by the Investment Funds that, although not legally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are not available to fund the general liquidity needs of the Investment segment or Icahn Enterprises.</w:t>
      </w:r>
    </w:p>
    <w:p>
      <w:pPr>
        <w:spacing w:after="0" w:line="211"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restricted cash balance was $322 million and $1,065 million as of September 30, 2020 and December 31, 2019, respectively. Restricted cash primarily relates to our Investment segment’s cash pledged and held for margin requirements on derivative transactions.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59" w:firstLine="324"/>
        <w:spacing w:after="0" w:line="301" w:lineRule="auto"/>
        <w:rPr>
          <w:sz w:val="20"/>
          <w:szCs w:val="20"/>
          <w:color w:val="auto"/>
        </w:rPr>
      </w:pPr>
      <w:r>
        <w:rPr>
          <w:rFonts w:ascii="Arial" w:cs="Arial" w:eastAsia="Arial" w:hAnsi="Arial"/>
          <w:sz w:val="16"/>
          <w:szCs w:val="16"/>
          <w:color w:val="auto"/>
        </w:rPr>
        <w:t>As of September 30, 2020, our Energy segment had not identified the existence of an impairment indicator for its long-lived asset groups as outlined in U.S. GAAP, as declines in profits are largely due to the economic environment and other external factors which are currently viewed as temporary declines in the market. From a long-term perspective, over the useful life of each asset group, our Energy segment continues to expect positive cash flows and earnings.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225"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 all of our Investment segment’s and our Holding Company’s revenues, and our Real Estate segment’s leasing revenue, our revenue is generally derived from contracts with customers. Such revenue from contracts with customers is included in net sales and other revenues from operations in the condensed consolidated statements of operations, however, our Real Estate segment’s leasing revenue, as disclosed in Note 9,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12, “Segment Reporting,” for our complete disaggregation of revenue information. In addition, we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disclose additional information with respect to revenue from contracts with customers and contract balances for our Energy and Automotive segments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$12 million and $28 million as of September 30, 2020 and December 31, 2019, respectively. For the</w:t>
      </w:r>
    </w:p>
    <w:p>
      <w:pPr>
        <w:spacing w:after="0" w:line="2" w:lineRule="exact"/>
        <w:rPr>
          <w:sz w:val="20"/>
          <w:szCs w:val="20"/>
          <w:color w:val="auto"/>
        </w:rPr>
      </w:pPr>
    </w:p>
    <w:p>
      <w:pPr>
        <w:ind w:left="60" w:right="279"/>
        <w:spacing w:after="0" w:line="290" w:lineRule="auto"/>
        <w:rPr>
          <w:sz w:val="20"/>
          <w:szCs w:val="20"/>
          <w:color w:val="auto"/>
        </w:rPr>
      </w:pPr>
      <w:r>
        <w:rPr>
          <w:rFonts w:ascii="Arial" w:cs="Arial" w:eastAsia="Arial" w:hAnsi="Arial"/>
          <w:sz w:val="17"/>
          <w:szCs w:val="17"/>
          <w:color w:val="auto"/>
        </w:rPr>
        <w:t>nine months ended September 30, 2020 and 2019, our Energy segment recorded revenue of $27 million and $68 million, respectively, with respect to deferred revenue outstanding as of the beginning of each respective period.</w:t>
      </w:r>
    </w:p>
    <w:p>
      <w:pPr>
        <w:spacing w:after="0" w:line="161" w:lineRule="exact"/>
        <w:rPr>
          <w:sz w:val="20"/>
          <w:szCs w:val="20"/>
          <w:color w:val="auto"/>
        </w:rPr>
      </w:pPr>
    </w:p>
    <w:p>
      <w:pPr>
        <w:jc w:val="both"/>
        <w:ind w:left="60" w:right="419" w:firstLine="324"/>
        <w:spacing w:after="0" w:line="311" w:lineRule="auto"/>
        <w:rPr>
          <w:sz w:val="20"/>
          <w:szCs w:val="20"/>
          <w:color w:val="auto"/>
        </w:rPr>
      </w:pPr>
      <w:r>
        <w:rPr>
          <w:rFonts w:ascii="Arial" w:cs="Arial" w:eastAsia="Arial" w:hAnsi="Arial"/>
          <w:sz w:val="16"/>
          <w:szCs w:val="16"/>
          <w:color w:val="auto"/>
        </w:rPr>
        <w:t>As of September 30, 2020, our Energy segment had $7 million of remaining performance obligations for contracts with an original expected duration of more than one year. Our Energy segment expects to recognize approximately $1 million of these performance obligations as revenue by the end of 2020 and the remaining balance thereafter.</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Our Automotive segment has deferred revenue with respect to extended warranty plans of $41 million and $42 million as of September 30, 2020 and December 31, 2019, respectively, which are included in accrued expenses and other liabilities on the condensed consolidated balance sheets. For the nine months ended September 30, 2020 and 2019, our Automotive segment recorded revenue of $19 million and $17 million, respectively, with respect to deferred revenue outstanding as of the beginning of each respective period, and which includes $6 million and $5 million recognized during the three months ended September 30, 2020 and 2019,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which amends FASB ASC Topic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In addition, in May 2019, the FASB issued ASU 2019-05, </w:t>
      </w:r>
      <w:r>
        <w:rPr>
          <w:rFonts w:ascii="Arial" w:cs="Arial" w:eastAsia="Arial" w:hAnsi="Arial"/>
          <w:sz w:val="16"/>
          <w:szCs w:val="16"/>
          <w:i w:val="1"/>
          <w:iCs w:val="1"/>
          <w:color w:val="auto"/>
        </w:rPr>
        <w:t>Targeted Transition Relief</w:t>
      </w:r>
      <w:r>
        <w:rPr>
          <w:rFonts w:ascii="Arial" w:cs="Arial" w:eastAsia="Arial" w:hAnsi="Arial"/>
          <w:sz w:val="16"/>
          <w:szCs w:val="16"/>
          <w:color w:val="auto"/>
        </w:rPr>
        <w:t>, which updates FASB ASU 2016-13. These ASUs require financial assets measured at amortized</w:t>
      </w:r>
      <w:r>
        <w:rPr>
          <w:rFonts w:ascii="Arial" w:cs="Arial" w:eastAsia="Arial" w:hAnsi="Arial"/>
          <w:sz w:val="16"/>
          <w:szCs w:val="16"/>
          <w:i w:val="1"/>
          <w:iCs w:val="1"/>
          <w:color w:val="auto"/>
        </w:rPr>
        <w:t xml:space="preserve"> </w:t>
      </w:r>
      <w:r>
        <w:rPr>
          <w:rFonts w:ascii="Arial" w:cs="Arial" w:eastAsia="Arial" w:hAnsi="Arial"/>
          <w:sz w:val="16"/>
          <w:szCs w:val="16"/>
          <w:color w:val="auto"/>
        </w:rPr>
        <w:t>cost to be presented at the net amount to be collected and broadens the information, including forecasted information incorporating more timely information, that an entity must consider in developing its expected credit loss estimate for assets measured. These ASUs are effective for fiscal years beginning after December 15, 2019, and interim periods within those fiscal years. We have adopted this standard on January 1, 2020. Most of our financial assets are excluded from the requirements of this standard as they are measured at fair value or are subject to other accounting standards. In addition, certain of our other financial assets are short-term in nature and therefore were not subject to significant credit losses beyond what was previously recorded under prior accounting standards. As a result, the adoption of this standard did not have a significant impact on our condensed consolidated financial statements.</w:t>
      </w:r>
    </w:p>
    <w:p>
      <w:pPr>
        <w:spacing w:after="0" w:line="172"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amends FASB ASC Topic 820,</w:t>
      </w:r>
      <w:r>
        <w:rPr>
          <w:rFonts w:ascii="Arial" w:cs="Arial" w:eastAsia="Arial" w:hAnsi="Arial"/>
          <w:sz w:val="16"/>
          <w:szCs w:val="16"/>
          <w:i w:val="1"/>
          <w:iCs w:val="1"/>
          <w:color w:val="auto"/>
        </w:rPr>
        <w:t xml:space="preserve"> Fair Value Measurements</w:t>
      </w:r>
      <w:r>
        <w:rPr>
          <w:rFonts w:ascii="Arial" w:cs="Arial" w:eastAsia="Arial" w:hAnsi="Arial"/>
          <w:sz w:val="16"/>
          <w:szCs w:val="16"/>
          <w:color w:val="auto"/>
        </w:rPr>
        <w:t>. This ASU eliminates, modifies</w:t>
      </w:r>
      <w:r>
        <w:rPr>
          <w:rFonts w:ascii="Arial" w:cs="Arial" w:eastAsia="Arial" w:hAnsi="Arial"/>
          <w:sz w:val="16"/>
          <w:szCs w:val="16"/>
          <w:i w:val="1"/>
          <w:iCs w:val="1"/>
          <w:color w:val="auto"/>
        </w:rPr>
        <w:t xml:space="preserve"> </w:t>
      </w:r>
      <w:r>
        <w:rPr>
          <w:rFonts w:ascii="Arial" w:cs="Arial" w:eastAsia="Arial" w:hAnsi="Arial"/>
          <w:sz w:val="16"/>
          <w:szCs w:val="16"/>
          <w:color w:val="auto"/>
        </w:rPr>
        <w:t>and adds various disclosure requirements for fair value measurements. This ASU is effective for fiscal years beginning after December 15, 2019, and interim periods within those fiscal years. Certain disclosures are required to be applied using a retrospective approach and others using a prospective approach. We have adopted this standard on January 1, 2020. The various disclosure requirements being eliminated, modified or added are not significant to us. As a result, the adoption of this standard did not have a significant impact on our condensed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w:t>
      </w:r>
      <w:r>
        <w:rPr>
          <w:rFonts w:ascii="Arial" w:cs="Arial" w:eastAsia="Arial" w:hAnsi="Arial"/>
          <w:sz w:val="17"/>
          <w:szCs w:val="17"/>
          <w:color w:val="auto"/>
        </w:rPr>
        <w:t xml:space="preserve"> </w:t>
      </w:r>
      <w:r>
        <w:rPr>
          <w:rFonts w:ascii="Arial" w:cs="Arial" w:eastAsia="Arial" w:hAnsi="Arial"/>
          <w:sz w:val="17"/>
          <w:szCs w:val="17"/>
          <w:i w:val="1"/>
          <w:iCs w:val="1"/>
          <w:color w:val="auto"/>
        </w:rPr>
        <w:t>Computing Arrangement That is a Service Contract</w:t>
      </w:r>
      <w:r>
        <w:rPr>
          <w:rFonts w:ascii="Arial" w:cs="Arial" w:eastAsia="Arial" w:hAnsi="Arial"/>
          <w:sz w:val="17"/>
          <w:szCs w:val="17"/>
          <w:color w:val="auto"/>
        </w:rPr>
        <w:t>, which amends FASB ASC Subtopic 350-40,</w:t>
      </w:r>
      <w:r>
        <w:rPr>
          <w:rFonts w:ascii="Arial" w:cs="Arial" w:eastAsia="Arial" w:hAnsi="Arial"/>
          <w:sz w:val="17"/>
          <w:szCs w:val="17"/>
          <w:i w:val="1"/>
          <w:iCs w:val="1"/>
          <w:color w:val="auto"/>
        </w:rPr>
        <w:t xml:space="preserve"> Intangibles-Goodwill and Other-Internal-Use Software</w:t>
      </w:r>
      <w:r>
        <w:rPr>
          <w:rFonts w:ascii="Arial" w:cs="Arial" w:eastAsia="Arial" w:hAnsi="Arial"/>
          <w:sz w:val="17"/>
          <w:szCs w:val="17"/>
          <w:color w:val="auto"/>
        </w:rPr>
        <w:t>. This ASU adds certain disclosure requirements related to implementation costs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for internal-use software and cloud computing arrangements. The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fiscal years beginning after December 15, 2019, and interim periods within those fiscal years. The amendments in this ASU should be applied either using a retrospective or prospective approach. We have adopted this standard on January 1, 2020 prospectively. The adoption of this standard did not have a significant impact on our condensed consolidated financial statements.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which amends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This ASU simplifies the accounting for income taxes by removing certain exceptions to the general principles in the standard and modifies other areas of the standard to clarify the application of U.S. GAAP. This ASU is effective for fiscal years beginning after December 15, 2020, and interim periods within those fiscal years. Certain amendments in this ASU should be applied using a retrospective approach and others using the prospective approach. Early adoption is permitted. We currently do not anticipate this standard to have a significant impact on our condensed consolidated financial statements.</w:t>
      </w:r>
    </w:p>
    <w:p>
      <w:pPr>
        <w:spacing w:after="0" w:line="19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which amends FASB ASC Topic 848,</w:t>
      </w:r>
      <w:r>
        <w:rPr>
          <w:rFonts w:ascii="Arial" w:cs="Arial" w:eastAsia="Arial" w:hAnsi="Arial"/>
          <w:sz w:val="17"/>
          <w:szCs w:val="17"/>
          <w:i w:val="1"/>
          <w:iCs w:val="1"/>
          <w:color w:val="auto"/>
        </w:rPr>
        <w:t xml:space="preserve"> Reference Rate Reform</w:t>
      </w:r>
      <w:r>
        <w:rPr>
          <w:rFonts w:ascii="Arial" w:cs="Arial" w:eastAsia="Arial" w:hAnsi="Arial"/>
          <w:sz w:val="17"/>
          <w:szCs w:val="17"/>
          <w:color w:val="auto"/>
        </w:rPr>
        <w:t>. By the end of 2021, banks will no longer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Companies can apply this ASU immediately and will only be available for a limited time (generally through December 31, 2022). We are currently assessing the impact of this standard on our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Funds</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During the nine months ended September 30, 2020, Mr. Icahn and his affiliates (excluding us) contributed $1,241 million to the Investment Funds consisting primarily of in-kind investments previously held directly by Mr. Icahn and his affiliates (excluding us). During the three and nine months ended September 30, 2019, Mr. Icahn and his affiliates (excluding us) invested $150 million and $220 million, respectively, in the Investment Funds. As of September 30, 2020 and December 31, 2019, the total fair market value of investments in the Investment Funds made by Mr. Icahn and his affiliates (excluding us) was approximately $4.8 billion and $4.5 billion, respectively, representing approximately 54% and 51% of the Investment Funds’ assets under management as of each respective date.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three months ended September 30, 2020 and 2019, $2 million and $4 million, respectively, was allocated to the Investment Funds based on this expense-sharing arrangement and for the nine months ended September 30, 2020 and 2019, such allocation was $(1) million and $6 million, respectively. For the nine months ended September 30, 2020, the allocation was reduced by $8 million relating to certain compensation arrangements.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Hertz Global Holdings, Inc. and 767 Auto Leasing LLC</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As discussed in Note 4, “Investments,” the Investment Funds had an investment in the common stock of Hertz Global Holdings, Inc. (“Hertz”) measured at fair value that would have otherwise been subject to the equity method of accounting (until sold in the second quarter of 2020). Icahn Automotive provides services to Hertz in the ordinary course of business. Revenue from Hertz was $20 million and $40 million, for the nine months ended September 30, 2020 and 2019, respectively.</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Lease and Management Agreement with Hertz, pursuant to which Hertz granted 767 Leasing the option to acquire certain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vehicles from Hertz at rates aligned with the rates at which Hertz sells vehicles to third parties. Under this agreement, 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amended, Hertz will lease the vehicles that 767 Leasing purchases from Hertz, or from third parties, under a mutually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developed fleet plan and Hertz will manage, service, repair, sell and maintain those leased vehicles on behalf of 767</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Leasing. Additionally, Hertz will rent the leased vehicles to transportation network company drivers from rental counters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within locations leased or owned by us. This agreement had an initial term of 18 months and is subject to automatic six-</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month renewals thereafter, unless terminated by either party (with or without cause) prior to the start of any such six-month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renewal. Our agreement with Hertz was unanimously approved by the independent directors of Icahn Enterprises’ audit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committee. Due to the nature of our involvement with 767 Leasing, which includes Icahn Enterprises and Icahn Enterprises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Holdings guaranteeing the payment obligations of 767 Leasing and sharing in the profits of 767 Leasing with Hertz,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determined that 767 Leasing is a variable interest entity. Furthermore, we determined that we are not the primary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beneficiary as we do not have the power to direct the activities of 767 Leasing that most significantly impact its economic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performance. Therefore, we do not consolidate the results of 767 Leasing. Our exposure to loss with respect to 767 Leasing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is primarily limited to our direct investment in 767 Leasing as well as any payment obligations of 767 Leasing that we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guarantee, which are not material as of September 30, 2020 and December 31, 2019. As of September 30, 2020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2019, 767 Leasing had total assets of $58 million and $121 million, respectively, and total liabilities of $0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million and $1 million, respectively, which represents a payable to Icahn Automotive in connection with a shared services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agreement. For each of the three and nine months ended September 30, 2020, 767 Leasing distributed $55 million to us.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three and nine months ended September 30, 2019, we invested $5 million and $50 million, respectively, in 767</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Leasing. For the three months ended September 30, 2020 and 2019, we had equity (losses) earnings from our investment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767 Leasing of $(1) million and $5 million, respectively. For the nine months ended September 30, 2020 and 2019, we had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equity (losses) earnings from our investment in 767 Leasing of $(6) million and $8 million, respectively. As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2020 and December 31, 2019, we had an equity method investment in 767 Leasing of $60 million and $120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 respectively, which we report in our Automotive segment.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22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Insight Portfolio Group LLC (“Insight Portfolio Group”) was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had a minority equity interest in Insight Portfolio Group and agreed to pay a portion of Insight Portfolio Group’s operating expenses. In addition to the minority equity interest held by Icahn Enterprises Holdings, certain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subsidiaries of ours, including CVR Energy, Viskase, PSC Metals and WPH also acquired minority equity interests in Insight Portfolio Group and agreed to pay a portion of Insight Portfolio Group’s operating expenses. A number of other entities with which Mr. Icahn has a relationship also had minority equity interests in Insight Portfolio Group and also agreed to pay certain of Insight Portfolio Group’s operating expenses. Insight Portfolio Group ceased operations effective January 1, 2020. For the nine months ended September 30, 2019, we and certain of our subsidiaries paid certain of Insight Portfolio Group’s operating expenses of $2 million.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129"/>
        </w:trPr>
        <w:tc>
          <w:tcPr>
            <w:tcW w:w="6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4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Basic materials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non-cyclical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Consumer, cyclical</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2,427</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Energy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2,425</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6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w:t>
            </w:r>
          </w:p>
        </w:tc>
      </w:tr>
      <w:tr>
        <w:trPr>
          <w:trHeight w:val="209"/>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50"/>
        </w:trPr>
        <w:tc>
          <w:tcPr>
            <w:tcW w:w="64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w:t>
            </w:r>
          </w:p>
        </w:tc>
      </w:tr>
      <w:tr>
        <w:trPr>
          <w:trHeight w:val="197"/>
        </w:trPr>
        <w:tc>
          <w:tcPr>
            <w:tcW w:w="6440" w:type="dxa"/>
            <w:vAlign w:val="bottom"/>
            <w:shd w:val="clear" w:color="auto" w:fill="CCEEFF"/>
          </w:tcPr>
          <w:p>
            <w:pPr>
              <w:ind w:left="2780"/>
              <w:spacing w:after="0" w:line="196" w:lineRule="exact"/>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Basic materials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non-cyclical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Consumer, cyclical</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Energy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Financial</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Communication</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0"/>
        </w:trPr>
        <w:tc>
          <w:tcPr>
            <w:tcW w:w="64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color w:val="auto"/>
        </w:rPr>
        <w:t>The portion of unrealized gains (losses) that relates to securities still held by our Investment segment, primarily equity securities, was $(535) million and $(513) million for the three months ended September 30, 2020 and 2019, respectively, and $(1,560) million and $(99) million for nine months ended September 30, 2020 and 2019, respectively.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359" w:firstLine="324"/>
        <w:spacing w:after="0" w:line="296" w:lineRule="auto"/>
        <w:rPr>
          <w:sz w:val="20"/>
          <w:szCs w:val="20"/>
          <w:color w:val="auto"/>
        </w:rPr>
      </w:pPr>
      <w:r>
        <w:rPr>
          <w:rFonts w:ascii="Arial" w:cs="Arial" w:eastAsia="Arial" w:hAnsi="Arial"/>
          <w:sz w:val="16"/>
          <w:szCs w:val="16"/>
          <w:color w:val="auto"/>
        </w:rPr>
        <w:t>After considering specific facts and circumstances, including the collective ownership in entities by the Investment Funds and affiliates of Mr. Icahn, as well as their collective representation on each of the boards of directors, we have determined that we had the ability to exercise significant influence over the operating and financial policies of certain investees below. The following table summarizes our direct ownership in such investees as well as certain financial information with respect to such investees in our condensed consolidated financial statements.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Voting</w:t>
            </w:r>
          </w:p>
        </w:tc>
        <w:tc>
          <w:tcPr>
            <w:tcW w:w="240" w:type="dxa"/>
            <w:vAlign w:val="bottom"/>
          </w:tcPr>
          <w:p>
            <w:pPr>
              <w:spacing w:after="0"/>
              <w:rPr>
                <w:sz w:val="18"/>
                <w:szCs w:val="18"/>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Fair Value of</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2"/>
              </w:rPr>
              <w:t>Gains (Losses)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240" w:type="dxa"/>
            <w:vAlign w:val="bottom"/>
          </w:tcPr>
          <w:p>
            <w:pPr>
              <w:spacing w:after="0"/>
              <w:rPr>
                <w:sz w:val="20"/>
                <w:szCs w:val="20"/>
                <w:color w:val="auto"/>
              </w:rPr>
            </w:pPr>
          </w:p>
        </w:tc>
        <w:tc>
          <w:tcPr>
            <w:tcW w:w="14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0"/>
              </w:rPr>
              <w:t>Investment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gridSpan w:val="7"/>
          </w:tcPr>
          <w:p>
            <w:pPr>
              <w:jc w:val="right"/>
              <w:ind w:right="7"/>
              <w:spacing w:after="0"/>
              <w:rPr>
                <w:sz w:val="20"/>
                <w:szCs w:val="20"/>
                <w:color w:val="auto"/>
              </w:rPr>
            </w:pPr>
            <w:r>
              <w:rPr>
                <w:rFonts w:ascii="Arial" w:cs="Arial" w:eastAsia="Arial" w:hAnsi="Arial"/>
                <w:sz w:val="18"/>
                <w:szCs w:val="18"/>
                <w:b w:val="1"/>
                <w:bCs w:val="1"/>
                <w:color w:val="auto"/>
                <w:w w:val="88"/>
              </w:rPr>
              <w:t>Recognized in Income</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24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4"/>
          </w:tcPr>
          <w:p>
            <w:pPr>
              <w:jc w:val="right"/>
              <w:ind w:right="280"/>
              <w:spacing w:after="0" w:line="191" w:lineRule="exact"/>
              <w:rPr>
                <w:sz w:val="20"/>
                <w:szCs w:val="20"/>
                <w:color w:val="auto"/>
              </w:rPr>
            </w:pPr>
            <w:r>
              <w:rPr>
                <w:rFonts w:ascii="Arial" w:cs="Arial" w:eastAsia="Arial" w:hAnsi="Arial"/>
                <w:sz w:val="18"/>
                <w:szCs w:val="18"/>
                <w:b w:val="1"/>
                <w:bCs w:val="1"/>
                <w:color w:val="auto"/>
                <w:w w:val="91"/>
              </w:rPr>
              <w:t>Three Months</w:t>
            </w: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4"/>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Nine Months</w:t>
            </w:r>
          </w:p>
        </w:tc>
        <w:tc>
          <w:tcPr>
            <w:tcW w:w="20" w:type="dxa"/>
            <w:vAlign w:val="bottom"/>
          </w:tcPr>
          <w:p>
            <w:pPr>
              <w:spacing w:after="0"/>
              <w:rPr>
                <w:sz w:val="16"/>
                <w:szCs w:val="16"/>
                <w:color w:val="auto"/>
              </w:rPr>
            </w:pPr>
          </w:p>
        </w:tc>
      </w:tr>
      <w:tr>
        <w:trPr>
          <w:trHeight w:val="216"/>
        </w:trPr>
        <w:tc>
          <w:tcPr>
            <w:tcW w:w="2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Ended</w:t>
            </w:r>
          </w:p>
        </w:tc>
        <w:tc>
          <w:tcPr>
            <w:tcW w:w="100" w:type="dxa"/>
            <w:vAlign w:val="bottom"/>
          </w:tcPr>
          <w:p>
            <w:pPr>
              <w:spacing w:after="0"/>
              <w:rPr>
                <w:sz w:val="18"/>
                <w:szCs w:val="18"/>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2420" w:type="dxa"/>
            <w:vAlign w:val="bottom"/>
          </w:tcPr>
          <w:p>
            <w:pPr>
              <w:spacing w:after="0"/>
              <w:rPr>
                <w:sz w:val="20"/>
                <w:szCs w:val="20"/>
                <w:color w:val="auto"/>
              </w:rPr>
            </w:pPr>
          </w:p>
        </w:tc>
        <w:tc>
          <w:tcPr>
            <w:tcW w:w="252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September 30, September 30,</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c>
          <w:tcPr>
            <w:tcW w:w="1480" w:type="dxa"/>
            <w:vAlign w:val="bottom"/>
            <w:gridSpan w:val="5"/>
          </w:tcPr>
          <w:p>
            <w:pPr>
              <w:ind w:left="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2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242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273"/>
              <w:spacing w:after="0"/>
              <w:rPr>
                <w:sz w:val="20"/>
                <w:szCs w:val="20"/>
                <w:color w:val="auto"/>
              </w:rPr>
            </w:pPr>
            <w:r>
              <w:rPr>
                <w:rFonts w:ascii="Arial" w:cs="Arial" w:eastAsia="Arial" w:hAnsi="Arial"/>
                <w:sz w:val="18"/>
                <w:szCs w:val="18"/>
                <w:b w:val="1"/>
                <w:bCs w:val="1"/>
                <w:color w:val="auto"/>
                <w:w w:val="94"/>
              </w:rPr>
              <w:t>2019</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2020</w:t>
            </w:r>
          </w:p>
        </w:tc>
        <w:tc>
          <w:tcPr>
            <w:tcW w:w="7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2020</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2019</w:t>
            </w:r>
          </w:p>
        </w:tc>
        <w:tc>
          <w:tcPr>
            <w:tcW w:w="20" w:type="dxa"/>
            <w:vAlign w:val="bottom"/>
          </w:tcPr>
          <w:p>
            <w:pPr>
              <w:spacing w:after="0"/>
              <w:rPr>
                <w:sz w:val="18"/>
                <w:szCs w:val="18"/>
                <w:color w:val="auto"/>
              </w:rPr>
            </w:pPr>
          </w:p>
        </w:tc>
      </w:tr>
      <w:tr>
        <w:trPr>
          <w:trHeight w:val="128"/>
        </w:trPr>
        <w:tc>
          <w:tcPr>
            <w:tcW w:w="24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(in</w:t>
            </w:r>
          </w:p>
        </w:tc>
        <w:tc>
          <w:tcPr>
            <w:tcW w:w="80" w:type="dxa"/>
            <w:vAlign w:val="bottom"/>
          </w:tcPr>
          <w:p>
            <w:pPr>
              <w:spacing w:after="0"/>
              <w:rPr>
                <w:sz w:val="11"/>
                <w:szCs w:val="11"/>
                <w:color w:val="auto"/>
              </w:rPr>
            </w:pPr>
          </w:p>
        </w:tc>
        <w:tc>
          <w:tcPr>
            <w:tcW w:w="5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millions)</w:t>
            </w:r>
          </w:p>
        </w:tc>
        <w:tc>
          <w:tcPr>
            <w:tcW w:w="1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Herbalife Nutrition Ltd.</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18"/>
                <w:szCs w:val="18"/>
                <w:color w:val="auto"/>
              </w:rPr>
            </w:pPr>
          </w:p>
        </w:tc>
      </w:tr>
      <w:tr>
        <w:trPr>
          <w:trHeight w:val="216"/>
        </w:trPr>
        <w:tc>
          <w:tcPr>
            <w:tcW w:w="2420" w:type="dxa"/>
            <w:vAlign w:val="bottom"/>
          </w:tcPr>
          <w:p>
            <w:pPr>
              <w:ind w:left="20"/>
              <w:spacing w:after="0"/>
              <w:rPr>
                <w:sz w:val="20"/>
                <w:szCs w:val="20"/>
                <w:color w:val="auto"/>
              </w:rPr>
            </w:pPr>
            <w:r>
              <w:rPr>
                <w:rFonts w:ascii="Arial" w:cs="Arial" w:eastAsia="Arial" w:hAnsi="Arial"/>
                <w:sz w:val="18"/>
                <w:szCs w:val="18"/>
                <w:color w:val="auto"/>
              </w:rPr>
              <w:t>Hertz Global Holdings, Inc.</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02"/>
        </w:trPr>
        <w:tc>
          <w:tcPr>
            <w:tcW w:w="24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Caesars Entertainment</w:t>
            </w: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Corporation</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0"/>
                <w:szCs w:val="20"/>
                <w:color w:val="auto"/>
              </w:rPr>
            </w:pPr>
          </w:p>
        </w:tc>
      </w:tr>
      <w:tr>
        <w:trPr>
          <w:trHeight w:val="209"/>
        </w:trPr>
        <w:tc>
          <w:tcPr>
            <w:tcW w:w="2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(141)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bottom w:val="single" w:sz="8" w:color="auto"/>
            </w:tcBorders>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Each of these investees file annual, quarterly and current reports, and proxy and information statements with the SEC. During the second quarter of 2020, the Investment Funds sold their entire investment in Hertz. Prior to the sale of its investment in Hertz, the Investment Funds owned approximately 38.9% of the outstanding common stock of Hertz. During the third quarter of 2020, the Investment Funds sold their entire investment in Caesars Entertainment Corporation (“Caesars”). Prior to the sale of their investment in Caesars, the Investment Funds owned approximately 16.7% of the outstanding common stock of Caesars. Due to the nature of our Investment segment’s operations, the sales of Hertz and Caesars are deemed to be in the ordinary course of business.</w:t>
      </w:r>
    </w:p>
    <w:p>
      <w:pPr>
        <w:spacing w:after="0" w:line="177"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In addition, in August 2020, the Investment Funds sold a portion of their interest in Herbalife Nutrition Ltd. (“Herbalife”) pursuant to Herbalife’s “modified Dutch auction” tender offer to purchase its common shares, and as a result, the Investment Funds ceased their ability to exercise significant influence over the operating and financial policies of Herbalife. Prior to this transaction, the Investment Funds owned approximately 23.8% of the outstanding common stock of Herbalife.</w:t>
      </w:r>
    </w:p>
    <w:p>
      <w:pPr>
        <w:spacing w:after="0" w:line="188" w:lineRule="exact"/>
        <w:rPr>
          <w:sz w:val="20"/>
          <w:szCs w:val="20"/>
          <w:color w:val="auto"/>
        </w:rPr>
      </w:pPr>
    </w:p>
    <w:p>
      <w:pPr>
        <w:jc w:val="both"/>
        <w:ind w:left="60" w:right="339" w:firstLine="324"/>
        <w:spacing w:after="0" w:line="286" w:lineRule="auto"/>
        <w:rPr>
          <w:sz w:val="20"/>
          <w:szCs w:val="20"/>
          <w:color w:val="auto"/>
        </w:rPr>
      </w:pPr>
      <w:r>
        <w:rPr>
          <w:rFonts w:ascii="Arial" w:cs="Arial" w:eastAsia="Arial" w:hAnsi="Arial"/>
          <w:sz w:val="17"/>
          <w:szCs w:val="17"/>
          <w:color w:val="auto"/>
        </w:rPr>
        <w:t>The following table contains summarized financial information for Herbalife, which was a significant subsidiary as defined by SEC regulations, as if Herbalife was consolidated in our financial statements during the period in which we possessed the ability to exercise significant influence over their operating and financial policies.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b w:val="1"/>
                <w:bCs w:val="1"/>
                <w:color w:val="auto"/>
              </w:rPr>
              <w:t>Nine Months Ended</w:t>
            </w: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September 30, 2020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September 30, 2019</w:t>
            </w:r>
          </w:p>
        </w:tc>
        <w:tc>
          <w:tcPr>
            <w:tcW w:w="20" w:type="dxa"/>
            <w:vAlign w:val="bottom"/>
          </w:tcPr>
          <w:p>
            <w:pPr>
              <w:spacing w:after="0"/>
              <w:rPr>
                <w:sz w:val="20"/>
                <w:szCs w:val="20"/>
                <w:color w:val="auto"/>
              </w:rPr>
            </w:pPr>
          </w:p>
        </w:tc>
      </w:tr>
      <w:tr>
        <w:trPr>
          <w:trHeight w:val="129"/>
        </w:trPr>
        <w:tc>
          <w:tcPr>
            <w:tcW w:w="38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gridSpan w:val="4"/>
          </w:tcPr>
          <w:p>
            <w:pPr>
              <w:jc w:val="right"/>
              <w:ind w:right="1350"/>
              <w:spacing w:after="0" w:line="129"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1"/>
                <w:szCs w:val="1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18"/>
                <w:szCs w:val="18"/>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Net income (loss) attributable to shareholders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20"/>
                <w:szCs w:val="20"/>
                <w:color w:val="auto"/>
              </w:rPr>
            </w:pPr>
          </w:p>
        </w:tc>
      </w:tr>
      <w:tr>
        <w:trPr>
          <w:trHeight w:val="850"/>
        </w:trPr>
        <w:tc>
          <w:tcPr>
            <w:tcW w:w="3840" w:type="dxa"/>
            <w:vAlign w:val="bottom"/>
          </w:tcPr>
          <w:p>
            <w:pPr>
              <w:spacing w:after="0"/>
              <w:rPr>
                <w:sz w:val="24"/>
                <w:szCs w:val="24"/>
                <w:color w:val="auto"/>
              </w:rPr>
            </w:pPr>
          </w:p>
        </w:tc>
        <w:tc>
          <w:tcPr>
            <w:tcW w:w="1440" w:type="dxa"/>
            <w:vAlign w:val="bottom"/>
          </w:tcPr>
          <w:p>
            <w:pPr>
              <w:jc w:val="right"/>
              <w:ind w:right="6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225"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128"/>
        </w:trPr>
        <w:tc>
          <w:tcPr>
            <w:tcW w:w="6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r>
      <w:tr>
        <w:trPr>
          <w:trHeight w:val="209"/>
        </w:trPr>
        <w:tc>
          <w:tcPr>
            <w:tcW w:w="6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99" w:firstLine="324"/>
        <w:spacing w:after="0" w:line="311" w:lineRule="auto"/>
        <w:rPr>
          <w:sz w:val="20"/>
          <w:szCs w:val="20"/>
          <w:color w:val="auto"/>
        </w:rPr>
      </w:pPr>
      <w:r>
        <w:rPr>
          <w:rFonts w:ascii="Arial" w:cs="Arial" w:eastAsia="Arial" w:hAnsi="Arial"/>
          <w:sz w:val="16"/>
          <w:szCs w:val="16"/>
          <w:color w:val="auto"/>
        </w:rPr>
        <w:t>The portion of unrealized gains (losses) that relates to equity securities still held by our other segments and Holding Company was $(93) million and $42 million for the three months ended September 30, 2020 and 2019, respectively, and $(259) million and $(438) million for the nine months ended September 30, 2020 and 2019, respectively.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left="60" w:right="99" w:firstLine="324"/>
        <w:spacing w:after="0" w:line="28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w:t>
      </w:r>
    </w:p>
    <w:p>
      <w:pPr>
        <w:spacing w:after="0" w:line="2"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93"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Investments and non-financial assets and/or liabilities measured and reported at fair value are classified and disclosed in one of the following categories:</w:t>
      </w:r>
    </w:p>
    <w:p>
      <w:pPr>
        <w:spacing w:after="0" w:line="170" w:lineRule="exact"/>
        <w:rPr>
          <w:sz w:val="20"/>
          <w:szCs w:val="20"/>
          <w:color w:val="auto"/>
        </w:rPr>
      </w:pPr>
    </w:p>
    <w:p>
      <w:pPr>
        <w:ind w:left="380" w:right="619"/>
        <w:spacing w:after="0" w:line="277" w:lineRule="auto"/>
        <w:rPr>
          <w:sz w:val="20"/>
          <w:szCs w:val="20"/>
          <w:color w:val="auto"/>
        </w:rPr>
      </w:pPr>
      <w:r>
        <w:rPr>
          <w:rFonts w:ascii="Arial" w:cs="Arial" w:eastAsia="Arial" w:hAnsi="Arial"/>
          <w:sz w:val="18"/>
          <w:szCs w:val="18"/>
          <w:color w:val="auto"/>
        </w:rPr>
        <w:t>Level 1 - Quoted prices are available in active markets for identical investments and non-financial assets and/or liabilities as of the reporting date.</w:t>
      </w:r>
    </w:p>
    <w:p>
      <w:pPr>
        <w:spacing w:after="0" w:line="170" w:lineRule="exact"/>
        <w:rPr>
          <w:sz w:val="20"/>
          <w:szCs w:val="20"/>
          <w:color w:val="auto"/>
        </w:rPr>
      </w:pPr>
    </w:p>
    <w:p>
      <w:pPr>
        <w:ind w:left="380" w:right="159"/>
        <w:spacing w:after="0" w:line="301"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157" w:lineRule="exact"/>
        <w:rPr>
          <w:sz w:val="20"/>
          <w:szCs w:val="20"/>
          <w:color w:val="auto"/>
        </w:rPr>
      </w:pPr>
    </w:p>
    <w:p>
      <w:pPr>
        <w:ind w:left="380" w:right="439"/>
        <w:spacing w:after="0" w:line="257"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88"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summarizes the valuation of our assets and liabilities by the above fair value hierarchy levels measured on a recurring basis: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w w:val="95"/>
              </w:rPr>
              <w:t>September 30, 2020</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w w:val="94"/>
              </w:rPr>
              <w:t>December 31, 2019</w:t>
            </w:r>
          </w:p>
        </w:tc>
        <w:tc>
          <w:tcPr>
            <w:tcW w:w="620" w:type="dxa"/>
            <w:vAlign w:val="bottom"/>
            <w:tcBorders>
              <w:bottom w:val="single" w:sz="8" w:color="auto"/>
            </w:tcBorders>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128"/>
        </w:trPr>
        <w:tc>
          <w:tcPr>
            <w:tcW w:w="2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right"/>
              <w:ind w:right="23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860" w:type="dxa"/>
            <w:vAlign w:val="bottom"/>
            <w:gridSpan w:val="2"/>
            <w:shd w:val="clear" w:color="auto" w:fill="CCEEFF"/>
          </w:tcPr>
          <w:p>
            <w:pPr>
              <w:ind w:left="11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Investments (Note 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6,400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6,758</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$ 9,448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3"/>
              </w:rPr>
              <w:t>$ 9,732</w:t>
            </w:r>
          </w:p>
        </w:tc>
      </w:tr>
      <w:tr>
        <w:trPr>
          <w:trHeight w:val="202"/>
        </w:trPr>
        <w:tc>
          <w:tcPr>
            <w:tcW w:w="28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Derivative contracts, at fair value</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2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1,439</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9"/>
        </w:trPr>
        <w:tc>
          <w:tcPr>
            <w:tcW w:w="22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6,400</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1,596</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8,197</w:t>
            </w:r>
          </w:p>
        </w:tc>
        <w:tc>
          <w:tcPr>
            <w:tcW w:w="1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$ 9,448</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$ 9,914</w:t>
            </w:r>
          </w:p>
        </w:tc>
      </w:tr>
      <w:tr>
        <w:trPr>
          <w:trHeight w:val="197"/>
        </w:trPr>
        <w:tc>
          <w:tcPr>
            <w:tcW w:w="2860" w:type="dxa"/>
            <w:vAlign w:val="bottom"/>
            <w:gridSpan w:val="2"/>
            <w:shd w:val="clear" w:color="auto" w:fill="CCEEFF"/>
          </w:tcPr>
          <w:p>
            <w:pPr>
              <w:ind w:left="98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2"/>
        </w:trPr>
        <w:tc>
          <w:tcPr>
            <w:tcW w:w="28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Securities sold, not yet purchased</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2860" w:type="dxa"/>
            <w:vAlign w:val="bottom"/>
            <w:gridSpan w:val="2"/>
          </w:tcPr>
          <w:p>
            <w:pPr>
              <w:ind w:left="140"/>
              <w:spacing w:after="0"/>
              <w:rPr>
                <w:sz w:val="20"/>
                <w:szCs w:val="20"/>
                <w:color w:val="auto"/>
              </w:rPr>
            </w:pPr>
            <w:r>
              <w:rPr>
                <w:rFonts w:ascii="Arial" w:cs="Arial" w:eastAsia="Arial" w:hAnsi="Arial"/>
                <w:sz w:val="18"/>
                <w:szCs w:val="18"/>
                <w:color w:val="auto"/>
              </w:rPr>
              <w:t>(Note 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970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$ 1,190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$ 1,190</w:t>
            </w:r>
          </w:p>
        </w:tc>
      </w:tr>
      <w:tr>
        <w:trPr>
          <w:trHeight w:val="202"/>
        </w:trPr>
        <w:tc>
          <w:tcPr>
            <w:tcW w:w="28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Derivative contracts, at fair value</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2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16"/>
        </w:trPr>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9"/>
        </w:trPr>
        <w:tc>
          <w:tcPr>
            <w:tcW w:w="2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1,227</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$ 1,190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1,231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$ 2,427</w:t>
            </w: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Assets Measured at Fair Value on a Recurring Basis for Which We Use Level 3 Inputs to Determine Fair Value</w:t>
      </w:r>
    </w:p>
    <w:p>
      <w:pPr>
        <w:spacing w:after="0" w:line="237"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 changes in investments measured at fair value on a recurring basis for which we use Level 3 inputs to determine fair value are as follows: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4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128"/>
        </w:trPr>
        <w:tc>
          <w:tcPr>
            <w:tcW w:w="4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3"/>
          </w:tcPr>
          <w:p>
            <w:pPr>
              <w:jc w:val="right"/>
              <w:ind w:right="47"/>
              <w:spacing w:after="0" w:line="12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1"/>
                <w:szCs w:val="1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800" w:type="dxa"/>
            <w:vAlign w:val="bottom"/>
            <w:gridSpan w:val="2"/>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Transfer in from Level 2</w:t>
            </w:r>
          </w:p>
        </w:tc>
        <w:tc>
          <w:tcPr>
            <w:tcW w:w="1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gains recognized in income</w:t>
            </w:r>
          </w:p>
        </w:tc>
        <w:tc>
          <w:tcPr>
            <w:tcW w:w="1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Purchases</w:t>
            </w:r>
          </w:p>
        </w:tc>
        <w:tc>
          <w:tcPr>
            <w:tcW w:w="1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w:t>
            </w:r>
          </w:p>
        </w:tc>
        <w:tc>
          <w:tcPr>
            <w:tcW w:w="19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201</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During 2020, we transferred a certain debt investment from Level 2 to Level 3 due to the reduction in market observable sources occurring during the period. We determined the fair value of this debt investment based on our expectations of its realization. At the beginning of 2019, we had a certain equity investment which was considered a Level 3 investment due to unobservable market data and was measured at fair value on a recurring basis. We determined the fair value of this investment based on recent market transactions. During the first quarter of 2019, we sold this equity investment in its entirety.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 to Note 8, “Goodwill and Intangible Assets, Net,” for discussion of our goodwill impairment considerations.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7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192"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181"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7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8"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between the forward foreign exchange rates at the dates of entry into such contracts and the forward rates at the reporting date.</w:t>
      </w:r>
    </w:p>
    <w:p>
      <w:pPr>
        <w:spacing w:after="0" w:line="170"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192"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as of September 30, 2020 and December 31, 2019 was $0 million and $266 million, respectively.</w:t>
      </w:r>
    </w:p>
    <w:p>
      <w:pPr>
        <w:spacing w:after="0" w:line="192"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8"/>
                <w:szCs w:val="18"/>
                <w:b w:val="1"/>
                <w:bCs w:val="1"/>
                <w:color w:val="auto"/>
                <w:w w:val="88"/>
              </w:rPr>
              <w:t>September 30, 2020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Long</w:t>
            </w:r>
          </w:p>
        </w:tc>
        <w:tc>
          <w:tcPr>
            <w:tcW w:w="20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0" w:type="dxa"/>
            <w:vAlign w:val="bottom"/>
          </w:tcPr>
          <w:p>
            <w:pPr>
              <w:spacing w:after="0"/>
              <w:rPr>
                <w:sz w:val="1"/>
                <w:szCs w:val="1"/>
                <w:color w:val="auto"/>
              </w:rPr>
            </w:pPr>
          </w:p>
        </w:tc>
      </w:tr>
      <w:tr>
        <w:trPr>
          <w:trHeight w:val="211"/>
        </w:trPr>
        <w:tc>
          <w:tcPr>
            <w:tcW w:w="3500" w:type="dxa"/>
            <w:vAlign w:val="bottom"/>
            <w:vMerge w:val="restart"/>
          </w:tcPr>
          <w:p>
            <w:pPr>
              <w:spacing w:after="0"/>
              <w:rPr>
                <w:sz w:val="20"/>
                <w:szCs w:val="20"/>
                <w:color w:val="auto"/>
              </w:rPr>
            </w:pPr>
            <w:r>
              <w:rPr>
                <w:rFonts w:ascii="Arial" w:cs="Arial" w:eastAsia="Arial" w:hAnsi="Arial"/>
                <w:sz w:val="18"/>
                <w:szCs w:val="18"/>
                <w:color w:val="auto"/>
              </w:rPr>
              <w:t>Primary underlying risk:</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37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contracts</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13,113</w:t>
            </w:r>
          </w:p>
        </w:tc>
        <w:tc>
          <w:tcPr>
            <w:tcW w:w="0" w:type="dxa"/>
            <w:vAlign w:val="bottom"/>
          </w:tcPr>
          <w:p>
            <w:pPr>
              <w:spacing w:after="0"/>
              <w:rPr>
                <w:sz w:val="1"/>
                <w:szCs w:val="1"/>
                <w:color w:val="auto"/>
              </w:rPr>
            </w:pPr>
          </w:p>
        </w:tc>
      </w:tr>
      <w:tr>
        <w:trPr>
          <w:trHeight w:val="353"/>
        </w:trPr>
        <w:tc>
          <w:tcPr>
            <w:tcW w:w="3500" w:type="dxa"/>
            <w:vAlign w:val="bottom"/>
          </w:tcPr>
          <w:p>
            <w:pPr>
              <w:ind w:left="100"/>
              <w:spacing w:after="0"/>
              <w:rPr>
                <w:sz w:val="20"/>
                <w:szCs w:val="20"/>
                <w:color w:val="auto"/>
              </w:rPr>
            </w:pPr>
            <w:r>
              <w:rPr>
                <w:rFonts w:ascii="Arial" w:cs="Arial" w:eastAsia="Arial" w:hAnsi="Arial"/>
                <w:sz w:val="18"/>
                <w:szCs w:val="18"/>
                <w:color w:val="auto"/>
              </w:rPr>
              <w:t>Credit contracts</w:t>
            </w:r>
            <w:r>
              <w:rPr>
                <w:rFonts w:ascii="Arial" w:cs="Arial" w:eastAsia="Arial" w:hAnsi="Arial"/>
                <w:sz w:val="26"/>
                <w:szCs w:val="26"/>
                <w:color w:val="auto"/>
                <w:vertAlign w:val="superscript"/>
              </w:rPr>
              <w:t>(1)</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41" w:lineRule="exact"/>
        <w:rPr>
          <w:sz w:val="20"/>
          <w:szCs w:val="20"/>
          <w:color w:val="auto"/>
        </w:rPr>
      </w:pPr>
    </w:p>
    <w:p>
      <w:pPr>
        <w:ind w:left="380" w:right="79" w:hanging="330"/>
        <w:spacing w:after="0" w:line="255" w:lineRule="auto"/>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short notional amount on our credit default swap positions was approximately $6.2 billion at September 30, 2020. However, because credit spreads cannot compress below zero, our downside short notional exposure to loss is approximately $2.5 billion as of September 30, 2020. The short notional amount on our credit default swap positions was approximately $4.7 billion as of December 31, 2019. However, because credit spreads cannot compress below zero, our downside short notional exposure to loss is $622 million as of December 31, 2019.</w:t>
      </w:r>
    </w:p>
    <w:p>
      <w:pPr>
        <w:spacing w:after="0" w:line="179"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the fair values of our Investment segment’s derivatives that are not designated as hedging instruments in accordance with U.S. GAAP:</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Asset Derivatives</w:t>
            </w: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Liability Derivatives</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 2020</w:t>
            </w:r>
          </w:p>
        </w:tc>
        <w:tc>
          <w:tcPr>
            <w:tcW w:w="180" w:type="dxa"/>
            <w:vAlign w:val="bottom"/>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2019</w:t>
            </w:r>
          </w:p>
        </w:tc>
        <w:tc>
          <w:tcPr>
            <w:tcW w:w="180" w:type="dxa"/>
            <w:vAlign w:val="bottom"/>
          </w:tcPr>
          <w:p>
            <w:pPr>
              <w:spacing w:after="0"/>
              <w:rPr>
                <w:sz w:val="18"/>
                <w:szCs w:val="18"/>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 2020</w:t>
            </w:r>
          </w:p>
        </w:tc>
        <w:tc>
          <w:tcPr>
            <w:tcW w:w="200" w:type="dxa"/>
            <w:vAlign w:val="bottom"/>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2019</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gridSpan w:val="3"/>
          </w:tcPr>
          <w:p>
            <w:pPr>
              <w:ind w:left="48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8"/>
                <w:szCs w:val="18"/>
                <w:color w:val="auto"/>
              </w:rPr>
            </w:pPr>
          </w:p>
        </w:tc>
      </w:tr>
      <w:tr>
        <w:trPr>
          <w:trHeight w:val="216"/>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r>
      <w:tr>
        <w:trPr>
          <w:trHeight w:val="210"/>
        </w:trPr>
        <w:tc>
          <w:tcPr>
            <w:tcW w:w="23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8"/>
                <w:szCs w:val="18"/>
                <w:color w:val="auto"/>
              </w:rPr>
            </w:pPr>
          </w:p>
        </w:tc>
      </w:tr>
      <w:tr>
        <w:trPr>
          <w:trHeight w:val="192"/>
        </w:trPr>
        <w:tc>
          <w:tcPr>
            <w:tcW w:w="2340" w:type="dxa"/>
            <w:vAlign w:val="bottom"/>
            <w:gridSpan w:val="2"/>
          </w:tcPr>
          <w:p>
            <w:pPr>
              <w:ind w:left="120"/>
              <w:spacing w:after="0" w:line="192" w:lineRule="exact"/>
              <w:rPr>
                <w:sz w:val="20"/>
                <w:szCs w:val="20"/>
                <w:color w:val="auto"/>
              </w:rPr>
            </w:pPr>
            <w:r>
              <w:rPr>
                <w:rFonts w:ascii="Arial" w:cs="Arial" w:eastAsia="Arial" w:hAnsi="Arial"/>
                <w:sz w:val="18"/>
                <w:szCs w:val="18"/>
                <w:color w:val="auto"/>
              </w:rPr>
              <w:t>Netting across contract</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0"/>
        </w:trPr>
        <w:tc>
          <w:tcPr>
            <w:tcW w:w="2340" w:type="dxa"/>
            <w:vAlign w:val="bottom"/>
            <w:gridSpan w:val="2"/>
          </w:tcPr>
          <w:p>
            <w:pPr>
              <w:ind w:left="240"/>
              <w:spacing w:after="0" w:line="240" w:lineRule="exact"/>
              <w:rPr>
                <w:sz w:val="20"/>
                <w:szCs w:val="20"/>
                <w:color w:val="auto"/>
              </w:rPr>
            </w:pPr>
            <w:r>
              <w:rPr>
                <w:rFonts w:ascii="Arial" w:cs="Arial" w:eastAsia="Arial" w:hAnsi="Arial"/>
                <w:sz w:val="18"/>
                <w:szCs w:val="18"/>
                <w:color w:val="auto"/>
              </w:rPr>
              <w:t>types</w:t>
            </w:r>
            <w:r>
              <w:rPr>
                <w:rFonts w:ascii="Arial" w:cs="Arial" w:eastAsia="Arial" w:hAnsi="Arial"/>
                <w:sz w:val="26"/>
                <w:szCs w:val="26"/>
                <w:color w:val="auto"/>
                <w:vertAlign w:val="superscript"/>
              </w:rPr>
              <w:t>(1)</w:t>
            </w:r>
          </w:p>
        </w:tc>
        <w:tc>
          <w:tcPr>
            <w:tcW w:w="5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r>
      <w:tr>
        <w:trPr>
          <w:trHeight w:val="210"/>
        </w:trPr>
        <w:tc>
          <w:tcPr>
            <w:tcW w:w="2340" w:type="dxa"/>
            <w:vAlign w:val="bottom"/>
            <w:tcBorders>
              <w:top w:val="single" w:sz="8" w:color="CCEEFF"/>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jc w:val="both"/>
        <w:ind w:left="380" w:right="99" w:hanging="330"/>
        <w:spacing w:after="0" w:line="238"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Excludes netting of cash collateral received and posted. The total collateral posted at September 30, 2020 and December 31, 2019 was $285 million and $903 million, respectively, across all counterparties, which are included in cash held at consolidated affiliated partnerships and restricted cash in the condensed consolidated balance sheets.</w:t>
      </w:r>
    </w:p>
    <w:p>
      <w:pPr>
        <w:spacing w:after="0" w:line="187" w:lineRule="exact"/>
        <w:rPr>
          <w:sz w:val="20"/>
          <w:szCs w:val="20"/>
          <w:color w:val="auto"/>
        </w:rPr>
      </w:pPr>
    </w:p>
    <w:p>
      <w:pPr>
        <w:ind w:left="60" w:right="699" w:firstLine="324"/>
        <w:spacing w:after="0" w:line="308" w:lineRule="auto"/>
        <w:rPr>
          <w:sz w:val="20"/>
          <w:szCs w:val="20"/>
          <w:color w:val="auto"/>
        </w:rPr>
      </w:pPr>
      <w:r>
        <w:rPr>
          <w:rFonts w:ascii="Arial" w:cs="Arial" w:eastAsia="Arial" w:hAnsi="Arial"/>
          <w:sz w:val="17"/>
          <w:szCs w:val="17"/>
          <w:color w:val="auto"/>
        </w:rPr>
        <w:t>The following table presents the amount of gain (loss) recognized in the condensed consolidated statements of operations for our Investment segment’s derivatives not designated as hedging instruments: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8"/>
                <w:szCs w:val="18"/>
                <w:b w:val="1"/>
                <w:bCs w:val="1"/>
                <w:color w:val="auto"/>
              </w:rPr>
              <w:t>Gain (Loss) Recognized in Income</w:t>
            </w:r>
            <w:r>
              <w:rPr>
                <w:rFonts w:ascii="Arial" w:cs="Arial" w:eastAsia="Arial" w:hAnsi="Arial"/>
                <w:sz w:val="26"/>
                <w:szCs w:val="26"/>
                <w:b w:val="1"/>
                <w:bCs w:val="1"/>
                <w:color w:val="auto"/>
                <w:vertAlign w:val="superscript"/>
              </w:rPr>
              <w:t>(1)</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Three Months Ended</w:t>
            </w:r>
          </w:p>
        </w:tc>
        <w:tc>
          <w:tcPr>
            <w:tcW w:w="320" w:type="dxa"/>
            <w:vAlign w:val="bottom"/>
          </w:tcPr>
          <w:p>
            <w:pPr>
              <w:spacing w:after="0"/>
              <w:rPr>
                <w:sz w:val="16"/>
                <w:szCs w:val="16"/>
                <w:color w:val="auto"/>
              </w:rPr>
            </w:pPr>
          </w:p>
        </w:tc>
        <w:tc>
          <w:tcPr>
            <w:tcW w:w="1920" w:type="dxa"/>
            <w:vAlign w:val="bottom"/>
            <w:gridSpan w:val="4"/>
          </w:tcPr>
          <w:p>
            <w:pPr>
              <w:jc w:val="center"/>
              <w:ind w:right="210"/>
              <w:spacing w:after="0" w:line="191" w:lineRule="exact"/>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18"/>
                <w:szCs w:val="18"/>
                <w:color w:val="auto"/>
              </w:rPr>
            </w:pPr>
          </w:p>
        </w:tc>
      </w:tr>
      <w:tr>
        <w:trPr>
          <w:trHeight w:val="216"/>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20" w:type="dxa"/>
            <w:vAlign w:val="bottom"/>
            <w:tcBorders>
              <w:bottom w:val="single" w:sz="8" w:color="auto"/>
            </w:tcBorders>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419" w:hanging="330"/>
        <w:spacing w:after="0" w:line="253"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CVR Energy’s businesses are subject to price fluctuations caused by supply conditions, weather, economic conditions, interest rate fluctuations and other factors. To manage price risk on crude oil and other inventories and to fix margins on certain future production, CVR Refining from time to time enters into various commodity derivative transactions. CVR Refining holds derivative instruments, such as exchange-traded crude oil futures and over-the-counter forward swap agreements, which it believes provide an economic hedge on future transactions, but such instruments are not designated as hedge instruments. CVR Refining may enter into forward purchase or sale contracts associated with renewable identification numbers (“RINs”).</w:t>
      </w:r>
    </w:p>
    <w:p>
      <w:pPr>
        <w:spacing w:after="0" w:line="19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As of September 30, 2020 and December 31, 2019, CVR Refining had open forward purchase and sale commitments for 6 million barrels and 5 million barrels, respectively, of Canadian crude oil priced at fixed differentials that are not considered probable of physical settlement and are accounted for as derivatives. As of September 30, 2020, CVR Refining had open fixed-price commitments to purchase a net 62 million RINs.</w:t>
      </w:r>
    </w:p>
    <w:p>
      <w:pPr>
        <w:spacing w:after="0" w:line="187" w:lineRule="exact"/>
        <w:rPr>
          <w:sz w:val="20"/>
          <w:szCs w:val="20"/>
          <w:color w:val="auto"/>
        </w:rPr>
      </w:pPr>
    </w:p>
    <w:p>
      <w:pPr>
        <w:ind w:left="60" w:right="299" w:firstLine="324"/>
        <w:spacing w:after="0" w:line="342" w:lineRule="auto"/>
        <w:rPr>
          <w:sz w:val="20"/>
          <w:szCs w:val="20"/>
          <w:color w:val="auto"/>
        </w:rPr>
      </w:pPr>
      <w:r>
        <w:rPr>
          <w:rFonts w:ascii="Arial" w:cs="Arial" w:eastAsia="Arial" w:hAnsi="Arial"/>
          <w:sz w:val="16"/>
          <w:szCs w:val="16"/>
          <w:color w:val="auto"/>
        </w:rPr>
        <w:t>Certain derivative contracts executed by our Energy segment with a single counterparty are reported on a net-by-counterparty basis where a legal right of offset exists under an enforceable netting agreement. As of September 30, 2020</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and December 31, 2019, our Energy segment had net asset derivatives of $6 million and net liability derivatives of $8 million, respectively. Gains recognized on derivatives for our Energy segment were $5 million and $18 million for the three months ended September 30, 2020 and 2019, respectively, and $70 million and $38 million for the nine months ended September 30, 2020 and 2019, respectively. Gains recognized on derivatives for our Energy segment are included in cost of goods sold on the condensed consolidated statements of operations.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7. Inventories, Net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6440" w:type="dxa"/>
            <w:vAlign w:val="bottom"/>
          </w:tcPr>
          <w:p>
            <w:pPr>
              <w:ind w:left="340"/>
              <w:spacing w:after="0"/>
              <w:rPr>
                <w:sz w:val="20"/>
                <w:szCs w:val="20"/>
                <w:color w:val="auto"/>
              </w:rPr>
            </w:pPr>
            <w:r>
              <w:rPr>
                <w:rFonts w:ascii="Arial" w:cs="Arial" w:eastAsia="Arial" w:hAnsi="Arial"/>
                <w:sz w:val="18"/>
                <w:szCs w:val="18"/>
                <w:color w:val="auto"/>
              </w:rPr>
              <w:t>Inventories, net consists of the following:</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7"/>
        </w:trPr>
        <w:tc>
          <w:tcPr>
            <w:tcW w:w="644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128"/>
        </w:trPr>
        <w:tc>
          <w:tcPr>
            <w:tcW w:w="6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24"/>
        </w:trPr>
        <w:tc>
          <w:tcPr>
            <w:tcW w:w="644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-8255</wp:posOffset>
            </wp:positionV>
            <wp:extent cx="15601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ind w:left="60" w:right="79" w:firstLine="324"/>
        <w:spacing w:after="0" w:line="271" w:lineRule="auto"/>
        <w:rPr>
          <w:sz w:val="20"/>
          <w:szCs w:val="20"/>
          <w:color w:val="auto"/>
        </w:rPr>
      </w:pPr>
      <w:r>
        <w:rPr>
          <w:rFonts w:ascii="Arial" w:cs="Arial" w:eastAsia="Arial" w:hAnsi="Arial"/>
          <w:sz w:val="17"/>
          <w:szCs w:val="17"/>
          <w:color w:val="auto"/>
        </w:rPr>
        <w:t>During the first quarter of 2020, our Energy segment had inventories, net with a carrying value in excess of net realizable value. As a result, our Energy segment recorded a write-down of its inventories of $58 million, which is included in cost of goods sold in the condensed consolidated statements of operations for the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-419100</wp:posOffset>
            </wp:positionV>
            <wp:extent cx="15601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ind w:left="60" w:right="419"/>
        <w:spacing w:after="0" w:line="323" w:lineRule="auto"/>
        <w:rPr>
          <w:sz w:val="20"/>
          <w:szCs w:val="20"/>
          <w:color w:val="auto"/>
        </w:rPr>
      </w:pPr>
      <w:r>
        <w:rPr>
          <w:rFonts w:ascii="Arial" w:cs="Arial" w:eastAsia="Arial" w:hAnsi="Arial"/>
          <w:sz w:val="16"/>
          <w:szCs w:val="16"/>
          <w:color w:val="auto"/>
        </w:rPr>
        <w:t>September 30, 2020. The write-down represents the difference between the carrying value of inventories accounted for using the first-in-first-out method and selling prices for refined products subsequent to March 31, 2020.</w:t>
      </w:r>
    </w:p>
    <w:p>
      <w:pPr>
        <w:spacing w:after="0" w:line="202" w:lineRule="exact"/>
        <w:rPr>
          <w:sz w:val="20"/>
          <w:szCs w:val="20"/>
          <w:color w:val="auto"/>
        </w:rPr>
      </w:pPr>
    </w:p>
    <w:p>
      <w:pPr>
        <w:jc w:val="center"/>
        <w:ind w:left="380" w:right="5999" w:hanging="330"/>
        <w:spacing w:after="0" w:line="572" w:lineRule="auto"/>
        <w:tabs>
          <w:tab w:leader="none" w:pos="281"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September 30, 2020</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8"/>
                <w:szCs w:val="18"/>
                <w:b w:val="1"/>
                <w:bCs w:val="1"/>
                <w:color w:val="auto"/>
                <w:w w:val="90"/>
              </w:rPr>
              <w:t>December 31, 2019</w:t>
            </w:r>
          </w:p>
        </w:tc>
        <w:tc>
          <w:tcPr>
            <w:tcW w:w="620" w:type="dxa"/>
            <w:vAlign w:val="bottom"/>
            <w:tcBorders>
              <w:bottom w:val="single" w:sz="8" w:color="auto"/>
            </w:tcBorders>
          </w:tcPr>
          <w:p>
            <w:pPr>
              <w:spacing w:after="0"/>
              <w:rPr>
                <w:sz w:val="20"/>
                <w:szCs w:val="20"/>
                <w:color w:val="auto"/>
              </w:rPr>
            </w:pPr>
          </w:p>
        </w:tc>
      </w:tr>
      <w:tr>
        <w:trPr>
          <w:trHeight w:val="191"/>
        </w:trPr>
        <w:tc>
          <w:tcPr>
            <w:tcW w:w="2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080" w:type="dxa"/>
            <w:vAlign w:val="bottom"/>
          </w:tcPr>
          <w:p>
            <w:pPr>
              <w:spacing w:after="0"/>
              <w:rPr>
                <w:sz w:val="18"/>
                <w:szCs w:val="18"/>
                <w:color w:val="auto"/>
              </w:rPr>
            </w:pPr>
          </w:p>
        </w:tc>
        <w:tc>
          <w:tcPr>
            <w:tcW w:w="6820" w:type="dxa"/>
            <w:vAlign w:val="bottom"/>
            <w:gridSpan w:val="19"/>
          </w:tcPr>
          <w:p>
            <w:pPr>
              <w:jc w:val="right"/>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Value</w:t>
            </w:r>
          </w:p>
        </w:tc>
      </w:tr>
      <w:tr>
        <w:trPr>
          <w:trHeight w:val="196"/>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right"/>
              <w:ind w:right="310"/>
              <w:spacing w:after="0"/>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5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64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Food Packaging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Metals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Home Fashion</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20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1"/>
              </w:rPr>
              <w:t>September 30, 2020</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87"/>
              </w:rPr>
              <w:t>December 31, 2019</w:t>
            </w:r>
          </w:p>
        </w:tc>
        <w:tc>
          <w:tcPr>
            <w:tcW w:w="620" w:type="dxa"/>
            <w:vAlign w:val="bottom"/>
            <w:tcBorders>
              <w:bottom w:val="single" w:sz="8" w:color="auto"/>
            </w:tcBorders>
          </w:tcPr>
          <w:p>
            <w:pPr>
              <w:spacing w:after="0"/>
              <w:rPr>
                <w:sz w:val="20"/>
                <w:szCs w:val="20"/>
                <w:color w:val="auto"/>
              </w:rPr>
            </w:pPr>
          </w:p>
        </w:tc>
      </w:tr>
      <w:tr>
        <w:trPr>
          <w:trHeight w:val="191"/>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2"/>
              <w:spacing w:after="0" w:line="191" w:lineRule="exact"/>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9"/>
              </w:rPr>
              <w:t>Net</w:t>
            </w:r>
          </w:p>
        </w:tc>
      </w:tr>
      <w:tr>
        <w:trPr>
          <w:trHeight w:val="216"/>
        </w:trPr>
        <w:tc>
          <w:tcPr>
            <w:tcW w:w="30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Accumulated</w:t>
            </w: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91"/>
              </w:rPr>
              <w:t>Carrying</w:t>
            </w:r>
          </w:p>
        </w:tc>
        <w:tc>
          <w:tcPr>
            <w:tcW w:w="2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30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Amortization</w:t>
            </w:r>
          </w:p>
        </w:tc>
        <w:tc>
          <w:tcPr>
            <w:tcW w:w="10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Value</w:t>
            </w: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right"/>
              <w:ind w:right="33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8"/>
                <w:szCs w:val="18"/>
                <w:color w:val="auto"/>
              </w:rPr>
            </w:pPr>
          </w:p>
        </w:tc>
        <w:tc>
          <w:tcPr>
            <w:tcW w:w="360" w:type="dxa"/>
            <w:vAlign w:val="bottom"/>
          </w:tcPr>
          <w:p>
            <w:pPr>
              <w:jc w:val="right"/>
              <w:ind w:right="198"/>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397</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9"/>
        </w:trPr>
        <w:tc>
          <w:tcPr>
            <w:tcW w:w="30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197"/>
        </w:trPr>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6"/>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Amortization expense associated with definite-lived intangible assets was $10 million and $10 million for the three months ended September 30, 2020 and 2019, respectively, and $31 million and $31 million for the nine months ended September 30, 2020 and 2019, respectively. We utilize the straight-line method of amortization, recognized over the estimated useful lives of the assets.</w:t>
      </w:r>
    </w:p>
    <w:p>
      <w:pPr>
        <w:spacing w:after="0" w:line="187"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During the first quarter of 2020, due to the COVID-19 pandemic and its impact on our Automotive segment’s operations, we performed an interim goodwill impairment analysis. At such time, our Automotive segment had $249 million of goodwill, all of which was allocated to its Service reporting unit. Based on the interim impairment analysis, we determined that the fair value of our Automotive segment’s Service reporting unit was significantly in excess of its carrying value and therefore, no impairment is required.</w:t>
      </w:r>
    </w:p>
    <w:p>
      <w:pPr>
        <w:spacing w:after="0" w:line="188"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During the second quarter of 2020, our Home Fashion segment impaired a portion of its goodwill in the amount of $3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60" w:type="dxa"/>
            <w:vAlign w:val="bottom"/>
          </w:tcPr>
          <w:p>
            <w:pPr>
              <w:ind w:left="340"/>
              <w:spacing w:after="0"/>
              <w:rPr>
                <w:sz w:val="20"/>
                <w:szCs w:val="20"/>
                <w:color w:val="auto"/>
              </w:rPr>
            </w:pPr>
            <w:r>
              <w:rPr>
                <w:rFonts w:ascii="Arial" w:cs="Arial" w:eastAsia="Arial" w:hAnsi="Arial"/>
                <w:sz w:val="18"/>
                <w:szCs w:val="18"/>
                <w:color w:val="auto"/>
              </w:rPr>
              <w:t>Right-of-use assets and lease liabilities are as follows: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7"/>
        </w:trPr>
        <w:tc>
          <w:tcPr>
            <w:tcW w:w="636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128"/>
        </w:trPr>
        <w:tc>
          <w:tcPr>
            <w:tcW w:w="6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(other assets)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340" w:type="dxa"/>
            <w:vAlign w:val="bottom"/>
          </w:tcPr>
          <w:p>
            <w:pPr>
              <w:jc w:val="right"/>
              <w:ind w:right="178"/>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(accrued expenses and other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16"/>
        </w:trPr>
        <w:tc>
          <w:tcPr>
            <w:tcW w:w="6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(property, plant and equipment,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(debt)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bl>
    <w:p>
      <w:pPr>
        <w:spacing w:after="0" w:line="202"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Additional information with respect to our operating leases as of September 30, 2020 and December 31, 2019 is presented below. The lease terms and discount rates for our Energy, Automotive and Food Packaging segments represent weighted averages based on their respective lease liability balances.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September 30, 2020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20"/>
                <w:szCs w:val="20"/>
                <w:color w:val="auto"/>
              </w:rPr>
            </w:pPr>
          </w:p>
        </w:tc>
      </w:tr>
      <w:tr>
        <w:trPr>
          <w:trHeight w:val="142"/>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3.3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5.5%</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4.7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11.2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5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December 31, 2019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20"/>
                <w:szCs w:val="20"/>
                <w:color w:val="auto"/>
              </w:rPr>
            </w:pP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3.7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5.6%</w:t>
            </w:r>
          </w:p>
        </w:tc>
        <w:tc>
          <w:tcPr>
            <w:tcW w:w="2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5.2 years</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11.7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2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5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For the three months ended September 30, 2020 and 2019, lease cost was comprised of (i) operating lease cost of $52 million and $48 million, respectively, (ii) amortization of financing lease right-of-use assets of $3 million and $4 million, respectively, and (iii) interest expense on financing lease liabilities of $1 million and $2 million respectively. For the nine months ended September 30, 2020 and 2019, lease cost was comprised of (i) operating lease cost of $155 million and $145 million, respectively, (ii) amortization of financing lease right-of-use assets of $9 million and $10 million, respectively, and</w:t>
      </w:r>
    </w:p>
    <w:p>
      <w:pPr>
        <w:spacing w:after="0" w:line="2" w:lineRule="exact"/>
        <w:rPr>
          <w:sz w:val="20"/>
          <w:szCs w:val="20"/>
          <w:color w:val="auto"/>
        </w:rPr>
      </w:pPr>
    </w:p>
    <w:p>
      <w:pPr>
        <w:ind w:left="4420" w:right="2399" w:hanging="4370"/>
        <w:spacing w:after="0" w:line="761" w:lineRule="auto"/>
        <w:tabs>
          <w:tab w:leader="none" w:pos="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expense on financing lease liabilities of $5 million and $6 million respectively.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Our Automotive segment accounted for $129 million and $122 million of total lease cost for the nine months ended September 30, 2020 and 2019,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Our Real Estate segment leases real estate, primarily commercial properties under long-term operating leases. As of September 30, 2020 and December 31, 2019, our Real Estate segment has assets leased to others included in property, plant and equipment of $223 million and $222 million, respectively, net of accumulated depreciation. Our Real Estate segment’s revenue from operating leases were $8 million for each of the three months ended September 30, 2020 and 2019, and $24 million and $25 million for the nine months ended September 30, 2020 and 2019, respectively. Revenues from operating leases are included in other revenue from operations in the condensed consolidated statements of operations.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10. Debt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6460" w:type="dxa"/>
            <w:vAlign w:val="bottom"/>
          </w:tcPr>
          <w:p>
            <w:pPr>
              <w:ind w:left="340"/>
              <w:spacing w:after="0"/>
              <w:rPr>
                <w:sz w:val="20"/>
                <w:szCs w:val="20"/>
                <w:color w:val="auto"/>
              </w:rPr>
            </w:pPr>
            <w:r>
              <w:rPr>
                <w:rFonts w:ascii="Arial" w:cs="Arial" w:eastAsia="Arial" w:hAnsi="Arial"/>
                <w:sz w:val="18"/>
                <w:szCs w:val="18"/>
                <w:color w:val="auto"/>
              </w:rPr>
              <w:t>Debt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7"/>
        </w:trPr>
        <w:tc>
          <w:tcPr>
            <w:tcW w:w="646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128"/>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Holding Company: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5.250% senior unsecured notes due 2027</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r>
      <w:tr>
        <w:trPr>
          <w:trHeight w:val="209"/>
        </w:trPr>
        <w:tc>
          <w:tcPr>
            <w:tcW w:w="6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w:t>
            </w:r>
          </w:p>
        </w:tc>
      </w:tr>
      <w:tr>
        <w:trPr>
          <w:trHeight w:val="210"/>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Reporting Segments: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Metals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Home Fashion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6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10"/>
        </w:trPr>
        <w:tc>
          <w:tcPr>
            <w:tcW w:w="64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8,192</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Holding Company</w:t>
      </w:r>
    </w:p>
    <w:p>
      <w:pPr>
        <w:spacing w:after="0" w:line="229"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In January 2020, Icahn Enterprises and Icahn Enterprises Finance Corp. (together the “Issuers”) issued $600 million in aggregate principal amount of 4.750% senior unsecured notes due 2024 (the “New 2024 Notes”) and an additional $250 million in aggregate principal amount of 5.250% senior unsecured notes due 2027 (the “New 2027 Notes,” and together with the New 2024 Notes, the “New Notes”). The proceeds from the New Notes, together with cash on hand, were used to repay in full our prior outstanding $1.35 billion principal amount of 5.875% senior unsecured notes due 2022, and to pay accrued interest, related fees and expenses. Interest on the New Notes is payable semi-annually. In connection with these transactions, our Holding Company recorded a loss on extinguishment of debt of $4 million.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20" w:right="182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The New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New Notes and the related guarantees are effectively subordinated to the Issuers’ and the Guarantor’s existing and future secured indebtedness to the extent of the collateral securing such indebtedness. The New Notes and the related guarantees are also effectively subordinated to all indebtedness and other liabilities of the Issuers’ subsidiaries other than the Guarantor.</w:t>
      </w:r>
    </w:p>
    <w:p>
      <w:pPr>
        <w:spacing w:after="0" w:line="178"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The indentures governing the New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New 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Energy</w:t>
      </w:r>
    </w:p>
    <w:p>
      <w:pPr>
        <w:spacing w:after="0" w:line="229"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In January 2020, CVR Energy issued $600 million in aggregate principal amount of 5.25% senior unsecured notes due 2025 and $400 million in aggregate principal amount of 5.75% senior unsecured notes due 2028. A portion of the net proceeds from the issuance of these notes were used to fund the redemption of CVR Refining’s existing $500 million senior unsecured notes due 2022. The remaining net proceeds will be used from CVR Energy’s general corporate purposes. In connection with these transactions, our Energy segment recorded a loss on extinguishment of debt of $8 million.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Food Packaging</w:t>
      </w:r>
    </w:p>
    <w:p>
      <w:pPr>
        <w:spacing w:after="0" w:line="229"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In October 2020, Viskase entered into a credit agreement providing for a $150 million term loan and a $30 million revolving credit facility. The proceeds from the new term loan, plus cash received from Viskase’s equity private placement in October 2020, as discussed in Note 1, “Description of Business,” were used to repay in full Viskase’s existing term loan. The new term loan and credit facility mature in 2023.</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559" w:firstLine="324"/>
        <w:spacing w:after="0" w:line="259" w:lineRule="auto"/>
        <w:rPr>
          <w:sz w:val="20"/>
          <w:szCs w:val="20"/>
          <w:color w:val="auto"/>
        </w:rPr>
      </w:pPr>
      <w:r>
        <w:rPr>
          <w:rFonts w:ascii="Arial" w:cs="Arial" w:eastAsia="Arial" w:hAnsi="Arial"/>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Non-Cash Charges to Interest Expense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amortization of deferred financing costs and debt discounts and premiums included in interest expense in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condensed consolidated statements of operations were $2 million and $1 million for the three months 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2020 and 2019, respectively, and $4 million and $5 million for the nine months ended September 30, 2020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2019, respectively.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LP Unit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The components of the computation of basic and diluted income (loss) per LP unit of Icahn Enterprises are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Three Months Ended September 30,</w:t>
            </w:r>
          </w:p>
        </w:tc>
        <w:tc>
          <w:tcPr>
            <w:tcW w:w="160" w:type="dxa"/>
            <w:vAlign w:val="bottom"/>
          </w:tcPr>
          <w:p>
            <w:pPr>
              <w:spacing w:after="0"/>
              <w:rPr>
                <w:sz w:val="20"/>
                <w:szCs w:val="20"/>
                <w:color w:val="auto"/>
              </w:rPr>
            </w:pPr>
          </w:p>
        </w:tc>
        <w:tc>
          <w:tcPr>
            <w:tcW w:w="27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80" w:type="dxa"/>
            <w:vAlign w:val="bottom"/>
            <w:gridSpan w:val="4"/>
          </w:tcPr>
          <w:p>
            <w:pPr>
              <w:jc w:val="right"/>
              <w:ind w:right="290"/>
              <w:spacing w:after="0" w:line="129" w:lineRule="exact"/>
              <w:rPr>
                <w:sz w:val="20"/>
                <w:szCs w:val="20"/>
                <w:color w:val="auto"/>
              </w:rPr>
            </w:pPr>
            <w:r>
              <w:rPr>
                <w:rFonts w:ascii="Arial" w:cs="Arial" w:eastAsia="Arial" w:hAnsi="Arial"/>
                <w:sz w:val="14"/>
                <w:szCs w:val="14"/>
                <w:color w:val="auto"/>
                <w:w w:val="99"/>
              </w:rPr>
              <w:t>(in millions, except per unit amounts)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Net loss attributable to Icahn Enterprises</w:t>
            </w:r>
          </w:p>
        </w:tc>
        <w:tc>
          <w:tcPr>
            <w:tcW w:w="3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4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gridSpan w:val="2"/>
            <w:vMerge w:val="restart"/>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48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from continuing operations</w:t>
            </w:r>
          </w:p>
        </w:tc>
        <w:tc>
          <w:tcPr>
            <w:tcW w:w="34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2"/>
              </w:rPr>
              <w:t>Net loss attributable to Icahn Enterprises</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w w:val="93"/>
              </w:rPr>
              <w:t>from continuing operations allocated to</w:t>
            </w:r>
          </w:p>
        </w:tc>
        <w:tc>
          <w:tcPr>
            <w:tcW w:w="3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(700)</w:t>
            </w:r>
          </w:p>
        </w:tc>
        <w:tc>
          <w:tcPr>
            <w:tcW w:w="440" w:type="dxa"/>
            <w:vAlign w:val="bottom"/>
            <w:gridSpan w:val="2"/>
            <w:vMerge w:val="restart"/>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44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(1,763)</w:t>
            </w:r>
          </w:p>
        </w:tc>
        <w:tc>
          <w:tcPr>
            <w:tcW w:w="480" w:type="dxa"/>
            <w:vAlign w:val="bottom"/>
            <w:gridSpan w:val="2"/>
            <w:vMerge w:val="restart"/>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limited partners (98.01% allocation)</w:t>
            </w:r>
          </w:p>
        </w:tc>
        <w:tc>
          <w:tcPr>
            <w:tcW w:w="34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w w:val="97"/>
              </w:rPr>
              <w:t>Net loss attributable to Icahn Enterprises</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from discontinued operations allocated</w:t>
            </w:r>
          </w:p>
        </w:tc>
        <w:tc>
          <w:tcPr>
            <w:tcW w:w="3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to limited partners (98.01% allocation)</w:t>
            </w:r>
          </w:p>
        </w:tc>
        <w:tc>
          <w:tcPr>
            <w:tcW w:w="34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LP unit: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Continuing operations</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(3.14)</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(0.24)</w:t>
            </w:r>
          </w:p>
        </w:tc>
        <w:tc>
          <w:tcPr>
            <w:tcW w:w="44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(8.12)</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9"/>
        </w:trPr>
        <w:tc>
          <w:tcPr>
            <w:tcW w:w="3040" w:type="dxa"/>
            <w:vAlign w:val="bottom"/>
            <w:gridSpan w:val="2"/>
          </w:tcPr>
          <w:p>
            <w:pPr>
              <w:spacing w:after="0"/>
              <w:rPr>
                <w:sz w:val="20"/>
                <w:szCs w:val="20"/>
                <w:color w:val="auto"/>
              </w:rPr>
            </w:pPr>
            <w:r>
              <w:rPr>
                <w:rFonts w:ascii="Arial" w:cs="Arial" w:eastAsia="Arial" w:hAnsi="Arial"/>
                <w:sz w:val="18"/>
                <w:szCs w:val="18"/>
                <w:color w:val="auto"/>
              </w:rPr>
              <w:t>Basic and diluted loss per LP unit</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4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Basic and diluted weighted average LP</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units outstanding</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 Distributions</w:t>
      </w:r>
    </w:p>
    <w:p>
      <w:pPr>
        <w:spacing w:after="0" w:line="225" w:lineRule="exact"/>
        <w:rPr>
          <w:sz w:val="20"/>
          <w:szCs w:val="20"/>
          <w:color w:val="auto"/>
        </w:rPr>
      </w:pPr>
    </w:p>
    <w:p>
      <w:pPr>
        <w:ind w:left="60" w:right="99" w:firstLine="324"/>
        <w:spacing w:after="0" w:line="342" w:lineRule="auto"/>
        <w:rPr>
          <w:sz w:val="20"/>
          <w:szCs w:val="20"/>
          <w:color w:val="auto"/>
        </w:rPr>
      </w:pPr>
      <w:r>
        <w:rPr>
          <w:rFonts w:ascii="Arial" w:cs="Arial" w:eastAsia="Arial" w:hAnsi="Arial"/>
          <w:sz w:val="16"/>
          <w:szCs w:val="16"/>
          <w:color w:val="auto"/>
        </w:rPr>
        <w:t>On February 26, 2020, Icahn Enterprises declared a quarterly distribution in the amount of $2.00 per depositary unit in which each depositary unitholder had the option to make an election to receive either cash or additional depositary units.</w:t>
      </w:r>
    </w:p>
    <w:p>
      <w:pPr>
        <w:spacing w:after="0" w:line="124" w:lineRule="exact"/>
        <w:rPr>
          <w:sz w:val="20"/>
          <w:szCs w:val="20"/>
          <w:color w:val="auto"/>
        </w:rPr>
      </w:pPr>
    </w:p>
    <w:p>
      <w:pPr>
        <w:ind w:left="60" w:right="299" w:firstLine="324"/>
        <w:spacing w:after="0" w:line="342" w:lineRule="auto"/>
        <w:rPr>
          <w:sz w:val="20"/>
          <w:szCs w:val="20"/>
          <w:color w:val="auto"/>
        </w:rPr>
      </w:pPr>
      <w:r>
        <w:rPr>
          <w:rFonts w:ascii="Arial" w:cs="Arial" w:eastAsia="Arial" w:hAnsi="Arial"/>
          <w:sz w:val="16"/>
          <w:szCs w:val="16"/>
          <w:color w:val="auto"/>
        </w:rPr>
        <w:t>On May 7, 2020, Icahn Enterprises declared a quarterly distribution in the amount of $2.00 per depositary unit in which each depositary unitholder had the option to make an election to receive either cash or additional depositary units.</w:t>
      </w:r>
    </w:p>
    <w:p>
      <w:pPr>
        <w:spacing w:after="0" w:line="124" w:lineRule="exact"/>
        <w:rPr>
          <w:sz w:val="20"/>
          <w:szCs w:val="20"/>
          <w:color w:val="auto"/>
        </w:rPr>
      </w:pPr>
    </w:p>
    <w:p>
      <w:pPr>
        <w:jc w:val="both"/>
        <w:ind w:left="60" w:right="299" w:firstLine="324"/>
        <w:spacing w:after="0" w:line="342" w:lineRule="auto"/>
        <w:rPr>
          <w:sz w:val="20"/>
          <w:szCs w:val="20"/>
          <w:color w:val="auto"/>
        </w:rPr>
      </w:pPr>
      <w:r>
        <w:rPr>
          <w:rFonts w:ascii="Arial" w:cs="Arial" w:eastAsia="Arial" w:hAnsi="Arial"/>
          <w:sz w:val="16"/>
          <w:szCs w:val="16"/>
          <w:color w:val="auto"/>
        </w:rPr>
        <w:t>On August 4, 2020, Icahn Enterprises declared a quarterly distribution in the amount of $2.00 per depositary unit in which each depositary unitholder had the option to make an election to receive either cash or additional depositary units.</w:t>
      </w:r>
    </w:p>
    <w:p>
      <w:pPr>
        <w:spacing w:after="0" w:line="124" w:lineRule="exact"/>
        <w:rPr>
          <w:sz w:val="20"/>
          <w:szCs w:val="20"/>
          <w:color w:val="auto"/>
        </w:rPr>
      </w:pPr>
    </w:p>
    <w:p>
      <w:pPr>
        <w:ind w:left="60" w:right="279" w:firstLine="324"/>
        <w:spacing w:after="0" w:line="255" w:lineRule="auto"/>
        <w:rPr>
          <w:sz w:val="20"/>
          <w:szCs w:val="20"/>
          <w:color w:val="auto"/>
        </w:rPr>
      </w:pPr>
      <w:r>
        <w:rPr>
          <w:rFonts w:ascii="Arial" w:cs="Arial" w:eastAsia="Arial" w:hAnsi="Arial"/>
          <w:sz w:val="18"/>
          <w:szCs w:val="18"/>
          <w:color w:val="auto"/>
        </w:rPr>
        <w:t>As a result of the above distributions declared, during the nine months ended September 30, 2020, Icahn Enterprises distributed an aggregate 16,885,069 depositary units to unitholders electing to receive depositary units, of which an aggregate of 16,542,180 depositary units were distributed to Mr. Icahn and his affiliates. In connection with these distributions, during the three and nine months ended September 30, 2020, aggregate cash distributions to all depositary unitholders was $483 million, primarily due to Mr. Icahn and his affiliates’ significant ownership of Icahn Enterprises’ depositary units.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At-The-Market Offering</w:t>
      </w:r>
    </w:p>
    <w:p>
      <w:pPr>
        <w:spacing w:after="0" w:line="225" w:lineRule="exact"/>
        <w:rPr>
          <w:sz w:val="20"/>
          <w:szCs w:val="20"/>
          <w:color w:val="auto"/>
        </w:rPr>
      </w:pPr>
    </w:p>
    <w:p>
      <w:pPr>
        <w:ind w:left="60" w:right="59" w:firstLine="324"/>
        <w:spacing w:after="0" w:line="270" w:lineRule="auto"/>
        <w:rPr>
          <w:sz w:val="20"/>
          <w:szCs w:val="20"/>
          <w:color w:val="auto"/>
        </w:rPr>
      </w:pPr>
      <w:r>
        <w:rPr>
          <w:rFonts w:ascii="Arial" w:cs="Arial" w:eastAsia="Arial" w:hAnsi="Arial"/>
          <w:sz w:val="17"/>
          <w:szCs w:val="17"/>
          <w:color w:val="auto"/>
        </w:rPr>
        <w:t>On May 2, 2019, Icahn Enterprises announced the commencement of its “at-the-market” offering pursuant to its Open Market Sale Agreement, pursuant to which Icahn Enterprises may sell its depositary units, from time to time, during the term of the program ending on March 31, 2021, for up to $400 million in aggregate sale proceeds. During the three and nine months ended September 30, 2020, Icahn Enterprises sold 637,352 and 1,118,596 depositary units, respectively, pursuant to this agreement, resulting in gross proceeds of $34 million and $60 million, respectively. For the three and nine months ended September 30, 2019, Icahn Enterprises sold 349,699 and 487,223 depositary units resulting in gross proceeds of $24 million and $34 million, respectively. As of September 30, 2020, Icahn Enterprises may sell its depositary units for up to an additional $285 million in aggregate sale proceeds pursuant to this agreement. No assurance can be made that any or all amounts will be sold during the term of the program.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Incentive Plan</w:t>
      </w:r>
    </w:p>
    <w:p>
      <w:pPr>
        <w:spacing w:after="0" w:line="225"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During the three and nine months ended September 30, 2019, Icahn Enterprises distributed 4,817 and 18,304 depositary units, respectively, net of payroll withholdings, with respect to certain restricted depositary units and deferred unit awards that vested during the period in connection with the Icahn Enterprises L.P. 2017 Long Term Incentive Plan (the “2017 Incentive Plan”). There were no distributions during the three and nine months ended September 30, 2020. The aggregate impact of the 2017 Incentive Plan is not material with respect to our condensed consolidated financial statements, including the calculation of potentially dilutive units and diluted income per LP unit.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Segment Reporting</w:t>
      </w:r>
    </w:p>
    <w:p>
      <w:pPr>
        <w:spacing w:after="0" w:line="22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29"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13"/>
          </w:tcPr>
          <w:p>
            <w:pPr>
              <w:jc w:val="center"/>
              <w:spacing w:after="0"/>
              <w:rPr>
                <w:sz w:val="20"/>
                <w:szCs w:val="20"/>
                <w:color w:val="auto"/>
              </w:rPr>
            </w:pPr>
            <w:r>
              <w:rPr>
                <w:rFonts w:ascii="Arial" w:cs="Arial" w:eastAsia="Arial" w:hAnsi="Arial"/>
                <w:sz w:val="13"/>
                <w:szCs w:val="13"/>
                <w:b w:val="1"/>
                <w:bCs w:val="1"/>
                <w:color w:val="auto"/>
                <w:w w:val="87"/>
              </w:rPr>
              <w:t>Three Months Ended September 30, 2020</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Food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5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w:t>
            </w:r>
          </w:p>
        </w:tc>
        <w:tc>
          <w:tcPr>
            <w:tcW w:w="560" w:type="dxa"/>
            <w:vAlign w:val="bottom"/>
            <w:gridSpan w:val="3"/>
          </w:tcPr>
          <w:p>
            <w:pPr>
              <w:ind w:left="20"/>
              <w:spacing w:after="0"/>
              <w:rPr>
                <w:sz w:val="20"/>
                <w:szCs w:val="20"/>
                <w:color w:val="auto"/>
              </w:rPr>
            </w:pPr>
            <w:r>
              <w:rPr>
                <w:rFonts w:ascii="Arial" w:cs="Arial" w:eastAsia="Arial" w:hAnsi="Arial"/>
                <w:sz w:val="13"/>
                <w:szCs w:val="13"/>
                <w:b w:val="1"/>
                <w:bCs w:val="1"/>
                <w:color w:val="auto"/>
              </w:rPr>
              <w:t>Energy</w:t>
            </w: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w w:val="81"/>
              </w:rPr>
              <w:t>Automotive</w:t>
            </w:r>
          </w:p>
        </w:tc>
        <w:tc>
          <w:tcPr>
            <w:tcW w:w="14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500" w:type="dxa"/>
            <w:vAlign w:val="bottom"/>
            <w:gridSpan w:val="3"/>
          </w:tcPr>
          <w:p>
            <w:pPr>
              <w:ind w:left="20"/>
              <w:spacing w:after="0"/>
              <w:rPr>
                <w:sz w:val="20"/>
                <w:szCs w:val="20"/>
                <w:color w:val="auto"/>
              </w:rPr>
            </w:pPr>
            <w:r>
              <w:rPr>
                <w:rFonts w:ascii="Arial" w:cs="Arial" w:eastAsia="Arial" w:hAnsi="Arial"/>
                <w:sz w:val="13"/>
                <w:szCs w:val="13"/>
                <w:b w:val="1"/>
                <w:bCs w:val="1"/>
                <w:color w:val="auto"/>
              </w:rPr>
              <w:t>Estate</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Fashion</w:t>
            </w: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Mining</w:t>
            </w: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jc w:val="center"/>
              <w:spacing w:after="0" w:line="115" w:lineRule="exact"/>
              <w:rPr>
                <w:sz w:val="20"/>
                <w:szCs w:val="20"/>
                <w:color w:val="auto"/>
              </w:rPr>
            </w:pPr>
            <w:r>
              <w:rPr>
                <w:rFonts w:ascii="Arial" w:cs="Arial" w:eastAsia="Arial" w:hAnsi="Arial"/>
                <w:sz w:val="13"/>
                <w:szCs w:val="13"/>
                <w:color w:val="auto"/>
                <w:w w:val="94"/>
              </w:rPr>
              <w:t>(in millions)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1,005</w:t>
            </w:r>
          </w:p>
        </w:tc>
        <w:tc>
          <w:tcPr>
            <w:tcW w:w="1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513</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105</w:t>
            </w:r>
          </w:p>
        </w:tc>
        <w:tc>
          <w:tcPr>
            <w:tcW w:w="12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83</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1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1,764</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74"/>
              </w:rPr>
              <w:t>16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16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(1,166)</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(1,259)</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(Loss) gain on disposition of assets, net</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8"/>
        </w:trPr>
        <w:tc>
          <w:tcPr>
            <w:tcW w:w="26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(1,130)</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943</w:t>
            </w: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658</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105</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85</w:t>
            </w:r>
          </w:p>
        </w:tc>
        <w:tc>
          <w:tcPr>
            <w:tcW w:w="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29</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w:t>
            </w: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722</w:t>
            </w:r>
          </w:p>
        </w:tc>
        <w:tc>
          <w:tcPr>
            <w:tcW w:w="0" w:type="dxa"/>
            <w:vAlign w:val="bottom"/>
          </w:tcPr>
          <w:p>
            <w:pPr>
              <w:spacing w:after="0"/>
              <w:rPr>
                <w:sz w:val="1"/>
                <w:szCs w:val="1"/>
                <w:color w:val="auto"/>
              </w:rPr>
            </w:pPr>
          </w:p>
        </w:tc>
      </w:tr>
      <w:tr>
        <w:trPr>
          <w:trHeight w:val="128"/>
        </w:trPr>
        <w:tc>
          <w:tcPr>
            <w:tcW w:w="2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Expenses:</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1,040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351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78</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1,599</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74"/>
              </w:rPr>
              <w:t>12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223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29"/>
        </w:trPr>
        <w:tc>
          <w:tcPr>
            <w:tcW w:w="26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1,098</w:t>
            </w: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692</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82</w:t>
            </w:r>
          </w:p>
        </w:tc>
        <w:tc>
          <w:tcPr>
            <w:tcW w:w="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21</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90</w:t>
            </w: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2,188</w:t>
            </w:r>
          </w:p>
        </w:tc>
        <w:tc>
          <w:tcPr>
            <w:tcW w:w="0" w:type="dxa"/>
            <w:vAlign w:val="bottom"/>
          </w:tcPr>
          <w:p>
            <w:pPr>
              <w:spacing w:after="0"/>
              <w:rPr>
                <w:sz w:val="1"/>
                <w:szCs w:val="1"/>
                <w:color w:val="auto"/>
              </w:rPr>
            </w:pPr>
          </w:p>
        </w:tc>
      </w:tr>
      <w:tr>
        <w:trPr>
          <w:trHeight w:val="101"/>
        </w:trPr>
        <w:tc>
          <w:tcPr>
            <w:tcW w:w="2660" w:type="dxa"/>
            <w:vAlign w:val="bottom"/>
            <w:shd w:val="clear" w:color="auto" w:fill="CCEEFF"/>
          </w:tcPr>
          <w:p>
            <w:pPr>
              <w:ind w:left="20"/>
              <w:spacing w:after="0" w:line="101" w:lineRule="exact"/>
              <w:rPr>
                <w:sz w:val="20"/>
                <w:szCs w:val="20"/>
                <w:color w:val="auto"/>
              </w:rPr>
            </w:pPr>
            <w:r>
              <w:rPr>
                <w:rFonts w:ascii="Arial" w:cs="Arial" w:eastAsia="Arial" w:hAnsi="Arial"/>
                <w:sz w:val="10"/>
                <w:szCs w:val="10"/>
                <w:color w:val="auto"/>
              </w:rPr>
              <w:t>(Loss) income from continuing operations before</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 benefit (expense)</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(1,183)</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(155)</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(111)</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w:t>
            </w:r>
          </w:p>
        </w:tc>
        <w:tc>
          <w:tcPr>
            <w:tcW w:w="0" w:type="dxa"/>
            <w:vAlign w:val="bottom"/>
          </w:tcPr>
          <w:p>
            <w:pPr>
              <w:spacing w:after="0"/>
              <w:rPr>
                <w:sz w:val="1"/>
                <w:szCs w:val="1"/>
                <w:color w:val="auto"/>
              </w:rPr>
            </w:pPr>
          </w:p>
        </w:tc>
      </w:tr>
      <w:tr>
        <w:trPr>
          <w:trHeight w:val="135"/>
        </w:trPr>
        <w:tc>
          <w:tcPr>
            <w:tcW w:w="2660" w:type="dxa"/>
            <w:vAlign w:val="bottom"/>
          </w:tcPr>
          <w:p>
            <w:pPr>
              <w:ind w:left="20"/>
              <w:spacing w:after="0" w:line="135" w:lineRule="exact"/>
              <w:rPr>
                <w:sz w:val="20"/>
                <w:szCs w:val="20"/>
                <w:color w:val="auto"/>
              </w:rPr>
            </w:pPr>
            <w:r>
              <w:rPr>
                <w:rFonts w:ascii="Arial" w:cs="Arial" w:eastAsia="Arial" w:hAnsi="Arial"/>
                <w:sz w:val="13"/>
                <w:szCs w:val="13"/>
                <w:color w:val="auto"/>
              </w:rPr>
              <w:t>Income tax benefit (expense)</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28"/>
        </w:trPr>
        <w:tc>
          <w:tcPr>
            <w:tcW w:w="26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(loss) income from continuing operations</w:t>
            </w: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(1,400)</w:t>
            </w:r>
          </w:p>
        </w:tc>
        <w:tc>
          <w:tcPr>
            <w:tcW w:w="0" w:type="dxa"/>
            <w:vAlign w:val="bottom"/>
          </w:tcPr>
          <w:p>
            <w:pPr>
              <w:spacing w:after="0"/>
              <w:rPr>
                <w:sz w:val="1"/>
                <w:szCs w:val="1"/>
                <w:color w:val="auto"/>
              </w:rPr>
            </w:pPr>
          </w:p>
        </w:tc>
      </w:tr>
      <w:tr>
        <w:trPr>
          <w:trHeight w:val="121"/>
        </w:trPr>
        <w:tc>
          <w:tcPr>
            <w:tcW w:w="2660" w:type="dxa"/>
            <w:vAlign w:val="bottom"/>
          </w:tcPr>
          <w:p>
            <w:pPr>
              <w:ind w:left="20"/>
              <w:spacing w:after="0" w:line="121" w:lineRule="exact"/>
              <w:rPr>
                <w:sz w:val="20"/>
                <w:szCs w:val="20"/>
                <w:color w:val="auto"/>
              </w:rPr>
            </w:pPr>
            <w:r>
              <w:rPr>
                <w:rFonts w:ascii="Arial" w:cs="Arial" w:eastAsia="Arial" w:hAnsi="Arial"/>
                <w:sz w:val="13"/>
                <w:szCs w:val="13"/>
                <w:color w:val="auto"/>
              </w:rPr>
              <w:t>Less: net (loss) income from continuing</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5" w:lineRule="exact"/>
              <w:rPr>
                <w:sz w:val="20"/>
                <w:szCs w:val="20"/>
                <w:color w:val="auto"/>
              </w:rPr>
            </w:pPr>
            <w:r>
              <w:rPr>
                <w:rFonts w:ascii="Arial" w:cs="Arial" w:eastAsia="Arial" w:hAnsi="Arial"/>
                <w:sz w:val="13"/>
                <w:szCs w:val="13"/>
                <w:color w:val="auto"/>
              </w:rPr>
              <w:t>operations attributable to non-controlling</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rPr>
                <w:sz w:val="20"/>
                <w:szCs w:val="20"/>
                <w:color w:val="auto"/>
              </w:rPr>
            </w:pPr>
            <w:r>
              <w:rPr>
                <w:rFonts w:ascii="Arial" w:cs="Arial" w:eastAsia="Arial" w:hAnsi="Arial"/>
                <w:sz w:val="13"/>
                <w:szCs w:val="13"/>
                <w:color w:val="auto"/>
              </w:rPr>
              <w:t>interests</w:t>
            </w:r>
          </w:p>
        </w:tc>
        <w:tc>
          <w:tcPr>
            <w:tcW w:w="1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(640)</w:t>
            </w:r>
          </w:p>
        </w:tc>
        <w:tc>
          <w:tcPr>
            <w:tcW w:w="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(47)</w:t>
            </w:r>
          </w:p>
        </w:tc>
        <w:tc>
          <w:tcPr>
            <w:tcW w:w="2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(686)</w:t>
            </w: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CCEEFF"/>
          </w:tcPr>
          <w:p>
            <w:pPr>
              <w:ind w:left="20"/>
              <w:spacing w:after="0" w:line="121" w:lineRule="exact"/>
              <w:rPr>
                <w:sz w:val="20"/>
                <w:szCs w:val="20"/>
                <w:color w:val="auto"/>
              </w:rPr>
            </w:pPr>
            <w:r>
              <w:rPr>
                <w:rFonts w:ascii="Arial" w:cs="Arial" w:eastAsia="Arial" w:hAnsi="Arial"/>
                <w:sz w:val="13"/>
                <w:szCs w:val="13"/>
                <w:color w:val="auto"/>
              </w:rPr>
              <w:t>Net (loss) income from continuing operations</w:t>
            </w: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60" w:type="dxa"/>
            <w:vAlign w:val="bottom"/>
            <w:vMerge w:val="continue"/>
            <w:shd w:val="clear" w:color="auto" w:fill="CCEEFF"/>
          </w:tcPr>
          <w:p>
            <w:pPr>
              <w:spacing w:after="0"/>
              <w:rPr>
                <w:sz w:val="8"/>
                <w:szCs w:val="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(543)</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(73)</w:t>
            </w:r>
          </w:p>
        </w:tc>
        <w:tc>
          <w:tcPr>
            <w:tcW w:w="2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240" w:type="dxa"/>
            <w:vAlign w:val="bottom"/>
            <w:tcBorders>
              <w:left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8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(87)</w:t>
            </w:r>
          </w:p>
        </w:tc>
        <w:tc>
          <w:tcPr>
            <w:tcW w:w="2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0" w:type="dxa"/>
            <w:vAlign w:val="bottom"/>
          </w:tcPr>
          <w:p>
            <w:pPr>
              <w:spacing w:after="0"/>
              <w:rPr>
                <w:sz w:val="1"/>
                <w:szCs w:val="1"/>
                <w:color w:val="auto"/>
              </w:rPr>
            </w:pPr>
          </w:p>
        </w:tc>
      </w:tr>
      <w:tr>
        <w:trPr>
          <w:trHeight w:val="136"/>
        </w:trPr>
        <w:tc>
          <w:tcPr>
            <w:tcW w:w="266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attributable to Icahn Enterprises</w:t>
            </w:r>
          </w:p>
        </w:tc>
        <w:tc>
          <w:tcPr>
            <w:tcW w:w="16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240" w:type="dxa"/>
            <w:vAlign w:val="bottom"/>
            <w:tcBorders>
              <w:left w:val="single" w:sz="8" w:color="CCEEFF"/>
            </w:tcBorders>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240" w:type="dxa"/>
            <w:vAlign w:val="bottom"/>
            <w:tcBorders>
              <w:left w:val="single" w:sz="8" w:color="CCEEFF"/>
            </w:tcBorders>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0"/>
        </w:trPr>
        <w:tc>
          <w:tcPr>
            <w:tcW w:w="266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86</w:t>
            </w:r>
          </w:p>
        </w:tc>
        <w:tc>
          <w:tcPr>
            <w:tcW w:w="14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24</w:t>
            </w: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13"/>
          </w:tcPr>
          <w:p>
            <w:pPr>
              <w:jc w:val="center"/>
              <w:spacing w:after="0"/>
              <w:rPr>
                <w:sz w:val="20"/>
                <w:szCs w:val="20"/>
                <w:color w:val="auto"/>
              </w:rPr>
            </w:pPr>
            <w:r>
              <w:rPr>
                <w:rFonts w:ascii="Arial" w:cs="Arial" w:eastAsia="Arial" w:hAnsi="Arial"/>
                <w:sz w:val="13"/>
                <w:szCs w:val="13"/>
                <w:b w:val="1"/>
                <w:bCs w:val="1"/>
                <w:color w:val="auto"/>
                <w:w w:val="87"/>
              </w:rPr>
              <w:t>Three Months Ended September 30, 2019</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Food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5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w:t>
            </w:r>
          </w:p>
        </w:tc>
        <w:tc>
          <w:tcPr>
            <w:tcW w:w="560" w:type="dxa"/>
            <w:vAlign w:val="bottom"/>
            <w:gridSpan w:val="3"/>
          </w:tcPr>
          <w:p>
            <w:pPr>
              <w:ind w:left="20"/>
              <w:spacing w:after="0"/>
              <w:rPr>
                <w:sz w:val="20"/>
                <w:szCs w:val="20"/>
                <w:color w:val="auto"/>
              </w:rPr>
            </w:pPr>
            <w:r>
              <w:rPr>
                <w:rFonts w:ascii="Arial" w:cs="Arial" w:eastAsia="Arial" w:hAnsi="Arial"/>
                <w:sz w:val="13"/>
                <w:szCs w:val="13"/>
                <w:b w:val="1"/>
                <w:bCs w:val="1"/>
                <w:color w:val="auto"/>
              </w:rPr>
              <w:t>Energy</w:t>
            </w: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w w:val="81"/>
              </w:rPr>
              <w:t>Automotive</w:t>
            </w:r>
          </w:p>
        </w:tc>
        <w:tc>
          <w:tcPr>
            <w:tcW w:w="14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500" w:type="dxa"/>
            <w:vAlign w:val="bottom"/>
            <w:gridSpan w:val="3"/>
          </w:tcPr>
          <w:p>
            <w:pPr>
              <w:ind w:left="20"/>
              <w:spacing w:after="0"/>
              <w:rPr>
                <w:sz w:val="20"/>
                <w:szCs w:val="20"/>
                <w:color w:val="auto"/>
              </w:rPr>
            </w:pPr>
            <w:r>
              <w:rPr>
                <w:rFonts w:ascii="Arial" w:cs="Arial" w:eastAsia="Arial" w:hAnsi="Arial"/>
                <w:sz w:val="13"/>
                <w:szCs w:val="13"/>
                <w:b w:val="1"/>
                <w:bCs w:val="1"/>
                <w:color w:val="auto"/>
              </w:rPr>
              <w:t>Estate</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Fashion</w:t>
            </w: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Mining</w:t>
            </w: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jc w:val="center"/>
              <w:spacing w:after="0" w:line="115" w:lineRule="exact"/>
              <w:rPr>
                <w:sz w:val="20"/>
                <w:szCs w:val="20"/>
                <w:color w:val="auto"/>
              </w:rPr>
            </w:pPr>
            <w:r>
              <w:rPr>
                <w:rFonts w:ascii="Arial" w:cs="Arial" w:eastAsia="Arial" w:hAnsi="Arial"/>
                <w:sz w:val="13"/>
                <w:szCs w:val="13"/>
                <w:color w:val="auto"/>
                <w:w w:val="94"/>
              </w:rPr>
              <w:t>(in millions)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20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1,622</w:t>
            </w:r>
          </w:p>
        </w:tc>
        <w:tc>
          <w:tcPr>
            <w:tcW w:w="1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596</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98</w:t>
            </w:r>
          </w:p>
        </w:tc>
        <w:tc>
          <w:tcPr>
            <w:tcW w:w="12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20" w:type="dxa"/>
            <w:vAlign w:val="bottom"/>
          </w:tcPr>
          <w:p>
            <w:pPr>
              <w:spacing w:after="0"/>
              <w:rPr>
                <w:sz w:val="11"/>
                <w:szCs w:val="11"/>
                <w:color w:val="auto"/>
              </w:rPr>
            </w:pPr>
          </w:p>
        </w:tc>
        <w:tc>
          <w:tcPr>
            <w:tcW w:w="12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2,484</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74"/>
              </w:rPr>
              <w:t>22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Net (loss) gain from investment activities</w:t>
            </w:r>
          </w:p>
        </w:tc>
        <w:tc>
          <w:tcPr>
            <w:tcW w:w="20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(699)</w:t>
            </w: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(Loss) gain on disposition of assets, net</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252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income, net</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29"/>
        </w:trPr>
        <w:tc>
          <w:tcPr>
            <w:tcW w:w="26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(649)</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1,625</w:t>
            </w: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749</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92</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82</w:t>
            </w:r>
          </w:p>
        </w:tc>
        <w:tc>
          <w:tcPr>
            <w:tcW w:w="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29</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280</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61</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2,320</w:t>
            </w:r>
          </w:p>
        </w:tc>
        <w:tc>
          <w:tcPr>
            <w:tcW w:w="0" w:type="dxa"/>
            <w:vAlign w:val="bottom"/>
          </w:tcPr>
          <w:p>
            <w:pPr>
              <w:spacing w:after="0"/>
              <w:rPr>
                <w:sz w:val="1"/>
                <w:szCs w:val="1"/>
                <w:color w:val="auto"/>
              </w:rPr>
            </w:pPr>
          </w:p>
        </w:tc>
      </w:tr>
      <w:tr>
        <w:trPr>
          <w:trHeight w:val="128"/>
        </w:trPr>
        <w:tc>
          <w:tcPr>
            <w:tcW w:w="26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Expenses:</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1,440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409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84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2,069</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74"/>
              </w:rPr>
              <w:t>16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271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Impairment</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28"/>
        </w:trPr>
        <w:tc>
          <w:tcPr>
            <w:tcW w:w="26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1,503</w:t>
            </w: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811</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w:t>
            </w:r>
          </w:p>
        </w:tc>
        <w:tc>
          <w:tcPr>
            <w:tcW w:w="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25</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56</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92</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2,719</w:t>
            </w:r>
          </w:p>
        </w:tc>
        <w:tc>
          <w:tcPr>
            <w:tcW w:w="0" w:type="dxa"/>
            <w:vAlign w:val="bottom"/>
          </w:tcPr>
          <w:p>
            <w:pPr>
              <w:spacing w:after="0"/>
              <w:rPr>
                <w:sz w:val="1"/>
                <w:szCs w:val="1"/>
                <w:color w:val="auto"/>
              </w:rPr>
            </w:pPr>
          </w:p>
        </w:tc>
      </w:tr>
      <w:tr>
        <w:trPr>
          <w:trHeight w:val="101"/>
        </w:trPr>
        <w:tc>
          <w:tcPr>
            <w:tcW w:w="2660" w:type="dxa"/>
            <w:vAlign w:val="bottom"/>
            <w:shd w:val="clear" w:color="auto" w:fill="CCEEFF"/>
          </w:tcPr>
          <w:p>
            <w:pPr>
              <w:ind w:left="20"/>
              <w:spacing w:after="0" w:line="101" w:lineRule="exact"/>
              <w:rPr>
                <w:sz w:val="20"/>
                <w:szCs w:val="20"/>
                <w:color w:val="auto"/>
              </w:rPr>
            </w:pPr>
            <w:r>
              <w:rPr>
                <w:rFonts w:ascii="Arial" w:cs="Arial" w:eastAsia="Arial" w:hAnsi="Arial"/>
                <w:sz w:val="10"/>
                <w:szCs w:val="10"/>
                <w:color w:val="auto"/>
              </w:rPr>
              <w:t>(Loss) income from continuing operations before</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 (expense) benefit</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(681)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0" w:type="dxa"/>
            <w:vAlign w:val="bottom"/>
          </w:tcPr>
          <w:p>
            <w:pPr>
              <w:spacing w:after="0"/>
              <w:rPr>
                <w:sz w:val="1"/>
                <w:szCs w:val="1"/>
                <w:color w:val="auto"/>
              </w:rPr>
            </w:pPr>
          </w:p>
        </w:tc>
      </w:tr>
      <w:tr>
        <w:trPr>
          <w:trHeight w:val="135"/>
        </w:trPr>
        <w:tc>
          <w:tcPr>
            <w:tcW w:w="2660" w:type="dxa"/>
            <w:vAlign w:val="bottom"/>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29"/>
        </w:trPr>
        <w:tc>
          <w:tcPr>
            <w:tcW w:w="26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(loss) income from continuing operations</w:t>
            </w:r>
          </w:p>
        </w:tc>
        <w:tc>
          <w:tcPr>
            <w:tcW w:w="2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w:t>
            </w: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270</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21"/>
        </w:trPr>
        <w:tc>
          <w:tcPr>
            <w:tcW w:w="2660" w:type="dxa"/>
            <w:vAlign w:val="bottom"/>
          </w:tcPr>
          <w:p>
            <w:pPr>
              <w:ind w:left="20"/>
              <w:spacing w:after="0" w:line="121" w:lineRule="exact"/>
              <w:rPr>
                <w:sz w:val="20"/>
                <w:szCs w:val="20"/>
                <w:color w:val="auto"/>
              </w:rPr>
            </w:pPr>
            <w:r>
              <w:rPr>
                <w:rFonts w:ascii="Arial" w:cs="Arial" w:eastAsia="Arial" w:hAnsi="Arial"/>
                <w:sz w:val="13"/>
                <w:szCs w:val="13"/>
                <w:color w:val="auto"/>
              </w:rPr>
              <w:t>Less: net (loss) income from continuing</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5" w:lineRule="exact"/>
              <w:rPr>
                <w:sz w:val="20"/>
                <w:szCs w:val="20"/>
                <w:color w:val="auto"/>
              </w:rPr>
            </w:pPr>
            <w:r>
              <w:rPr>
                <w:rFonts w:ascii="Arial" w:cs="Arial" w:eastAsia="Arial" w:hAnsi="Arial"/>
                <w:sz w:val="13"/>
                <w:szCs w:val="13"/>
                <w:color w:val="auto"/>
              </w:rPr>
              <w:t>operations attributable to non-controlling</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rPr>
                <w:sz w:val="20"/>
                <w:szCs w:val="20"/>
                <w:color w:val="auto"/>
              </w:rPr>
            </w:pPr>
            <w:r>
              <w:rPr>
                <w:rFonts w:ascii="Arial" w:cs="Arial" w:eastAsia="Arial" w:hAnsi="Arial"/>
                <w:sz w:val="13"/>
                <w:szCs w:val="13"/>
                <w:color w:val="auto"/>
              </w:rPr>
              <w:t>interests</w:t>
            </w:r>
          </w:p>
        </w:tc>
        <w:tc>
          <w:tcPr>
            <w:tcW w:w="2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(339)</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CCEEFF"/>
          </w:tcPr>
          <w:p>
            <w:pPr>
              <w:ind w:left="20"/>
              <w:spacing w:after="0" w:line="121" w:lineRule="exact"/>
              <w:rPr>
                <w:sz w:val="20"/>
                <w:szCs w:val="20"/>
                <w:color w:val="auto"/>
              </w:rPr>
            </w:pPr>
            <w:r>
              <w:rPr>
                <w:rFonts w:ascii="Arial" w:cs="Arial" w:eastAsia="Arial" w:hAnsi="Arial"/>
                <w:sz w:val="13"/>
                <w:szCs w:val="13"/>
                <w:color w:val="auto"/>
              </w:rPr>
              <w:t>Net (loss) income from continuing operations</w:t>
            </w: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60" w:type="dxa"/>
            <w:vAlign w:val="bottom"/>
            <w:vMerge w:val="continue"/>
            <w:shd w:val="clear" w:color="auto" w:fill="CCEEFF"/>
          </w:tcPr>
          <w:p>
            <w:pPr>
              <w:spacing w:after="0"/>
              <w:rPr>
                <w:sz w:val="8"/>
                <w:szCs w:val="8"/>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(342)</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4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240" w:type="dxa"/>
            <w:vAlign w:val="bottom"/>
            <w:tcBorders>
              <w:left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(10)</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(7)</w:t>
            </w:r>
          </w:p>
        </w:tc>
        <w:tc>
          <w:tcPr>
            <w:tcW w:w="2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36"/>
        </w:trPr>
        <w:tc>
          <w:tcPr>
            <w:tcW w:w="266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attributable to Icahn Enterprises</w:t>
            </w:r>
          </w:p>
        </w:tc>
        <w:tc>
          <w:tcPr>
            <w:tcW w:w="200" w:type="dxa"/>
            <w:vAlign w:val="bottom"/>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240" w:type="dxa"/>
            <w:vAlign w:val="bottom"/>
            <w:tcBorders>
              <w:left w:val="single" w:sz="8" w:color="CCEEFF"/>
            </w:tcBorders>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240" w:type="dxa"/>
            <w:vAlign w:val="bottom"/>
            <w:tcBorders>
              <w:left w:val="single" w:sz="8" w:color="CCEEFF"/>
            </w:tcBorders>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60"/>
        </w:trPr>
        <w:tc>
          <w:tcPr>
            <w:tcW w:w="266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88</w:t>
            </w:r>
          </w:p>
        </w:tc>
        <w:tc>
          <w:tcPr>
            <w:tcW w:w="14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25</w:t>
            </w: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12"/>
          </w:tcPr>
          <w:p>
            <w:pPr>
              <w:ind w:left="120"/>
              <w:spacing w:after="0"/>
              <w:rPr>
                <w:sz w:val="20"/>
                <w:szCs w:val="20"/>
                <w:color w:val="auto"/>
              </w:rPr>
            </w:pPr>
            <w:r>
              <w:rPr>
                <w:rFonts w:ascii="Arial" w:cs="Arial" w:eastAsia="Arial" w:hAnsi="Arial"/>
                <w:sz w:val="13"/>
                <w:szCs w:val="13"/>
                <w:b w:val="1"/>
                <w:bCs w:val="1"/>
                <w:color w:val="auto"/>
                <w:w w:val="89"/>
              </w:rPr>
              <w:t>Nine Months Ended September 30, 2020</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Real</w:t>
            </w:r>
          </w:p>
        </w:tc>
        <w:tc>
          <w:tcPr>
            <w:tcW w:w="140" w:type="dxa"/>
            <w:vAlign w:val="bottom"/>
          </w:tcPr>
          <w:p>
            <w:pPr>
              <w:spacing w:after="0"/>
              <w:rPr>
                <w:sz w:val="9"/>
                <w:szCs w:val="9"/>
                <w:color w:val="auto"/>
              </w:rPr>
            </w:pPr>
          </w:p>
        </w:tc>
        <w:tc>
          <w:tcPr>
            <w:tcW w:w="50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Home</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760" w:type="dxa"/>
            <w:vAlign w:val="bottom"/>
            <w:gridSpan w:val="4"/>
          </w:tcPr>
          <w:p>
            <w:pPr>
              <w:ind w:left="100"/>
              <w:spacing w:after="0"/>
              <w:rPr>
                <w:sz w:val="20"/>
                <w:szCs w:val="20"/>
                <w:color w:val="auto"/>
              </w:rPr>
            </w:pPr>
            <w:r>
              <w:rPr>
                <w:rFonts w:ascii="Arial" w:cs="Arial" w:eastAsia="Arial" w:hAnsi="Arial"/>
                <w:sz w:val="13"/>
                <w:szCs w:val="13"/>
                <w:b w:val="1"/>
                <w:bCs w:val="1"/>
                <w:color w:val="auto"/>
                <w:w w:val="93"/>
              </w:rPr>
              <w:t>Investment</w:t>
            </w: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w w:val="73"/>
              </w:rPr>
              <w:t>Energy</w:t>
            </w:r>
          </w:p>
        </w:tc>
        <w:tc>
          <w:tcPr>
            <w:tcW w:w="780" w:type="dxa"/>
            <w:vAlign w:val="bottom"/>
            <w:gridSpan w:val="3"/>
          </w:tcPr>
          <w:p>
            <w:pPr>
              <w:ind w:left="140"/>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ind w:left="120"/>
              <w:spacing w:after="0"/>
              <w:rPr>
                <w:sz w:val="20"/>
                <w:szCs w:val="20"/>
                <w:color w:val="auto"/>
              </w:rPr>
            </w:pPr>
            <w:r>
              <w:rPr>
                <w:rFonts w:ascii="Arial" w:cs="Arial" w:eastAsia="Arial" w:hAnsi="Arial"/>
                <w:sz w:val="13"/>
                <w:szCs w:val="13"/>
                <w:b w:val="1"/>
                <w:bCs w:val="1"/>
                <w:color w:val="auto"/>
                <w:w w:val="82"/>
              </w:rPr>
              <w:t>Packaging</w:t>
            </w:r>
          </w:p>
        </w:tc>
        <w:tc>
          <w:tcPr>
            <w:tcW w:w="2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3"/>
                <w:szCs w:val="13"/>
                <w:b w:val="1"/>
                <w:bCs w:val="1"/>
                <w:color w:val="auto"/>
                <w:w w:val="74"/>
              </w:rPr>
              <w:t>Metals</w:t>
            </w:r>
          </w:p>
        </w:tc>
        <w:tc>
          <w:tcPr>
            <w:tcW w:w="14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3"/>
                <w:szCs w:val="13"/>
                <w:b w:val="1"/>
                <w:bCs w:val="1"/>
                <w:color w:val="auto"/>
                <w:w w:val="87"/>
              </w:rPr>
              <w:t>Estate</w:t>
            </w:r>
          </w:p>
        </w:tc>
        <w:tc>
          <w:tcPr>
            <w:tcW w:w="640" w:type="dxa"/>
            <w:vAlign w:val="bottom"/>
            <w:gridSpan w:val="4"/>
          </w:tcPr>
          <w:p>
            <w:pPr>
              <w:ind w:left="140"/>
              <w:spacing w:after="0"/>
              <w:rPr>
                <w:sz w:val="20"/>
                <w:szCs w:val="20"/>
                <w:color w:val="auto"/>
              </w:rPr>
            </w:pPr>
            <w:r>
              <w:rPr>
                <w:rFonts w:ascii="Arial" w:cs="Arial" w:eastAsia="Arial" w:hAnsi="Arial"/>
                <w:sz w:val="13"/>
                <w:szCs w:val="13"/>
                <w:b w:val="1"/>
                <w:bCs w:val="1"/>
                <w:color w:val="auto"/>
                <w:w w:val="96"/>
              </w:rPr>
              <w:t>Fashion</w:t>
            </w:r>
          </w:p>
        </w:tc>
        <w:tc>
          <w:tcPr>
            <w:tcW w:w="460" w:type="dxa"/>
            <w:vAlign w:val="bottom"/>
            <w:gridSpan w:val="3"/>
          </w:tcPr>
          <w:p>
            <w:pPr>
              <w:ind w:left="60"/>
              <w:spacing w:after="0"/>
              <w:rPr>
                <w:sz w:val="20"/>
                <w:szCs w:val="20"/>
                <w:color w:val="auto"/>
              </w:rPr>
            </w:pPr>
            <w:r>
              <w:rPr>
                <w:rFonts w:ascii="Arial" w:cs="Arial" w:eastAsia="Arial" w:hAnsi="Arial"/>
                <w:sz w:val="13"/>
                <w:szCs w:val="13"/>
                <w:b w:val="1"/>
                <w:bCs w:val="1"/>
                <w:color w:val="auto"/>
                <w:w w:val="90"/>
              </w:rPr>
              <w:t>Mining</w:t>
            </w:r>
          </w:p>
        </w:tc>
        <w:tc>
          <w:tcPr>
            <w:tcW w:w="720" w:type="dxa"/>
            <w:vAlign w:val="bottom"/>
            <w:gridSpan w:val="4"/>
          </w:tcPr>
          <w:p>
            <w:pPr>
              <w:ind w:left="140"/>
              <w:spacing w:after="0"/>
              <w:rPr>
                <w:sz w:val="20"/>
                <w:szCs w:val="20"/>
                <w:color w:val="auto"/>
              </w:rPr>
            </w:pPr>
            <w:r>
              <w:rPr>
                <w:rFonts w:ascii="Arial" w:cs="Arial" w:eastAsia="Arial" w:hAnsi="Arial"/>
                <w:sz w:val="13"/>
                <w:szCs w:val="13"/>
                <w:b w:val="1"/>
                <w:bCs w:val="1"/>
                <w:color w:val="auto"/>
                <w:w w:val="94"/>
              </w:rPr>
              <w:t>Company</w:t>
            </w:r>
          </w:p>
        </w:tc>
        <w:tc>
          <w:tcPr>
            <w:tcW w:w="6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3"/>
          </w:tcPr>
          <w:p>
            <w:pPr>
              <w:spacing w:after="0" w:line="115" w:lineRule="exact"/>
              <w:rPr>
                <w:sz w:val="20"/>
                <w:szCs w:val="20"/>
                <w:color w:val="auto"/>
              </w:rPr>
            </w:pPr>
            <w:r>
              <w:rPr>
                <w:rFonts w:ascii="Arial" w:cs="Arial" w:eastAsia="Arial" w:hAnsi="Arial"/>
                <w:sz w:val="13"/>
                <w:szCs w:val="13"/>
                <w:color w:val="auto"/>
                <w:w w:val="94"/>
              </w:rPr>
              <w:t>(in millions)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24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2,811</w:t>
            </w:r>
          </w:p>
        </w:tc>
        <w:tc>
          <w:tcPr>
            <w:tcW w:w="3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1,468</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306</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203</w:t>
            </w:r>
          </w:p>
        </w:tc>
        <w:tc>
          <w:tcPr>
            <w:tcW w:w="3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82"/>
              </w:rPr>
              <w:t>22</w:t>
            </w:r>
          </w:p>
        </w:tc>
        <w:tc>
          <w:tcPr>
            <w:tcW w:w="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140</w:t>
            </w:r>
          </w:p>
        </w:tc>
        <w:tc>
          <w:tcPr>
            <w:tcW w:w="80" w:type="dxa"/>
            <w:vAlign w:val="bottom"/>
          </w:tcPr>
          <w:p>
            <w:pPr>
              <w:spacing w:after="0"/>
              <w:rPr>
                <w:sz w:val="11"/>
                <w:szCs w:val="11"/>
                <w:color w:val="auto"/>
              </w:rPr>
            </w:pPr>
          </w:p>
        </w:tc>
        <w:tc>
          <w:tcPr>
            <w:tcW w:w="2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4,950</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46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35"/>
        </w:trPr>
        <w:tc>
          <w:tcPr>
            <w:tcW w:w="2560" w:type="dxa"/>
            <w:vAlign w:val="bottom"/>
          </w:tcPr>
          <w:p>
            <w:pPr>
              <w:ind w:left="100"/>
              <w:spacing w:after="0" w:line="135" w:lineRule="exact"/>
              <w:rPr>
                <w:sz w:val="20"/>
                <w:szCs w:val="20"/>
                <w:color w:val="auto"/>
              </w:rPr>
            </w:pPr>
            <w:r>
              <w:rPr>
                <w:rFonts w:ascii="Arial" w:cs="Arial" w:eastAsia="Arial" w:hAnsi="Arial"/>
                <w:sz w:val="13"/>
                <w:szCs w:val="13"/>
                <w:color w:val="auto"/>
              </w:rPr>
              <w:t>Net loss from investment activities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(1,893)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(239)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(2,152)</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35"/>
        </w:trPr>
        <w:tc>
          <w:tcPr>
            <w:tcW w:w="2560" w:type="dxa"/>
            <w:vAlign w:val="bottom"/>
          </w:tcPr>
          <w:p>
            <w:pPr>
              <w:ind w:left="100"/>
              <w:spacing w:after="0" w:line="135" w:lineRule="exact"/>
              <w:rPr>
                <w:sz w:val="20"/>
                <w:szCs w:val="20"/>
                <w:color w:val="auto"/>
              </w:rPr>
            </w:pPr>
            <w:r>
              <w:rPr>
                <w:rFonts w:ascii="Arial" w:cs="Arial" w:eastAsia="Arial" w:hAnsi="Arial"/>
                <w:sz w:val="13"/>
                <w:szCs w:val="13"/>
                <w:color w:val="auto"/>
              </w:rPr>
              <w:t>(Loss) gain on disposition of assets, net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28"/>
        </w:trPr>
        <w:tc>
          <w:tcPr>
            <w:tcW w:w="2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(1,793)</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2,794</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1,875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297</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205</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76</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143</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(226)</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3,371</w:t>
            </w:r>
          </w:p>
        </w:tc>
        <w:tc>
          <w:tcPr>
            <w:tcW w:w="0" w:type="dxa"/>
            <w:vAlign w:val="bottom"/>
          </w:tcPr>
          <w:p>
            <w:pPr>
              <w:spacing w:after="0"/>
              <w:rPr>
                <w:sz w:val="1"/>
                <w:szCs w:val="1"/>
                <w:color w:val="auto"/>
              </w:rPr>
            </w:pPr>
          </w:p>
        </w:tc>
      </w:tr>
      <w:tr>
        <w:trPr>
          <w:trHeight w:val="129"/>
        </w:trPr>
        <w:tc>
          <w:tcPr>
            <w:tcW w:w="25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Expenses: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2,934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1,036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243</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202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82"/>
              </w:rPr>
              <w:t>17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111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4,543</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30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35"/>
        </w:trPr>
        <w:tc>
          <w:tcPr>
            <w:tcW w:w="2560" w:type="dxa"/>
            <w:vAlign w:val="bottom"/>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88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671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82"/>
              </w:rPr>
              <w:t>31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888</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5"/>
        </w:trPr>
        <w:tc>
          <w:tcPr>
            <w:tcW w:w="2560" w:type="dxa"/>
            <w:vAlign w:val="bottom"/>
          </w:tcPr>
          <w:p>
            <w:pPr>
              <w:ind w:left="100"/>
              <w:spacing w:after="0" w:line="135" w:lineRule="exact"/>
              <w:rPr>
                <w:sz w:val="20"/>
                <w:szCs w:val="20"/>
                <w:color w:val="auto"/>
              </w:rPr>
            </w:pPr>
            <w:r>
              <w:rPr>
                <w:rFonts w:ascii="Arial" w:cs="Arial" w:eastAsia="Arial" w:hAnsi="Arial"/>
                <w:sz w:val="13"/>
                <w:szCs w:val="13"/>
                <w:color w:val="auto"/>
              </w:rPr>
              <w:t>Impairment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145</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258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517</w:t>
            </w:r>
          </w:p>
        </w:tc>
        <w:tc>
          <w:tcPr>
            <w:tcW w:w="0" w:type="dxa"/>
            <w:vAlign w:val="bottom"/>
          </w:tcPr>
          <w:p>
            <w:pPr>
              <w:spacing w:after="0"/>
              <w:rPr>
                <w:sz w:val="1"/>
                <w:szCs w:val="1"/>
                <w:color w:val="auto"/>
              </w:rPr>
            </w:pPr>
          </w:p>
        </w:tc>
      </w:tr>
      <w:tr>
        <w:trPr>
          <w:trHeight w:val="129"/>
        </w:trPr>
        <w:tc>
          <w:tcPr>
            <w:tcW w:w="2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144</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3,115</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2,063</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291</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215</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80</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145</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278</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6,331</w:t>
            </w:r>
          </w:p>
        </w:tc>
        <w:tc>
          <w:tcPr>
            <w:tcW w:w="0" w:type="dxa"/>
            <w:vAlign w:val="bottom"/>
          </w:tcPr>
          <w:p>
            <w:pPr>
              <w:spacing w:after="0"/>
              <w:rPr>
                <w:sz w:val="1"/>
                <w:szCs w:val="1"/>
                <w:color w:val="auto"/>
              </w:rPr>
            </w:pPr>
          </w:p>
        </w:tc>
      </w:tr>
      <w:tr>
        <w:trPr>
          <w:trHeight w:val="101"/>
        </w:trPr>
        <w:tc>
          <w:tcPr>
            <w:tcW w:w="256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(Loss) income from continuing operations before</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 benefit (expense)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(1,937)</w:t>
            </w: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w:t>
            </w:r>
          </w:p>
        </w:tc>
        <w:tc>
          <w:tcPr>
            <w:tcW w:w="0" w:type="dxa"/>
            <w:vAlign w:val="bottom"/>
          </w:tcPr>
          <w:p>
            <w:pPr>
              <w:spacing w:after="0"/>
              <w:rPr>
                <w:sz w:val="1"/>
                <w:szCs w:val="1"/>
                <w:color w:val="auto"/>
              </w:rPr>
            </w:pPr>
          </w:p>
        </w:tc>
      </w:tr>
      <w:tr>
        <w:trPr>
          <w:trHeight w:val="135"/>
        </w:trPr>
        <w:tc>
          <w:tcPr>
            <w:tcW w:w="2560" w:type="dxa"/>
            <w:vAlign w:val="bottom"/>
          </w:tcPr>
          <w:p>
            <w:pPr>
              <w:spacing w:after="0" w:line="135" w:lineRule="exact"/>
              <w:rPr>
                <w:sz w:val="20"/>
                <w:szCs w:val="20"/>
                <w:color w:val="auto"/>
              </w:rPr>
            </w:pPr>
            <w:r>
              <w:rPr>
                <w:rFonts w:ascii="Arial" w:cs="Arial" w:eastAsia="Arial" w:hAnsi="Arial"/>
                <w:sz w:val="13"/>
                <w:szCs w:val="13"/>
                <w:color w:val="auto"/>
              </w:rPr>
              <w:t>Income tax benefit (expense)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28"/>
        </w:trPr>
        <w:tc>
          <w:tcPr>
            <w:tcW w:w="2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98"/>
              </w:rPr>
              <w:t>Net (loss) income from continuing operations</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(1,937)</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(236)</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(507)</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(2,842)</w:t>
            </w:r>
          </w:p>
        </w:tc>
        <w:tc>
          <w:tcPr>
            <w:tcW w:w="0" w:type="dxa"/>
            <w:vAlign w:val="bottom"/>
          </w:tcPr>
          <w:p>
            <w:pPr>
              <w:spacing w:after="0"/>
              <w:rPr>
                <w:sz w:val="1"/>
                <w:szCs w:val="1"/>
                <w:color w:val="auto"/>
              </w:rPr>
            </w:pPr>
          </w:p>
        </w:tc>
      </w:tr>
      <w:tr>
        <w:trPr>
          <w:trHeight w:val="121"/>
        </w:trPr>
        <w:tc>
          <w:tcPr>
            <w:tcW w:w="2560" w:type="dxa"/>
            <w:vAlign w:val="bottom"/>
          </w:tcPr>
          <w:p>
            <w:pPr>
              <w:spacing w:after="0" w:line="121" w:lineRule="exact"/>
              <w:rPr>
                <w:sz w:val="20"/>
                <w:szCs w:val="20"/>
                <w:color w:val="auto"/>
              </w:rPr>
            </w:pPr>
            <w:r>
              <w:rPr>
                <w:rFonts w:ascii="Arial" w:cs="Arial" w:eastAsia="Arial" w:hAnsi="Arial"/>
                <w:sz w:val="13"/>
                <w:szCs w:val="13"/>
                <w:color w:val="auto"/>
              </w:rPr>
              <w:t>Less: net loss from continuing operations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attributable to non-controlling interests</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(947)</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(1,043)</w:t>
            </w:r>
          </w:p>
        </w:tc>
        <w:tc>
          <w:tcPr>
            <w:tcW w:w="0" w:type="dxa"/>
            <w:vAlign w:val="bottom"/>
          </w:tcPr>
          <w:p>
            <w:pPr>
              <w:spacing w:after="0"/>
              <w:rPr>
                <w:sz w:val="1"/>
                <w:szCs w:val="1"/>
                <w:color w:val="auto"/>
              </w:rPr>
            </w:pPr>
          </w:p>
        </w:tc>
      </w:tr>
      <w:tr>
        <w:trPr>
          <w:trHeight w:val="101"/>
        </w:trPr>
        <w:tc>
          <w:tcPr>
            <w:tcW w:w="256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Net (loss) income from continuing operations</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(990)</w:t>
            </w:r>
          </w:p>
        </w:tc>
        <w:tc>
          <w:tcPr>
            <w:tcW w:w="60" w:type="dxa"/>
            <w:vAlign w:val="bottom"/>
            <w:shd w:val="clear" w:color="auto" w:fill="CCEEFF"/>
          </w:tcPr>
          <w:p>
            <w:pPr>
              <w:spacing w:after="0"/>
              <w:rPr>
                <w:sz w:val="8"/>
                <w:szCs w:val="8"/>
                <w:color w:val="auto"/>
              </w:rPr>
            </w:pP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3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0" w:type="dxa"/>
            <w:vAlign w:val="bottom"/>
            <w:tcBorders>
              <w:right w:val="single" w:sz="8" w:color="CCEEFF"/>
            </w:tcBorders>
            <w:vMerge w:val="restart"/>
            <w:shd w:val="clear" w:color="auto" w:fill="CCEEFF"/>
          </w:tcPr>
          <w:p>
            <w:pPr>
              <w:ind w:left="140"/>
              <w:spacing w:after="0"/>
              <w:rPr>
                <w:sz w:val="20"/>
                <w:szCs w:val="20"/>
                <w:color w:val="auto"/>
              </w:rPr>
            </w:pPr>
            <w:r>
              <w:rPr>
                <w:rFonts w:ascii="Arial" w:cs="Arial" w:eastAsia="Arial" w:hAnsi="Arial"/>
                <w:sz w:val="5"/>
                <w:szCs w:val="5"/>
                <w:color w:val="auto"/>
                <w:w w:val="70"/>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32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60" w:type="dxa"/>
            <w:vAlign w:val="bottom"/>
            <w:shd w:val="clear" w:color="auto" w:fill="CCEEFF"/>
          </w:tcPr>
          <w:p>
            <w:pPr>
              <w:spacing w:after="0"/>
              <w:rPr>
                <w:sz w:val="8"/>
                <w:szCs w:val="8"/>
                <w:color w:val="auto"/>
              </w:rPr>
            </w:pPr>
          </w:p>
        </w:tc>
        <w:tc>
          <w:tcPr>
            <w:tcW w:w="2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(1,799)</w:t>
            </w:r>
          </w:p>
        </w:tc>
        <w:tc>
          <w:tcPr>
            <w:tcW w:w="0" w:type="dxa"/>
            <w:vAlign w:val="bottom"/>
          </w:tcPr>
          <w:p>
            <w:pPr>
              <w:spacing w:after="0"/>
              <w:rPr>
                <w:sz w:val="1"/>
                <w:szCs w:val="1"/>
                <w:color w:val="auto"/>
              </w:rPr>
            </w:pPr>
          </w:p>
        </w:tc>
      </w:tr>
      <w:tr>
        <w:trPr>
          <w:trHeight w:val="136"/>
        </w:trPr>
        <w:tc>
          <w:tcPr>
            <w:tcW w:w="25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attributable to Icahn Enterprises</w:t>
            </w:r>
          </w:p>
        </w:tc>
        <w:tc>
          <w:tcPr>
            <w:tcW w:w="24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Supplemental information:</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2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w:t>
            </w:r>
          </w:p>
        </w:tc>
        <w:tc>
          <w:tcPr>
            <w:tcW w:w="3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3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10</w:t>
            </w:r>
          </w:p>
        </w:tc>
        <w:tc>
          <w:tcPr>
            <w:tcW w:w="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60"/>
        </w:trPr>
        <w:tc>
          <w:tcPr>
            <w:tcW w:w="256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256</w:t>
            </w: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72</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19</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13</w:t>
            </w:r>
          </w:p>
        </w:tc>
        <w:tc>
          <w:tcPr>
            <w:tcW w:w="3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82"/>
              </w:rPr>
              <w:t>13</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260" w:type="dxa"/>
            <w:vAlign w:val="bottom"/>
          </w:tcPr>
          <w:p>
            <w:pPr>
              <w:ind w:left="100"/>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11"/>
          </w:tcPr>
          <w:p>
            <w:pPr>
              <w:jc w:val="right"/>
              <w:spacing w:after="0"/>
              <w:rPr>
                <w:sz w:val="20"/>
                <w:szCs w:val="20"/>
                <w:color w:val="auto"/>
              </w:rPr>
            </w:pPr>
            <w:r>
              <w:rPr>
                <w:rFonts w:ascii="Arial" w:cs="Arial" w:eastAsia="Arial" w:hAnsi="Arial"/>
                <w:sz w:val="13"/>
                <w:szCs w:val="13"/>
                <w:b w:val="1"/>
                <w:bCs w:val="1"/>
                <w:color w:val="auto"/>
                <w:w w:val="90"/>
              </w:rPr>
              <w:t>Nine Months Ended September 30, 2019</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jc w:val="right"/>
              <w:ind w:right="17"/>
              <w:spacing w:after="0" w:line="110" w:lineRule="exact"/>
              <w:rPr>
                <w:sz w:val="20"/>
                <w:szCs w:val="20"/>
                <w:color w:val="auto"/>
              </w:rPr>
            </w:pPr>
            <w:r>
              <w:rPr>
                <w:rFonts w:ascii="Arial" w:cs="Arial" w:eastAsia="Arial" w:hAnsi="Arial"/>
                <w:sz w:val="12"/>
                <w:szCs w:val="12"/>
                <w:b w:val="1"/>
                <w:bCs w:val="1"/>
                <w:color w:val="auto"/>
                <w:w w:val="94"/>
              </w:rPr>
              <w:t>Real</w:t>
            </w:r>
          </w:p>
        </w:tc>
        <w:tc>
          <w:tcPr>
            <w:tcW w:w="140" w:type="dxa"/>
            <w:vAlign w:val="bottom"/>
          </w:tcPr>
          <w:p>
            <w:pPr>
              <w:spacing w:after="0"/>
              <w:rPr>
                <w:sz w:val="9"/>
                <w:szCs w:val="9"/>
                <w:color w:val="auto"/>
              </w:rPr>
            </w:pPr>
          </w:p>
        </w:tc>
        <w:tc>
          <w:tcPr>
            <w:tcW w:w="4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Home</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b w:val="1"/>
                <w:bCs w:val="1"/>
                <w:color w:val="auto"/>
                <w:w w:val="96"/>
              </w:rPr>
              <w:t>Investment</w:t>
            </w:r>
          </w:p>
        </w:tc>
        <w:tc>
          <w:tcPr>
            <w:tcW w:w="60" w:type="dxa"/>
            <w:vAlign w:val="bottom"/>
          </w:tcPr>
          <w:p>
            <w:pPr>
              <w:spacing w:after="0"/>
              <w:rPr>
                <w:sz w:val="13"/>
                <w:szCs w:val="13"/>
                <w:color w:val="auto"/>
              </w:rPr>
            </w:pPr>
          </w:p>
        </w:tc>
        <w:tc>
          <w:tcPr>
            <w:tcW w:w="42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Energy</w:t>
            </w:r>
          </w:p>
        </w:tc>
        <w:tc>
          <w:tcPr>
            <w:tcW w:w="780" w:type="dxa"/>
            <w:vAlign w:val="bottom"/>
            <w:gridSpan w:val="3"/>
          </w:tcPr>
          <w:p>
            <w:pPr>
              <w:ind w:left="140"/>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ind w:left="120"/>
              <w:spacing w:after="0"/>
              <w:rPr>
                <w:sz w:val="20"/>
                <w:szCs w:val="20"/>
                <w:color w:val="auto"/>
              </w:rPr>
            </w:pPr>
            <w:r>
              <w:rPr>
                <w:rFonts w:ascii="Arial" w:cs="Arial" w:eastAsia="Arial" w:hAnsi="Arial"/>
                <w:sz w:val="13"/>
                <w:szCs w:val="13"/>
                <w:b w:val="1"/>
                <w:bCs w:val="1"/>
                <w:color w:val="auto"/>
                <w:w w:val="82"/>
              </w:rPr>
              <w:t>Packaging</w:t>
            </w:r>
          </w:p>
        </w:tc>
        <w:tc>
          <w:tcPr>
            <w:tcW w:w="1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3"/>
                <w:szCs w:val="13"/>
                <w:b w:val="1"/>
                <w:bCs w:val="1"/>
                <w:color w:val="auto"/>
                <w:w w:val="88"/>
              </w:rPr>
              <w:t>Metals</w:t>
            </w:r>
          </w:p>
        </w:tc>
        <w:tc>
          <w:tcPr>
            <w:tcW w:w="2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71"/>
              </w:rPr>
              <w:t>Estate</w:t>
            </w:r>
          </w:p>
        </w:tc>
        <w:tc>
          <w:tcPr>
            <w:tcW w:w="580" w:type="dxa"/>
            <w:vAlign w:val="bottom"/>
            <w:gridSpan w:val="3"/>
          </w:tcPr>
          <w:p>
            <w:pPr>
              <w:ind w:left="140"/>
              <w:spacing w:after="0"/>
              <w:rPr>
                <w:sz w:val="20"/>
                <w:szCs w:val="20"/>
                <w:color w:val="auto"/>
              </w:rPr>
            </w:pPr>
            <w:r>
              <w:rPr>
                <w:rFonts w:ascii="Arial" w:cs="Arial" w:eastAsia="Arial" w:hAnsi="Arial"/>
                <w:sz w:val="13"/>
                <w:szCs w:val="13"/>
                <w:b w:val="1"/>
                <w:bCs w:val="1"/>
                <w:color w:val="auto"/>
                <w:w w:val="84"/>
              </w:rPr>
              <w:t>Fashion</w:t>
            </w:r>
          </w:p>
        </w:tc>
        <w:tc>
          <w:tcPr>
            <w:tcW w:w="540" w:type="dxa"/>
            <w:vAlign w:val="bottom"/>
            <w:gridSpan w:val="3"/>
          </w:tcPr>
          <w:p>
            <w:pPr>
              <w:ind w:left="120"/>
              <w:spacing w:after="0"/>
              <w:rPr>
                <w:sz w:val="20"/>
                <w:szCs w:val="20"/>
                <w:color w:val="auto"/>
              </w:rPr>
            </w:pPr>
            <w:r>
              <w:rPr>
                <w:rFonts w:ascii="Arial" w:cs="Arial" w:eastAsia="Arial" w:hAnsi="Arial"/>
                <w:sz w:val="13"/>
                <w:szCs w:val="13"/>
                <w:b w:val="1"/>
                <w:bCs w:val="1"/>
                <w:color w:val="auto"/>
                <w:w w:val="95"/>
              </w:rPr>
              <w:t>Mining</w:t>
            </w:r>
          </w:p>
        </w:tc>
        <w:tc>
          <w:tcPr>
            <w:tcW w:w="1440" w:type="dxa"/>
            <w:vAlign w:val="bottom"/>
            <w:gridSpan w:val="6"/>
          </w:tcPr>
          <w:p>
            <w:pPr>
              <w:ind w:left="120"/>
              <w:spacing w:after="0"/>
              <w:rPr>
                <w:sz w:val="20"/>
                <w:szCs w:val="20"/>
                <w:color w:val="auto"/>
              </w:rPr>
            </w:pPr>
            <w:r>
              <w:rPr>
                <w:rFonts w:ascii="Arial" w:cs="Arial" w:eastAsia="Arial" w:hAnsi="Arial"/>
                <w:sz w:val="13"/>
                <w:szCs w:val="13"/>
                <w:b w:val="1"/>
                <w:bCs w:val="1"/>
                <w:color w:val="auto"/>
                <w:w w:val="89"/>
              </w:rPr>
              <w:t>Company Consolidated</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4"/>
          </w:tcPr>
          <w:p>
            <w:pPr>
              <w:jc w:val="right"/>
              <w:ind w:right="37"/>
              <w:spacing w:after="0" w:line="115"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2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4,794</w:t>
            </w:r>
          </w:p>
        </w:tc>
        <w:tc>
          <w:tcPr>
            <w:tcW w:w="3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1,736</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290</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270</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2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134</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130</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7,371</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Net loss from investment activities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(1,619)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(349)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(1,968)</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(Loss) gain on disposition of assets, net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252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29"/>
        </w:trPr>
        <w:tc>
          <w:tcPr>
            <w:tcW w:w="25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(1,488)</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4,812</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2,191</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282</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271</w:t>
            </w:r>
          </w:p>
        </w:tc>
        <w:tc>
          <w:tcPr>
            <w:tcW w:w="2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134</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382</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(292)</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6,371</w:t>
            </w:r>
          </w:p>
        </w:tc>
        <w:tc>
          <w:tcPr>
            <w:tcW w:w="0" w:type="dxa"/>
            <w:vAlign w:val="bottom"/>
          </w:tcPr>
          <w:p>
            <w:pPr>
              <w:spacing w:after="0"/>
              <w:rPr>
                <w:sz w:val="1"/>
                <w:szCs w:val="1"/>
                <w:color w:val="auto"/>
              </w:rPr>
            </w:pPr>
          </w:p>
        </w:tc>
      </w:tr>
      <w:tr>
        <w:trPr>
          <w:trHeight w:val="128"/>
        </w:trPr>
        <w:tc>
          <w:tcPr>
            <w:tcW w:w="25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Expenses: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4,229</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1,190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269</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6,098</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409</w:t>
            </w:r>
          </w:p>
        </w:tc>
        <w:tc>
          <w:tcPr>
            <w:tcW w:w="0" w:type="dxa"/>
            <w:vAlign w:val="bottom"/>
          </w:tcPr>
          <w:p>
            <w:pPr>
              <w:spacing w:after="0"/>
              <w:rPr>
                <w:sz w:val="1"/>
                <w:szCs w:val="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107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779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1,027</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Impairment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264</w:t>
            </w: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128"/>
        </w:trPr>
        <w:tc>
          <w:tcPr>
            <w:tcW w:w="25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76</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4,416</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2,355</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284</w:t>
            </w:r>
          </w:p>
        </w:tc>
        <w:tc>
          <w:tcPr>
            <w:tcW w:w="2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71</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147</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278</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7,993</w:t>
            </w:r>
          </w:p>
        </w:tc>
        <w:tc>
          <w:tcPr>
            <w:tcW w:w="0" w:type="dxa"/>
            <w:vAlign w:val="bottom"/>
          </w:tcPr>
          <w:p>
            <w:pPr>
              <w:spacing w:after="0"/>
              <w:rPr>
                <w:sz w:val="1"/>
                <w:szCs w:val="1"/>
                <w:color w:val="auto"/>
              </w:rPr>
            </w:pPr>
          </w:p>
        </w:tc>
      </w:tr>
      <w:tr>
        <w:trPr>
          <w:trHeight w:val="101"/>
        </w:trPr>
        <w:tc>
          <w:tcPr>
            <w:tcW w:w="258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(Loss) income from continuing operations before</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(1,622)</w:t>
            </w:r>
          </w:p>
        </w:tc>
        <w:tc>
          <w:tcPr>
            <w:tcW w:w="0" w:type="dxa"/>
            <w:vAlign w:val="bottom"/>
          </w:tcPr>
          <w:p>
            <w:pPr>
              <w:spacing w:after="0"/>
              <w:rPr>
                <w:sz w:val="1"/>
                <w:szCs w:val="1"/>
                <w:color w:val="auto"/>
              </w:rPr>
            </w:pP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Income tax (expense) benefit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(98)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99"/>
              </w:rPr>
              <w:t>Net (loss) income from continuing operations</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(1,564)</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298</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(494)</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(1,610)</w:t>
            </w:r>
          </w:p>
        </w:tc>
        <w:tc>
          <w:tcPr>
            <w:tcW w:w="0" w:type="dxa"/>
            <w:vAlign w:val="bottom"/>
          </w:tcPr>
          <w:p>
            <w:pPr>
              <w:spacing w:after="0"/>
              <w:rPr>
                <w:sz w:val="1"/>
                <w:szCs w:val="1"/>
                <w:color w:val="auto"/>
              </w:rPr>
            </w:pPr>
          </w:p>
        </w:tc>
      </w:tr>
      <w:tr>
        <w:trPr>
          <w:trHeight w:val="121"/>
        </w:trPr>
        <w:tc>
          <w:tcPr>
            <w:tcW w:w="2580" w:type="dxa"/>
            <w:vAlign w:val="bottom"/>
          </w:tcPr>
          <w:p>
            <w:pPr>
              <w:spacing w:after="0" w:line="121" w:lineRule="exact"/>
              <w:rPr>
                <w:sz w:val="20"/>
                <w:szCs w:val="20"/>
                <w:color w:val="auto"/>
              </w:rPr>
            </w:pPr>
            <w:r>
              <w:rPr>
                <w:rFonts w:ascii="Arial" w:cs="Arial" w:eastAsia="Arial" w:hAnsi="Arial"/>
                <w:sz w:val="13"/>
                <w:szCs w:val="13"/>
                <w:color w:val="auto"/>
              </w:rPr>
              <w:t>Less: net (loss) income from continuing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120"/>
              <w:spacing w:after="0" w:line="135" w:lineRule="exact"/>
              <w:rPr>
                <w:sz w:val="20"/>
                <w:szCs w:val="20"/>
                <w:color w:val="auto"/>
              </w:rPr>
            </w:pPr>
            <w:r>
              <w:rPr>
                <w:rFonts w:ascii="Arial" w:cs="Arial" w:eastAsia="Arial" w:hAnsi="Arial"/>
                <w:sz w:val="13"/>
                <w:szCs w:val="13"/>
                <w:color w:val="auto"/>
              </w:rPr>
              <w:t>operations attributable to non-controlling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01"/>
        </w:trPr>
        <w:tc>
          <w:tcPr>
            <w:tcW w:w="258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Net (loss) income from continuing operations</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(785)</w:t>
            </w:r>
          </w:p>
        </w:tc>
        <w:tc>
          <w:tcPr>
            <w:tcW w:w="80" w:type="dxa"/>
            <w:vAlign w:val="bottom"/>
            <w:shd w:val="clear" w:color="auto" w:fill="CCEEFF"/>
          </w:tcPr>
          <w:p>
            <w:pPr>
              <w:spacing w:after="0"/>
              <w:rPr>
                <w:sz w:val="8"/>
                <w:szCs w:val="8"/>
                <w:color w:val="auto"/>
              </w:rPr>
            </w:pP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3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136"/>
        </w:trPr>
        <w:tc>
          <w:tcPr>
            <w:tcW w:w="258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attributable to Icahn Enterprises</w:t>
            </w:r>
          </w:p>
        </w:tc>
        <w:tc>
          <w:tcPr>
            <w:tcW w:w="24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Supplemental information:</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2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3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2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2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60"/>
        </w:trPr>
        <w:tc>
          <w:tcPr>
            <w:tcW w:w="258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265</w:t>
            </w: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73</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19</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13</w:t>
            </w:r>
          </w:p>
        </w:tc>
        <w:tc>
          <w:tcPr>
            <w:tcW w:w="2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5</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0" w:right="1099" w:firstLine="324"/>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our Energy and Automotive segments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Disaggregated revenue for our Energy segment net sales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September 30,</w:t>
            </w:r>
          </w:p>
        </w:tc>
        <w:tc>
          <w:tcPr>
            <w:tcW w:w="180" w:type="dxa"/>
            <w:vAlign w:val="bottom"/>
          </w:tcPr>
          <w:p>
            <w:pPr>
              <w:spacing w:after="0"/>
              <w:rPr>
                <w:sz w:val="20"/>
                <w:szCs w:val="20"/>
                <w:color w:val="auto"/>
              </w:rPr>
            </w:pPr>
          </w:p>
        </w:tc>
        <w:tc>
          <w:tcPr>
            <w:tcW w:w="28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128"/>
        </w:trPr>
        <w:tc>
          <w:tcPr>
            <w:tcW w:w="2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tcPr>
          <w:p>
            <w:pPr>
              <w:jc w:val="right"/>
              <w:ind w:right="38"/>
              <w:spacing w:after="0" w:line="129" w:lineRule="exact"/>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products</w:t>
            </w:r>
          </w:p>
        </w:tc>
        <w:tc>
          <w:tcPr>
            <w:tcW w:w="1400" w:type="dxa"/>
            <w:vAlign w:val="bottom"/>
            <w:gridSpan w:val="2"/>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5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r>
      <w:tr>
        <w:trPr>
          <w:trHeight w:val="216"/>
        </w:trPr>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Nitrogen fertilizer products</w:t>
            </w:r>
          </w:p>
        </w:tc>
        <w:tc>
          <w:tcPr>
            <w:tcW w:w="5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09"/>
        </w:trPr>
        <w:tc>
          <w:tcPr>
            <w:tcW w:w="2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1,005</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r>
      <w:tr>
        <w:trPr>
          <w:trHeight w:val="20"/>
        </w:trPr>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Disaggregated revenue for our Automotive segment net sales and other revenues from operations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September 30,</w:t>
            </w:r>
          </w:p>
        </w:tc>
        <w:tc>
          <w:tcPr>
            <w:tcW w:w="200" w:type="dxa"/>
            <w:vAlign w:val="bottom"/>
          </w:tcPr>
          <w:p>
            <w:pPr>
              <w:spacing w:after="0"/>
              <w:rPr>
                <w:sz w:val="20"/>
                <w:szCs w:val="20"/>
                <w:color w:val="auto"/>
              </w:rPr>
            </w:pPr>
          </w:p>
        </w:tc>
        <w:tc>
          <w:tcPr>
            <w:tcW w:w="28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2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128"/>
        </w:trPr>
        <w:tc>
          <w:tcPr>
            <w:tcW w:w="2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tcPr>
          <w:p>
            <w:pPr>
              <w:jc w:val="right"/>
              <w:ind w:right="38"/>
              <w:spacing w:after="0" w:line="129" w:lineRule="exact"/>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Automotive services</w:t>
            </w:r>
          </w:p>
        </w:tc>
        <w:tc>
          <w:tcPr>
            <w:tcW w:w="1620" w:type="dxa"/>
            <w:vAlign w:val="bottom"/>
            <w:gridSpan w:val="2"/>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16"/>
        </w:trPr>
        <w:tc>
          <w:tcPr>
            <w:tcW w:w="2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Aftermarket parts sales</w:t>
            </w:r>
          </w:p>
        </w:tc>
        <w:tc>
          <w:tcPr>
            <w:tcW w:w="7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r>
      <w:tr>
        <w:trPr>
          <w:trHeight w:val="210"/>
        </w:trPr>
        <w:tc>
          <w:tcPr>
            <w:tcW w:w="23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r>
      <w:tr>
        <w:trPr>
          <w:trHeight w:val="20"/>
        </w:trPr>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6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Balance Sheets</w:t>
      </w:r>
    </w:p>
    <w:p>
      <w:pPr>
        <w:spacing w:after="0" w:line="229" w:lineRule="exact"/>
        <w:rPr>
          <w:sz w:val="20"/>
          <w:szCs w:val="20"/>
          <w:color w:val="auto"/>
        </w:rPr>
      </w:pPr>
    </w:p>
    <w:p>
      <w:pPr>
        <w:jc w:val="both"/>
        <w:ind w:left="60" w:right="240" w:firstLine="324"/>
        <w:spacing w:after="0" w:line="263" w:lineRule="auto"/>
        <w:rPr>
          <w:sz w:val="20"/>
          <w:szCs w:val="20"/>
          <w:color w:val="auto"/>
        </w:rPr>
      </w:pPr>
      <w:r>
        <w:rPr>
          <w:rFonts w:ascii="Arial" w:cs="Arial" w:eastAsia="Arial" w:hAnsi="Arial"/>
          <w:sz w:val="18"/>
          <w:szCs w:val="18"/>
          <w:color w:val="auto"/>
        </w:rPr>
        <w:t>Icahn Enterprises’ condensed balance sheets by reporting segment are presented below. Icahn Enterprises Holdings’ condensed balance sheets are substantially the same, with immaterial differences relating to our Holding Company’s debt and equity attributable to Icahn Enterprises Holdings.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8"/>
          </w:tcPr>
          <w:p>
            <w:pPr>
              <w:ind w:left="380"/>
              <w:spacing w:after="0"/>
              <w:rPr>
                <w:sz w:val="20"/>
                <w:szCs w:val="20"/>
                <w:color w:val="auto"/>
              </w:rPr>
            </w:pPr>
            <w:r>
              <w:rPr>
                <w:rFonts w:ascii="Arial" w:cs="Arial" w:eastAsia="Arial" w:hAnsi="Arial"/>
                <w:sz w:val="13"/>
                <w:szCs w:val="13"/>
                <w:b w:val="1"/>
                <w:bCs w:val="1"/>
                <w:color w:val="auto"/>
              </w:rPr>
              <w:t>September 30, 2020</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10"/>
        </w:trPr>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Food</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4"/>
              </w:rPr>
              <w:t>Real</w:t>
            </w:r>
          </w:p>
        </w:tc>
        <w:tc>
          <w:tcPr>
            <w:tcW w:w="60" w:type="dxa"/>
            <w:vAlign w:val="bottom"/>
          </w:tcPr>
          <w:p>
            <w:pPr>
              <w:spacing w:after="0"/>
              <w:rPr>
                <w:sz w:val="9"/>
                <w:szCs w:val="9"/>
                <w:color w:val="auto"/>
              </w:rPr>
            </w:pPr>
          </w:p>
        </w:tc>
        <w:tc>
          <w:tcPr>
            <w:tcW w:w="62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rPr>
              <w:t>Home</w:t>
            </w:r>
          </w:p>
        </w:tc>
        <w:tc>
          <w:tcPr>
            <w:tcW w:w="700" w:type="dxa"/>
            <w:vAlign w:val="bottom"/>
            <w:gridSpan w:val="3"/>
          </w:tcPr>
          <w:p>
            <w:pPr>
              <w:jc w:val="right"/>
              <w:ind w:right="200"/>
              <w:spacing w:after="0" w:line="110" w:lineRule="exact"/>
              <w:rPr>
                <w:sz w:val="20"/>
                <w:szCs w:val="20"/>
                <w:color w:val="auto"/>
              </w:rPr>
            </w:pPr>
            <w:r>
              <w:rPr>
                <w:rFonts w:ascii="Arial" w:cs="Arial" w:eastAsia="Arial" w:hAnsi="Arial"/>
                <w:sz w:val="12"/>
                <w:szCs w:val="12"/>
                <w:b w:val="1"/>
                <w:bCs w:val="1"/>
                <w:color w:val="auto"/>
              </w:rPr>
              <w:t>Holding</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53"/>
        </w:trPr>
        <w:tc>
          <w:tcPr>
            <w:tcW w:w="26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Energy</w:t>
            </w: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Packaging</w:t>
            </w: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Metals</w:t>
            </w:r>
          </w:p>
        </w:tc>
        <w:tc>
          <w:tcPr>
            <w:tcW w:w="100" w:type="dxa"/>
            <w:vAlign w:val="bottom"/>
          </w:tcPr>
          <w:p>
            <w:pPr>
              <w:spacing w:after="0"/>
              <w:rPr>
                <w:sz w:val="13"/>
                <w:szCs w:val="13"/>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Estate</w:t>
            </w:r>
          </w:p>
        </w:tc>
        <w:tc>
          <w:tcPr>
            <w:tcW w:w="6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Fashion</w:t>
            </w:r>
          </w:p>
        </w:tc>
        <w:tc>
          <w:tcPr>
            <w:tcW w:w="7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1"/>
              </w:rPr>
              <w:t>Company</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4"/>
              </w:rPr>
              <w:t>Consolidated</w:t>
            </w:r>
          </w:p>
        </w:tc>
      </w:tr>
      <w:tr>
        <w:trPr>
          <w:trHeight w:val="115"/>
        </w:trPr>
        <w:tc>
          <w:tcPr>
            <w:tcW w:w="2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color w:val="auto"/>
                <w:w w:val="85"/>
              </w:rPr>
              <w:t>(in millions)</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35"/>
        </w:trPr>
        <w:tc>
          <w:tcPr>
            <w:tcW w:w="2620" w:type="dxa"/>
            <w:vAlign w:val="bottom"/>
            <w:shd w:val="clear" w:color="auto" w:fill="CCEEFF"/>
          </w:tcPr>
          <w:p>
            <w:pPr>
              <w:ind w:left="1020"/>
              <w:spacing w:after="0" w:line="135"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672</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55</w:t>
            </w:r>
          </w:p>
        </w:tc>
        <w:tc>
          <w:tcPr>
            <w:tcW w:w="1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1,087</w:t>
            </w:r>
          </w:p>
        </w:tc>
        <w:tc>
          <w:tcPr>
            <w:tcW w:w="12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1,862</w:t>
            </w:r>
          </w:p>
        </w:tc>
      </w:tr>
      <w:tr>
        <w:trPr>
          <w:trHeight w:val="121"/>
        </w:trPr>
        <w:tc>
          <w:tcPr>
            <w:tcW w:w="26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3"/>
              </w:rPr>
              <w:t>Cash held at consolidated affiliated partnerships</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restricted cash</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2,687</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6,177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199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459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6,910</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443</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266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1,536</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2,785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4,297</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Goodwill and intangible assets,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379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684</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3,127</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332</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617</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121</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4,405</w:t>
            </w:r>
          </w:p>
        </w:tc>
      </w:tr>
      <w:tr>
        <w:trPr>
          <w:trHeight w:val="168"/>
        </w:trPr>
        <w:tc>
          <w:tcPr>
            <w:tcW w:w="262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11,967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4,637</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3,160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490</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1,588</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22,824</w:t>
            </w:r>
          </w:p>
        </w:tc>
      </w:tr>
      <w:tr>
        <w:trPr>
          <w:trHeight w:val="116"/>
        </w:trPr>
        <w:tc>
          <w:tcPr>
            <w:tcW w:w="2620" w:type="dxa"/>
            <w:vAlign w:val="bottom"/>
            <w:shd w:val="clear" w:color="auto" w:fill="CCEEFF"/>
          </w:tcPr>
          <w:p>
            <w:pPr>
              <w:ind w:left="46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tcPr>
          <w:p>
            <w:pPr>
              <w:ind w:left="20"/>
              <w:spacing w:after="0" w:line="121" w:lineRule="exact"/>
              <w:rPr>
                <w:sz w:val="20"/>
                <w:szCs w:val="20"/>
                <w:color w:val="auto"/>
              </w:rPr>
            </w:pPr>
            <w:r>
              <w:rPr>
                <w:rFonts w:ascii="Arial" w:cs="Arial" w:eastAsia="Arial" w:hAnsi="Arial"/>
                <w:sz w:val="13"/>
                <w:szCs w:val="13"/>
                <w:color w:val="auto"/>
                <w:w w:val="94"/>
              </w:rPr>
              <w:t>Accounts payable, accrued expenses and other</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2620" w:type="dxa"/>
            <w:vAlign w:val="bottom"/>
          </w:tcPr>
          <w:p>
            <w:pPr>
              <w:ind w:left="140"/>
              <w:spacing w:after="0"/>
              <w:rPr>
                <w:sz w:val="20"/>
                <w:szCs w:val="20"/>
                <w:color w:val="auto"/>
              </w:rPr>
            </w:pPr>
            <w:r>
              <w:rPr>
                <w:rFonts w:ascii="Arial" w:cs="Arial" w:eastAsia="Arial" w:hAnsi="Arial"/>
                <w:sz w:val="13"/>
                <w:szCs w:val="13"/>
                <w:color w:val="auto"/>
              </w:rPr>
              <w:t>liabilities</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2,158</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1,009</w:t>
            </w:r>
          </w:p>
        </w:tc>
        <w:tc>
          <w:tcPr>
            <w:tcW w:w="12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1,173</w:t>
            </w:r>
          </w:p>
        </w:tc>
        <w:tc>
          <w:tcPr>
            <w:tcW w:w="1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190</w:t>
            </w:r>
          </w:p>
        </w:tc>
        <w:tc>
          <w:tcPr>
            <w:tcW w:w="12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4,835</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Securities sold, not yet purchased, at fair value</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970</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Debt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1,690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258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5,812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8,146</w:t>
            </w:r>
          </w:p>
        </w:tc>
      </w:tr>
      <w:tr>
        <w:trPr>
          <w:trHeight w:val="128"/>
        </w:trPr>
        <w:tc>
          <w:tcPr>
            <w:tcW w:w="26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liabilities</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3,128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2,699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5,927</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13,951</w:t>
            </w:r>
          </w:p>
        </w:tc>
      </w:tr>
      <w:tr>
        <w:trPr>
          <w:trHeight w:val="128"/>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attributable to Icahn Enterprises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4,058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(4,339)</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3,230</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w w:val="99"/>
              </w:rPr>
              <w:t>Equity attributable to non-controlling interests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4,781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847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5,643</w:t>
            </w:r>
          </w:p>
        </w:tc>
      </w:tr>
      <w:tr>
        <w:trPr>
          <w:trHeight w:val="128"/>
        </w:trPr>
        <w:tc>
          <w:tcPr>
            <w:tcW w:w="26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equity</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8,839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1,938</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1,654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434</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(4,339)</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8,873</w:t>
            </w:r>
          </w:p>
        </w:tc>
      </w:tr>
      <w:tr>
        <w:trPr>
          <w:trHeight w:val="128"/>
        </w:trPr>
        <w:tc>
          <w:tcPr>
            <w:tcW w:w="2620" w:type="dxa"/>
            <w:vAlign w:val="bottom"/>
          </w:tcPr>
          <w:p>
            <w:pPr>
              <w:ind w:left="100"/>
              <w:spacing w:after="0" w:line="129" w:lineRule="exact"/>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11,967</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4,637</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3,160</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506</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241</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490</w:t>
            </w: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235</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1,588</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22,824</w:t>
            </w: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jc w:val="right"/>
              <w:ind w:right="357"/>
              <w:spacing w:after="0"/>
              <w:rPr>
                <w:sz w:val="20"/>
                <w:szCs w:val="20"/>
                <w:color w:val="auto"/>
              </w:rPr>
            </w:pPr>
            <w:r>
              <w:rPr>
                <w:rFonts w:ascii="Arial" w:cs="Arial" w:eastAsia="Arial" w:hAnsi="Arial"/>
                <w:sz w:val="13"/>
                <w:szCs w:val="13"/>
                <w:b w:val="1"/>
                <w:bCs w:val="1"/>
                <w:color w:val="auto"/>
              </w:rPr>
              <w:t>December 31, 2019</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Food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37"/>
              <w:spacing w:after="0" w:line="110" w:lineRule="exact"/>
              <w:rPr>
                <w:sz w:val="20"/>
                <w:szCs w:val="20"/>
                <w:color w:val="auto"/>
              </w:rPr>
            </w:pPr>
            <w:r>
              <w:rPr>
                <w:rFonts w:ascii="Arial" w:cs="Arial" w:eastAsia="Arial" w:hAnsi="Arial"/>
                <w:sz w:val="12"/>
                <w:szCs w:val="12"/>
                <w:b w:val="1"/>
                <w:bCs w:val="1"/>
                <w:color w:val="auto"/>
              </w:rPr>
              <w:t>Real</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Home</w:t>
            </w:r>
          </w:p>
        </w:tc>
        <w:tc>
          <w:tcPr>
            <w:tcW w:w="120" w:type="dxa"/>
            <w:vAlign w:val="bottom"/>
          </w:tcPr>
          <w:p>
            <w:pPr>
              <w:spacing w:after="0"/>
              <w:rPr>
                <w:sz w:val="9"/>
                <w:szCs w:val="9"/>
                <w:color w:val="auto"/>
              </w:rPr>
            </w:pPr>
          </w:p>
        </w:tc>
        <w:tc>
          <w:tcPr>
            <w:tcW w:w="680" w:type="dxa"/>
            <w:vAlign w:val="bottom"/>
            <w:gridSpan w:val="3"/>
          </w:tcPr>
          <w:p>
            <w:pPr>
              <w:jc w:val="center"/>
              <w:ind w:right="160"/>
              <w:spacing w:after="0" w:line="110" w:lineRule="exact"/>
              <w:rPr>
                <w:sz w:val="20"/>
                <w:szCs w:val="20"/>
                <w:color w:val="auto"/>
              </w:rPr>
            </w:pPr>
            <w:r>
              <w:rPr>
                <w:rFonts w:ascii="Arial" w:cs="Arial" w:eastAsia="Arial" w:hAnsi="Arial"/>
                <w:sz w:val="12"/>
                <w:szCs w:val="12"/>
                <w:b w:val="1"/>
                <w:bCs w:val="1"/>
                <w:color w:val="auto"/>
                <w:w w:val="98"/>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b w:val="1"/>
                <w:bCs w:val="1"/>
                <w:color w:val="auto"/>
                <w:w w:val="86"/>
              </w:rPr>
              <w:t>Energy</w:t>
            </w:r>
          </w:p>
        </w:tc>
        <w:tc>
          <w:tcPr>
            <w:tcW w:w="1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jc w:val="right"/>
              <w:spacing w:after="0"/>
              <w:rPr>
                <w:sz w:val="20"/>
                <w:szCs w:val="20"/>
                <w:color w:val="auto"/>
              </w:rPr>
            </w:pPr>
            <w:r>
              <w:rPr>
                <w:rFonts w:ascii="Arial" w:cs="Arial" w:eastAsia="Arial" w:hAnsi="Arial"/>
                <w:sz w:val="13"/>
                <w:szCs w:val="13"/>
                <w:b w:val="1"/>
                <w:bCs w:val="1"/>
                <w:color w:val="auto"/>
              </w:rPr>
              <w:t>Packaging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Metals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b w:val="1"/>
                <w:bCs w:val="1"/>
                <w:color w:val="auto"/>
                <w:w w:val="87"/>
              </w:rPr>
              <w:t>Estate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4"/>
              </w:rPr>
              <w:t>Fashion</w:t>
            </w:r>
          </w:p>
        </w:tc>
        <w:tc>
          <w:tcPr>
            <w:tcW w:w="120" w:type="dxa"/>
            <w:vAlign w:val="bottom"/>
          </w:tcPr>
          <w:p>
            <w:pPr>
              <w:spacing w:after="0"/>
              <w:rPr>
                <w:sz w:val="13"/>
                <w:szCs w:val="13"/>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3"/>
                <w:szCs w:val="13"/>
                <w:color w:val="auto"/>
                <w:w w:val="82"/>
              </w:rPr>
              <w:t>(in millions)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ind w:left="960"/>
              <w:spacing w:after="0" w:line="135" w:lineRule="exact"/>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Cash and cash equivalents</w:t>
            </w:r>
          </w:p>
        </w:tc>
        <w:tc>
          <w:tcPr>
            <w:tcW w:w="2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652</w:t>
            </w:r>
          </w:p>
        </w:tc>
        <w:tc>
          <w:tcPr>
            <w:tcW w:w="300" w:type="dxa"/>
            <w:vAlign w:val="bottom"/>
            <w:gridSpan w:val="2"/>
          </w:tcPr>
          <w:p>
            <w:pPr>
              <w:jc w:val="right"/>
              <w:ind w:right="6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10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40" w:type="dxa"/>
            <w:vAlign w:val="bottom"/>
            <w:gridSpan w:val="2"/>
          </w:tcPr>
          <w:p>
            <w:pPr>
              <w:jc w:val="right"/>
              <w:ind w:right="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3,006</w:t>
            </w:r>
          </w:p>
        </w:tc>
        <w:tc>
          <w:tcPr>
            <w:tcW w:w="10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3,794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8"/>
              </w:rPr>
              <w:t>Cash held at consolidated affiliated partnerships</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and restricted cash</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9,207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522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9,945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Inventories,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373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1,215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1,795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Goodwill and intangible assets,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258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382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1,076</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239</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673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Total assets</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11,283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4,673</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3,495</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514</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3,693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24,639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shd w:val="clear" w:color="auto" w:fill="CCEEFF"/>
          </w:tcPr>
          <w:p>
            <w:pPr>
              <w:ind w:left="40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3"/>
                <w:szCs w:val="13"/>
                <w:color w:val="auto"/>
                <w:w w:val="89"/>
              </w:rPr>
              <w:t>Accounts payable, accrued expenses and 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100"/>
              <w:spacing w:after="0"/>
              <w:rPr>
                <w:sz w:val="20"/>
                <w:szCs w:val="20"/>
                <w:color w:val="auto"/>
              </w:rPr>
            </w:pPr>
            <w:r>
              <w:rPr>
                <w:rFonts w:ascii="Arial" w:cs="Arial" w:eastAsia="Arial" w:hAnsi="Arial"/>
                <w:sz w:val="13"/>
                <w:szCs w:val="13"/>
                <w:color w:val="auto"/>
              </w:rPr>
              <w:t>liabilities</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1,310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1,180</w:t>
            </w:r>
          </w:p>
        </w:tc>
        <w:tc>
          <w:tcPr>
            <w:tcW w:w="3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1,340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196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38</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66</w:t>
            </w:r>
          </w:p>
        </w:tc>
        <w:tc>
          <w:tcPr>
            <w:tcW w:w="24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2"/>
                <w:szCs w:val="12"/>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4,315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Securities sold, not yet purchased, at fair value</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Debt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1,195</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405</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6,297</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8,192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Total liabilities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2,500</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2,375</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1,745</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6,412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13,697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Equity attributable to Icahn Enterprises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4,296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(2,719)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w w:val="93"/>
              </w:rPr>
              <w:t>Equity attributable to non-controlling interests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4,487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986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5,486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equity</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8,783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2,298</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1,750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(2,719)</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10,942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ind w:left="80"/>
              <w:spacing w:after="0" w:line="129" w:lineRule="exact"/>
              <w:rPr>
                <w:sz w:val="20"/>
                <w:szCs w:val="20"/>
                <w:color w:val="auto"/>
              </w:rPr>
            </w:pPr>
            <w:r>
              <w:rPr>
                <w:rFonts w:ascii="Arial" w:cs="Arial" w:eastAsia="Arial" w:hAnsi="Arial"/>
                <w:sz w:val="13"/>
                <w:szCs w:val="13"/>
                <w:color w:val="auto"/>
              </w:rPr>
              <w:t>Total liabilities and equity</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11,283</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4,673</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3,495</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517</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514</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231</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3,693</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0" w:right="259" w:firstLine="324"/>
        <w:spacing w:after="0" w:line="279" w:lineRule="auto"/>
        <w:rPr>
          <w:sz w:val="20"/>
          <w:szCs w:val="20"/>
          <w:color w:val="auto"/>
        </w:rPr>
      </w:pPr>
      <w:r>
        <w:rPr>
          <w:rFonts w:ascii="Arial" w:cs="Arial" w:eastAsia="Arial" w:hAnsi="Arial"/>
          <w:sz w:val="17"/>
          <w:szCs w:val="17"/>
          <w:color w:val="auto"/>
        </w:rPr>
        <w:t>For the three months ended September 30, 2020, we recorded an income tax benefit of $66 million on pre-tax loss from continuing operations of $1,466 million compared to an income tax benefit of $26 million on pre-tax loss from continuing operations of $399 million for the three months ended September 30, 2019. Our effective income tax rate was 4.5% and 6.5% for the three months ended September 30, 2020 and 2019, respectively.</w:t>
      </w:r>
    </w:p>
    <w:p>
      <w:pPr>
        <w:spacing w:after="0" w:line="171"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For the three months ended September 30, 2020, the effective tax rate was lower than the statutory federal rate of 21%, primarily due to changes in the valuation allowance and partnership loss for which there was no tax benefit, as such loss is allocated to the partners.</w:t>
      </w:r>
    </w:p>
    <w:p>
      <w:pPr>
        <w:spacing w:after="0" w:line="184"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For the three months ended September 30, 2019, the effective tax rate was lower than the statutory federal rate of 21%, primarily due to partnership loss for which there was no tax benefit, as such loss is allocated to the partners.</w:t>
      </w:r>
    </w:p>
    <w:p>
      <w:pPr>
        <w:spacing w:after="0" w:line="146"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For the nine months ended September 30, 2020, we recorded an income tax benefit of $118 million on pre-tax loss from continuing operations of $2,960 million compared to an income tax benefit of $12 million on pre-tax loss from continuing operations of $1,622 million for the nine months ended September 30, 2019. Our effective income tax rate was 4.0% and 0.7% for the nine months ended September 30, 2020 and 2019, respectively.</w:t>
      </w:r>
    </w:p>
    <w:p>
      <w:pPr>
        <w:spacing w:after="0" w:line="171"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For the nine months ended September 30, 2020, the effective tax rate was lower than the statutory federal rate of 21%, primarily due to changes in the valuation allowance and partnership loss for which there was no tax benefit, as such loss is allocated to the partners.</w:t>
      </w:r>
    </w:p>
    <w:p>
      <w:pPr>
        <w:spacing w:after="0" w:line="184" w:lineRule="exact"/>
        <w:rPr>
          <w:sz w:val="20"/>
          <w:szCs w:val="20"/>
          <w:color w:val="auto"/>
        </w:rPr>
      </w:pPr>
    </w:p>
    <w:p>
      <w:pPr>
        <w:ind w:left="60" w:right="119" w:firstLine="324"/>
        <w:spacing w:after="0" w:line="308" w:lineRule="auto"/>
        <w:rPr>
          <w:sz w:val="20"/>
          <w:szCs w:val="20"/>
          <w:color w:val="auto"/>
        </w:rPr>
      </w:pPr>
      <w:r>
        <w:rPr>
          <w:rFonts w:ascii="Arial" w:cs="Arial" w:eastAsia="Arial" w:hAnsi="Arial"/>
          <w:sz w:val="17"/>
          <w:szCs w:val="17"/>
          <w:color w:val="auto"/>
        </w:rPr>
        <w:t>For the nine months ended September 30, 2019, the effective tax rate was lower than the statutory federal rate of 21%, primarily due to partnership loss for which there was no tax benefit, as such loss is allocated to the partners.</w:t>
      </w:r>
    </w:p>
    <w:p>
      <w:pPr>
        <w:spacing w:after="0" w:line="142"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Loss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Post-Retirement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Adjustments, Net</w:t>
            </w:r>
          </w:p>
        </w:tc>
        <w:tc>
          <w:tcPr>
            <w:tcW w:w="16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Benefits and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Tax</w:t>
            </w:r>
          </w:p>
        </w:tc>
        <w:tc>
          <w:tcPr>
            <w:tcW w:w="15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Other, Net of Tax</w:t>
            </w:r>
          </w:p>
        </w:tc>
        <w:tc>
          <w:tcPr>
            <w:tcW w:w="24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129"/>
        </w:trPr>
        <w:tc>
          <w:tcPr>
            <w:tcW w:w="4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13"/>
              <w:spacing w:after="0" w:line="129"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2"/>
        </w:trPr>
        <w:tc>
          <w:tcPr>
            <w:tcW w:w="4580" w:type="dxa"/>
            <w:vAlign w:val="bottom"/>
          </w:tcPr>
          <w:p>
            <w:pPr>
              <w:ind w:left="20"/>
              <w:spacing w:after="0" w:line="201" w:lineRule="exact"/>
              <w:rPr>
                <w:sz w:val="20"/>
                <w:szCs w:val="20"/>
                <w:color w:val="auto"/>
              </w:rPr>
            </w:pPr>
            <w:r>
              <w:rPr>
                <w:rFonts w:ascii="Arial" w:cs="Arial" w:eastAsia="Arial" w:hAnsi="Arial"/>
                <w:sz w:val="18"/>
                <w:szCs w:val="18"/>
                <w:color w:val="auto"/>
                <w:w w:val="94"/>
              </w:rPr>
              <w:t>Other comprehensive income before reclassifications, net of</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4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Reclassifications from accumulated other comprehensive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to earnings, net of tax</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360" w:hanging="310"/>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Net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Other income,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September 30,</w:t>
            </w:r>
          </w:p>
        </w:tc>
        <w:tc>
          <w:tcPr>
            <w:tcW w:w="200" w:type="dxa"/>
            <w:vAlign w:val="bottom"/>
          </w:tcPr>
          <w:p>
            <w:pPr>
              <w:spacing w:after="0"/>
              <w:rPr>
                <w:sz w:val="20"/>
                <w:szCs w:val="20"/>
                <w:color w:val="auto"/>
              </w:rPr>
            </w:pPr>
          </w:p>
        </w:tc>
        <w:tc>
          <w:tcPr>
            <w:tcW w:w="28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09"/>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129"/>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3"/>
          </w:tcPr>
          <w:p>
            <w:pPr>
              <w:jc w:val="right"/>
              <w:ind w:right="38"/>
              <w:spacing w:after="0" w:line="12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Equity earnings from non-consolidated</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affiliates</w:t>
            </w:r>
          </w:p>
        </w:tc>
        <w:tc>
          <w:tcPr>
            <w:tcW w:w="106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Foreign currency transaction loss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Non-service pension and other post-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retirement benefits expense</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ind w:right="75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$38 million and $34 million as of</w:t>
      </w:r>
    </w:p>
    <w:p>
      <w:pPr>
        <w:spacing w:after="0" w:line="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September 30, 2020 and December 31, 2019, respectively, primarily within our Metals and Energy segments and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193"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On August 21, 2018, CVR Refining received a letter from the United States Department of Justice (the “DOJ”) on behalf of the Environmental Protection Agency (the “EPA”) and the Kansas Department of Health and Environment (“KDHE”) alleging violations of the Clean Air Act and a 2012 Consent Decree between CVR Refining, the United States (on behalf of the EPA) and KDHE at CVR Energy’s Coffeyville refinery. In April 2020, CVR Refining executed a tolling agreement with the DOJ and KDHE further extending time for negotiation regarding the alleged violations through June 30, 2020. In June and October 2020, CVR Refining received a demand letter and related documents from the EPA and KDHE seeking certain penalties in connection therewith. CVR Refining is evaluating this matter, including the dispute resolution and related provisions of the Consent Decree regarding such allegations. At this time, this matter has not had a material impact on our Energy segment’s financial position, results of operations or cash flows and CVR Energy cannot yet reasonably estimate the full impact that may result from this matter or any subsequent enforcement or litigation relating thereto.</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225"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CVR Refining is subject to the Renewable Fuel Standard (“RFS”) of the EPA which requires refiners to either blend renewable fuels in with their transportation fuels or purchase renewable fuel credits, known as RINs, in lieu of blending. CVR Refining is not able to blend the substantial majority of its transportation fuels and has to purchase RINs on the open market and may have to obtain waiver credits for cellulosic biofuels from the EPA, in order to comply with the RFS.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For the three months ended September 30, 2020 and 2019, our Energy segment recognized expenses of $36 million and a benefit of $2 million, respectively, for its compliance with the RFS and which is included in cost of goods sold in the condensed consolidated statements of operations. For the nine months ended September 30, 2020 and 2019, such expenses were $71 million and $31 million, respectively. Our Energy segment’s cost to comply with the RFS includes recognition of its biofuel blending obligation based on the purchased cost of RINs or the fair value of the obligation for which RINs have not been purchased, based on market prices at each reporting date and the valuation change of RINs acquired in excess of CVR Refining’s RFS obligation as of the reporting date.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On April 6, 2020, CVR Energy, CVR Refining and its general partner, Icahn Enterprises and certain other affiliates and individuals were each named in a lawsuit filed in the United States Southern District of New York by purported former unitholders of CVR Refining, on behalf of themselves and an alleged class of similarly situated unitholders. This lawsuit primarily alleges violation of Section 10(b) of the Exchange Act and Rule 10b-5 and violation of Section 20(a) of the Exchange Act, and seeks monetary damages and attorneys’ fees, among other remedies, relating to CVR Energy’s exercise of the call option under the CVR Refining Amended and Restated Agreement of Limited Partnership assigned to it by CVR Refining’s general partner. CVR Energy believes this lawsuit is without merit and intends to vigorously defend against it. This lawsuit remains in the early stages of litigation. Accordingly, CVR Energy cannot determine at this time the outcome of this lawsuit, including whether the outcome of this matter would have a material impact on the its financial position, results of operations, or cash flows.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Obligations</w:t>
      </w:r>
    </w:p>
    <w:p>
      <w:pPr>
        <w:spacing w:after="0" w:line="22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Mr. Icahn, through certain affiliates, owns 100% of Icahn Enterprises GP and approximately 92.0% of Icahn Enterprises’ outstanding depositary units as of September 30, 2020.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78" w:lineRule="exact"/>
        <w:rPr>
          <w:sz w:val="20"/>
          <w:szCs w:val="20"/>
          <w:color w:val="auto"/>
        </w:rPr>
      </w:pPr>
    </w:p>
    <w:p>
      <w:pPr>
        <w:ind w:left="60" w:right="119" w:firstLine="324"/>
        <w:spacing w:after="0" w:line="288"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ACF Industries LLC (“ACF”). All the minimum funding requirements of the Internal Revenue Code, as amended, and the Employee Retirement Income Security Act of 1974, as amended, for the ACF plans have been met as of September 30, 2020. If the plans were voluntarily terminated, they would be underfunded by approximately $80 million as of September 30, 2020. These results are based on the most recent information provided by the plans’ actuary.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84"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The current underfunded status of the ACF pension plans requires them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187"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As discussed in Note 1, “Description of Business,” in October 2020, we increased our ownership in Viskase to approximately 89.0% and as a result, Viskase has become a member of the controlled group. Viskase is the sponsor of several pension plans. As members of the controlled group, we would be liable for any failure of Viskase to make ongoing pension contributions or to pay the unfunded liabilities upon a termination of the Viskase pension plans.</w:t>
      </w:r>
    </w:p>
    <w:p>
      <w:pPr>
        <w:spacing w:after="0" w:line="171"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President of the United States.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either of the foregoing inquiries. We maintain a strong compliance program and, while no assurances can be made, we do not believe these inquiries will have a material impact on our business, financial condition, results of operations or cash flows.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17. Supplemental Cash Flow Information</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5740" w:type="dxa"/>
            <w:vAlign w:val="bottom"/>
          </w:tcPr>
          <w:p>
            <w:pPr>
              <w:ind w:left="320"/>
              <w:spacing w:after="0"/>
              <w:rPr>
                <w:sz w:val="20"/>
                <w:szCs w:val="20"/>
                <w:color w:val="auto"/>
              </w:rPr>
            </w:pPr>
            <w:r>
              <w:rPr>
                <w:rFonts w:ascii="Arial" w:cs="Arial" w:eastAsia="Arial" w:hAnsi="Arial"/>
                <w:sz w:val="18"/>
                <w:szCs w:val="18"/>
                <w:color w:val="auto"/>
              </w:rPr>
              <w:t>Supplemental cash flow information consists of the following:</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5"/>
        </w:trPr>
        <w:tc>
          <w:tcPr>
            <w:tcW w:w="5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10"/>
        </w:trPr>
        <w:tc>
          <w:tcPr>
            <w:tcW w:w="5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128"/>
        </w:trPr>
        <w:tc>
          <w:tcPr>
            <w:tcW w:w="5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3"/>
          </w:tcPr>
          <w:p>
            <w:pPr>
              <w:jc w:val="right"/>
              <w:ind w:right="120"/>
              <w:spacing w:after="0" w:line="12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1"/>
                <w:szCs w:val="1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 net of amounts capitalized</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Cash receipts (payments) for income taxes, net of payments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7"/>
              </w:rPr>
              <w:t>Non-cash Investment segment contributions from non-controlling interests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ind w:left="60" w:right="379" w:firstLine="324"/>
        <w:spacing w:after="0" w:line="259" w:lineRule="auto"/>
        <w:rPr>
          <w:sz w:val="20"/>
          <w:szCs w:val="20"/>
          <w:color w:val="auto"/>
        </w:rPr>
      </w:pPr>
      <w:r>
        <w:rPr>
          <w:rFonts w:ascii="Arial" w:cs="Arial" w:eastAsia="Arial" w:hAnsi="Arial"/>
          <w:sz w:val="18"/>
          <w:szCs w:val="18"/>
          <w:color w:val="auto"/>
        </w:rPr>
        <w:t>In addition to the above, Icahn Enterprises Holdings reduced its receivable from Icahn Enterprises in a non-cash distribution to limited partner in the amount of $32 million in the third quarter of 2019. This transaction is reported as a non-cash related party transaction with respect to Icahn Enterprises Holdings and is eliminated in consolidation with respect to Icahn Enterprises.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20" w:right="182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w:t>
      </w:r>
    </w:p>
    <w:p>
      <w:pPr>
        <w:spacing w:after="0" w:line="225"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On November 4, 2020, the Board of Directors of the general partner of Icahn Enterprises declared a quarterly distribution in the amount of $2.00 per depositary unit, which will be paid on or about December 29, 2020 to depositary unitholders of record at the close of business on November 24, 2020. Depositary unitholders will have until December 17, 2020 to make an election to receive either cash or additional depositary units; if a unitholder does not make an election, it will automatically be deemed to have elected to receive the distribution in cash. Depositary unitholders who elect to receive additional depositary units will receive units valued at the volume weighted average trading price of the units on NASDAQ during the 5 consecutive trading days ending December 24, 2020. No fractional depositary units will be issued pursuant to the distribution payment. Icahn Enterprises will make a cash payment in lieu of issuing fractional depositary units to any unitholders electing to receive depositary units. Any unitholders that would only be eligible to receive a fraction of a depositary unit based on the above calculation will receive a cash payment.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Related Party Agreements</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On October 1, 2020, we entered into a manager agreement with Brett Icahn, the son of Carl C. Icahn, and affiliates of Brett Icahn. Under the manager agreement, Brett Icahn will serve as the portfolio manager of a designated portfolio of assets within the Investment Funds over a seven-year term, subject to veto rights by our Investment segment and Carl. C. Icahn. Additionally, Brett Icahn will provide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agreement. Brett Icahn will not be entitled to receive from us any other compensation (including any salary or bonus) in respect of the services he is to provide under the manager agreement other than restricted depositary units granted under a restricted unit agreement, as discussed below.</w:t>
      </w:r>
    </w:p>
    <w:p>
      <w:pPr>
        <w:spacing w:after="0" w:line="166" w:lineRule="exact"/>
        <w:rPr>
          <w:sz w:val="20"/>
          <w:szCs w:val="20"/>
          <w:color w:val="auto"/>
        </w:rPr>
      </w:pPr>
    </w:p>
    <w:p>
      <w:pPr>
        <w:ind w:left="60" w:right="239" w:firstLine="324"/>
        <w:spacing w:after="0" w:line="296" w:lineRule="auto"/>
        <w:rPr>
          <w:sz w:val="20"/>
          <w:szCs w:val="20"/>
          <w:color w:val="auto"/>
        </w:rPr>
      </w:pPr>
      <w:r>
        <w:rPr>
          <w:rFonts w:ascii="Arial" w:cs="Arial" w:eastAsia="Arial" w:hAnsi="Arial"/>
          <w:sz w:val="16"/>
          <w:szCs w:val="16"/>
          <w:color w:val="auto"/>
        </w:rPr>
        <w:t>On October 1, 2020, we entered into a restricted unit agreement with Brett Icahn pursuant to the 2017 Incentive Plan whereby Brett Icahn was awarded a grant of 239,254 restricted depositary units of Icahn Enterprises which will vest over 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September 30, 2020 (this “Report”), as well as our Annual Report on Form 10-K for the year ended December 31, 2019 filed with the Securities and Exchange Commission on February 28,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L.P. (“Icahn Enterprises”) is a master limited partnership formed in Delaware on February 17, 1987.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Icahn Enterprises Holdings L.P. (“Icahn Enterprises Holdings”) is a limited partnership formed in Delaware 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17, 1987. References to “we,” “our” or “us” herein include both Icahn Enterprises and Icahn Enterprises Holdings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their subsidiaries, unless the context otherwise requires.</w:t>
      </w:r>
    </w:p>
    <w:p>
      <w:pPr>
        <w:spacing w:after="0" w:line="211"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161"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We are a diversified holding company owning subsidiaries currently engaged in the following continuing operating businesses: Investment, Energy, Automotive, Food Packaging, Metals, Real Estate and Home Fashion. We also report the results of our Holding Company, which includes the results of certain subsidiaries of Icahn Enterprises and Icahn Enterprises Holdings (unless otherwise noted), and investment activity and expenses associated with our Holding Company. Our historical results also report the results of our Mining segment, until sold on August 1, 2019.</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Economic Conditions</w:t>
      </w:r>
    </w:p>
    <w:p>
      <w:pPr>
        <w:spacing w:after="0" w:line="225"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In March 2020, the World Health Organization categorized COVID-19 as a pandemic and the President of the United States declared the COVID-19 outbreak a national emergency. The COVID-19 pandemic, and actions taken by governments and others in response thereto, has negatively impacted the global economy, financial markets, and the industries in which our subsidiaries operate. Our consolidated results of operations and financial condition have been impacted primarily by the volatility in the fair value of investments held by our Investment segment and the Holding Company (primarily unrealized) as well as declines in the global demand for refined products, especially gasoline and diesel fuels, with respect to our Energy segment. The impact on our businesses has also included the acceleration of selective planned store closures in our Automotive segment, lowering current year forecasts across various segments and recording write-downs to inventories. We believe that the current economic conditions will continue to impact our businesses through at least the remainder of the year. The extent and duration of the impact on our future results of operations, liquidity and financial condition is uncertain and may be significant. However, we believe that we and our subsidiaries have sufficient available liquidity to meet anticipated cash requirements for at least the next twelve months.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Issuances</w:t>
      </w:r>
    </w:p>
    <w:p>
      <w:pPr>
        <w:spacing w:after="0" w:line="225"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In January 2020, Icahn Enterprises and Icahn Enterprises Finance Corp. (together the “Issuers”) issued an additional $600 million in aggregate principal amount of 4.750% senior unsecured notes due 2024 (the “New 2024 Notes”) and an additional $250 million in aggregate principal amount of 5.250% senior unsecured notes due 2027 (the “New 2027 Notes,” and together with the New 2024 Notes, the “New Notes”). The proceeds from the New Notes, together with cash</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on hand, were used to redeem all of our prior outstanding $1.35 billion principal amount of 5.875% senior unsecured notes due 2022, and to pay accrued interest, related fees and expenses.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other revenues and expenses included in continuing operations as well as our results from discontinued operations.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166" w:lineRule="exact"/>
        <w:rPr>
          <w:sz w:val="20"/>
          <w:szCs w:val="20"/>
          <w:color w:val="auto"/>
        </w:rPr>
      </w:pPr>
    </w:p>
    <w:p>
      <w:pPr>
        <w:ind w:left="60" w:right="239" w:firstLine="324"/>
        <w:spacing w:after="0" w:line="296" w:lineRule="auto"/>
        <w:rPr>
          <w:sz w:val="20"/>
          <w:szCs w:val="20"/>
          <w:color w:val="auto"/>
        </w:rPr>
      </w:pPr>
      <w:r>
        <w:rPr>
          <w:rFonts w:ascii="Arial" w:cs="Arial" w:eastAsia="Arial" w:hAnsi="Arial"/>
          <w:sz w:val="16"/>
          <w:szCs w:val="16"/>
          <w:color w:val="auto"/>
        </w:rPr>
        <w:t>The comparability of our summarized consolidated financial results presented below is affected primarily by the sale of Ferrous Resources Ltd. (“Ferrous Resources”) in August 2019, the performance of the Investment Funds (as defined below), the results of operations of our Energy segment, impacted by the demand and pricing for its products, and our Holding Company’s realized and unrealized gains and losses on certain equity investments. Refer to our respective segment discussions and “Other Consolidated Results of Operations,” below for further discussion.</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3"/>
              </w:rPr>
              <w:t>Net Income (Loss) From</w:t>
            </w:r>
          </w:p>
        </w:tc>
        <w:tc>
          <w:tcPr>
            <w:tcW w:w="80" w:type="dxa"/>
            <w:vAlign w:val="bottom"/>
          </w:tcPr>
          <w:p>
            <w:pPr>
              <w:spacing w:after="0"/>
              <w:rPr>
                <w:sz w:val="14"/>
                <w:szCs w:val="14"/>
                <w:color w:val="auto"/>
              </w:rPr>
            </w:pPr>
          </w:p>
        </w:tc>
        <w:tc>
          <w:tcPr>
            <w:tcW w:w="22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Net Income (Loss)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vMerge w:val="restart"/>
          </w:tcPr>
          <w:p>
            <w:pPr>
              <w:jc w:val="right"/>
              <w:ind w:right="29"/>
              <w:spacing w:after="0"/>
              <w:rPr>
                <w:sz w:val="20"/>
                <w:szCs w:val="20"/>
                <w:color w:val="auto"/>
              </w:rPr>
            </w:pPr>
            <w:r>
              <w:rPr>
                <w:rFonts w:ascii="Arial" w:cs="Arial" w:eastAsia="Arial" w:hAnsi="Arial"/>
                <w:sz w:val="14"/>
                <w:szCs w:val="14"/>
                <w:b w:val="1"/>
                <w:bCs w:val="1"/>
                <w:color w:val="auto"/>
              </w:rPr>
              <w:t>Revenues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Continuing Operations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Continuing Operations</w:t>
            </w:r>
          </w:p>
        </w:tc>
        <w:tc>
          <w:tcPr>
            <w:tcW w:w="80" w:type="dxa"/>
            <w:vAlign w:val="bottom"/>
          </w:tcPr>
          <w:p>
            <w:pPr>
              <w:spacing w:after="0"/>
              <w:rPr>
                <w:sz w:val="14"/>
                <w:szCs w:val="14"/>
                <w:color w:val="auto"/>
              </w:rPr>
            </w:pPr>
          </w:p>
        </w:tc>
        <w:tc>
          <w:tcPr>
            <w:tcW w:w="22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0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2"/>
                <w:szCs w:val="12"/>
                <w:color w:val="auto"/>
              </w:rPr>
            </w:pPr>
          </w:p>
        </w:tc>
        <w:tc>
          <w:tcPr>
            <w:tcW w:w="228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2"/>
                <w:szCs w:val="12"/>
                <w:color w:val="auto"/>
              </w:rPr>
            </w:pPr>
          </w:p>
        </w:tc>
        <w:tc>
          <w:tcPr>
            <w:tcW w:w="232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Three Months Ended 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3"/>
          </w:tcPr>
          <w:p>
            <w:pPr>
              <w:jc w:val="center"/>
              <w:ind w:left="448"/>
              <w:spacing w:after="0" w:line="129" w:lineRule="exact"/>
              <w:rPr>
                <w:sz w:val="20"/>
                <w:szCs w:val="20"/>
                <w:color w:val="auto"/>
              </w:rPr>
            </w:pPr>
            <w:r>
              <w:rPr>
                <w:rFonts w:ascii="Arial" w:cs="Arial" w:eastAsia="Arial" w:hAnsi="Arial"/>
                <w:sz w:val="14"/>
                <w:szCs w:val="14"/>
                <w:color w:val="auto"/>
                <w:w w:val="98"/>
              </w:rPr>
              <w:t>(in millions)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gridSpan w:val="5"/>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(649)</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(1,183)</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(543)</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2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gridSpan w:val="5"/>
          </w:tcPr>
          <w:p>
            <w:pPr>
              <w:ind w:left="20"/>
              <w:spacing w:after="0" w:line="135" w:lineRule="exact"/>
              <w:rPr>
                <w:sz w:val="20"/>
                <w:szCs w:val="20"/>
                <w:color w:val="auto"/>
              </w:rPr>
            </w:pPr>
            <w:r>
              <w:rPr>
                <w:rFonts w:ascii="Arial" w:cs="Arial" w:eastAsia="Arial" w:hAnsi="Arial"/>
                <w:sz w:val="14"/>
                <w:szCs w:val="14"/>
                <w:color w:val="auto"/>
              </w:rPr>
              <w:t>Other Operating</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w w:val="86"/>
              </w:rPr>
              <w:t>Segments:</w:t>
            </w:r>
          </w:p>
        </w:tc>
        <w:tc>
          <w:tcPr>
            <w:tcW w:w="200" w:type="dxa"/>
            <w:vAlign w:val="bottom"/>
            <w:tcBorders>
              <w:top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00" w:type="dxa"/>
            <w:vAlign w:val="bottom"/>
            <w:gridSpan w:val="5"/>
            <w:shd w:val="clear" w:color="auto" w:fill="CCEEFF"/>
          </w:tcPr>
          <w:p>
            <w:pPr>
              <w:ind w:left="20"/>
              <w:spacing w:after="0" w:line="142" w:lineRule="exact"/>
              <w:rPr>
                <w:sz w:val="20"/>
                <w:szCs w:val="20"/>
                <w:color w:val="auto"/>
              </w:rPr>
            </w:pPr>
            <w:r>
              <w:rPr>
                <w:rFonts w:ascii="Arial" w:cs="Arial" w:eastAsia="Arial" w:hAnsi="Arial"/>
                <w:sz w:val="14"/>
                <w:szCs w:val="14"/>
                <w:color w:val="auto"/>
              </w:rPr>
              <w:t>Energy</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1,625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(120)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(73)</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Automotive</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658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749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3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5"/>
            <w:shd w:val="clear" w:color="auto" w:fill="CCEEFF"/>
          </w:tcPr>
          <w:p>
            <w:pPr>
              <w:ind w:left="20"/>
              <w:spacing w:after="0" w:line="149" w:lineRule="exact"/>
              <w:rPr>
                <w:sz w:val="20"/>
                <w:szCs w:val="20"/>
                <w:color w:val="auto"/>
              </w:rPr>
            </w:pPr>
            <w:r>
              <w:rPr>
                <w:rFonts w:ascii="Arial" w:cs="Arial" w:eastAsia="Arial" w:hAnsi="Arial"/>
                <w:sz w:val="14"/>
                <w:szCs w:val="14"/>
                <w:color w:val="auto"/>
              </w:rPr>
              <w:t>Food Packaging</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Metals</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5"/>
            <w:shd w:val="clear" w:color="auto" w:fill="CCEEFF"/>
          </w:tcPr>
          <w:p>
            <w:pPr>
              <w:ind w:left="20"/>
              <w:spacing w:after="0" w:line="149" w:lineRule="exact"/>
              <w:rPr>
                <w:sz w:val="20"/>
                <w:szCs w:val="20"/>
                <w:color w:val="auto"/>
              </w:rPr>
            </w:pPr>
            <w:r>
              <w:rPr>
                <w:rFonts w:ascii="Arial" w:cs="Arial" w:eastAsia="Arial" w:hAnsi="Arial"/>
                <w:sz w:val="14"/>
                <w:szCs w:val="14"/>
                <w:color w:val="auto"/>
              </w:rPr>
              <w:t>Real Estate</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Home Fashion</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5"/>
            <w:shd w:val="clear" w:color="auto" w:fill="CCEEFF"/>
          </w:tcPr>
          <w:p>
            <w:pPr>
              <w:ind w:left="20"/>
              <w:spacing w:after="0" w:line="149" w:lineRule="exact"/>
              <w:rPr>
                <w:sz w:val="20"/>
                <w:szCs w:val="20"/>
                <w:color w:val="auto"/>
              </w:rPr>
            </w:pPr>
            <w:r>
              <w:rPr>
                <w:rFonts w:ascii="Arial" w:cs="Arial" w:eastAsia="Arial" w:hAnsi="Arial"/>
                <w:sz w:val="14"/>
                <w:szCs w:val="14"/>
                <w:color w:val="auto"/>
              </w:rPr>
              <w:t>Mining</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gridSpan w:val="5"/>
          </w:tcPr>
          <w:p>
            <w:pPr>
              <w:ind w:left="20"/>
              <w:spacing w:after="0" w:line="142" w:lineRule="exact"/>
              <w:rPr>
                <w:sz w:val="20"/>
                <w:szCs w:val="20"/>
                <w:color w:val="auto"/>
              </w:rPr>
            </w:pPr>
            <w:r>
              <w:rPr>
                <w:rFonts w:ascii="Arial" w:cs="Arial" w:eastAsia="Arial" w:hAnsi="Arial"/>
                <w:sz w:val="14"/>
                <w:szCs w:val="14"/>
                <w:color w:val="auto"/>
              </w:rPr>
              <w:t>Other operating segments</w:t>
            </w: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1,873</w:t>
            </w: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2,908</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(130)</w:t>
            </w:r>
          </w:p>
        </w:tc>
        <w:tc>
          <w:tcPr>
            <w:tcW w:w="2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294</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w:t>
            </w: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gridSpan w:val="5"/>
            <w:shd w:val="clear" w:color="auto" w:fill="CCEEFF"/>
          </w:tcPr>
          <w:p>
            <w:pPr>
              <w:ind w:left="20"/>
              <w:spacing w:after="0" w:line="142" w:lineRule="exact"/>
              <w:rPr>
                <w:sz w:val="20"/>
                <w:szCs w:val="20"/>
                <w:color w:val="auto"/>
              </w:rPr>
            </w:pPr>
            <w:r>
              <w:rPr>
                <w:rFonts w:ascii="Arial" w:cs="Arial" w:eastAsia="Arial" w:hAnsi="Arial"/>
                <w:sz w:val="14"/>
                <w:szCs w:val="14"/>
                <w:color w:val="auto"/>
              </w:rPr>
              <w:t>Consolidated</w:t>
            </w: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722</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2,320</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(1,400)</w:t>
            </w:r>
          </w:p>
        </w:tc>
        <w:tc>
          <w:tcPr>
            <w:tcW w:w="2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(373)</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(714)</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Net Income (Loss) From</w:t>
            </w:r>
          </w:p>
        </w:tc>
        <w:tc>
          <w:tcPr>
            <w:tcW w:w="220" w:type="dxa"/>
            <w:vAlign w:val="bottom"/>
          </w:tcPr>
          <w:p>
            <w:pPr>
              <w:spacing w:after="0"/>
              <w:rPr>
                <w:sz w:val="14"/>
                <w:szCs w:val="14"/>
                <w:color w:val="auto"/>
              </w:rPr>
            </w:pPr>
          </w:p>
        </w:tc>
        <w:tc>
          <w:tcPr>
            <w:tcW w:w="204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3"/>
              </w:rPr>
              <w:t>Net Income (Loss)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4"/>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Continuing Operations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tcPr>
          <w:p>
            <w:pPr>
              <w:ind w:left="180"/>
              <w:spacing w:after="0"/>
              <w:rPr>
                <w:sz w:val="20"/>
                <w:szCs w:val="20"/>
                <w:color w:val="auto"/>
              </w:rPr>
            </w:pPr>
            <w:r>
              <w:rPr>
                <w:rFonts w:ascii="Arial" w:cs="Arial" w:eastAsia="Arial" w:hAnsi="Arial"/>
                <w:sz w:val="14"/>
                <w:szCs w:val="14"/>
                <w:b w:val="1"/>
                <w:bCs w:val="1"/>
                <w:color w:val="auto"/>
              </w:rPr>
              <w:t>Continuing Operations</w:t>
            </w:r>
          </w:p>
        </w:tc>
        <w:tc>
          <w:tcPr>
            <w:tcW w:w="226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w w:val="96"/>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4"/>
              </w:rPr>
              <w:t>Nine Months Ended September 30,</w:t>
            </w:r>
          </w:p>
        </w:tc>
        <w:tc>
          <w:tcPr>
            <w:tcW w:w="140" w:type="dxa"/>
            <w:vAlign w:val="bottom"/>
          </w:tcPr>
          <w:p>
            <w:pPr>
              <w:spacing w:after="0"/>
              <w:rPr>
                <w:sz w:val="12"/>
                <w:szCs w:val="12"/>
                <w:color w:val="auto"/>
              </w:rPr>
            </w:pPr>
          </w:p>
        </w:tc>
        <w:tc>
          <w:tcPr>
            <w:tcW w:w="222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4"/>
              </w:rPr>
              <w:t>Nine Months Ended September 30,</w:t>
            </w:r>
          </w:p>
        </w:tc>
        <w:tc>
          <w:tcPr>
            <w:tcW w:w="140" w:type="dxa"/>
            <w:vAlign w:val="bottom"/>
          </w:tcPr>
          <w:p>
            <w:pPr>
              <w:spacing w:after="0"/>
              <w:rPr>
                <w:sz w:val="12"/>
                <w:szCs w:val="12"/>
                <w:color w:val="auto"/>
              </w:rPr>
            </w:pPr>
          </w:p>
        </w:tc>
        <w:tc>
          <w:tcPr>
            <w:tcW w:w="226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ind w:left="560"/>
              <w:spacing w:after="0" w:line="129" w:lineRule="exact"/>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Investment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(1,793)</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(1,488)</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(1,937)</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(1,564)</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16"/>
        </w:trPr>
        <w:tc>
          <w:tcPr>
            <w:tcW w:w="1960" w:type="dxa"/>
            <w:vAlign w:val="bottom"/>
            <w:gridSpan w:val="3"/>
          </w:tcPr>
          <w:p>
            <w:pPr>
              <w:ind w:left="20"/>
              <w:spacing w:after="0"/>
              <w:rPr>
                <w:sz w:val="20"/>
                <w:szCs w:val="20"/>
                <w:color w:val="auto"/>
              </w:rPr>
            </w:pPr>
            <w:r>
              <w:rPr>
                <w:rFonts w:ascii="Arial" w:cs="Arial" w:eastAsia="Arial" w:hAnsi="Arial"/>
                <w:sz w:val="14"/>
                <w:szCs w:val="14"/>
                <w:color w:val="auto"/>
              </w:rPr>
              <w:t>Holding Company</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(226)</w:t>
            </w:r>
          </w:p>
        </w:tc>
        <w:tc>
          <w:tcPr>
            <w:tcW w:w="2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(292)</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(507)</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(494)</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(507)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gridSpan w:val="3"/>
          </w:tcPr>
          <w:p>
            <w:pPr>
              <w:ind w:left="20"/>
              <w:spacing w:after="0"/>
              <w:rPr>
                <w:sz w:val="20"/>
                <w:szCs w:val="20"/>
                <w:color w:val="auto"/>
              </w:rPr>
            </w:pPr>
            <w:r>
              <w:rPr>
                <w:rFonts w:ascii="Arial" w:cs="Arial" w:eastAsia="Arial" w:hAnsi="Arial"/>
                <w:sz w:val="14"/>
                <w:szCs w:val="14"/>
                <w:color w:val="auto"/>
              </w:rPr>
              <w:t>Other Operating Segments: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16"/>
        </w:trPr>
        <w:tc>
          <w:tcPr>
            <w:tcW w:w="1960" w:type="dxa"/>
            <w:vAlign w:val="bottom"/>
            <w:gridSpan w:val="3"/>
          </w:tcPr>
          <w:p>
            <w:pPr>
              <w:ind w:left="20"/>
              <w:spacing w:after="0"/>
              <w:rPr>
                <w:sz w:val="20"/>
                <w:szCs w:val="20"/>
                <w:color w:val="auto"/>
              </w:rPr>
            </w:pPr>
            <w:r>
              <w:rPr>
                <w:rFonts w:ascii="Arial" w:cs="Arial" w:eastAsia="Arial" w:hAnsi="Arial"/>
                <w:sz w:val="14"/>
                <w:szCs w:val="14"/>
                <w:color w:val="auto"/>
              </w:rPr>
              <w:t>Automotive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(149)</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(128)</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(149)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16"/>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Food Packaging</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1960" w:type="dxa"/>
            <w:vAlign w:val="bottom"/>
            <w:gridSpan w:val="3"/>
          </w:tcPr>
          <w:p>
            <w:pPr>
              <w:ind w:left="20"/>
              <w:spacing w:after="0"/>
              <w:rPr>
                <w:sz w:val="20"/>
                <w:szCs w:val="20"/>
                <w:color w:val="auto"/>
              </w:rPr>
            </w:pPr>
            <w:r>
              <w:rPr>
                <w:rFonts w:ascii="Arial" w:cs="Arial" w:eastAsia="Arial" w:hAnsi="Arial"/>
                <w:sz w:val="14"/>
                <w:szCs w:val="14"/>
                <w:color w:val="auto"/>
              </w:rPr>
              <w:t>Metals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6"/>
        </w:trPr>
        <w:tc>
          <w:tcPr>
            <w:tcW w:w="1960" w:type="dxa"/>
            <w:vAlign w:val="bottom"/>
            <w:gridSpan w:val="3"/>
          </w:tcPr>
          <w:p>
            <w:pPr>
              <w:ind w:left="20"/>
              <w:spacing w:after="0"/>
              <w:rPr>
                <w:sz w:val="20"/>
                <w:szCs w:val="20"/>
                <w:color w:val="auto"/>
              </w:rPr>
            </w:pPr>
            <w:r>
              <w:rPr>
                <w:rFonts w:ascii="Arial" w:cs="Arial" w:eastAsia="Arial" w:hAnsi="Arial"/>
                <w:sz w:val="14"/>
                <w:szCs w:val="14"/>
                <w:color w:val="auto"/>
              </w:rPr>
              <w:t>Home Fashion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Mining</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96"/>
        </w:trPr>
        <w:tc>
          <w:tcPr>
            <w:tcW w:w="1960" w:type="dxa"/>
            <w:vAlign w:val="bottom"/>
            <w:gridSpan w:val="3"/>
          </w:tcPr>
          <w:p>
            <w:pPr>
              <w:ind w:left="20"/>
              <w:spacing w:after="0"/>
              <w:rPr>
                <w:sz w:val="20"/>
                <w:szCs w:val="20"/>
                <w:color w:val="auto"/>
              </w:rPr>
            </w:pPr>
            <w:r>
              <w:rPr>
                <w:rFonts w:ascii="Arial" w:cs="Arial" w:eastAsia="Arial" w:hAnsi="Arial"/>
                <w:sz w:val="14"/>
                <w:szCs w:val="14"/>
                <w:color w:val="auto"/>
              </w:rPr>
              <w:t>Other operating segments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5,390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8,151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(398)</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(302)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Consolidated</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3,371</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6,371</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(2,842)</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(1,799)</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219" w:firstLine="324"/>
        <w:spacing w:after="0" w:line="272" w:lineRule="auto"/>
        <w:rPr>
          <w:sz w:val="20"/>
          <w:szCs w:val="20"/>
          <w:color w:val="auto"/>
        </w:rPr>
      </w:pPr>
      <w:r>
        <w:rPr>
          <w:rFonts w:ascii="Arial" w:cs="Arial" w:eastAsia="Arial" w:hAnsi="Arial"/>
          <w:sz w:val="17"/>
          <w:szCs w:val="17"/>
          <w:color w:val="auto"/>
        </w:rPr>
        <w:t>We invest our proprietary capital through various private investment funds (“Investment Funds”). As of September 30, 2020 and December 31, 2019, we had investments with a fair market value of approximately $4.0 billion and $4.3 billion, respectively, in the Investment Funds. As of September 30, 2020 and December 31, 2019, the total fair market value of investments in the Investment Funds made by Mr. Icahn and his affiliates (excluding us) was approximately $4.8 billion and $4.5 billion, respectively. During the nine months ended September 30, 2020, we invested $750 million in the Investment Funds, net of redemptions, and affiliates of Mr. Icahn (excluding us) contributed approximately $1.2 billion of primarily like-kind investments in the Investment Funds.</w:t>
      </w:r>
    </w:p>
    <w:p>
      <w:pPr>
        <w:spacing w:after="0" w:line="177"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Our Investment segment’s results of operations are reflected in net income (loss)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September 30, 2020.</w:t>
      </w:r>
    </w:p>
    <w:p>
      <w:pPr>
        <w:spacing w:after="0" w:line="172"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For the three months ended September 30, 2020 and 2019, our Investment Funds’ returns were (11.8%) and (7.4%), respectively, and for the nine months ended September 30, 2020 and 2019, our Investment Funds’ returns were (18.8%) and (15.6%), respectively. Our Investment Funds’ returns represent a weighted-average composite of the average returns, net of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returns.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32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0"/>
              </w:rPr>
              <w:t>Three Months Ended September 30,</w:t>
            </w:r>
          </w:p>
        </w:tc>
        <w:tc>
          <w:tcPr>
            <w:tcW w:w="30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25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CEEFF"/>
            </w:tcBorders>
          </w:tcPr>
          <w:p>
            <w:pPr>
              <w:spacing w:after="0"/>
              <w:rPr>
                <w:sz w:val="18"/>
                <w:szCs w:val="18"/>
                <w:color w:val="auto"/>
              </w:rPr>
            </w:pP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(5.2)%</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Short positions</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(8.8)%</w:t>
            </w: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(2.3)%</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1.6 %</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(20.0)%</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0.1 %</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0.2 %</w:t>
            </w:r>
          </w:p>
        </w:tc>
      </w:tr>
      <w:tr>
        <w:trPr>
          <w:trHeight w:val="210"/>
        </w:trPr>
        <w:tc>
          <w:tcPr>
            <w:tcW w:w="25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r>
      <w:tr>
        <w:trPr>
          <w:trHeight w:val="20"/>
        </w:trPr>
        <w:tc>
          <w:tcPr>
            <w:tcW w:w="2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The following table presents net income (loss) for our Investment segment for the three and nine months ended September 30, 2020 and 2019.</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Three Months Ended September 30,</w:t>
            </w:r>
          </w:p>
        </w:tc>
        <w:tc>
          <w:tcPr>
            <w:tcW w:w="200" w:type="dxa"/>
            <w:vAlign w:val="bottom"/>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128"/>
        </w:trPr>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3"/>
          </w:tcPr>
          <w:p>
            <w:pPr>
              <w:jc w:val="right"/>
              <w:ind w:right="58"/>
              <w:spacing w:after="0" w:line="129" w:lineRule="exact"/>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5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Short positions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(1,981)</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r>
      <w:tr>
        <w:trPr>
          <w:trHeight w:val="20"/>
        </w:trPr>
        <w:tc>
          <w:tcPr>
            <w:tcW w:w="2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2020 and 2019</w:t>
      </w:r>
    </w:p>
    <w:p>
      <w:pPr>
        <w:spacing w:after="0" w:line="225"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For the three months ended September 30, 2020, the Investment Funds’ negative performance was driven by net losses in their short positions and, to a lesser extent, net losses in their long positions. The negative performance of our Investment segment’s short positions was driven primarily by the negative performance of broad market hedges of $677 million, losses from a consumer, non-cyclical sector investment of $156 million and the aggregate performance of various other short positions with net losses aggregating $161 million across various sectors. The negative performance of our Investment segment’s short positions was partially offset by net gains from its short exposure to commercial mortgage-backed securities through credit default swap contracts of $71 million. The negative performance of our Investment Segment’s long positions was driven by losses from an energy sector investment of $699 million, offset in part by gains from a consumer, cyclical sector investment of $257 million. Net losses in long positions were further offset in part by the aggregate performance of investments with net gains across various other sectors.</w:t>
      </w:r>
    </w:p>
    <w:p>
      <w:pPr>
        <w:spacing w:after="0" w:line="168"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For the three months ended September 30, 2019, the Investment Funds’ negative performance was driven by net losses in their long positions and, to a lesser extent, losses in their short positions. The negative performance of our Investment segment’s long positions was driven by losses from a consumer, cyclical sector investment, an Energy sector investment and a technology sector investment aggregating $441 million. The aggregate performance of investments with net losses across various other sectors accounted for an additional negative performance of our Investment segment’s long positions. Losses in long positions were offset in part by gains from a financial sector investment, a consumer, cyclical sector investment and a technology sector investment aggregating $377 million. The negative performance of our Investment segment’s short positions was driven by the negative performance of broad market hedges of $209 million offset in part by the aggregate performance of short positions with net gains across various sectors.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2020 and 2019</w:t>
      </w:r>
    </w:p>
    <w:p>
      <w:pPr>
        <w:spacing w:after="0" w:line="22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For the nine months ended September 30, 2020, the Investment Funds’ negative performance was driven by net losses in their long positions. The negative performance of our Investment segment’s long positions was driven by losses from an energy sector investment of $758 million, a consumer, non-cyclical sector investment of $637 million and aggregate losses from two technology sector investments of $536 million. The aggregate performance of investments with net losses across various other sectors accounted for an additional negative performance of our Investment segment’s long positions. The negative performance of our Investment segment’s long positions was partially offset by net gains from a consumer, cyclical sector investment of $284 million. The performance of our Investment segment’s short positions was driven by the positive performance of their short exposure to commercial mortgage-backed securities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through credit default swap contracts of approximately $1.4 billion, offset in part primarily by the negative performance of broad market hedges of $910 million and the aggregate performance of various other short positions with net losses across various sectors.</w:t>
      </w:r>
    </w:p>
    <w:p>
      <w:pPr>
        <w:spacing w:after="0" w:line="184"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For the nine months ended September 30, 2019, the Investment Funds’ positive performance was driven by net gains in their long positions offset in part by net losses in their short positions. The positive performance of our Investment segment’s long positions was driven by gains from a consumer, non-cyclical sector investment and two energy sector investments with gains aggregating approximately $1.3 billion. The aggregate performance of investments with net gains across various other sectors accounted for an additional positive performance of our Investment segment’s long positions. Gains in long positions were offset in part by losses from a basic materials sector investment, a consumer, cyclical sector investment and a consumer, non-cyclical sector investment with losses aggregating $537 million. The negative performance of our Investment segment’s short positions was driven by the negative performance of broad market hedges of $650 million, offset in part by the aggregate performance of multiple short positions with net gains across various sectors.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Our Energy segment is primarily engaged in the petroleum refining and nitrogen fertilizer manufacturing businesses. The petroleum business accounted for approximately 91% and 93% of our Energy segment’s net sales for the nine months ended September 30, 2020 and 2019, respectively.</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82"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COVID-19 pandemic, and the actions taken by governments and others, has negatively impacted the energy industry. The global demand for refined products, especially gasoline, has declined significantly since the middle of March 2020. Concerns over the negative effects of the COVID-19 pandemic on economic and business prospects across the world have contributed to increased market and price volatility. Volatility was further amplified in March 2020 by market plays between the world’s largest oil producers. The simultaneous shocks in oil supply and demand has resulted in a decline in the price of crude oil and lead to a significant decrease in the price of refined products sold by our Energy segment.</w:t>
      </w:r>
    </w:p>
    <w:p>
      <w:pPr>
        <w:spacing w:after="0" w:line="164"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it to either blend “renewable fuels” with its transportation fuels or purchase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16, “Commitments and Contingencies,” to the condensed consolidated financial statements for further discussion of RINs.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040" w:type="dxa"/>
            <w:vAlign w:val="bottom"/>
            <w:gridSpan w:val="6"/>
          </w:tcPr>
          <w:p>
            <w:pPr>
              <w:spacing w:after="0"/>
              <w:rPr>
                <w:sz w:val="20"/>
                <w:szCs w:val="20"/>
                <w:color w:val="auto"/>
              </w:rPr>
            </w:pPr>
            <w:r>
              <w:rPr>
                <w:rFonts w:ascii="Arial" w:cs="Arial" w:eastAsia="Arial" w:hAnsi="Arial"/>
                <w:sz w:val="18"/>
                <w:szCs w:val="18"/>
                <w:b w:val="1"/>
                <w:bCs w:val="1"/>
                <w:color w:val="auto"/>
                <w:w w:val="98"/>
              </w:rPr>
              <w:t>Three Months Ended September 30,</w:t>
            </w: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09"/>
        </w:trPr>
        <w:tc>
          <w:tcPr>
            <w:tcW w:w="30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128"/>
        </w:trPr>
        <w:tc>
          <w:tcPr>
            <w:tcW w:w="3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3"/>
          </w:tcPr>
          <w:p>
            <w:pPr>
              <w:jc w:val="right"/>
              <w:ind w:right="21"/>
              <w:spacing w:after="0" w:line="129" w:lineRule="exact"/>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r>
      <w:tr>
        <w:trPr>
          <w:trHeight w:val="216"/>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w:t>
            </w:r>
          </w:p>
        </w:tc>
      </w:tr>
      <w:tr>
        <w:trPr>
          <w:trHeight w:val="21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2020 and 2019</w:t>
      </w:r>
    </w:p>
    <w:p>
      <w:pPr>
        <w:spacing w:after="0" w:line="225"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7"/>
          <w:szCs w:val="17"/>
          <w:color w:val="auto"/>
        </w:rPr>
        <w:t>Net sales for our Energy segment decreased by approximately $617 million (38%) for the three months ended September 30, 2020 as compared to the comparable prior year period, primarily due to a decrease in our petroleum business’ net sales which decreased $607 million. The decrease in the petroleum business’ net sales was primarily due to a decrease in sales of distillates as well as a decrease in gasoline sales attributable to a decrease in volumes and unfavorable pricing conditions. These decreases were the result of reduced demand and excess supply attributable to the current market dynamics resulting from government actions to address the COVID-19 pandemic. Our nitrogen fertilizer business’ net sales decreased $10 million primarily due to a decrease in urea ammonium nitrate (“UAN”) sales due to unfavorable pricing, partially offset by an increase in volumes.</w:t>
      </w:r>
    </w:p>
    <w:p>
      <w:pPr>
        <w:spacing w:after="0" w:line="178" w:lineRule="exact"/>
        <w:rPr>
          <w:sz w:val="20"/>
          <w:szCs w:val="20"/>
          <w:color w:val="auto"/>
        </w:rPr>
      </w:pPr>
    </w:p>
    <w:p>
      <w:pPr>
        <w:ind w:left="60" w:right="359" w:firstLine="324"/>
        <w:spacing w:after="0" w:line="285" w:lineRule="auto"/>
        <w:rPr>
          <w:sz w:val="20"/>
          <w:szCs w:val="20"/>
          <w:color w:val="auto"/>
        </w:rPr>
      </w:pPr>
      <w:r>
        <w:rPr>
          <w:rFonts w:ascii="Arial" w:cs="Arial" w:eastAsia="Arial" w:hAnsi="Arial"/>
          <w:sz w:val="16"/>
          <w:szCs w:val="16"/>
          <w:color w:val="auto"/>
        </w:rPr>
        <w:t>Cost of goods sold for our Energy segment decreased by $400 million (28%) for the three months ended September 30, 2020 as compared to the comparable prior year period. The decrease was primarily due to our petroleum business as a result of lower cost of consumed crude oil. The lower cost of consumed crude oil was due to a decrease in volumes, as discussed above, and lower crude oil prices offset in part by lower derivative gains of $5 million and a $38 million increase in the net cost of RINs. Gross margin for our Energy segment decreased by $217 million for the</w:t>
      </w:r>
    </w:p>
    <w:p>
      <w:pPr>
        <w:spacing w:after="0" w:line="2" w:lineRule="exact"/>
        <w:rPr>
          <w:sz w:val="20"/>
          <w:szCs w:val="20"/>
          <w:color w:val="auto"/>
        </w:rPr>
      </w:pPr>
    </w:p>
    <w:p>
      <w:pPr>
        <w:ind w:left="60" w:right="139"/>
        <w:spacing w:after="0" w:line="295" w:lineRule="auto"/>
        <w:rPr>
          <w:sz w:val="20"/>
          <w:szCs w:val="20"/>
          <w:color w:val="auto"/>
        </w:rPr>
      </w:pPr>
      <w:r>
        <w:rPr>
          <w:rFonts w:ascii="Arial" w:cs="Arial" w:eastAsia="Arial" w:hAnsi="Arial"/>
          <w:sz w:val="16"/>
          <w:szCs w:val="16"/>
          <w:color w:val="auto"/>
        </w:rPr>
        <w:t>three months ended September 30, 2020 as compared to the comparable prior year period. Gross margin as a percentage of net sales was (3)% and 11% for the three months ended September 30, 2020 and 2019, respectively. The decrease in the gross margin as a percentage of net sales was primarily attributable to the petroleum business, which was primarily due to unfavorable market pricing and crack spreads as well as lower derivative gains over the comparable periods.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2020 and 2019</w:t>
      </w:r>
    </w:p>
    <w:p>
      <w:pPr>
        <w:spacing w:after="0" w:line="225"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Net sales for our Energy segment decreased by approximately $2.0 billion (41%) for the nine months ended September 30, 2020 as compared to the comparable prior year period, primarily due to a decrease in our petroleum business’ net sales which decreased approximately $1.9 billion. The decrease in the petroleum business’ net sales was primarily due to a decrease in gasoline sales as well as a decrease in sales of distillates attributable to a decrease in volumes and unfavorable pricing conditions. These decreases were the result of reduced demand and excess supply attributable to the current market dynamics resulting from government actions to address the COVID-19 pandemic. Additionally, during 2020, scheduled maintenance at one refinery has contributed to the decline in volumes. Our nitrogen fertilizer business’ net sales decreased $58 million primarily due to a decrease in UAN sales due to unfavorable pricing, partially offset by an increase in volumes.</w:t>
      </w:r>
    </w:p>
    <w:p>
      <w:pPr>
        <w:spacing w:after="0" w:line="181"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Cost of goods sold for our Energy segment decreased by approximately $1.3 billion (31%) for the nine months ended September 30, 2020 as compared to the comparable prior year period. The decrease was primarily due to our petroleum business as a result of lower cost of consumed crude oil. The lower cost of consumed crude oil was due to a decrease in volumes resulting from the scheduled maintenance, as discussed above, and lower crude oil prices. Cost of goods sold for our petroleum business was also lower due to higher derivative gains of $54 million, offset in part by a $58 million write-down of inventory to net realizable value in the first quarter of 2020 and a $40 million increase in the net cost of RINs. Gross margin for our Energy segment decreased by $688 million for the nine months ended September 30, 2020 as compared to the comparable prior year period. Gross margin as a percentage of net sales was (4)% and 12% for the nine months ended September 30, 2020 and 2019, respectively. The decrease in the gross margin as a percentage of net sales was primarily attributable to the petroleum business, which was primarily due to unfavorable market pricing and crack spreads, offset in part by higher derivative gains over the comparable periods.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Our Automotive segment’s results of operations are generally driven by the distribution and installation of automotive aftermarket parts and are affected by the relative strength of automotive part replacement trends, among other factors.</w:t>
      </w:r>
    </w:p>
    <w:p>
      <w:pPr>
        <w:spacing w:after="0" w:line="124" w:lineRule="exact"/>
        <w:rPr>
          <w:sz w:val="20"/>
          <w:szCs w:val="20"/>
          <w:color w:val="auto"/>
        </w:rPr>
      </w:pPr>
    </w:p>
    <w:p>
      <w:pPr>
        <w:ind w:left="60" w:right="359" w:firstLine="324"/>
        <w:spacing w:after="0" w:line="293" w:lineRule="auto"/>
        <w:rPr>
          <w:sz w:val="20"/>
          <w:szCs w:val="20"/>
          <w:color w:val="auto"/>
        </w:rPr>
      </w:pPr>
      <w:r>
        <w:rPr>
          <w:rFonts w:ascii="Arial" w:cs="Arial" w:eastAsia="Arial" w:hAnsi="Arial"/>
          <w:sz w:val="16"/>
          <w:szCs w:val="16"/>
          <w:color w:val="auto"/>
        </w:rPr>
        <w:t>Our Automotive segment is in the process of implementing a multi-year transformation plan, which includes the integration and restructuring of its businesses. The transformation plan includes operating the automotive services and aftermarket parts businesses as separate businesses, streamlining Icahn Automotive’s corporate and field support teams, facility closures, consolidations and conversions, inventory optimization actions, and the re-focusing of its automotive parts business on certain core markets. Costs to implement the transformation plan will include restructuring charges, which will be recorded when specific plans are approved, and which may be significant.</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Positioning the service business to take advantage of opportunities in the do-it-for-me market and vehicle fleets;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certain high-volume 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 in customer experience initiatives such as enhanced customer loyalty programs and selective upgrades in facilities;</w:t>
      </w: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9" w:lineRule="exact"/>
        <w:rPr>
          <w:rFonts w:ascii="Arial" w:cs="Arial" w:eastAsia="Arial" w:hAnsi="Arial"/>
          <w:sz w:val="18"/>
          <w:szCs w:val="18"/>
          <w:color w:val="auto"/>
        </w:rPr>
      </w:pPr>
    </w:p>
    <w:p>
      <w:pPr>
        <w:ind w:left="720" w:right="839" w:hanging="319"/>
        <w:spacing w:after="0" w:line="26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85"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04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30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128"/>
        </w:trPr>
        <w:tc>
          <w:tcPr>
            <w:tcW w:w="3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tcPr>
          <w:p>
            <w:pPr>
              <w:ind w:left="740"/>
              <w:spacing w:after="0" w:line="12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2"/>
        </w:trPr>
        <w:tc>
          <w:tcPr>
            <w:tcW w:w="3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sales and other revenue from</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744</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r>
      <w:tr>
        <w:trPr>
          <w:trHeight w:val="202"/>
        </w:trPr>
        <w:tc>
          <w:tcPr>
            <w:tcW w:w="3080" w:type="dxa"/>
            <w:vAlign w:val="bottom"/>
          </w:tcPr>
          <w:p>
            <w:pPr>
              <w:ind w:left="20"/>
              <w:spacing w:after="0" w:line="201" w:lineRule="exact"/>
              <w:rPr>
                <w:sz w:val="20"/>
                <w:szCs w:val="20"/>
                <w:color w:val="auto"/>
              </w:rPr>
            </w:pPr>
            <w:r>
              <w:rPr>
                <w:rFonts w:ascii="Arial" w:cs="Arial" w:eastAsia="Arial" w:hAnsi="Arial"/>
                <w:sz w:val="18"/>
                <w:szCs w:val="18"/>
                <w:color w:val="auto"/>
                <w:w w:val="97"/>
              </w:rPr>
              <w:t>Cost of goods sold and other expenses</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3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from operations</w:t>
            </w: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534</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r>
      <w:tr>
        <w:trPr>
          <w:trHeight w:val="20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9"/>
              </w:rPr>
              <w:t>210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0"/>
        </w:trPr>
        <w:tc>
          <w:tcPr>
            <w:tcW w:w="3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2020 and 2019</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sales and other revenue from operations for our Automotive segment for the three months ended</w:t>
      </w:r>
    </w:p>
    <w:p>
      <w:pPr>
        <w:spacing w:after="0" w:line="23"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September 30, 2020 decreased by $84 million (11%) as compared to the comparable prior year period. The decrease was attributable to a decrease in aftermarket parts sales of $55 million (14%) and a decrease in automotive services revenues of $29 million (8%). On an organic basis, aftermarket parts sales decreased $7 million over the comparable periods due to a decrease in commercial sales of $6 million (2%) and a decrease in retail sales of $1 million (1%). Store closures related to the transformation plan accounted for another $48 million decrease in aftermarket parts sales. The decrease in automotive services revenues represents a decrease on a primarily organic basis. The COVID-19 pandemic, and the impacts of the actions taken by governments and others, have significantly contributed to the decline in revenues, in particular the automotive services revenues and commercial sales revenues which, until March 2020, were experiencing growth on an organic basis.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87" w:lineRule="auto"/>
        <w:rPr>
          <w:sz w:val="20"/>
          <w:szCs w:val="20"/>
          <w:color w:val="auto"/>
        </w:rPr>
      </w:pPr>
      <w:r>
        <w:rPr>
          <w:rFonts w:ascii="Arial" w:cs="Arial" w:eastAsia="Arial" w:hAnsi="Arial"/>
          <w:sz w:val="16"/>
          <w:szCs w:val="16"/>
          <w:color w:val="auto"/>
        </w:rPr>
        <w:t>Cost of goods sold and other expenses from operations for the three months ended September 30, 2020 decreased by $68 million (13%) as compared to the comparable prior year period. The decrease was due to lower sales volumes as described above. Gross margin on net sales and other revenue from operations for the three months ended</w:t>
      </w:r>
    </w:p>
    <w:p>
      <w:pPr>
        <w:spacing w:after="0" w:line="2" w:lineRule="exact"/>
        <w:rPr>
          <w:sz w:val="20"/>
          <w:szCs w:val="20"/>
          <w:color w:val="auto"/>
        </w:rPr>
      </w:pPr>
    </w:p>
    <w:p>
      <w:pPr>
        <w:ind w:left="60" w:right="459"/>
        <w:spacing w:after="0" w:line="281" w:lineRule="auto"/>
        <w:rPr>
          <w:sz w:val="20"/>
          <w:szCs w:val="20"/>
          <w:color w:val="auto"/>
        </w:rPr>
      </w:pPr>
      <w:r>
        <w:rPr>
          <w:rFonts w:ascii="Arial" w:cs="Arial" w:eastAsia="Arial" w:hAnsi="Arial"/>
          <w:sz w:val="16"/>
          <w:szCs w:val="16"/>
          <w:color w:val="auto"/>
        </w:rPr>
        <w:t>September 30, 2020 decreased by $16 million (8%) as compared to the comparable prior year period. Gross margin as a percentage of net sales and other revenue from operations was 29% and 28% for the three months ended</w:t>
      </w:r>
    </w:p>
    <w:p>
      <w:pPr>
        <w:spacing w:after="0" w:line="1"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September 30, 2020 and 2019, respectively. Due to the COVID-19 pandemic, our Automotive segment accelerated planned store closures, shifting our Automotive segment’s business from a majority attributable to aftermarket parts sales to a majority attributable to higher margin automotive services. This was offset in part by some margin rate contraction for its existing aftermarket parts businesses due to the effect of the shift in aftermarket parts sales from retail to commercial and the negative impacts from the COVID-19 pandemic.</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2020 and 2019</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sales and other revenue from operations for our Automotive segment for the nine months ended</w:t>
      </w:r>
    </w:p>
    <w:p>
      <w:pPr>
        <w:spacing w:after="0" w:line="23"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September 30, 2020 decreased by $299 million (14%) as compared to the comparable prior year period. The decrease was attributable to a decrease in aftermarket parts sales of $184 million (16%) and a decrease in automotive services revenues of $115 million (11%). On an organic basis, aftermarket parts sales decreased $79 million over the comparable periods due to a decrease in commercial sales of $44 million (6%) and a decrease in retail sales of $35 million (12%). Store closures related to the transformation plan accounted for another $105 million decrease in aftermarket parts sales. The decrease in automotive services revenues represent a decrease on a primarily organic basis. The COVID-19 pandemic, and the impacts of the actions taken by governments and others, have significantly contributed to the decline in revenues, in particular the automotive services revenues and commercial sales revenues which, until March 2020, were experiencing growth on an organic basis.</w:t>
      </w:r>
    </w:p>
    <w:p>
      <w:pPr>
        <w:spacing w:after="0" w:line="181" w:lineRule="exact"/>
        <w:rPr>
          <w:sz w:val="20"/>
          <w:szCs w:val="20"/>
          <w:color w:val="auto"/>
        </w:rPr>
      </w:pPr>
    </w:p>
    <w:p>
      <w:pPr>
        <w:ind w:left="60" w:right="299" w:firstLine="324"/>
        <w:spacing w:after="0" w:line="287" w:lineRule="auto"/>
        <w:rPr>
          <w:sz w:val="20"/>
          <w:szCs w:val="20"/>
          <w:color w:val="auto"/>
        </w:rPr>
      </w:pPr>
      <w:r>
        <w:rPr>
          <w:rFonts w:ascii="Arial" w:cs="Arial" w:eastAsia="Arial" w:hAnsi="Arial"/>
          <w:sz w:val="16"/>
          <w:szCs w:val="16"/>
          <w:color w:val="auto"/>
        </w:rPr>
        <w:t>Cost of goods sold and other expenses from operations for the nine months ended September 30, 2020 decreased by $183 million (12%) as compared to the comparable prior year period. The decrease was due to lower sales volumes as described above. Gross margin on net sales and other revenue from operations for the nine months ended</w:t>
      </w:r>
    </w:p>
    <w:p>
      <w:pPr>
        <w:spacing w:after="0" w:line="2" w:lineRule="exact"/>
        <w:rPr>
          <w:sz w:val="20"/>
          <w:szCs w:val="20"/>
          <w:color w:val="auto"/>
        </w:rPr>
      </w:pPr>
    </w:p>
    <w:p>
      <w:pPr>
        <w:ind w:left="60" w:right="299"/>
        <w:spacing w:after="0" w:line="281" w:lineRule="auto"/>
        <w:rPr>
          <w:sz w:val="20"/>
          <w:szCs w:val="20"/>
          <w:color w:val="auto"/>
        </w:rPr>
      </w:pPr>
      <w:r>
        <w:rPr>
          <w:rFonts w:ascii="Arial" w:cs="Arial" w:eastAsia="Arial" w:hAnsi="Arial"/>
          <w:sz w:val="16"/>
          <w:szCs w:val="16"/>
          <w:color w:val="auto"/>
        </w:rPr>
        <w:t>September 30, 2020 decreased by $116 million (19%) as compared to the comparable prior year period. Gross margin as a percentage of net sales and other revenue from operations was 27% and 29% for the nine months ended</w:t>
      </w:r>
    </w:p>
    <w:p>
      <w:pPr>
        <w:spacing w:after="0" w:line="1" w:lineRule="exact"/>
        <w:rPr>
          <w:sz w:val="20"/>
          <w:szCs w:val="20"/>
          <w:color w:val="auto"/>
        </w:rPr>
      </w:pPr>
    </w:p>
    <w:p>
      <w:pPr>
        <w:ind w:left="60" w:right="139"/>
        <w:spacing w:after="0" w:line="292" w:lineRule="auto"/>
        <w:rPr>
          <w:sz w:val="20"/>
          <w:szCs w:val="20"/>
          <w:color w:val="auto"/>
        </w:rPr>
      </w:pPr>
      <w:r>
        <w:rPr>
          <w:rFonts w:ascii="Arial" w:cs="Arial" w:eastAsia="Arial" w:hAnsi="Arial"/>
          <w:sz w:val="16"/>
          <w:szCs w:val="16"/>
          <w:color w:val="auto"/>
        </w:rPr>
        <w:t>September 30, 2020 and 2019, respectively. Our Automotive segment has experienced some margin rate contraction for its aftermarket parts businesses due to the effect of stores that were in the process of closing down and the shift in aftermarket parts sales from retail to commercial, as well as from the negative impact from the COVID-19 pandemic, as described above. This was offset in part by the acceleration of planned store closures, which resulted in a greater portion of our Automotive segment’s business being derived from higher margin automotive services, as described above.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2020 and 2019</w:t>
      </w:r>
    </w:p>
    <w:p>
      <w:pPr>
        <w:spacing w:after="0" w:line="225"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Net sales for the three months ended September 30, 2020 increased $7 million (7%) as compared to the comparable prior year period. The increase was due to an increase of $3 million in volumes, an increase of $3 million due to price and product mix and $1 million from the favorable effects of foreign exchange. Cost of goods sold for the three months ended September 30, 2020 increased by $4 million (5%) as compared to the comparable prior year period due to an increase in volumes. Gross margin as a percentage of net sales was 20% and 18% for the three months ended September 30, 2020 and 2019,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2020 and 2019</w:t>
      </w:r>
    </w:p>
    <w:p>
      <w:pPr>
        <w:spacing w:after="0" w:line="225" w:lineRule="exact"/>
        <w:rPr>
          <w:sz w:val="20"/>
          <w:szCs w:val="20"/>
          <w:color w:val="auto"/>
        </w:rPr>
      </w:pPr>
    </w:p>
    <w:p>
      <w:pPr>
        <w:ind w:left="60" w:right="279" w:firstLine="324"/>
        <w:spacing w:after="0" w:line="342" w:lineRule="auto"/>
        <w:rPr>
          <w:sz w:val="20"/>
          <w:szCs w:val="20"/>
          <w:color w:val="auto"/>
        </w:rPr>
      </w:pPr>
      <w:r>
        <w:rPr>
          <w:rFonts w:ascii="Arial" w:cs="Arial" w:eastAsia="Arial" w:hAnsi="Arial"/>
          <w:sz w:val="16"/>
          <w:szCs w:val="16"/>
          <w:color w:val="auto"/>
        </w:rPr>
        <w:t>Net sales for the nine months ended September 30, 2020 increased $16 million (6%) as compared to the comparable prior year period. The increase was due to an increase of $10 million in volumes and an increase of $8 million due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price and product mix, offset in part by $2 million from the unfavorable effects of foreign exchange. Cost of goods sold for the nine months ended September 30, 2020 increased by $13 million (6%) as compared to the comparable prior year period due to an increase in volumes. Gross margin as a percentage of net sales was 21% and 21% for the nine months ended September 30, 2020 and 2019,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Metals</w:t>
      </w:r>
    </w:p>
    <w:p>
      <w:pPr>
        <w:spacing w:after="0" w:line="22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2020 and 2019</w:t>
      </w:r>
    </w:p>
    <w:p>
      <w:pPr>
        <w:spacing w:after="0" w:line="225"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Net sales for the three months ended September 30, 2020 increased by $1 million (1%) compared to the comparable prior year period. Cost of goods sold for the three months ended September 30, 2020 decreased by $6 million (7%) compared to the comparable prior year period due to lower material costs. Gross margin as a percentage of net sales was 6% and (2)% for the three months ended September 30, 2020 and 2019, respectively, primarily due to higher material margins.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2020 and 2019</w:t>
      </w:r>
    </w:p>
    <w:p>
      <w:pPr>
        <w:spacing w:after="0" w:line="225"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Net sales for the nine months ended September 30, 2020 decreased by $67 million (25%) compared to the comparable prior year period due to lower shipping volumes and market selling prices for most grades of metal due to unfavorable market conditions driven by the impact of the COVID-19 pandemic. Cost of goods sold for the nine months ended September 30, 2020 decreased by $67 million (25%) compared to the comparable prior year period due to lower material costs due to lower volumes and market prices, as discussed above. Gross margin as a percentage of net sales was less than 1% for each of the nine months ended September 30, 2020 and 2019, respectively.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Real Estate revenues and expenses primarily include sales of residential units, results from club operations, rental operations, and hotel, timeshare and casino operations. Sales of residential units are included in net sales in our condensed consolidated statements of operations. Results from club and rental operations, and hotel, timeshare and casino operations are included in other revenues from operations in our condensed consolidated statements of operations. Revenue from our real estate operations for each of the three and nine months ended September 30, 2020 and 2019 were primarily derived from the sale of residential units and rental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 Fashion</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2020 and 2019</w:t>
      </w:r>
    </w:p>
    <w:p>
      <w:pPr>
        <w:spacing w:after="0" w:line="22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Net sales for the three months ended September 30, 2020 increased by $2 million (4%) compared to the comparable prior year period. Cost of goods sold for the three months ended September 30, 2020 decreased $1 million (2%) compared to the comparable prior year period due to a shift to lower cost products. Gross margin as a percentage of net sales was 21% and 16% for the three months ended September 30, 2020 and 2019, respectively. The increase is due to the reduction in sales to certain lower margin customers as well as the addition of newly added higher margin products.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2020 and 2019</w:t>
      </w:r>
    </w:p>
    <w:p>
      <w:pPr>
        <w:spacing w:after="0" w:line="225" w:lineRule="exact"/>
        <w:rPr>
          <w:sz w:val="20"/>
          <w:szCs w:val="20"/>
          <w:color w:val="auto"/>
        </w:rPr>
      </w:pPr>
    </w:p>
    <w:p>
      <w:pPr>
        <w:ind w:left="60" w:right="339" w:firstLine="324"/>
        <w:spacing w:after="0" w:line="342" w:lineRule="auto"/>
        <w:rPr>
          <w:sz w:val="20"/>
          <w:szCs w:val="20"/>
          <w:color w:val="auto"/>
        </w:rPr>
      </w:pPr>
      <w:r>
        <w:rPr>
          <w:rFonts w:ascii="Arial" w:cs="Arial" w:eastAsia="Arial" w:hAnsi="Arial"/>
          <w:sz w:val="16"/>
          <w:szCs w:val="16"/>
          <w:color w:val="auto"/>
        </w:rPr>
        <w:t>Net sales for the nine months ended September 30, 2020 increased by $6 million (4%) compared to the comparable prior year period due to a business acquired in the second quarter of 2019, which accounted for an increase of $21</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91" w:lineRule="auto"/>
        <w:rPr>
          <w:sz w:val="20"/>
          <w:szCs w:val="20"/>
          <w:color w:val="auto"/>
        </w:rPr>
      </w:pPr>
      <w:r>
        <w:rPr>
          <w:rFonts w:ascii="Arial" w:cs="Arial" w:eastAsia="Arial" w:hAnsi="Arial"/>
          <w:sz w:val="16"/>
          <w:szCs w:val="16"/>
          <w:color w:val="auto"/>
        </w:rPr>
        <w:t>million, offset in part by a $15 million decrease from existing businesses, primarily as a result of the current economic conditions. Cost of goods sold for the nine months ended September 30, 2020 decreased by $4 million (3%) compared to the comparable prior year period due to a decrease in sales from existing businesses, as discussed above, as well as a shift to lower cost products, offset in part by an increase from the acquired business. Gross margin as a percentage of net sales was 21% and 14% for the nine months ended September 30, 2020 and 2019, respectively. The increase is due to the reduction in sales to certain lower margin customers, the business acquired having higher margins than the existing businesses and due to the addition of newly added higher margin products.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Our Holding Company’s results of operations primarily reflect investment gains and losses from equity investments and the interest expense on its senior unsecured notes for each of the three and nine months ended September 30, 2020 and 2019.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on Disposition of Assets, Net</w:t>
      </w:r>
    </w:p>
    <w:p>
      <w:pPr>
        <w:spacing w:after="0" w:line="229"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In August 2019, we sold Ferrous Resources, resulting in a pretax gain on disposition of assets of $252 million for the three and nine months ended September 30,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2020 and 2019</w:t>
      </w:r>
    </w:p>
    <w:p>
      <w:pPr>
        <w:spacing w:after="0" w:line="225"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Our consolidated selling, general and administrative during the three months ended September 30, 2020 decreased by $62 million (18%) as compared the comparable prior year period primarily due to lower occupancy costs for various locations and other general and administrative costs due to the current market conditions for our Automotive segment as well as from our Energy segment due to lower deferred compensation costs.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2020 and 2019</w:t>
      </w:r>
    </w:p>
    <w:p>
      <w:pPr>
        <w:spacing w:after="0" w:line="22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Our consolidated selling, general and administrative during the nine months ended September 30, 2020 decreased by $138 million (13%) as compared the comparable prior year period primarily due to (i) lower occupancy costs for various locations and other general and administrative costs due to the current market conditions for our Automotive segment, (ii) lower deferred compensation costs for our Energy segment and (iii) the sale of our former Mining segment in August 2019, offset in part by an increase attributable to our Real Estate segment primarily for the accrual of demolition costs relating to a property not in service.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2020 and 2019</w:t>
      </w:r>
    </w:p>
    <w:p>
      <w:pPr>
        <w:spacing w:after="0" w:line="225"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Our consolidated interest expense during the three months ended September 30, 2020 increased by $18 million (12%) as compared the comparable prior year period. The increase was primarily due to higher interest expense from our Investment segment attributable to an increase in average due to broker balances over the respective periods as well as higher interest expense from our Energy segment as a result of certain debt offerings in the first quarter of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2020 and 2019</w:t>
      </w:r>
    </w:p>
    <w:p>
      <w:pPr>
        <w:spacing w:after="0" w:line="22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Our consolidated interest expense during the nine months ended September 30, 2020 increased by $74 million (17%) as compared the comparable prior year period. The increase was primarily due to higher interest expense from our Investment segment attributable to an increase in average due to broker balances over the respective periods as well as higher interest expense from our Energy segment as a result of certain debt offerings in the first quarter of 2020.</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13, “Income Taxes,” to the condensed consolidated financial statements for a discussion of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We are a holding company. Our cash flow and our ability to meet our debt service obligations and make distributions with respect to depositary units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82"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As of September 30, 2020, our Holding Company had cash and cash equivalents of approximately $1.1 billion and total debt of approximately $5.8 billion. During the nine months ended September 30, 2020, we invested $750 million in the Investment Funds, net of redemptions. As of September 30, 2020, our Holding Company had investments in the Investment Funds with a total fair market value of approximately $4.0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60" w:type="dxa"/>
            <w:vAlign w:val="bottom"/>
          </w:tcPr>
          <w:p>
            <w:pPr>
              <w:ind w:left="20"/>
              <w:spacing w:after="0"/>
              <w:rPr>
                <w:sz w:val="20"/>
                <w:szCs w:val="20"/>
                <w:color w:val="auto"/>
              </w:rPr>
            </w:pPr>
            <w:r>
              <w:rPr>
                <w:rFonts w:ascii="Arial" w:cs="Arial" w:eastAsia="Arial" w:hAnsi="Arial"/>
                <w:sz w:val="18"/>
                <w:szCs w:val="18"/>
                <w:i w:val="1"/>
                <w:iCs w:val="1"/>
                <w:color w:val="auto"/>
              </w:rPr>
              <w:t>Holding Company Borrowings and Availability</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27"/>
        </w:trPr>
        <w:tc>
          <w:tcPr>
            <w:tcW w:w="646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128"/>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5.875% senior unsecured notes due 2022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6.250% senior unsecured notes due 2022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6.750% senior unsecured notes due 2024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4.750% senior unsecured notes due 2024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6.250% senior unsecured notes due 2026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5.250% senior unsecured notes due 2027</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10"/>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Holding Company debt consists of various issues of fixed-rate senior unsecured notes issued by the Issuers and guaranteed by Icahn Enterprises Holdings (the “Guarantor”). Interest on each tranche of senior unsecured notes are payable semi-annually.</w:t>
      </w:r>
    </w:p>
    <w:p>
      <w:pPr>
        <w:spacing w:after="0" w:line="184"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In January 2020, the Issuers issued an additional $600 million in aggregate principal amount of the New 2024 Notes and an additional $250 million in aggregate principal amount of the New 2027 Notes. The additional proceeds from the New Notes, together with cash on hand, were used to redeem all of our prior outstanding $1.35 billion principal amount of 5.875% senior unsecured notes due 2022, and to pay accrued interest, related fees and expenses.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77"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September 30, 2020, except for the New 2024 Notes and the New 2027 Notes, are subject to optional redemption premiums in the event we redeem any of the notes prior to certain dates as described in the indentures.</w:t>
      </w:r>
    </w:p>
    <w:p>
      <w:pPr>
        <w:spacing w:after="0" w:line="166" w:lineRule="exact"/>
        <w:rPr>
          <w:sz w:val="20"/>
          <w:szCs w:val="20"/>
          <w:color w:val="auto"/>
        </w:rPr>
      </w:pPr>
    </w:p>
    <w:p>
      <w:pPr>
        <w:jc w:val="both"/>
        <w:ind w:left="60" w:right="139" w:firstLine="324"/>
        <w:spacing w:after="0" w:line="311" w:lineRule="auto"/>
        <w:rPr>
          <w:sz w:val="20"/>
          <w:szCs w:val="20"/>
          <w:color w:val="auto"/>
        </w:rPr>
      </w:pPr>
      <w:r>
        <w:rPr>
          <w:rFonts w:ascii="Arial" w:cs="Arial" w:eastAsia="Arial" w:hAnsi="Arial"/>
          <w:sz w:val="16"/>
          <w:szCs w:val="16"/>
          <w:color w:val="auto"/>
        </w:rPr>
        <w:t>As of September 30, 2020 and December 31, 2019, we were in compliance with all covenants, including maintaining certain minimum financial ratios, as defined in the indentures. Additionally, as of September 30, 2020, based on covenants in the indentures governing our senior unsecured notes, we are not permitted to incur additional indebtedness.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At-The-Market Offering</w:t>
      </w:r>
    </w:p>
    <w:p>
      <w:pPr>
        <w:spacing w:after="0" w:line="225"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On May 2, 2019, Icahn Enterprises announced the commencement of its “at-the-market” offering pursuant to its Open Market Sale Agreement, pursuant to which Icahn Enterprises may sell its depositary units, from time to time, during the term of the program ending on March 31, 2021, for up to $400 million in aggregate sale proceeds. During the nine months ended September 30, 2020, Icahn Enterprises sold 1,118,596 depositary units pursuant to this agreement, resulting in gross proceeds of $60 million. As of September 30, 2020, Icahn Enterprises may sell its depositary units for up to an additional $285 million in aggregate sale proceeds pursuant to this agreement. No assurance can be made that any or all amounts will be sold during the term of the program.</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Distributions</w:t>
      </w:r>
    </w:p>
    <w:p>
      <w:pPr>
        <w:spacing w:after="0" w:line="225"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During the nine months ended September 30, 2020, we declared three quarterly distributions aggregating $6.00 per depositary unit. In connection with these distributions, aggregate cash distributions to all depositary unitholders was $483 million, primarily due to Mr. Icahn and his affiliates’ significant ownership of Icahn Enterprises’ depositary units.</w:t>
      </w:r>
    </w:p>
    <w:p>
      <w:pPr>
        <w:spacing w:after="0" w:line="149"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On November 4, 2020, the Board of Directors of the general partner of Icahn Enterprises declared a quarterly distribution in the amount of $2.00 per depositary unit. The quarterly distribution is payable in either cash or additional depositary units, at the election of each depositary unitholder and will be paid on or about December 29, 2020 to depositary unitholders of record at the close of business on November 24, 2020.</w:t>
      </w:r>
    </w:p>
    <w:p>
      <w:pPr>
        <w:spacing w:after="0" w:line="187"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In October 2020, in connection with Viskase’s equity private placement, we acquired an additional 50,000,000 shares of Viskase common stock for $100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225"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During the nine months ended September 30, 2020, we invested $750 million in the Investment Funds, net of redemptions, and affiliates of Mr. Icahn (excluding us) contributed approximately $1.2 billion of primarily like-kind investments in the Investment Funds. In addition to investments by us and Mr. Icahn, the Investment Funds historically have access to significant amounts of cash available from prime brokerage lines of credit, subject to customary terms and market conditions.</w:t>
      </w:r>
    </w:p>
    <w:p>
      <w:pPr>
        <w:spacing w:after="0" w:line="188" w:lineRule="exact"/>
        <w:rPr>
          <w:sz w:val="20"/>
          <w:szCs w:val="20"/>
          <w:color w:val="auto"/>
        </w:rPr>
      </w:pPr>
    </w:p>
    <w:p>
      <w:pPr>
        <w:ind w:left="60" w:right="339" w:firstLine="324"/>
        <w:spacing w:after="0" w:line="296" w:lineRule="auto"/>
        <w:rPr>
          <w:sz w:val="20"/>
          <w:szCs w:val="20"/>
          <w:color w:val="auto"/>
        </w:rPr>
      </w:pPr>
      <w:r>
        <w:rPr>
          <w:rFonts w:ascii="Arial" w:cs="Arial" w:eastAsia="Arial" w:hAnsi="Arial"/>
          <w:sz w:val="16"/>
          <w:szCs w:val="16"/>
          <w:color w:val="auto"/>
        </w:rPr>
        <w:t>Additionally, our Investment segment liquidity is driven by the investment activities and performance of the Investment Funds. As of September 30, 2020, the Investment Funds’ had a net long notional exposure of 8%. The Investment Funds’ long exposure was 70% (69% long equity and 1% long credit) and its short exposure was 62% (34% short equity and 28% short credit and other). The notional exposure represents the ratio of the notional exposure of the Investment Funds’ invested capital to the net asset value of the Investment Funds at September 30, 2020.</w:t>
      </w:r>
    </w:p>
    <w:p>
      <w:pPr>
        <w:spacing w:after="0" w:line="161"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The Investment Funds’ 70% long exposure was comprised of the fair value of its long positions (with certain adjustments). Of the Investment Funds’ 62% short exposure, 11% was comprised of the fair value of its short positions and 51% was comprised of short broad market index swap derivative contracts and short credit default swap contracts.</w:t>
      </w:r>
    </w:p>
    <w:p>
      <w:pPr>
        <w:spacing w:after="0" w:line="149" w:lineRule="exact"/>
        <w:rPr>
          <w:sz w:val="20"/>
          <w:szCs w:val="20"/>
          <w:color w:val="auto"/>
        </w:rPr>
      </w:pPr>
    </w:p>
    <w:p>
      <w:pPr>
        <w:ind w:left="60" w:right="219" w:firstLine="324"/>
        <w:spacing w:after="0" w:line="275" w:lineRule="auto"/>
        <w:rPr>
          <w:sz w:val="20"/>
          <w:szCs w:val="20"/>
          <w:color w:val="auto"/>
        </w:rPr>
      </w:pPr>
      <w:r>
        <w:rPr>
          <w:rFonts w:ascii="Arial" w:cs="Arial" w:eastAsia="Arial" w:hAnsi="Arial"/>
          <w:sz w:val="17"/>
          <w:szCs w:val="17"/>
          <w:color w:val="auto"/>
        </w:rPr>
        <w:t>With respect to both our long positions that are not notionalized (70% long exposure) and our short positions that are not notionalized (11%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7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With respect to the notional value of our other short positions (51%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129"/>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Metals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Home Fashion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6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4800" w:type="dxa"/>
            <w:vAlign w:val="bottom"/>
          </w:tcPr>
          <w:p>
            <w:pPr>
              <w:ind w:left="320"/>
              <w:spacing w:after="0"/>
              <w:rPr>
                <w:sz w:val="20"/>
                <w:szCs w:val="20"/>
                <w:color w:val="auto"/>
              </w:rPr>
            </w:pPr>
            <w:r>
              <w:rPr>
                <w:rFonts w:ascii="Arial" w:cs="Arial" w:eastAsia="Arial" w:hAnsi="Arial"/>
                <w:sz w:val="18"/>
                <w:szCs w:val="18"/>
                <w:color w:val="auto"/>
              </w:rPr>
              <w:t>Segment debt consists of the following:</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7"/>
        </w:trPr>
        <w:tc>
          <w:tcPr>
            <w:tcW w:w="4800" w:type="dxa"/>
            <w:vAlign w:val="bottom"/>
          </w:tcPr>
          <w:p>
            <w:pPr>
              <w:spacing w:after="0"/>
              <w:rPr>
                <w:sz w:val="24"/>
                <w:szCs w:val="24"/>
                <w:color w:val="auto"/>
              </w:rPr>
            </w:pPr>
          </w:p>
        </w:tc>
        <w:tc>
          <w:tcPr>
            <w:tcW w:w="2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4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r>
      <w:tr>
        <w:trPr>
          <w:trHeight w:val="128"/>
        </w:trPr>
        <w:tc>
          <w:tcPr>
            <w:tcW w:w="48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19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50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Automotive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Metals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Home Fashion</w:t>
            </w:r>
          </w:p>
        </w:tc>
        <w:tc>
          <w:tcPr>
            <w:tcW w:w="1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9"/>
        </w:trPr>
        <w:tc>
          <w:tcPr>
            <w:tcW w:w="48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0"/>
        </w:trPr>
        <w:tc>
          <w:tcPr>
            <w:tcW w:w="4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Refer to our Annual Report on Form 10-K for the year ended December 31, 2019 for information concerning terms, restrictions and covenants pertaining to our subsidiaries’ debt. As of September 30, 2020, all of our subsidiaries were in compliance with all debt covenants.</w:t>
      </w:r>
    </w:p>
    <w:p>
      <w:pPr>
        <w:spacing w:after="0" w:line="184"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In January 2020, CVR Energy issued $600 million in aggregate principal amount of 5.25% senior unsecured notes due 2025 and $400 million in aggregate principal amount of 5.75% senior unsecured notes due 2028. A portion of the net proceeds from the issuance of these notes were used to fund the redemption of CVR Refining’s existing senior unsecured notes due 2022. The remaining net proceeds will be used for CVR Energy’s general corporate purposes, which may include funding (i) acquisitions, (ii) capital projects, and/or (iii) share repurchases or other distributions to CVR Energy’s stockholders.</w:t>
      </w:r>
    </w:p>
    <w:p>
      <w:pPr>
        <w:spacing w:after="0" w:line="192"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In October 2020, Viskase entered into a credit agreement providing for a $150 million term loan and a $30 million revolving credit facility. The proceeds from the new term loan, plus cash received from the equity private placement in October 2020, as discussed in Note 1, “Description of Business,” were used to repay in full Viskase’s existing term loan. The new term loan and credit facility mature in 2023.</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segments have additional borrowing availability under certain revolving credit facilities as summarized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2020</w:t>
            </w:r>
          </w:p>
        </w:tc>
      </w:tr>
      <w:tr>
        <w:trPr>
          <w:trHeight w:val="142"/>
        </w:trPr>
        <w:tc>
          <w:tcPr>
            <w:tcW w:w="7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(in millions)</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Metals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77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Dividends</w:t>
      </w:r>
    </w:p>
    <w:p>
      <w:pPr>
        <w:spacing w:after="0" w:line="225"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In view of the uncertainty of the depth and extent of the contraction in oil demand due to the COVID-19 pandemic, combined with the weaker commodity price environment, CVR Energy has remained focused on safe and reliable operations, cash conservation and protecting its balance sheet. As a result of these factors, and in light of the uncertainty of the current economic environment as well as potential future cash requirements of CVR Energy, the Board of Directors of CVR Energy approved a reduction in its cash dividend for the first quarter of 2020 and elected not to declare a cash dividend for the second and third quarters of 2020. These decisions support CVR Energy’s continued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59" w:lineRule="auto"/>
        <w:rPr>
          <w:sz w:val="20"/>
          <w:szCs w:val="20"/>
          <w:color w:val="auto"/>
        </w:rPr>
      </w:pPr>
      <w:r>
        <w:rPr>
          <w:rFonts w:ascii="Arial" w:cs="Arial" w:eastAsia="Arial" w:hAnsi="Arial"/>
          <w:sz w:val="18"/>
          <w:szCs w:val="18"/>
          <w:color w:val="auto"/>
        </w:rPr>
        <w:t>focus on financial discipline through a balanced approach of stockholder distributions and strategic investments while providing the flexibility to weather the uncertain environment. The Board of Directors of CVR Energy will continue to evaluate the economic environment, CVR Energy’s cash needs, and other applicable factors, and may elect to make additional changes to CVR Energy’s dividend in future periods.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Stock Repurchase Program</w:t>
      </w:r>
    </w:p>
    <w:p>
      <w:pPr>
        <w:spacing w:after="0" w:line="225"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6"/>
          <w:szCs w:val="16"/>
          <w:color w:val="auto"/>
        </w:rPr>
        <w:t>On October 23, 2019, the Board of Directors of CVR Energy approved a stock repurchase program which would enable it to repurchase up to $300 million of its common stock from time to time through open market transactions, block trades, privately negotiated transactions or otherwise in accordance with applicable securities laws. The stock repurchase program has a duration of four years, which may be terminated by the Board of Directors of CVR Energy at any time.</w:t>
      </w:r>
    </w:p>
    <w:p>
      <w:pPr>
        <w:spacing w:after="0" w:line="1" w:lineRule="exact"/>
        <w:rPr>
          <w:sz w:val="20"/>
          <w:szCs w:val="20"/>
          <w:color w:val="auto"/>
        </w:rPr>
      </w:pPr>
    </w:p>
    <w:p>
      <w:pPr>
        <w:ind w:left="60" w:right="279"/>
        <w:spacing w:after="0" w:line="295" w:lineRule="auto"/>
        <w:rPr>
          <w:sz w:val="20"/>
          <w:szCs w:val="20"/>
          <w:color w:val="auto"/>
        </w:rPr>
      </w:pPr>
      <w:r>
        <w:rPr>
          <w:rFonts w:ascii="Arial" w:cs="Arial" w:eastAsia="Arial" w:hAnsi="Arial"/>
          <w:sz w:val="16"/>
          <w:szCs w:val="16"/>
          <w:color w:val="auto"/>
        </w:rPr>
        <w:t>Repurchases, if any, including the timing, price and amount, may be made at the discretion of CVR Energy management and CVR Energy is not obligated to make any repurchases. CVR Energy did not repurchase any shares of its common stock as of September 30, 2020. Due to the market and oil price volatility, coupled with the current economic conditions, CVR Energy does not currently intend to repurchase any stock if these, and other, conditions continue.</w:t>
      </w:r>
    </w:p>
    <w:p>
      <w:pPr>
        <w:spacing w:after="0" w:line="161"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During 2020, CVR Partners repurchased common units on the open market at a cost of $2 million. As of September 30, 2020, CVR Partners has $8 million remaining under its unit repurchase program.</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which are included in net cash flows from financing activities. Our other operating segments’ cash flows are driven by the activities and performance of each business as well as transactions with our Holding Company,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Nine Months Ended September 30, 2020</w:t>
            </w:r>
          </w:p>
        </w:tc>
        <w:tc>
          <w:tcPr>
            <w:tcW w:w="100" w:type="dxa"/>
            <w:vAlign w:val="bottom"/>
          </w:tcPr>
          <w:p>
            <w:pPr>
              <w:spacing w:after="0"/>
              <w:rPr>
                <w:sz w:val="14"/>
                <w:szCs w:val="14"/>
                <w:color w:val="auto"/>
              </w:rPr>
            </w:pPr>
          </w:p>
        </w:tc>
        <w:tc>
          <w:tcPr>
            <w:tcW w:w="27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2"/>
              </w:rPr>
              <w:t>Nine Months Ended September 30, 2019</w:t>
            </w: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560" w:type="dxa"/>
            <w:vAlign w:val="bottom"/>
            <w:tcBorders>
              <w:top w:val="single" w:sz="8" w:color="auto"/>
              <w:bottom w:val="single" w:sz="8" w:color="auto"/>
            </w:tcBorders>
            <w:gridSpan w:val="7"/>
          </w:tcPr>
          <w:p>
            <w:pPr>
              <w:jc w:val="center"/>
              <w:ind w:right="12"/>
              <w:spacing w:after="0" w:line="142" w:lineRule="exact"/>
              <w:rPr>
                <w:sz w:val="20"/>
                <w:szCs w:val="20"/>
                <w:color w:val="auto"/>
              </w:rPr>
            </w:pPr>
            <w:r>
              <w:rPr>
                <w:rFonts w:ascii="Arial" w:cs="Arial" w:eastAsia="Arial" w:hAnsi="Arial"/>
                <w:sz w:val="14"/>
                <w:szCs w:val="14"/>
                <w:b w:val="1"/>
                <w:bCs w:val="1"/>
                <w:color w:val="auto"/>
                <w:w w:val="94"/>
              </w:rPr>
              <w:t>Net Cash Provided By (Used In)</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4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4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4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0"/>
                <w:szCs w:val="10"/>
                <w:color w:val="auto"/>
              </w:rPr>
            </w:pPr>
          </w:p>
        </w:tc>
        <w:tc>
          <w:tcPr>
            <w:tcW w:w="8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Investing</w:t>
            </w: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Financing</w:t>
            </w:r>
          </w:p>
        </w:tc>
        <w:tc>
          <w:tcPr>
            <w:tcW w:w="160" w:type="dxa"/>
            <w:vAlign w:val="bottom"/>
          </w:tcPr>
          <w:p>
            <w:pPr>
              <w:spacing w:after="0"/>
              <w:rPr>
                <w:sz w:val="10"/>
                <w:szCs w:val="10"/>
                <w:color w:val="auto"/>
              </w:rPr>
            </w:pPr>
          </w:p>
        </w:tc>
        <w:tc>
          <w:tcPr>
            <w:tcW w:w="96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Investing</w:t>
            </w:r>
          </w:p>
        </w:tc>
        <w:tc>
          <w:tcPr>
            <w:tcW w:w="100" w:type="dxa"/>
            <w:vAlign w:val="bottom"/>
          </w:tcPr>
          <w:p>
            <w:pPr>
              <w:spacing w:after="0"/>
              <w:rPr>
                <w:sz w:val="10"/>
                <w:szCs w:val="10"/>
                <w:color w:val="auto"/>
              </w:rPr>
            </w:pPr>
          </w:p>
        </w:tc>
        <w:tc>
          <w:tcPr>
            <w:tcW w:w="7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7"/>
              </w:rPr>
              <w:t>Financing</w:t>
            </w:r>
          </w:p>
        </w:tc>
        <w:tc>
          <w:tcPr>
            <w:tcW w:w="1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Activities</w:t>
            </w:r>
          </w:p>
        </w:tc>
        <w:tc>
          <w:tcPr>
            <w:tcW w:w="1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tcPr>
          <w:p>
            <w:pPr>
              <w:jc w:val="right"/>
              <w:ind w:right="393"/>
              <w:spacing w:after="0" w:line="129"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76"/>
        </w:trPr>
        <w:tc>
          <w:tcPr>
            <w:tcW w:w="3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 Operating Segments: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w:t>
            </w: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Packaging</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Metals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Home Fashion</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Mining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operating segments</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Borders>
              <w:bottom w:val="single" w:sz="8" w:color="CCEEFF"/>
            </w:tcBorders>
          </w:tcPr>
          <w:p>
            <w:pPr>
              <w:spacing w:after="0"/>
              <w:rPr>
                <w:sz w:val="18"/>
                <w:szCs w:val="18"/>
                <w:color w:val="auto"/>
              </w:rPr>
            </w:pPr>
          </w:p>
        </w:tc>
      </w:tr>
      <w:tr>
        <w:trPr>
          <w:trHeight w:val="209"/>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before eliminations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r>
      <w:tr>
        <w:trPr>
          <w:trHeight w:val="210"/>
        </w:trPr>
        <w:tc>
          <w:tcPr>
            <w:tcW w:w="32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r>
      <w:tr>
        <w:trPr>
          <w:trHeight w:val="209"/>
        </w:trPr>
        <w:tc>
          <w:tcPr>
            <w:tcW w:w="3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Eliminations</w:t>
      </w:r>
    </w:p>
    <w:p>
      <w:pPr>
        <w:spacing w:after="0" w:line="225"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In addition, during January 2019, our Holding Company sold its direct investment in CVR Refining to CVR Energy, which is included in cash flows from investing activities for our Holding Company and cash flows from financing activities for our Energy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Our Holding Company’s cash flows from operating activities for each of the nine months ended September 30, 2020 and 2019 were primarily attributable to our semi-annual interest payments on our senior unsecured notes. The decrease in interest payments over the comparable periods is due to the timing of the payment of the semi-annual interest as our recent debt transactions resulted in a change in certain interest payment dates as well as a lower weighted average interest rate over the comparative periods.</w:t>
      </w:r>
    </w:p>
    <w:p>
      <w:pPr>
        <w:spacing w:after="0" w:line="188"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Our Holding Company’s cash flows from investing activities for the nine months ended September 30, 2020 were primarily due to our investment in the Investment Funds of $750 million (net of redemptions), aggregate purchases of investments for $177 million and net contributions and loans to our operating subsidiaries of $63 million, including a net investment in our Automotive segment of $60 million. This was offset in part by net cash dividends and distributions from our Energy and Real Estate segments aggregating $124 million. Our Holding Company’s cash flows from investing activities for the nine months ended September 30, 2019 were primarily due to our sale of a certain equity investment for which we received $458 million, the sale of Ferrous Resources for which we received $451 million and the sale of our direct investment in CVR Refining to CVR Energy for $60 million. During the nine months ended September 30, 2019, we also received net cash dividends and distributions from our Energy and Real Estate segments aggregating $176 million and we had aggregate investments in our Automotive segment of $221 million and an investment in our Home Fashion segment of $31 million.</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Our Holding Company’s cash flows from financing activities for the nine months ended September 30, 2020 included the issuances of additional senior unsecured notes and proceeds from our “at-the-market” offering, offset in part by the repayment of senior unsecured notes and related fees and expenses, as described above, as well as payments on our aggregate quarterly distributions. Our Holding Company’s cash flows from financing activities for the nine months ended September 30, 2019 included the issuances of additional senior unsecured notes and proceeds from our “at-the-market” offering, offset in part by payments on our aggregate quarterly distributions.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Segment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Investment segment’s cash flows from operating activities for the comparable periods were attributable to its net investment transactions.</w:t>
      </w:r>
    </w:p>
    <w:p>
      <w:pPr>
        <w:spacing w:after="0" w:line="170"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Our Investment segment’s cash flows from financing activities for the nine months ended September 30, 2020 were attributable to our investment in the Investment Funds of $750 million, net of redemptions, and $1 million from Mr. Icahn and his affiliates (excluding us). Our Investment segment’s cash flows from financing activities for the nine months ended September 30, 2019 were attributable to Mr. Icahn and his affiliates’ (excluding us) investments in the Investment Funds of $220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Segments</w:t>
      </w:r>
    </w:p>
    <w:p>
      <w:pPr>
        <w:spacing w:after="0" w:line="225" w:lineRule="exact"/>
        <w:rPr>
          <w:sz w:val="20"/>
          <w:szCs w:val="20"/>
          <w:color w:val="auto"/>
        </w:rPr>
      </w:pPr>
    </w:p>
    <w:p>
      <w:pPr>
        <w:ind w:left="60" w:right="279" w:firstLine="324"/>
        <w:spacing w:after="0" w:line="274" w:lineRule="auto"/>
        <w:rPr>
          <w:sz w:val="20"/>
          <w:szCs w:val="20"/>
          <w:color w:val="auto"/>
        </w:rPr>
      </w:pPr>
      <w:r>
        <w:rPr>
          <w:rFonts w:ascii="Arial" w:cs="Arial" w:eastAsia="Arial" w:hAnsi="Arial"/>
          <w:sz w:val="17"/>
          <w:szCs w:val="17"/>
          <w:color w:val="auto"/>
        </w:rPr>
        <w:t>Our other operating segments’ cash flows from operating activities included net cash flows from operating activities before changes in operating assets and liabilities of $6 million and $559 million for the nine months ended</w:t>
      </w:r>
    </w:p>
    <w:p>
      <w:pPr>
        <w:ind w:left="60" w:right="79"/>
        <w:spacing w:after="0" w:line="270" w:lineRule="auto"/>
        <w:rPr>
          <w:sz w:val="20"/>
          <w:szCs w:val="20"/>
          <w:color w:val="auto"/>
        </w:rPr>
      </w:pPr>
      <w:r>
        <w:rPr>
          <w:rFonts w:ascii="Arial" w:cs="Arial" w:eastAsia="Arial" w:hAnsi="Arial"/>
          <w:sz w:val="17"/>
          <w:szCs w:val="17"/>
          <w:color w:val="auto"/>
        </w:rPr>
        <w:t>September 30, 2020 and 2019, respectively. The change in cash flows from operating activities for the nine months ended September 30, 2020 as compared to the comparable prior year period was primarily due to a decline in the operating results of our Energy segment as well as unfavorable changes in working capital also attributable to our Energy segment, offset in part by an increase in working capital for our Automotive segment due to inventory reductions over the comparable periods. In addition, our cash flows from operating activities decreased by $93 million as a result of the exclusion of Ferrous Resources in 2020, which was sold in August 2019.</w:t>
      </w:r>
    </w:p>
    <w:p>
      <w:pPr>
        <w:spacing w:after="0" w:line="178"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Our other operating segments’ cash flows from investing activities were primarily due to the purchase of investments of $140 million in 2020 compared to $50 million in 2019 and due to capital expenditures of $155 million in 2020 and $195 million in 2019, primarily within our Energy and Automotive segments for both periods. In addition, our Energy segment had payments for scheduled turnaround expenses of $158 million in 2020 compared to $24 million in 2019. Our other operating segments also had net payments for the acquisitions of businesses in 2020 of $2 million, net of cash acquired, compared to $52 million, net of cash acquired in 2019.</w:t>
      </w:r>
    </w:p>
    <w:p>
      <w:pPr>
        <w:spacing w:after="0" w:line="192"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Our other operating segments’ cash flows from financing activities were primarily due to our Energy segment. In 2020, our Energy segment had net proceeds from senior debt transactions of $500 million and in 2019 our Energy segment had payments to acquire the remaining common units of CVR Refining not already owned by CVR Energy of $301 million, including $60 million paid to our Holding Company for our direct ownership in CVR Refining. In addition, our other operating segments also had net distributions to our Holding Company of $61 million for the nine months ended September 30, 2020 compared to net contributions of $76 million form our Holding Company for the nine months ended September 30, 2019, as described above. For the nine months ended September 30, 2020 and 2019, our Energy segment had distributions to non-controlling interests of $36 million and $90 million,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225"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Our Energy segment accounts for a significant portion of our capital expenditures. As a result of the current economic conditions, our Energy segment revised its planned capital expenditures down approximately 10% for 2020, which is subject to further change due to unanticipated changes in the cost, scope, and completion time for capital projects. Although other subsidiaries of ours have curtailed their capital expenditures, there have been no other material changes to our planned capital expenditures as compared to the estimated capital expenditures for 2020 reported in our Annual Report on Form 10-K for the year ended December 31, 2019. However, such estimated capital expenditures are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subject to further revisions due to the uncertainty of the scope and duration of the impact of the current economic conditions.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There have been no material changes to our contractual commitments and contingencies during the nine months ended September 30, 2020 as compared to those reported in our Annual Report on Form 10-K for the year ended December 31, 2019</w:t>
      </w:r>
      <w:r>
        <w:rPr>
          <w:rFonts w:ascii="Arial" w:cs="Arial" w:eastAsia="Arial" w:hAnsi="Arial"/>
          <w:sz w:val="18"/>
          <w:szCs w:val="18"/>
          <w:b w:val="1"/>
          <w:bCs w:val="1"/>
          <w:color w:val="auto"/>
        </w:rPr>
        <w: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225"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339" w:firstLine="324"/>
        <w:spacing w:after="0" w:line="275" w:lineRule="auto"/>
        <w:rPr>
          <w:sz w:val="20"/>
          <w:szCs w:val="20"/>
          <w:color w:val="auto"/>
        </w:rPr>
      </w:pPr>
      <w:r>
        <w:rPr>
          <w:rFonts w:ascii="Arial" w:cs="Arial" w:eastAsia="Arial" w:hAnsi="Arial"/>
          <w:sz w:val="17"/>
          <w:szCs w:val="17"/>
          <w:color w:val="auto"/>
        </w:rPr>
        <w:t>The critical accounting policies and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2019.</w:t>
      </w:r>
    </w:p>
    <w:p>
      <w:pPr>
        <w:spacing w:after="0" w:line="176" w:lineRule="exact"/>
        <w:rPr>
          <w:sz w:val="20"/>
          <w:szCs w:val="20"/>
          <w:color w:val="auto"/>
        </w:rPr>
      </w:pPr>
    </w:p>
    <w:p>
      <w:pPr>
        <w:jc w:val="both"/>
        <w:ind w:left="60" w:right="259" w:firstLine="324"/>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during the nine months ended September 30, 2020 as compared to those reported in our Annual Report on Form 10-K for the year ended December 31, 2019.</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42" w:lineRule="auto"/>
        <w:rPr>
          <w:sz w:val="20"/>
          <w:szCs w:val="20"/>
          <w:color w:val="auto"/>
        </w:rPr>
      </w:pPr>
      <w:r>
        <w:rPr>
          <w:rFonts w:ascii="Arial" w:cs="Arial" w:eastAsia="Arial" w:hAnsi="Arial"/>
          <w:sz w:val="16"/>
          <w:szCs w:val="16"/>
          <w:color w:val="auto"/>
        </w:rPr>
        <w:t>Refer to Note 2, “Basis of Presentation and Summary of Significant Accounting Policies,” to the condensed consolidated financial statements for a discussion of recent accounting pronouncements applicable to us.</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Except as discussed below, information about our quantitative and qualitative disclosures about market risk did not differ materially from those disclosed in our Annual Report on Form 10-K for the year ended December 31, 2019.</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September 30, 2020, we estimate that in the event of a 10% adverse change in the fair value of these investments, the fair values of securities owned, securities sold, not yet purchased and derivatives would be negatively impacted by approximately $618 million, $97 million and $612 million, respectively. However, as of September 30, 2020, we estimate that the impact to our share of the net gain (loss) from investment activities reported in our condensed consolidated statement of operations would be less than the change in fair value since we have an investment of approximately 46% in the Investment Funds, and the non-controlling interests in income would correspondingly offset approximately 54% of the change in fair value.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As of September 30, 2020,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due to a material weakness in internal control over financial reporting described in Part II, Item 9A of our joint Annual Report on Form 10-K for the year ended December 31, 2019, our disclosure controls and procedures are not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During the quarter ended March 31, 2020, we implemented a plan of remediation that includes a more formalized process, quarterly discussions with the Investment Segment and Legal Departments and a detailed review performed on the analysis. During the first three quarters of 2020, our plan of remediation was in place and operating as designed. However, the material weakness will not be considered remediated until the applicable control operates for a sufficient period of time and management has concluded, through testing, that this control is operating effectively. We expect that the remediation of this material weakness will be completed prior to the end of 2020.</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have been no changes in our internal control over financial reporting during the quarter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September 30, 2020 that have materially affected, or are reasonably likely to materially affect, our internal control over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 Except for the lawsuits and proceedings disclosed in Note 16, there were no material changes to our lawsuits and proceedings as compared to those reported in our Annual Report on Form 10-K for the year ended December 31, 2019.</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Except for the risk factors disclosed below, there were no material changes to our risk factors during the nine months ended September 30, 2020 as compared to those reported in our Annual Report on Form 10-K for the year ended December 31, 2019.</w:t>
      </w:r>
    </w:p>
    <w:p>
      <w:pPr>
        <w:spacing w:after="0" w:line="184" w:lineRule="exact"/>
        <w:rPr>
          <w:sz w:val="20"/>
          <w:szCs w:val="20"/>
          <w:color w:val="auto"/>
        </w:rPr>
      </w:pPr>
    </w:p>
    <w:p>
      <w:pPr>
        <w:ind w:left="60" w:right="339"/>
        <w:spacing w:after="0" w:line="327" w:lineRule="auto"/>
        <w:rPr>
          <w:sz w:val="20"/>
          <w:szCs w:val="20"/>
          <w:color w:val="auto"/>
        </w:rPr>
      </w:pPr>
      <w:r>
        <w:rPr>
          <w:rFonts w:ascii="Arial" w:cs="Arial" w:eastAsia="Arial" w:hAnsi="Arial"/>
          <w:sz w:val="15"/>
          <w:szCs w:val="15"/>
          <w:b w:val="1"/>
          <w:bCs w:val="1"/>
          <w:i w:val="1"/>
          <w:iCs w:val="1"/>
          <w:color w:val="auto"/>
        </w:rPr>
        <w:t>The COVID-19 pandemic may have a material adverse impact on our and our subsidiaries’ operations and financial performance, as well as on the operations and financial performance of many of the customers and suppliers in our operating segments. We are unable to predict the extent to which the pandemic and related impacts will adversely impact our business operations, financial performance, results of operations, and financial position</w:t>
      </w:r>
      <w:r>
        <w:rPr>
          <w:rFonts w:ascii="Arial" w:cs="Arial" w:eastAsia="Arial" w:hAnsi="Arial"/>
          <w:sz w:val="15"/>
          <w:szCs w:val="15"/>
          <w:color w:val="auto"/>
        </w:rPr>
        <w:t>.</w:t>
      </w:r>
    </w:p>
    <w:p>
      <w:pPr>
        <w:spacing w:after="0" w:line="140" w:lineRule="exact"/>
        <w:rPr>
          <w:sz w:val="20"/>
          <w:szCs w:val="20"/>
          <w:color w:val="auto"/>
        </w:rPr>
      </w:pPr>
    </w:p>
    <w:p>
      <w:pPr>
        <w:ind w:left="60" w:right="279" w:firstLine="324"/>
        <w:spacing w:after="0" w:line="296" w:lineRule="auto"/>
        <w:rPr>
          <w:sz w:val="20"/>
          <w:szCs w:val="20"/>
          <w:color w:val="auto"/>
        </w:rPr>
      </w:pPr>
      <w:r>
        <w:rPr>
          <w:rFonts w:ascii="Arial" w:cs="Arial" w:eastAsia="Arial" w:hAnsi="Arial"/>
          <w:sz w:val="16"/>
          <w:szCs w:val="16"/>
          <w:color w:val="auto"/>
        </w:rPr>
        <w:t>Our and our subsidiaries’ operations and financial performance have been negatively impacted by the COVID-19 pandemic that has caused, and is expected to continue to cause, the global slowdown of economic activity, disruptions in global supply chains and significant volatility and disruption of financial markets. Because the severity, magnitude and duration of the COVID-19 pandemic and its economic consequences are uncertain, rapidly changing and difficult to predict, the pandemic’s impact on our and our subsidiaries’ operations and financial performance, remains uncertain.</w:t>
      </w:r>
    </w:p>
    <w:p>
      <w:pPr>
        <w:spacing w:after="0" w:line="161"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Our consolidated results of operations and financial condition have been impacted primarily by the net declines in fair value of investments held by our Investment segment and the Holding Company as well as declines in the global demand for crude oil, refined products and liquid transportation fuels with respect to our Energy segment. The impact on our businesses has also included the acceleration of planned store closures in our Automotive segment, lowering current year forecasts across various segments and recording write-downs to inventories and other assets. In addition, the COVID-19 pandemic may subject our and our subsidiaries’ operations, financial performance and financial condition to a number of additional operational-related, market-related and liquidity and funding-related risks.</w:t>
      </w:r>
    </w:p>
    <w:p>
      <w:pPr>
        <w:spacing w:after="0" w:line="16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COVID-19 pandemic may also have the effect of heightening many of the other risks described in the risk factors in our Annual Report on Form 10-K for the year ended December 31, 2019. In particular, see the risk factors: “We are a holding company and dependent upon the businesses of our subsidiaries to satisfy our obligations”; “To service our indebtedness, we will require a significant amount of cash”; “Our ability to maintain our current cash position or generate cash depends on many factors beyond our control”; “We have made significant investments in the Investment Funds and negative performance of the Investment Funds may result in a significant decline in the value of our investments”; “We need qualified personnel to manage and operate our various businesses”; “Global economic conditions may have adverse impacts on our businesses and financial condition”; and “Our Energy segment’s businesses are, and commodity prices are, cyclical and highly volatile, which could have a material adverse effect on our results of operations, financial condition and cash flows.”</w:t>
      </w:r>
    </w:p>
    <w:p>
      <w:pPr>
        <w:spacing w:after="0" w:line="185"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The extent to which the COVID-19 pandemic may negatively impact our business and operations will depend on the severity, location, and duration of the effects and spread of COVID-19, the actions undertaken by national, regional, and local governments and health officials to contain such virus or remedy its effects, and if, how quickly and to what extent economic conditions recover and normal business and operating conditions resume. Further, the COVID-19 pandemic may affect our operating and financial results in a manner that is not presently known to us or that we currently do not expect to present significant risks to our operations or financial results.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84" w:lineRule="exact"/>
        <w:rPr>
          <w:sz w:val="20"/>
          <w:szCs w:val="20"/>
          <w:color w:val="auto"/>
        </w:rPr>
      </w:pPr>
    </w:p>
    <w:p>
      <w:pPr>
        <w:jc w:val="both"/>
        <w:ind w:left="60" w:right="299" w:firstLine="324"/>
        <w:spacing w:after="0" w:line="311" w:lineRule="auto"/>
        <w:rPr>
          <w:sz w:val="20"/>
          <w:szCs w:val="20"/>
          <w:color w:val="auto"/>
        </w:rPr>
      </w:pPr>
      <w:r>
        <w:rPr>
          <w:rFonts w:ascii="Arial" w:cs="Arial" w:eastAsia="Arial" w:hAnsi="Arial"/>
          <w:sz w:val="16"/>
          <w:szCs w:val="16"/>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 and in our Annual Report on Form 10-K for the year ended December 31, 2019.</w:t>
      </w:r>
    </w:p>
    <w:p>
      <w:pPr>
        <w:spacing w:after="0" w:line="149"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Certain investment positions held by the Investment Funds may be illiquid. The Investment Funds may own restricted or non-publicly traded securities and securities traded on foreign exchanges. We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spacing w:after="0" w:line="178"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At any given time, the Investment Funds’ assets may become highly concentrated within a particular company, industry, asset category, trading style or financial or economic market. In that event, the Investment Funds’ investment portfolio will be 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w:t>
      </w:r>
    </w:p>
    <w:p>
      <w:pPr>
        <w:spacing w:after="0" w:line="164"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As of September 30, 2020, our top five holdings in the Investment Funds had a market value of approximately $4.3 billion, which represented approximately 48% of our assets under management for the Investment Segment. Our largest holding at September 30, 2020 was Herbalife Ltd. (“Herbalife”), which had a market value of $957 million, and represented approximately 11%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For example, Herbalife previously disclosed in its public filings that the SEC and the Department of Justice (the “DOJ”) have been conducting investigations into Herbalife’s compliance with the Foreign Corrupt Practices Act (the “FCPA”) in China, which are mainly focused on Herbalife’s China external affairs expenditures, its China business activities, the adequacy of and compliance with Herbalife’s internal controls in China, and the accuracy of Herbalife’s books and records relating to its China operations. Herbalife has cooperated with the SEC and DOJ and has reached resolutions with each of them. On August 28, 2020, the SEC accepted Herbalife’s offer of settlement and issued an administrative order finding that Herbalife violated the books and records and internal controls provisions of the FCPA. In addition, on August 28, 2020, Herbalife and the DOJ separately entered into a court-approved deferred prosecution agreement (“DPA”), under which the DOJ deferred criminal prosecution of Herbalife for a period of three years related to a conspiracy to violate the books and records provisions of the FCPA. Among other things, Herbalife is required to undertake compliance self-reporting obligations for the three-year term of the respective agreements with the SEC and the DOJ. If Herbalife remains in compliance with the DPA during its three-year term, the deferred charge against Herbalife will be dismissed with prejudice. In addition, Herbalife agreed to pay the SEC and the DOJ aggregate penalties, disgorgement and prejudgment interest of approximately $123 million. Certain of the companies in our Investment Funds file annual, quarterly and current reports with the SEC, which are publicly available, and contain additional risk factors with respect to such companies.</w:t>
      </w:r>
    </w:p>
    <w:p>
      <w:pPr>
        <w:spacing w:after="0" w:line="180"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161"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From time to time, the Investment Funds may invest in bonds or other fixed income securities, such as commercial paper and higher yielding (and, therefore, higher risk) debt securities. It is likely that a major economic recession could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86" w:lineRule="auto"/>
        <w:rPr>
          <w:sz w:val="20"/>
          <w:szCs w:val="20"/>
          <w:color w:val="auto"/>
        </w:rPr>
      </w:pPr>
      <w:r>
        <w:rPr>
          <w:rFonts w:ascii="Arial" w:cs="Arial" w:eastAsia="Arial" w:hAnsi="Arial"/>
          <w:sz w:val="17"/>
          <w:szCs w:val="17"/>
          <w:color w:val="auto"/>
        </w:rPr>
        <w:t>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165"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For reasons not necessarily attributable to any of the risks set forth herein or in our Annual Report on Form 10-K for the year ended December 31, 2019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levels at a future time of valuation or at the time of sale.</w:t>
      </w:r>
    </w:p>
    <w:p>
      <w:pPr>
        <w:spacing w:after="0" w:line="188"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Item 6. Exhibits</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0" w:type="dxa"/>
            <w:vAlign w:val="bottom"/>
            <w:gridSpan w:val="6"/>
          </w:tcPr>
          <w:p>
            <w:pPr>
              <w:ind w:left="29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91"/>
              </w:rPr>
              <w:t>31.1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0" w:type="dxa"/>
            <w:vAlign w:val="bottom"/>
            <w:gridSpan w:val="7"/>
          </w:tcPr>
          <w:p>
            <w:pPr>
              <w:spacing w:after="0" w:line="169"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Certification of Chief Executive Officer pursuant to Section 302(a) of the Sarbanes-Oxley Act of 2002</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and Rule 13a-14(a) of the Securities Exchange Act of 1934.</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Certification of Chief Financial Officer pursuant to Section 302(a) of the Sarbanes-Oxley Act of 2002</w:t>
              </w:r>
            </w:hyperlink>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and Rule 13a-14(a) of the Securities Exchange Act of 1934.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7"/>
          </w:tcPr>
          <w:p>
            <w:pPr>
              <w:spacing w:after="0"/>
              <w:rPr>
                <w:rFonts w:ascii="Arial" w:cs="Arial" w:eastAsia="Arial" w:hAnsi="Arial"/>
                <w:sz w:val="18"/>
                <w:szCs w:val="18"/>
                <w:color w:val="0000EE"/>
                <w:w w:val="99"/>
              </w:rPr>
            </w:pPr>
            <w:hyperlink w:anchor="page72">
              <w:r>
                <w:rPr>
                  <w:rFonts w:ascii="Arial" w:cs="Arial" w:eastAsia="Arial" w:hAnsi="Arial"/>
                  <w:sz w:val="18"/>
                  <w:szCs w:val="18"/>
                  <w:color w:val="0000EE"/>
                  <w:w w:val="99"/>
                </w:rPr>
                <w:t>Certification of Chief Executive Officer and Chief Financial Officer pursuant to Section 906 of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Sarbanes-Oxley Act of 2002 (18 U.S.C. 1350) and Rule 13a-14(b) of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2">
              <w:r>
                <w:rPr>
                  <w:rFonts w:ascii="Arial" w:cs="Arial" w:eastAsia="Arial" w:hAnsi="Arial"/>
                  <w:sz w:val="18"/>
                  <w:szCs w:val="18"/>
                  <w:color w:val="0000EE"/>
                  <w:w w:val="84"/>
                </w:rPr>
                <w:t>1934.</w:t>
              </w:r>
            </w:hyperlink>
          </w:p>
        </w:tc>
        <w:tc>
          <w:tcPr>
            <w:tcW w:w="390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1"/>
                <w:szCs w:val="21"/>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40" w:hanging="918"/>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Director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6, 2020</w:t>
      </w: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Holdings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Director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6,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right="140" w:firstLine="321"/>
        <w:spacing w:after="0" w:line="277"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September 30, 2020;</w:t>
      </w:r>
    </w:p>
    <w:p>
      <w:pPr>
        <w:spacing w:after="0" w:line="170"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60" w:firstLine="325"/>
        <w:spacing w:after="0" w:line="263" w:lineRule="auto"/>
        <w:tabs>
          <w:tab w:leader="none" w:pos="8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Keith Cozza</w:t>
      </w:r>
    </w:p>
    <w:p>
      <w:pPr>
        <w:spacing w:after="0" w:line="131" w:lineRule="exact"/>
        <w:rPr>
          <w:sz w:val="20"/>
          <w:szCs w:val="20"/>
          <w:color w:val="auto"/>
        </w:rPr>
      </w:pPr>
    </w:p>
    <w:p>
      <w:pPr>
        <w:jc w:val="both"/>
        <w:ind w:left="4120" w:right="80"/>
        <w:spacing w:after="0" w:line="203"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right="140" w:firstLine="321"/>
        <w:spacing w:after="0" w:line="277"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September 30, 2020;</w:t>
      </w:r>
    </w:p>
    <w:p>
      <w:pPr>
        <w:spacing w:after="0" w:line="170"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60" w:firstLine="325"/>
        <w:spacing w:after="0" w:line="263" w:lineRule="auto"/>
        <w:tabs>
          <w:tab w:leader="none" w:pos="82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SungHwan Cho</w:t>
      </w:r>
    </w:p>
    <w:p>
      <w:pPr>
        <w:spacing w:after="0" w:line="77" w:lineRule="exact"/>
        <w:rPr>
          <w:sz w:val="20"/>
          <w:szCs w:val="20"/>
          <w:color w:val="auto"/>
        </w:rPr>
      </w:pPr>
    </w:p>
    <w:p>
      <w:pPr>
        <w:ind w:left="4120" w:right="340"/>
        <w:spacing w:after="0" w:line="254" w:lineRule="auto"/>
        <w:rPr>
          <w:sz w:val="20"/>
          <w:szCs w:val="20"/>
          <w:color w:val="auto"/>
        </w:rPr>
      </w:pPr>
      <w:r>
        <w:rPr>
          <w:rFonts w:ascii="Arial" w:cs="Arial" w:eastAsia="Arial" w:hAnsi="Arial"/>
          <w:sz w:val="16"/>
          <w:szCs w:val="16"/>
          <w:color w:val="auto"/>
        </w:rPr>
        <w:t>Chief Financial Officer of Icahn Enterprises G.P. Inc., the general partner of Icahn Enterprises L.P. and Icahn Enterprises Holdings L.P.</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71" w:name="page72"/>
    <w:bookmarkEnd w:id="71"/>
    <w:p>
      <w:pPr>
        <w:ind w:left="8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September 30, 2020, the undersigned certify that, to the best of his knowledge, based upon a review of the Icahn Enterprises L.P. and Icahn Enterprises Holdings L.P. joint quarterly report on Form 10-Q for the period ended September 30, 2020:</w:t>
      </w:r>
    </w:p>
    <w:p>
      <w:pPr>
        <w:spacing w:after="0" w:line="187" w:lineRule="exact"/>
        <w:rPr>
          <w:sz w:val="20"/>
          <w:szCs w:val="20"/>
          <w:color w:val="auto"/>
        </w:rPr>
      </w:pPr>
    </w:p>
    <w:p>
      <w:pPr>
        <w:ind w:right="460" w:firstLine="321"/>
        <w:spacing w:after="0" w:line="277" w:lineRule="auto"/>
        <w:tabs>
          <w:tab w:leader="none" w:pos="5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00" w:firstLine="321"/>
        <w:spacing w:after="0" w:line="277" w:lineRule="auto"/>
        <w:tabs>
          <w:tab w:leader="none" w:pos="5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registrants.</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6350</wp:posOffset>
            </wp:positionV>
            <wp:extent cx="34118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Keith Cozza</w:t>
      </w:r>
    </w:p>
    <w:p>
      <w:pPr>
        <w:spacing w:after="0" w:line="131" w:lineRule="exact"/>
        <w:rPr>
          <w:sz w:val="20"/>
          <w:szCs w:val="20"/>
          <w:color w:val="auto"/>
        </w:rPr>
      </w:pPr>
    </w:p>
    <w:p>
      <w:pPr>
        <w:jc w:val="both"/>
        <w:ind w:left="4080" w:right="120"/>
        <w:spacing w:after="0" w:line="203"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SungHwan Cho</w:t>
      </w:r>
    </w:p>
    <w:p>
      <w:pPr>
        <w:spacing w:after="0" w:line="77" w:lineRule="exact"/>
        <w:rPr>
          <w:sz w:val="20"/>
          <w:szCs w:val="20"/>
          <w:color w:val="auto"/>
        </w:rPr>
      </w:pPr>
    </w:p>
    <w:p>
      <w:pPr>
        <w:ind w:left="4120" w:right="340"/>
        <w:spacing w:after="0" w:line="254" w:lineRule="auto"/>
        <w:rPr>
          <w:sz w:val="20"/>
          <w:szCs w:val="20"/>
          <w:color w:val="auto"/>
        </w:rPr>
      </w:pPr>
      <w:r>
        <w:rPr>
          <w:rFonts w:ascii="Arial" w:cs="Arial" w:eastAsia="Arial" w:hAnsi="Arial"/>
          <w:sz w:val="16"/>
          <w:szCs w:val="16"/>
          <w:color w:val="auto"/>
        </w:rPr>
        <w:t>Chief Financial Officer of Icahn Enterprises G.P. Inc., the general partner of Icahn Enterprises L.P. and Icahn Enterprises Holdings L.P.</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8"/>
    </w:lvl>
  </w:abstractNum>
  <w:abstractNum w:abstractNumId="7">
    <w:nsid w:val="66EF438D"/>
    <w:multiLevelType w:val="hybridMultilevel"/>
    <w:lvl w:ilvl="0">
      <w:lvlJc w:val="left"/>
      <w:lvlText w:val="(%1)"/>
      <w:numFmt w:val="lowerRoman"/>
      <w:start w:val="3"/>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4"/>
    </w:lvl>
  </w:abstractNum>
  <w:abstractNum w:abstractNumId="10">
    <w:nsid w:val="109CF92E"/>
    <w:multiLevelType w:val="hybridMultilevel"/>
    <w:lvl w:ilvl="0">
      <w:lvlJc w:val="left"/>
      <w:lvlText w:val="%1."/>
      <w:numFmt w:val="decimal"/>
      <w:start w:val="15"/>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2020-11-06T15:56:33Z</dcterms:created>
  <dcterms:modified xsi:type="dcterms:W3CDTF">2020-11-06T15:56:33Z</dcterms:modified>
</cp:coreProperties>
</file>