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5300" w:type="dxa"/>
            <w:vAlign w:val="bottom"/>
            <w:vMerge w:val="restart"/>
          </w:tcPr>
          <w:p>
            <w:pPr>
              <w:jc w:val="center"/>
              <w:ind w:left="9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58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1580" w:type="dxa"/>
            <w:vAlign w:val="bottom"/>
          </w:tcPr>
          <w:p>
            <w:pPr>
              <w:jc w:val="center"/>
              <w:ind w:left="145"/>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ind w:left="143"/>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(Commission File Number)</w:t>
            </w:r>
          </w:p>
        </w:tc>
        <w:tc>
          <w:tcPr>
            <w:tcW w:w="5300" w:type="dxa"/>
            <w:vAlign w:val="bottom"/>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580" w:type="dxa"/>
            <w:vAlign w:val="bottom"/>
          </w:tcPr>
          <w:p>
            <w:pPr>
              <w:jc w:val="center"/>
              <w:ind w:left="125"/>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vMerge w:val="continue"/>
          </w:tcPr>
          <w:p>
            <w:pPr>
              <w:spacing w:after="0"/>
              <w:rPr>
                <w:sz w:val="16"/>
                <w:szCs w:val="16"/>
                <w:color w:val="auto"/>
              </w:rPr>
            </w:pPr>
          </w:p>
        </w:tc>
        <w:tc>
          <w:tcPr>
            <w:tcW w:w="5300" w:type="dxa"/>
            <w:vAlign w:val="bottom"/>
          </w:tcPr>
          <w:p>
            <w:pPr>
              <w:jc w:val="center"/>
              <w:ind w:left="95"/>
              <w:spacing w:after="0"/>
              <w:rPr>
                <w:sz w:val="20"/>
                <w:szCs w:val="20"/>
                <w:color w:val="auto"/>
              </w:rPr>
            </w:pPr>
            <w:r>
              <w:rPr>
                <w:rFonts w:ascii="Times New Roman" w:cs="Times New Roman" w:eastAsia="Times New Roman" w:hAnsi="Times New Roman"/>
                <w:sz w:val="14"/>
                <w:szCs w:val="14"/>
                <w:color w:val="auto"/>
              </w:rPr>
              <w:t>(Telephone Number)</w:t>
            </w:r>
          </w:p>
        </w:tc>
        <w:tc>
          <w:tcPr>
            <w:tcW w:w="158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ind w:left="143"/>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0"/>
        </w:trPr>
        <w:tc>
          <w:tcPr>
            <w:tcW w:w="2200" w:type="dxa"/>
            <w:vAlign w:val="bottom"/>
          </w:tcPr>
          <w:p>
            <w:pPr>
              <w:jc w:val="right"/>
              <w:ind w:right="1102"/>
              <w:spacing w:after="0"/>
              <w:rPr>
                <w:sz w:val="20"/>
                <w:szCs w:val="20"/>
                <w:color w:val="auto"/>
              </w:rPr>
            </w:pPr>
            <w:r>
              <w:rPr>
                <w:rFonts w:ascii="Times New Roman" w:cs="Times New Roman" w:eastAsia="Times New Roman" w:hAnsi="Times New Roman"/>
                <w:sz w:val="16"/>
                <w:szCs w:val="16"/>
                <w:b w:val="1"/>
                <w:bCs w:val="1"/>
                <w:color w:val="auto"/>
              </w:rPr>
              <w:t>1-9516</w:t>
            </w:r>
          </w:p>
        </w:tc>
        <w:tc>
          <w:tcPr>
            <w:tcW w:w="5300" w:type="dxa"/>
            <w:vAlign w:val="bottom"/>
          </w:tcPr>
          <w:p>
            <w:pPr>
              <w:jc w:val="center"/>
              <w:ind w:left="95"/>
              <w:spacing w:after="0"/>
              <w:rPr>
                <w:sz w:val="20"/>
                <w:szCs w:val="20"/>
                <w:color w:val="auto"/>
              </w:rPr>
            </w:pPr>
            <w:r>
              <w:rPr>
                <w:rFonts w:ascii="Times New Roman" w:cs="Times New Roman" w:eastAsia="Times New Roman" w:hAnsi="Times New Roman"/>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13-3398766</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8"/>
        </w:trPr>
        <w:tc>
          <w:tcPr>
            <w:tcW w:w="2200" w:type="dxa"/>
            <w:vAlign w:val="bottom"/>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333-118021-01</w:t>
            </w:r>
          </w:p>
        </w:tc>
        <w:tc>
          <w:tcPr>
            <w:tcW w:w="5300" w:type="dxa"/>
            <w:vAlign w:val="bottom"/>
          </w:tcPr>
          <w:p>
            <w:pPr>
              <w:jc w:val="center"/>
              <w:ind w:left="95"/>
              <w:spacing w:after="0"/>
              <w:rPr>
                <w:sz w:val="20"/>
                <w:szCs w:val="20"/>
                <w:color w:val="auto"/>
              </w:rPr>
            </w:pPr>
            <w:r>
              <w:rPr>
                <w:rFonts w:ascii="Times New Roman" w:cs="Times New Roman" w:eastAsia="Times New Roman" w:hAnsi="Times New Roman"/>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13-3398767</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09"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9"/>
              </w:rPr>
              <w:t>Large Accelerated Filer x</w:t>
            </w:r>
          </w:p>
        </w:tc>
        <w:tc>
          <w:tcPr>
            <w:tcW w:w="3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Accelerated Filer o</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Large Accelerated Filer o</w:t>
            </w:r>
          </w:p>
        </w:tc>
        <w:tc>
          <w:tcPr>
            <w:tcW w:w="25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Non-accelerated Filer o</w:t>
            </w:r>
          </w:p>
        </w:tc>
        <w:tc>
          <w:tcPr>
            <w:tcW w:w="3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Smaller Reporting Company o</w:t>
            </w:r>
          </w:p>
        </w:tc>
        <w:tc>
          <w:tcPr>
            <w:tcW w:w="2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Non-accelerated Filer x</w:t>
            </w:r>
          </w:p>
        </w:tc>
        <w:tc>
          <w:tcPr>
            <w:tcW w:w="25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Emerging Growth Company o</w:t>
            </w:r>
          </w:p>
        </w:tc>
      </w:tr>
    </w:tbl>
    <w:p>
      <w:pPr>
        <w:spacing w:after="0" w:line="11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Times New Roman" w:cs="Times New Roman" w:eastAsia="Times New Roman" w:hAnsi="Times New Roman"/>
          <w:sz w:val="18"/>
          <w:szCs w:val="18"/>
          <w:color w:val="auto"/>
        </w:rPr>
        <w:t>Icahn Enterprises L.P. Yes o No x</w:t>
      </w:r>
      <w:r>
        <w:rPr>
          <w:sz w:val="20"/>
          <w:szCs w:val="20"/>
          <w:color w:val="auto"/>
        </w:rPr>
        <w:tab/>
      </w:r>
      <w:r>
        <w:rPr>
          <w:rFonts w:ascii="Times New Roman" w:cs="Times New Roman" w:eastAsia="Times New Roman" w:hAnsi="Times New Roman"/>
          <w:sz w:val="17"/>
          <w:szCs w:val="17"/>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2017, there were 169,083,315 of Icahn Enterprises' depositary units outstanding.</w:t>
      </w:r>
    </w:p>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156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w:t>
              </w:r>
            </w:hyperlink>
          </w:p>
        </w:tc>
        <w:tc>
          <w:tcPr>
            <w:tcW w:w="7640" w:type="dxa"/>
            <w:vAlign w:val="bottom"/>
            <w:tcBorders>
              <w:bottom w:val="single" w:sz="8" w:color="CCEEFF"/>
            </w:tcBorders>
            <w:gridSpan w:val="4"/>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2.</w:t>
              </w:r>
            </w:hyperlink>
          </w:p>
        </w:tc>
        <w:tc>
          <w:tcPr>
            <w:tcW w:w="9200" w:type="dxa"/>
            <w:vAlign w:val="bottom"/>
            <w:gridSpan w:val="9"/>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gridSpan w:val="3"/>
          </w:tcPr>
          <w:p>
            <w:pPr>
              <w:jc w:val="center"/>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580" w:type="dxa"/>
            <w:vAlign w:val="bottom"/>
            <w:tcBorders>
              <w:top w:val="single" w:sz="8" w:color="0000EE"/>
            </w:tcBorders>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Item 3.</w:t>
              </w:r>
            </w:hyperlink>
          </w:p>
        </w:tc>
        <w:tc>
          <w:tcPr>
            <w:tcW w:w="740" w:type="dxa"/>
            <w:vAlign w:val="bottom"/>
            <w:gridSpan w:val="2"/>
            <w:shd w:val="clear" w:color="auto" w:fill="CCEEFF"/>
          </w:tcPr>
          <w:p>
            <w:pPr>
              <w:spacing w:after="0"/>
              <w:rPr>
                <w:sz w:val="17"/>
                <w:szCs w:val="17"/>
                <w:color w:val="auto"/>
              </w:rPr>
            </w:pPr>
          </w:p>
        </w:tc>
        <w:tc>
          <w:tcPr>
            <w:tcW w:w="92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57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58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Item 4.</w:t>
              </w:r>
            </w:hyperlink>
          </w:p>
        </w:tc>
        <w:tc>
          <w:tcPr>
            <w:tcW w:w="740" w:type="dxa"/>
            <w:vAlign w:val="bottom"/>
            <w:gridSpan w:val="2"/>
          </w:tcPr>
          <w:p>
            <w:pPr>
              <w:spacing w:after="0"/>
              <w:rPr>
                <w:sz w:val="17"/>
                <w:szCs w:val="17"/>
                <w:color w:val="auto"/>
              </w:rPr>
            </w:pPr>
          </w:p>
        </w:tc>
        <w:tc>
          <w:tcPr>
            <w:tcW w:w="4400" w:type="dxa"/>
            <w:vAlign w:val="bottom"/>
            <w:gridSpan w:val="7"/>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Controls and Procedures.</w:t>
              </w:r>
            </w:hyperlink>
          </w:p>
        </w:tc>
        <w:tc>
          <w:tcPr>
            <w:tcW w:w="48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line="202" w:lineRule="exact"/>
              <w:rPr>
                <w:rFonts w:ascii="Times New Roman" w:cs="Times New Roman" w:eastAsia="Times New Roman" w:hAnsi="Times New Roman"/>
                <w:sz w:val="18"/>
                <w:szCs w:val="18"/>
                <w:color w:val="0000EE"/>
                <w:w w:val="77"/>
              </w:rPr>
            </w:pPr>
            <w:hyperlink w:anchor="page62">
              <w:r>
                <w:rPr>
                  <w:rFonts w:ascii="Times New Roman" w:cs="Times New Roman" w:eastAsia="Times New Roman" w:hAnsi="Times New Roman"/>
                  <w:sz w:val="18"/>
                  <w:szCs w:val="18"/>
                  <w:color w:val="0000EE"/>
                  <w:w w:val="77"/>
                </w:rPr>
                <w:t>58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Item 1.</w:t>
              </w:r>
            </w:hyperlink>
          </w:p>
        </w:tc>
        <w:tc>
          <w:tcPr>
            <w:tcW w:w="740" w:type="dxa"/>
            <w:vAlign w:val="bottom"/>
            <w:gridSpan w:val="2"/>
            <w:shd w:val="clear" w:color="auto" w:fill="CCEEFF"/>
          </w:tcPr>
          <w:p>
            <w:pPr>
              <w:spacing w:after="0"/>
              <w:rPr>
                <w:sz w:val="17"/>
                <w:szCs w:val="17"/>
                <w:color w:val="auto"/>
              </w:rPr>
            </w:pPr>
          </w:p>
        </w:tc>
        <w:tc>
          <w:tcPr>
            <w:tcW w:w="92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Legal Proceedings.</w:t>
              </w:r>
            </w:hyperlink>
          </w:p>
        </w:tc>
        <w:tc>
          <w:tcPr>
            <w:tcW w:w="90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1A.</w:t>
              </w:r>
            </w:hyperlink>
          </w:p>
        </w:tc>
        <w:tc>
          <w:tcPr>
            <w:tcW w:w="9200" w:type="dxa"/>
            <w:vAlign w:val="bottom"/>
            <w:gridSpan w:val="9"/>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Risk Factors.</w:t>
              </w:r>
            </w:hyperlink>
          </w:p>
        </w:tc>
        <w:tc>
          <w:tcPr>
            <w:tcW w:w="900" w:type="dxa"/>
            <w:vAlign w:val="bottom"/>
            <w:gridSpan w:val="3"/>
          </w:tcPr>
          <w:p>
            <w:pPr>
              <w:jc w:val="center"/>
              <w:spacing w:after="0" w:line="202"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59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Item 5.</w:t>
              </w:r>
            </w:hyperlink>
          </w:p>
        </w:tc>
        <w:tc>
          <w:tcPr>
            <w:tcW w:w="740" w:type="dxa"/>
            <w:vAlign w:val="bottom"/>
            <w:gridSpan w:val="2"/>
            <w:shd w:val="clear" w:color="auto" w:fill="CCEEFF"/>
          </w:tcPr>
          <w:p>
            <w:pPr>
              <w:spacing w:after="0"/>
              <w:rPr>
                <w:sz w:val="17"/>
                <w:szCs w:val="17"/>
                <w:color w:val="auto"/>
              </w:rPr>
            </w:pPr>
          </w:p>
        </w:tc>
        <w:tc>
          <w:tcPr>
            <w:tcW w:w="92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Other Information.</w:t>
              </w:r>
            </w:hyperlink>
          </w:p>
        </w:tc>
        <w:tc>
          <w:tcPr>
            <w:tcW w:w="900" w:type="dxa"/>
            <w:vAlign w:val="bottom"/>
            <w:gridSpan w:val="3"/>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Item 6.</w:t>
              </w:r>
            </w:hyperlink>
          </w:p>
        </w:tc>
        <w:tc>
          <w:tcPr>
            <w:tcW w:w="740" w:type="dxa"/>
            <w:vAlign w:val="bottom"/>
            <w:gridSpan w:val="2"/>
          </w:tcPr>
          <w:p>
            <w:pPr>
              <w:spacing w:after="0"/>
              <w:rPr>
                <w:sz w:val="17"/>
                <w:szCs w:val="17"/>
                <w:color w:val="auto"/>
              </w:rPr>
            </w:pPr>
          </w:p>
        </w:tc>
        <w:tc>
          <w:tcPr>
            <w:tcW w:w="1360" w:type="dxa"/>
            <w:vAlign w:val="bottom"/>
            <w:gridSpan w:val="3"/>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Exhibits.</w:t>
              </w:r>
            </w:hyperlink>
          </w:p>
        </w:tc>
        <w:tc>
          <w:tcPr>
            <w:tcW w:w="784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line="202" w:lineRule="exact"/>
              <w:rPr>
                <w:rFonts w:ascii="Times New Roman" w:cs="Times New Roman" w:eastAsia="Times New Roman" w:hAnsi="Times New Roman"/>
                <w:sz w:val="18"/>
                <w:szCs w:val="18"/>
                <w:color w:val="0000EE"/>
                <w:w w:val="77"/>
              </w:rPr>
            </w:pPr>
            <w:hyperlink w:anchor="page63">
              <w:r>
                <w:rPr>
                  <w:rFonts w:ascii="Times New Roman" w:cs="Times New Roman" w:eastAsia="Times New Roman" w:hAnsi="Times New Roman"/>
                  <w:sz w:val="18"/>
                  <w:szCs w:val="18"/>
                  <w:color w:val="0000EE"/>
                  <w:w w:val="77"/>
                </w:rPr>
                <w:t>59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60" w:top="360" w:right="2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9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80"/>
          </w:cols>
          <w:pgMar w:left="240" w:top="522"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(In millions, except unit amounts)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32,817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11,198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21,619</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partners: Depositary units: 169,083,315 units issued and outstanding at September 30, 2017 and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144,741,149 units issued and outstanding at 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11,198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32,817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360"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120" w:type="dxa"/>
            <w:vAlign w:val="bottom"/>
            <w:gridSpan w:val="7"/>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60" w:type="dxa"/>
            <w:vAlign w:val="bottom"/>
            <w:gridSpan w:val="5"/>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rPr>
              <w:t>(In millions, except per unit amounts)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 allocable to:</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 declared per LP unit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20" w:type="dxa"/>
            <w:vAlign w:val="bottom"/>
            <w:gridSpan w:val="7"/>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9820" w:type="dxa"/>
            <w:vAlign w:val="bottom"/>
            <w:gridSpan w:val="10"/>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$1,461 million and $1,584 million at September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6" w:name="page7"/>
    <w:bookmarkEnd w:id="6"/>
    <w:p>
      <w:pPr>
        <w:ind w:left="370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accounting principle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 Unit issuance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360"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5"/>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(Unaudited)</w:t>
            </w:r>
          </w:p>
        </w:tc>
        <w:tc>
          <w:tcPr>
            <w:tcW w:w="1120" w:type="dxa"/>
            <w:vAlign w:val="bottom"/>
          </w:tcPr>
          <w:p>
            <w:pPr>
              <w:spacing w:after="0"/>
              <w:rPr>
                <w:sz w:val="21"/>
                <w:szCs w:val="21"/>
                <w:color w:val="auto"/>
              </w:rPr>
            </w:pPr>
          </w:p>
        </w:tc>
      </w:tr>
      <w:tr>
        <w:trPr>
          <w:trHeight w:val="27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gain from securities transactions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securities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securities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to cover securities sold, not yet purchased</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securities sold, not yet purchased</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589</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receivables and payables relating to securities transactions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disposition of assets, net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670</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earnings from non-consolidated affiliates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cash held at consolidated affiliated partnerships and restricted cash</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w:t>
            </w:r>
          </w:p>
        </w:tc>
      </w:tr>
      <w:tr>
        <w:trPr>
          <w:trHeight w:val="265"/>
        </w:trPr>
        <w:tc>
          <w:tcPr>
            <w:tcW w:w="8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Changes in other operating assets and liabilities</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1,322</w:t>
            </w: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additional interests in consolidated subsidiaries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disposition of assets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4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w:t>
            </w:r>
          </w:p>
        </w:tc>
      </w:tr>
      <w:tr>
        <w:trPr>
          <w:trHeight w:val="269"/>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segment contributions from non-controlling interests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segment distributions to non-controlling interests</w:t>
            </w: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Partnership contributions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Partnership distributions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and distributions to non-controlling interests in subsidiaries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Holding Company senior unsecured notes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Holding Company senior unsecured notes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subsidiary borrowings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1,905</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subsidiary borrowings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 back decrease in cash of assets held for sale</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2,078</w:t>
            </w: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2,002</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117"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117"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380" w:type="dxa"/>
            <w:vAlign w:val="bottom"/>
            <w:gridSpan w:val="2"/>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32,847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11,202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11,122</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21,623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 Holdings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32,847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380"/>
          </w:cols>
          <w:pgMar w:left="260" w:top="576"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60" w:top="576"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7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 Holdings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 Holdings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allocable to:</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38"/>
        </w:trPr>
        <w:tc>
          <w:tcPr>
            <w:tcW w:w="854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0" w:type="dxa"/>
            <w:vAlign w:val="bottom"/>
            <w:gridSpan w:val="10"/>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Holdings 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$1,461 million and $1,584 million at September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360" w:right="259" w:bottom="1440" w:gutter="0" w:footer="0" w:header="0"/>
          <w:type w:val="continuous"/>
        </w:sectPr>
      </w:pPr>
    </w:p>
    <w:bookmarkStart w:id="11" w:name="page12"/>
    <w:bookmarkEnd w:id="11"/>
    <w:p>
      <w:pPr>
        <w:ind w:left="318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accounting principle</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 Unit issuance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60" w:top="360"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5"/>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(Unaudited)</w:t>
            </w:r>
          </w:p>
        </w:tc>
        <w:tc>
          <w:tcPr>
            <w:tcW w:w="1120" w:type="dxa"/>
            <w:vAlign w:val="bottom"/>
          </w:tcPr>
          <w:p>
            <w:pPr>
              <w:spacing w:after="0"/>
              <w:rPr>
                <w:sz w:val="21"/>
                <w:szCs w:val="21"/>
                <w:color w:val="auto"/>
              </w:rPr>
            </w:pPr>
          </w:p>
        </w:tc>
      </w:tr>
      <w:tr>
        <w:trPr>
          <w:trHeight w:val="27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gain from securities transactions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securities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securities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to cover securities sold, not yet purchased</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securities sold, not yet purchased</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589</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receivables and payables relating to securities transactions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disposition of assets, net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752</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670</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earnings from non-consolidated affiliates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r>
      <w:tr>
        <w:trPr>
          <w:trHeight w:val="275"/>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cash held at consolidated affiliated partnerships and restricted cash</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w:t>
            </w:r>
          </w:p>
        </w:tc>
      </w:tr>
      <w:tr>
        <w:trPr>
          <w:trHeight w:val="265"/>
        </w:trPr>
        <w:tc>
          <w:tcPr>
            <w:tcW w:w="8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Changes in other operating assets and liabilities</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1,322</w:t>
            </w: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additional interests in consolidated subsidiaries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disposition of assets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4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w:t>
            </w:r>
          </w:p>
        </w:tc>
      </w:tr>
      <w:tr>
        <w:trPr>
          <w:trHeight w:val="269"/>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segment contributions from non-controlling interests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segment distributions to non-controlling interests</w:t>
            </w:r>
          </w:p>
        </w:tc>
        <w:tc>
          <w:tcPr>
            <w:tcW w:w="10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Partnership contributions</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Partnership distributions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and distributions to non-controlling interests in subsidiaries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Holding Company senior unsecured notes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Holding Company senior unsecured notes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subsidiary borrowings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1,905</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Repayments of subsidiary borrowings</w:t>
            </w:r>
          </w:p>
        </w:tc>
        <w:tc>
          <w:tcPr>
            <w:tcW w:w="104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r>
      <w:tr>
        <w:trPr>
          <w:trHeight w:val="25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6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 back decrease in cash of assets held for sale</w:t>
            </w:r>
          </w:p>
        </w:tc>
        <w:tc>
          <w:tcPr>
            <w:tcW w:w="10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6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2,078</w:t>
            </w: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2,002</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117"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117"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owns a 99% limited partner interest in Icahn Enterprises Holdings L.P. ("Icahn Enterprises Holdings"). Icahn Enterprises G.P. Inc. ("Icahn Enterprises GP"), which is owned and controlled by Mr. Carl C. Icahn, owns a 1% general partner interest in each of Icahn Enterprises and Icahn Enterprises Holdings as of September 30, 2017.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of the general partner interest, which is reflected as an aggregate 1.99% general partner interest in the financial statements of Icahn Enterprises, as well as due to the carrying amount of deferred financing costs related to our senior unsecured notes. In addition to the above, Mr. Icahn and his affiliates owned approximately 90.8% of Icahn Enterprises' outstanding depositary units as of September 30, 2017.</w:t>
      </w:r>
    </w:p>
    <w:p>
      <w:pPr>
        <w:spacing w:after="0" w:line="77"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References to "we," "our" or "us" herein include both Icahn Enterprises and Icahn Enterprises Holdings and their subsidiaries,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Operating Businesses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are discussed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$2.9 billion and $1.7 billion as of September 30, 2017 and December 31, 2016,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subsidiaries Federal-Mogul LLC ("Federal-Mogul") and Icahn Automotive Group LLC ("Icahn Automotive"), which is the parent company of IEH Auto Parts Holding LLC and The Pep Boys - Manny, Moe &amp; Jack ("Pep Boys"). During January 2017, we increased our ownership in Federal-Mogul from 82.0% to 100% through a tender offer for the remaining shares of Federal-Mogul common stock not already owned by us and a subsequent short form merger for an aggregate purchase price of $305 million.</w:t>
      </w:r>
    </w:p>
    <w:p>
      <w:pPr>
        <w:spacing w:after="0" w:line="7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Federal-Mogul is engaged in the manufacture and distribution of automotive parts. Icahn Automotive is engaged in the distribution of automotive parts in the aftermarket as well as providing automotive services to its customers.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September 30, 2017, CVR Energy owned 100% of each of the general partners of CVR Refining and CVR Partners and approximately 66% and 34% of the common units of CVR Refining and CVR Partners, respectively.</w:t>
      </w:r>
    </w:p>
    <w:p>
      <w:pPr>
        <w:spacing w:after="0" w:line="80"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2017, we owned approximately 82.0% of the total outstanding common stock of CVR Energy. In addition, as of September 30, 2017, we directly owned approximately 3.9% of the total outstanding common units of CVR Refining.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33" w:right="2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 American Railcar Industries, Inc. ("ARI") and, prior to June 1, 2017, our wholly owned subsidiary American Railcar Leasing, LLC ("ARL"). As of September 30, 2017, we owned approximately 62.2% of the total outstanding common stock of ARI. As discussed below, we sold ARL, along with a majority of its railcar lease fleet, on June 1, 2017. As of September 30, 2017, through a wholly owned subsidiary of ours, we continued to own 4,551 remaining railcars previously owned by ARL.</w:t>
      </w:r>
    </w:p>
    <w:p>
      <w:pPr>
        <w:spacing w:after="0" w:line="7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ARI is a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7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On December 19, 2016, Icahn Enterprises entered into a definitive agreement to sell ARL to SMBC Rail Services, LLC ("SMBC Rail"), a wholly owned subsidiary of Sumitomo Mitsui Banking Corporation, for cash based on (i) a value of approximately $2.8 billion (subject to certain adjustments) and</w:t>
      </w:r>
    </w:p>
    <w:p>
      <w:pPr>
        <w:ind w:firstLine="8"/>
        <w:spacing w:after="0" w:line="253"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fleet of approximately 29,000 railcars (the "ARL Initial Sale"). The ARL Initial Sale closed on June 1, 2017. After repaying, or assigning to SMBC Rail, applicable indebtedness of ARL, we received cash consideration of approximately $1.3 billion in connection with the ARL Initial Sale, resulting in a pretax gain on disposition of assets for our Railcar segment of approximately $1.5 billion. For a period of three years after the closing of the ARL Initial Sale, and upon satisfaction of certain conditions, we have an option to sell, and SMBC Rail has an option to buy, the 4,551 remaining railcars owned by a wholly owned subsidiary of ours. The majority of these remaining railcars were sold subsequent to September 30, 2017.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Entertainment Inc. ("Tropicana") and our wholly owned subsidiary Trump Entertainment Resorts Inc. ("TER"), which we acquired out of bankruptcy in 2016. During August 2017, we increased our ownership in Tropicana from 72.5% to 83.9% through a tender offer for additional shares of Tropicana common stock not already owned by us for an aggregate purchase price of $95 million. In addition, Tropicana repurchased and retired shares of its common stock in connection with this tender offer for an aggregate purchase price of $36 million.</w:t>
      </w:r>
    </w:p>
    <w:p>
      <w:pPr>
        <w:spacing w:after="0" w:line="7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Tropicana is an owner and operator of regional casino and entertainment properties located in the United States and one hotel, timeshare and casino resort located on the island of Aruba. TER owned the Trump Taj Mahal Casino Resort, which closed and ceased its casino and hotel operations in October 2016, and was subsequently sold on March 31, 2017. TER also owns Trump Plaza Hotel and Casino, which ceased operations in September 2014, prior to our obtaining a controlling interest in 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Times New Roman" w:cs="Times New Roman" w:eastAsia="Times New Roman" w:hAnsi="Times New Roman"/>
          <w:sz w:val="18"/>
          <w:szCs w:val="18"/>
          <w:i w:val="1"/>
          <w:iCs w:val="1"/>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119"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We conduct our Mining segment through our majority ownership in Ferrous Resources Ltd. ("Ferrous Resources"). As of September 30, 2017,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As of September 30, 2017, we owned approximately 74.6% of the total outstanding common stock of Viskase. Viskase is a producer of cellulosic, fibrous and plastic casings used to prepare and package processed meat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33" w:right="2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as well.</w:t>
      </w:r>
    </w:p>
    <w:p>
      <w:pPr>
        <w:spacing w:after="0" w:line="7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 which is included in other assets in our condensed consolidated balance sheet as of September 30, 2017.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11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21"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57"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2016.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As of September 30, 2017, 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w:t>
      </w:r>
    </w:p>
    <w:p>
      <w:pPr>
        <w:spacing w:after="0" w:line="2" w:lineRule="exact"/>
        <w:rPr>
          <w:sz w:val="20"/>
          <w:szCs w:val="20"/>
          <w:color w:val="auto"/>
        </w:rPr>
      </w:pPr>
    </w:p>
    <w:p>
      <w:pPr>
        <w:ind w:right="8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79"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and CVR Partners.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includes balances of assets and liabilities of VIE's included in Icahn Enterprises Holdings' condensed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5"/>
        </w:trPr>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630</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951</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9,022</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9,219</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from brokers</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1,006</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3,215</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340</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2,302</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1,258</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3,725</w:t>
            </w: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1,166</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2"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2017 was approximately $11.2 billion and $11.5 billion, respectively. The carrying value and estimated fair value of our long-term debt as of December 31, 2016 was approximately $11.1 billion and $11.2 billion,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restricted cash balance was $866 million and $686 million as of September 30, 2017 and December 31, 2016,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Transfers of receivables relate primarily to our Automotive segment. Federal-Mogul's subsidiaries in Brazil, France, Germany, Italy, Canada and the United States are party to accounts receivable factoring and securitization facilities. Gross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333" w:right="2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transferred under these facilities were $607 million and $487 million as of September 30, 2017 and December 31, 2016, respectively. Of those gross amounts, $600 million and $485 million, respectively, qualify as sales in accordance with U.S. GAAP. The remaining transferred receivables were pledged as collateral and accounted for as secured borrowings and recorded in the condensed consolidated balance sheets within accounts receivable, net and debt. Under the terms of these facilities, Federal-Mogul is not obligated to draw cash immediately upon the transfer of accounts receivable. As of September 30, 2017 and December 31, 2016, Federal-Mogul did not have any undrawn cash related to such transferred receivables.</w:t>
      </w:r>
    </w:p>
    <w:p>
      <w:pPr>
        <w:spacing w:after="0" w:line="7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Proceeds from the transfers of accounts receivable qualifying as sales were $424 million and $311 million for the three months ended September 30, 2017 and 2016, respectively, and approximately $1.3 billion and $1.2 billion for the nine months ended September 30, 2017 and 2016, respectively. Expenses associated with transfers of receivables were $2 million and $2 million for the three months ended September 30, 2017 and 2016, respectively, and $10 million and $9 million for the nine months ended September 30, 2017 and 2016,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Held For Sale</w:t>
      </w:r>
    </w:p>
    <w:p>
      <w:pPr>
        <w:spacing w:after="0" w:line="12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2016, assets and liabilities held for sale primarily consisted of property plant and equipment and debt, respectively, and related primarily to our pending ARL Initial Sale as of December 31, 2016. On June 1, 2017, we closed on the ARL Initial Sale and disposed of such assets and liabilities previously classified as held for sale.</w:t>
      </w:r>
    </w:p>
    <w:p>
      <w:pPr>
        <w:spacing w:after="0" w:line="6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During 2017, we identified additional assets and liabilities that meet the criteria to be classified as held for sale. As of September 30, 2017, assets held for sale primarily consisted of the remaining railcars previously owned by ARL that we continued to own subsequent to the ARL Initial Sale.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July 2015, the Financial Accounting Standards Board ("FASB") issued Accounting Standards Update ("ASU") No. 2015-11,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Inventory</w:t>
      </w:r>
      <w:r>
        <w:rPr>
          <w:rFonts w:ascii="Times New Roman" w:cs="Times New Roman" w:eastAsia="Times New Roman" w:hAnsi="Times New Roman"/>
          <w:sz w:val="18"/>
          <w:szCs w:val="18"/>
          <w:color w:val="auto"/>
        </w:rPr>
        <w:t>, which amends FASB Accounting Standards Codification ("ASC") Topic 330,</w:t>
      </w:r>
      <w:r>
        <w:rPr>
          <w:rFonts w:ascii="Times New Roman" w:cs="Times New Roman" w:eastAsia="Times New Roman" w:hAnsi="Times New Roman"/>
          <w:sz w:val="18"/>
          <w:szCs w:val="18"/>
          <w:i w:val="1"/>
          <w:iCs w:val="1"/>
          <w:color w:val="auto"/>
        </w:rPr>
        <w:t xml:space="preserve"> Inventory</w:t>
      </w:r>
      <w:r>
        <w:rPr>
          <w:rFonts w:ascii="Times New Roman" w:cs="Times New Roman" w:eastAsia="Times New Roman" w:hAnsi="Times New Roman"/>
          <w:sz w:val="18"/>
          <w:szCs w:val="18"/>
          <w:color w:val="auto"/>
        </w:rPr>
        <w:t>. This ASU requires entities to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beginning with our interim period beginning January 1, 2017. The adoption of this guidance was applied prospectively and had minimal impact on our consolidated financial statements.</w:t>
      </w:r>
    </w:p>
    <w:p>
      <w:pPr>
        <w:spacing w:after="0" w:line="75"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Simplifying the Transition to the Equity Method of Accounting</w:t>
      </w:r>
      <w:r>
        <w:rPr>
          <w:rFonts w:ascii="Times New Roman" w:cs="Times New Roman" w:eastAsia="Times New Roman" w:hAnsi="Times New Roman"/>
          <w:sz w:val="18"/>
          <w:szCs w:val="18"/>
          <w:color w:val="auto"/>
        </w:rPr>
        <w:t xml:space="preserve">, which amends FASB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This ASU eliminates the retroactive adjustment of an investment that qualifies for the equity method as a result of an increase in the level of ownership or degree of influence as if the equity method had been in effect during all previous periods that the investment had been held. This ASU is effective beginning with our interim period beginning January 1, 2017. The adoption of this guidance had minimal impact on our consolidated financial statements.</w:t>
      </w:r>
    </w:p>
    <w:p>
      <w:pPr>
        <w:spacing w:after="0" w:line="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which amends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This ASU simplifies several aspects of the accounting for share-based payment transactions, including the income tax consequences, classification of awards as either equity or liabilities, and classification on the statement of cash flows. This ASU is effective beginning with our interim period beginning January 1, 2017. 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are initially available under the 2017 Incentive Plan. Prior to the adoption of the 2017 Incentive Plan, accounting for unit-based payments did not apply to us. Therefore, the adoption of this guidance in 2017 was the result of the adoption of the 2017 Incentive Plan and which had a minimal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333" w:right="2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which amends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This ASU requires the recognition of income tax consequences of an intra-entity transfer of an asset other than inventory when the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Current U.S. GAAP prohibits the recognition of current and deferred incomes taxes for an intra-entity asset transfer until the asset has been sold to an outside party. This ASU is effective for fiscal years beginning after December 15, 2017, and interim periods within those fiscal years. Early adoption is permitted. We have elected to early adopt this guidance in the first quarter of 2017. The impact of early adopting this guidance on our consolidated financial statements is a cumulative effect adjustment to decrease our equity attributable to Icahn Enterprises and Icahn Enterprises Holdings as of January 1, 2017 by $47 million to reverse previously deferred charges and recognize them in equity.</w:t>
      </w:r>
    </w:p>
    <w:p>
      <w:pPr>
        <w:spacing w:after="0" w:line="75" w:lineRule="exact"/>
        <w:rPr>
          <w:sz w:val="20"/>
          <w:szCs w:val="20"/>
          <w:color w:val="auto"/>
        </w:rPr>
      </w:pPr>
    </w:p>
    <w:p>
      <w:pPr>
        <w:ind w:right="1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xml:space="preserve">, which amends FASB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This ASU provides guidance on what constitutes a business for purposes of applying FASB ASC Topic 805. This ASU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2017, and interim periods within those fiscal years. We have elected to early adopt this guidance in the first quarter of 2017. We did not have any material transactions affected by this guidance and therefore, the adoption of this guidance did not have a material impact on our consolidated financial statements.</w:t>
      </w:r>
    </w:p>
    <w:p>
      <w:pPr>
        <w:spacing w:after="0" w:line="7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amends FASB ASC Topic 350,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This ASU simplifies the subsequent measurement of goodwill by eliminating "Step 2" from the goodwill impairment test which,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this ASU, requires comparing the implied fair value of goodwill with its carrying value. By eliminating "Step 2" from the goodwill impairment test, the quantitative analysis of goodwill will result in an impairment loss for the amount that the carrying value of a reporting unit, including goodwill, exceeds its fair value, limited to the total amount of goodwill allocated to the tested reporting unit. While this ASU reduces the complexity and cost of our goodwill impairment tests, it may result in significant differences in the recognition of goodwill impairment. For example, should our reporting units fail "Step 1" of the impairment tests but pass the current "Step 2" impairment tests, we may have more impairments of goodwill under the new guidance. This ASU is effective for fiscal years beginning after December 15, 2019, and interim periods within those fiscal years. Early adoption is permitted beginning for interim and annual goodwill impairment tests performed on testing dates after January 1, 2017. We have elected to early adopt this guidance for our interim and annual goodwill impairment tests to be performed on testing dates beginning in 2017. This ASU principally affects our Automotive segment as substantially all of our goodwill balance pertains to our Automotive segment as of September 30, 2017. We did not perform any interim goodwill impairment analysis in 2017 and therefore, the adoption of this guidance had no impact on our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creating a new topic,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superseding revenue recognition requirements in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have developed an implementation plan to adopt this new ASU. We will adopt these new standards on January 1, 2018 using the modified retrospective application method which will require a cumulative effect adjustment recognized in equity at such date. No adjustment to revenue for periods prior to adoption will be required. To date, we have not identified any material differences in our existing revenue recognition methods that would require modification under the new standards. Additionally, although we anticipate our internal controls to be modified as necessary, we do not anticipate our internal control framework to materially change as a result of the adoption of these new standards. The assessment of the impact of this new standard on our business processes, business and accounting systems, and consolidated financial statements and related disclosures will continue as we proceed with the design and implementation phases of the plan.</w:t>
      </w:r>
    </w:p>
    <w:p>
      <w:pPr>
        <w:spacing w:after="0" w:line="8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w:t>
      </w:r>
      <w:r>
        <w:rPr>
          <w:rFonts w:ascii="Times New Roman" w:cs="Times New Roman" w:eastAsia="Times New Roman" w:hAnsi="Times New Roman"/>
          <w:sz w:val="18"/>
          <w:szCs w:val="18"/>
          <w:color w:val="auto"/>
        </w:rPr>
        <w:t xml:space="preserve">, which amends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333" w:right="2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statements.</w:t>
      </w:r>
    </w:p>
    <w:p>
      <w:pPr>
        <w:spacing w:after="0" w:line="7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FASB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ASU requires the recognition of lease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anticipate our assessment and implementation plan to be ongoing during the remainder of 2017 and into 2018 and are currently unable to reasonably estimate the impact of this guidance on our consolidated financial statements.</w:t>
      </w:r>
    </w:p>
    <w:p>
      <w:pPr>
        <w:spacing w:after="0" w:line="77"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amends FASB ASC Topic 326, </w:t>
      </w:r>
      <w:r>
        <w:rPr>
          <w:rFonts w:ascii="Times New Roman" w:cs="Times New Roman" w:eastAsia="Times New Roman" w:hAnsi="Times New Roman"/>
          <w:sz w:val="18"/>
          <w:szCs w:val="18"/>
          <w:i w:val="1"/>
          <w:iCs w:val="1"/>
          <w:color w:val="auto"/>
        </w:rPr>
        <w:t xml:space="preserve">Financial Instruments - Credit Losses. </w:t>
      </w:r>
      <w:r>
        <w:rPr>
          <w:rFonts w:ascii="Times New Roman" w:cs="Times New Roman" w:eastAsia="Times New Roman" w:hAnsi="Times New Roman"/>
          <w:sz w:val="18"/>
          <w:szCs w:val="18"/>
          <w:color w:val="auto"/>
        </w:rPr>
        <w:t>This ASU requires financial assets measured at amortized cost to be presented at the net amount to be collected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guidance on our consolidated financial statements.</w:t>
      </w:r>
    </w:p>
    <w:p>
      <w:pPr>
        <w:spacing w:after="0" w:line="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w:t>
      </w:r>
      <w:r>
        <w:rPr>
          <w:rFonts w:ascii="Times New Roman" w:cs="Times New Roman" w:eastAsia="Times New Roman" w:hAnsi="Times New Roman"/>
          <w:sz w:val="18"/>
          <w:szCs w:val="18"/>
          <w:color w:val="auto"/>
        </w:rPr>
        <w:t xml:space="preserve">s, which amends FASB ASC Topic 230, </w:t>
      </w: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This ASU seeks to reduce the diversity currently in practice by providing guidance on the presentation of eight specific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in the statement of cash flows. This ASU is effective for fiscal years beginning after December 15, 2017, and interim periods within those fiscal years. We are currently evaluating the impact of this guidance on our consolidated statements of cash flows.</w:t>
      </w:r>
    </w:p>
    <w:p>
      <w:pPr>
        <w:spacing w:after="0" w:line="7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which amends FASB ASC Topic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72" w:lineRule="exact"/>
        <w:rPr>
          <w:sz w:val="20"/>
          <w:szCs w:val="20"/>
          <w:color w:val="auto"/>
        </w:rPr>
      </w:pPr>
    </w:p>
    <w:p>
      <w:pPr>
        <w:ind w:right="14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which amends FASB ASC Topic 715,</w:t>
      </w:r>
      <w:r>
        <w:rPr>
          <w:rFonts w:ascii="Times New Roman" w:cs="Times New Roman" w:eastAsia="Times New Roman" w:hAnsi="Times New Roman"/>
          <w:sz w:val="18"/>
          <w:szCs w:val="18"/>
          <w:i w:val="1"/>
          <w:iCs w:val="1"/>
          <w:color w:val="auto"/>
        </w:rPr>
        <w:t xml:space="preserve"> Compensation - Retirement Benefits</w:t>
      </w:r>
      <w:r>
        <w:rPr>
          <w:rFonts w:ascii="Times New Roman" w:cs="Times New Roman" w:eastAsia="Times New Roman" w:hAnsi="Times New Roman"/>
          <w:sz w:val="18"/>
          <w:szCs w:val="18"/>
          <w:color w:val="auto"/>
        </w:rPr>
        <w:t>. This ASU requires entities to present the service cost component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7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xml:space="preserve">, which amends FASB ASC Topic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This ASU provides updated guidance about which changes to the terms and conditions of a share-based payment award require an entity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modification accounting in Topic 718.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72"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Targeting Improvements to Accounting for Hedging Activities</w:t>
      </w:r>
      <w:r>
        <w:rPr>
          <w:rFonts w:ascii="Times New Roman" w:cs="Times New Roman" w:eastAsia="Times New Roman" w:hAnsi="Times New Roman"/>
          <w:sz w:val="18"/>
          <w:szCs w:val="18"/>
          <w:color w:val="auto"/>
        </w:rPr>
        <w:t xml:space="preserve">, which amends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This ASU includes amendments to existing guidance to better align an entity’s risk management activities and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33" w:right="2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and 2016, Mr. Icahn and his affiliates (excluding us) invested $600 million and $498 million, respectively, in the Investment Funds, net of redemptions. As of September 30, 2017 and December 31, 2016, the total fair market value of investments in the Investment Funds made by Mr. Icahn and his affiliates (excluding us) was approximately $4.6 billion and $3.7 billion, respectively, representing approximately 61% and 69% of the Investment Funds' assets under management as of each respective date.</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September 30, 2017 and 2016, $2 million and $21 million, respectively, was allocated to the Investment Funds based on this expense-sharing arrangement and for the nine months ended September 30, 2017 and 2016, such allocation was $7 million and $28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discussed in Note 4, "Investments and Related Matters," the Investment Funds have an investment in the common stock of Hertz Global Holdings, Inc. ("Hertz") measured at fair value that would have otherwise been subject to the equity method of accounting beginning in the fourth quarter of 2016. Pep Boys provides services to Hertz in the ordinary course of business. For the three and nine months ended September 30, 2017, revenue from Hertz was $5 million and $10 million, respectively. Additionally, Federal-Mogul had payments to Hertz in the ordinary course of business of $2 million for the nine months ended September 30, 2017.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ARL</w:t>
      </w:r>
    </w:p>
    <w:p>
      <w:pPr>
        <w:spacing w:after="0" w:line="119"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On February 29, 2016, Icahn Enterprises entered into a contribution agreement with an affiliate of Mr. Icahn to acquire the remaining 25% economic interest in ARL not already owned by us. Pursuant to this contribution agreement, we contributed 685,367 newly issued depositary units of Icahn Enterprises to such affiliate in exchange for the remaining 25% economic interest in ARL. As a result of the transaction, we owned a 100% economic interest in</w:t>
      </w:r>
    </w:p>
    <w:p>
      <w:pPr>
        <w:spacing w:after="0" w:line="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ACF</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95" w:lineRule="exact"/>
        <w:rPr>
          <w:sz w:val="20"/>
          <w:szCs w:val="20"/>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Railcar component purchases from ACF</w:t>
      </w:r>
    </w:p>
    <w:p>
      <w:pPr>
        <w:spacing w:after="0" w:line="15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Railcar parts purchases from and sales to ACF</w:t>
      </w:r>
    </w:p>
    <w:p>
      <w:pPr>
        <w:spacing w:after="0" w:line="15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Railcar purchasing and engineering services agreement with ACF</w:t>
      </w:r>
    </w:p>
    <w:p>
      <w:pPr>
        <w:spacing w:after="0" w:line="15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of certain intellectual property to ACF</w:t>
      </w:r>
    </w:p>
    <w:p>
      <w:pPr>
        <w:spacing w:after="0" w:line="15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Railcar repair services and support for ACF</w:t>
      </w:r>
    </w:p>
    <w:p>
      <w:pPr>
        <w:spacing w:after="0" w:line="15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Railcar purchases from ACF (prior to June 1, 2017)</w:t>
      </w:r>
    </w:p>
    <w:p>
      <w:pPr>
        <w:spacing w:after="0" w:line="13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Purchases from ACF were $1 million and $4 million for the three and nine months ended September 30, 2017, respectively, and $2 million and $4 million for the three and nine months ended September 30, 2016, respectively. For each of the three and nine months ended September 30, 2017 and 2016, revenues from ACF were not material.</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33" w:right="2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 Portfolio Group LLC</w:t>
      </w:r>
    </w:p>
    <w:p>
      <w:pPr>
        <w:spacing w:after="0" w:line="12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each of the three months ended September 30, 2017 and 2016, we and certain of our subsidiaries paid certain of Insight Portfolio Group's operating expenses of less than $1 million. For each of the nine months ended September 30, 2017 and 2016, we and certain of our subsidiaries paid $2 million in respect to certain of Insight Portfolio Group's operating expenses.</w:t>
      </w:r>
    </w:p>
    <w:p>
      <w:pPr>
        <w:spacing w:after="0" w:line="18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5140" w:type="dxa"/>
            <w:vAlign w:val="bottom"/>
            <w:gridSpan w:val="2"/>
          </w:tcPr>
          <w:p>
            <w:pPr>
              <w:spacing w:after="0"/>
              <w:rPr>
                <w:sz w:val="2"/>
                <w:szCs w:val="2"/>
                <w:color w:val="auto"/>
              </w:rPr>
            </w:pPr>
          </w:p>
        </w:tc>
        <w:tc>
          <w:tcPr>
            <w:tcW w:w="18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p>
        </w:tc>
        <w:tc>
          <w:tcPr>
            <w:tcW w:w="4540" w:type="dxa"/>
            <w:vAlign w:val="bottom"/>
          </w:tcPr>
          <w:p>
            <w:pPr>
              <w:jc w:val="center"/>
              <w:ind w:right="34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6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4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 materials</w:t>
            </w:r>
          </w:p>
        </w:tc>
        <w:tc>
          <w:tcPr>
            <w:tcW w:w="5140" w:type="dxa"/>
            <w:vAlign w:val="bottom"/>
            <w:tcBorders>
              <w:bottom w:val="single" w:sz="8" w:color="CCEEFF"/>
            </w:tcBorders>
            <w:gridSpan w:val="2"/>
            <w:shd w:val="clear" w:color="auto" w:fill="CCEEFF"/>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Energy</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Technology</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8,543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9,023</w:t>
            </w:r>
          </w:p>
        </w:tc>
        <w:tc>
          <w:tcPr>
            <w:tcW w:w="0" w:type="dxa"/>
            <w:vAlign w:val="bottom"/>
          </w:tcPr>
          <w:p>
            <w:pPr>
              <w:spacing w:after="0"/>
              <w:rPr>
                <w:sz w:val="1"/>
                <w:szCs w:val="1"/>
                <w:color w:val="auto"/>
              </w:rPr>
            </w:pPr>
          </w:p>
        </w:tc>
      </w:tr>
      <w:tr>
        <w:trPr>
          <w:trHeight w:val="291"/>
        </w:trPr>
        <w:tc>
          <w:tcPr>
            <w:tcW w:w="3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9,016</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jc w:val="center"/>
              <w:ind w:right="40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514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4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4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portion of trading gains that relates to trading securities still held by our Investment segment was $635 million and $754 million for the three months ended September 30, 2017 and 2016, respectively, and approximately $1.2 billion and $626 million for the nine months ended September 30, 2017 and 2016, respectively.</w:t>
      </w:r>
    </w:p>
    <w:p>
      <w:pPr>
        <w:spacing w:after="0" w:line="68"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As of September 30, 2017, the Investment Funds owned approximately 28.0% of the outstanding common stock of Hertz. Beginning in the fourth quarter of 2016, this investment would have become subject to the equity method of accounting however, our Investment segment elected to continue to apply the fair value option to this investment. Our Investment segment recorded net gains of $254 million and $19 million for the three and nine months ended September 30, 2017, respectively, with respect to its investment in Hertz. As of September 30, 2017 and December 31, 2016, the aggregate fair value of our Investment segment's investment in Hertz was $524 million and $505 million, respectively.</w:t>
      </w:r>
    </w:p>
    <w:p>
      <w:pPr>
        <w:spacing w:after="0" w:line="76"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The Investment Funds also owned approximately 21.0% of the outstanding common stock of Herbalife Ltd. ("Herbalife") as of September 30, 2017. Beginning in the third quarter of 2016, this investment would have become subject to the equity method of accounting, after considering additional ownership in Herbalife by an affiliate of Mr. Icahn as well as the collective representation on the board of directors of Herbalife, however, our Investment segment elected to continue to apply the fair value option to this investment. Our Investment segment recorded net (losses) gains of $(64) million and $359 million for the three and nine months ended September 30, 2017, respectively, with respect to its investment in Herbalife, and for the three and nine months ended September 30, 2016, such gains were $52 million and $119 million, respectively. As of September 30, 2017 and December 31, 2016, the aggregate fair value of our Investment segment's investment in Herbalife was approximately $1.2 billion and $867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21"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disclosed in the table below, our investments are measured at fair value in our condensed consolidated balance sheets. The carrying value of investments held by our other segments and our Holding Company consist of the following:</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8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21"/>
                <w:szCs w:val="2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6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8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and non-financial assets and/or liabilities measured and reported at fair value are classified and disclosed in one of the following categories: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investments and non-financial assets and/or liabilities as of the reporting date.</w:t>
      </w:r>
    </w:p>
    <w:p>
      <w:pPr>
        <w:spacing w:after="0" w:line="117" w:lineRule="exact"/>
        <w:rPr>
          <w:sz w:val="20"/>
          <w:szCs w:val="20"/>
          <w:color w:val="auto"/>
        </w:rPr>
      </w:pPr>
    </w:p>
    <w:p>
      <w:pPr>
        <w:ind w:left="420" w:right="40"/>
        <w:spacing w:after="0" w:line="282"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w:t>
      </w:r>
    </w:p>
    <w:p>
      <w:pPr>
        <w:spacing w:after="0" w:line="54" w:lineRule="exact"/>
        <w:rPr>
          <w:sz w:val="20"/>
          <w:szCs w:val="20"/>
          <w:color w:val="auto"/>
        </w:rPr>
      </w:pPr>
    </w:p>
    <w:p>
      <w:pPr>
        <w:ind w:left="420" w:right="140"/>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December 31, 2016:</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 (Note 6)</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 (Note 6)</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ind w:left="180" w:hanging="172"/>
        <w:spacing w:after="0" w:line="233" w:lineRule="auto"/>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are classified within other assets in our condensed consolidated balance sheets.</w:t>
      </w:r>
    </w:p>
    <w:p>
      <w:pPr>
        <w:spacing w:after="0" w:line="17"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are classified within accrued expenses and other liabilities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-241300</wp:posOffset>
            </wp:positionV>
            <wp:extent cx="5128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 for Which We Use Level 3 Inputs to Determine Fair Value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16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1"/>
                <w:szCs w:val="2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70"/>
        </w:trPr>
        <w:tc>
          <w:tcPr>
            <w:tcW w:w="81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Net realized and unrealized gains</w:t>
            </w:r>
            <w:r>
              <w:rPr>
                <w:rFonts w:ascii="Times New Roman" w:cs="Times New Roman" w:eastAsia="Times New Roman" w:hAnsi="Times New Roman"/>
                <w:sz w:val="25"/>
                <w:szCs w:val="25"/>
                <w:color w:val="auto"/>
                <w:vertAlign w:val="superscript"/>
              </w:rPr>
              <w:t>(1)</w:t>
            </w:r>
          </w:p>
        </w:tc>
        <w:tc>
          <w:tcPr>
            <w:tcW w:w="1080" w:type="dxa"/>
            <w:vAlign w:val="bottom"/>
          </w:tcPr>
          <w:p>
            <w:pPr>
              <w:spacing w:after="0"/>
              <w:rPr>
                <w:sz w:val="23"/>
                <w:szCs w:val="23"/>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80" w:firstLine="8"/>
        <w:spacing w:after="0" w:line="296" w:lineRule="auto"/>
        <w:tabs>
          <w:tab w:leader="none" w:pos="14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net unrealized gains (losses) of $51 million and $(6) million for the nine months ended September 30, 2017 and 2016, respectively, relating to investments still held at September 30 of each respective period and which are included in net gain (loss) from investment activities in the condensed consolidated statements of operations.</w:t>
      </w:r>
    </w:p>
    <w:p>
      <w:pPr>
        <w:spacing w:after="0" w:line="5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Transfers out of Level 3 during the nine months ended September 30, 2016 primarily relates to our previously held corporate debt investment in TER of $126 million. The investment was transferred out of Level 3 following TER's emergence from bankruptcy on February 26, 2016 and subsequently becoming a wholly owned consolidated subsidiary of ours upon the extinguishment of their debt and its conversion to equity in TER. Purchases during the nine months ended September 30, 2016 relates to an increase in a certain investment classified as trading securities which is considered a Level 3 investment due to unobservable market data and is measured at fair value on a recurring basis. We determined the fair value of this investment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and other valuation techniques. As of September 30, 2017 and December 31, 2016, the fair value of this investment was $258 million and $207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 for Which We Use Level 3 Inputs to Determine Fair Value</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Certain assets measured at fair value using Level 3 inputs on a nonrecurring basis have been impaired. During the three months ended September 30, 2016, we recorded impairment charges of $79 million relating to property, plant and equipment. During the nine months ended September 30, 2017 and 2016, we recorded impairment charges of $2 million and $82 million, respectively,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nine months ended September 30, 2017, we recorded a loss of $6 million from marking inventory down to net realizable value at our Automotive segment. Additionally, in connection with our reclassification of certain assets from held and used to assets held for sale at our Railcar and Automotive segments, we recorded aggregate impairment charges of $6 million and $74 million for the three and nine months ended September 30, 2017, which represents the difference between the carrying value and fair value less cost to sell of such assets.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8, "Goodwill and Intangible Assets, Net," for discussion of our goodwill and intangible asset impairments.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12, "Segment Reporting," for total impairment recorded by each of our segments.</w:t>
      </w:r>
    </w:p>
    <w:p>
      <w:pPr>
        <w:spacing w:after="0" w:line="22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72"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7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September 30, 2017 and December 31, 2016 was $7 million and $39 million,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Federal-Mogul is exposed to market risk, such as fluctuations in foreign currency exchange rates, commodity prices and changes in interest rates, which may result in cash flow risks. To manage the volatility relating to these exposures, Federal-Mogul aggregates the exposures on a consolidated basis to take advantage of natural offsets. For exposures not offset within its operations, Federal-Mogul enters into various derivative transactions pursuant to its risk management policies, which prohibit holding or issuing derivative financial instruments for speculative purposes, and designation of derivative instruments is performed on a transaction basis to support hedge accounting. The changes in fair value of these hedging instruments are offset in part or in whole by corresponding changes in the fair value or cash flows of the underlying exposures being hedged. Federal-Mogul assesses the initial and ongoing effectiveness of its hedging relationships in accordance with its documented policy.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CVR Refining enters into commodity swap contracts in order to fix the margin on a portion of future production. Additionally, CVR Refining may 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price and basis swaps in order to fix the price on a portion of its commodity purchases and product sales. The physical volumes are not exchanged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are net settled with cash. The contract fair value of the commodity swaps is reflected on the condensed consolidated balance sheets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currently recognized in the condensed consolidated statements of operations. Quoted prices for similar assets or liabilities in active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(Level 2) are considered to determine the fair values for the purpose of marking to market the hedging instruments at each period end.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December 31, 2016, CVR Refining had open commodity swap instruments consisting of 16.2 million and 4.0 million barrels of crack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spreads, respectively, primarily to fix the margin on a portion of its future gasoline and distillate production.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Derivative Information</w:t>
      </w:r>
    </w:p>
    <w:p>
      <w:pPr>
        <w:spacing w:after="0" w:line="121"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Certain derivative contracts executed by the Investment Funds with a single counterparty, by our Automotive segment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consolidated fair values of our derivatives that are not designated as hedging instruments in accordance with U.S GAAP:</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 Derivatives</w:t>
            </w:r>
            <w:r>
              <w:rPr>
                <w:rFonts w:ascii="Times New Roman" w:cs="Times New Roman" w:eastAsia="Times New Roman" w:hAnsi="Times New Roman"/>
                <w:sz w:val="25"/>
                <w:szCs w:val="25"/>
                <w:b w:val="1"/>
                <w:bCs w:val="1"/>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Liability Derivatives</w:t>
            </w:r>
            <w:r>
              <w:rPr>
                <w:rFonts w:ascii="Times New Roman" w:cs="Times New Roman" w:eastAsia="Times New Roman" w:hAnsi="Times New Roman"/>
                <w:sz w:val="25"/>
                <w:szCs w:val="25"/>
                <w:b w:val="1"/>
                <w:bCs w:val="1"/>
                <w:color w:val="auto"/>
                <w:vertAlign w:val="superscript"/>
              </w:rPr>
              <w:t>(2)</w:t>
            </w:r>
          </w:p>
        </w:tc>
        <w:tc>
          <w:tcPr>
            <w:tcW w:w="64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9"/>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5"/>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4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680" w:type="dxa"/>
            <w:vAlign w:val="bottom"/>
            <w:gridSpan w:val="2"/>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Netting across contract types</w:t>
            </w:r>
            <w:r>
              <w:rPr>
                <w:rFonts w:ascii="Times New Roman" w:cs="Times New Roman" w:eastAsia="Times New Roman" w:hAnsi="Times New Roman"/>
                <w:sz w:val="25"/>
                <w:szCs w:val="25"/>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4"/>
        </w:trPr>
        <w:tc>
          <w:tcPr>
            <w:tcW w:w="46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asset derivatives are located within other assets in our condensed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liability derivatives are located within accrued expenses and other liabilities in our condensed consolidated balance sheets.</w:t>
      </w:r>
    </w:p>
    <w:p>
      <w:pPr>
        <w:spacing w:after="0" w:line="1" w:lineRule="exact"/>
        <w:rPr>
          <w:rFonts w:ascii="Times New Roman" w:cs="Times New Roman" w:eastAsia="Times New Roman" w:hAnsi="Times New Roman"/>
          <w:sz w:val="9"/>
          <w:szCs w:val="9"/>
          <w:color w:val="auto"/>
        </w:rPr>
      </w:pPr>
    </w:p>
    <w:p>
      <w:pPr>
        <w:ind w:left="180" w:right="340" w:hanging="172"/>
        <w:spacing w:after="0" w:line="258" w:lineRule="auto"/>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netting of cash collateral received and posted. The total collateral posted at September 30, 2017 and December 31, 2016 was $818 million and $634 million, respectively, across all counterparties, which are included in cash held at consolidated affiliated partnerships and restricted cash on the condensed consolidated balance sheets.</w:t>
      </w:r>
    </w:p>
    <w:p>
      <w:pPr>
        <w:spacing w:after="0" w:line="7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derivatives not designated as hedging instruments: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r>
              <w:rPr>
                <w:rFonts w:ascii="Times New Roman" w:cs="Times New Roman" w:eastAsia="Times New Roman" w:hAnsi="Times New Roman"/>
                <w:sz w:val="25"/>
                <w:szCs w:val="25"/>
                <w:b w:val="1"/>
                <w:bCs w:val="1"/>
                <w:color w:val="auto"/>
                <w:vertAlign w:val="superscript"/>
              </w:rPr>
              <w:t>(1)</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280" w:hanging="172"/>
        <w:spacing w:after="0" w:line="282" w:lineRule="auto"/>
        <w:tabs>
          <w:tab w:leader="none" w:pos="1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volume of our derivative activities based on their notional exposure, categorized by primary underlying risk, is as follows: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14,094</w:t>
            </w:r>
          </w:p>
        </w:tc>
        <w:tc>
          <w:tcPr>
            <w:tcW w:w="0" w:type="dxa"/>
            <w:vAlign w:val="bottom"/>
          </w:tcPr>
          <w:p>
            <w:pPr>
              <w:spacing w:after="0"/>
              <w:rPr>
                <w:sz w:val="1"/>
                <w:szCs w:val="1"/>
                <w:color w:val="auto"/>
              </w:rPr>
            </w:pPr>
          </w:p>
        </w:tc>
      </w:tr>
      <w:tr>
        <w:trPr>
          <w:trHeight w:val="279"/>
        </w:trPr>
        <w:tc>
          <w:tcPr>
            <w:tcW w:w="4680" w:type="dxa"/>
            <w:vAlign w:val="bottom"/>
          </w:tcPr>
          <w:p>
            <w:pPr>
              <w:ind w:left="280"/>
              <w:spacing w:after="0" w:line="278" w:lineRule="exact"/>
              <w:rPr>
                <w:sz w:val="20"/>
                <w:szCs w:val="20"/>
                <w:color w:val="auto"/>
              </w:rPr>
            </w:pPr>
            <w:r>
              <w:rPr>
                <w:rFonts w:ascii="Times New Roman" w:cs="Times New Roman" w:eastAsia="Times New Roman" w:hAnsi="Times New Roman"/>
                <w:sz w:val="18"/>
                <w:szCs w:val="18"/>
                <w:color w:val="auto"/>
              </w:rPr>
              <w:t>Credit contracts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4"/>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60" w:hanging="172"/>
        <w:spacing w:after="0" w:line="282" w:lineRule="auto"/>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our credit default swap positions was approximately $1.9 billion and $2.6 billion as of September 30, 2017 and December 31, 2016, respectively. However, because credit spreads cannot compress below zero, our downside short notional exposure to loss is $326 million and $472 million as of September 30, 2017 and December 31, 2016, respectively.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Non-Derivative Instruments Designated as Hedging Instruments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2017, Federal-Mogul has foreign currency denominated debt, of which $890 million is designated as a net investment hedge in certain foreign subsidiaries and affiliates of Federal-Mogul. Changes to its carrying value are included in other comprehensive loss as translation adjustments and other. These debt instruments are discussed further in Note 9, “Debt.” The amount recognized in accumulated other comprehensive loss for the three and nine months ended September 30, 2017 was a loss of $25 million and $71 million,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 Net</w:t>
            </w: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20" w:right="8260" w:hanging="412"/>
        <w:spacing w:after="0" w:line="412" w:lineRule="auto"/>
        <w:tabs>
          <w:tab w:leader="none" w:pos="33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color w:val="auto"/>
        </w:rPr>
        <w:t>Goodwill consists of the following:</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Net</w:t>
            </w: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1,125</w:t>
            </w: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Railcar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Packaging</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1,736</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1,673</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1,136</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w:t>
            </w:r>
          </w:p>
        </w:tc>
        <w:tc>
          <w:tcPr>
            <w:tcW w:w="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w:t>
            </w:r>
          </w:p>
        </w:tc>
      </w:tr>
      <w:tr>
        <w:trPr>
          <w:trHeight w:val="237"/>
        </w:trPr>
        <w:tc>
          <w:tcPr>
            <w:tcW w:w="2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2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774</w:t>
            </w:r>
          </w:p>
        </w:tc>
      </w:tr>
      <w:tr>
        <w:trPr>
          <w:trHeight w:val="73"/>
        </w:trPr>
        <w:tc>
          <w:tcPr>
            <w:tcW w:w="26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1,116</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33" w:right="259" w:bottom="144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$26 million and $23 million for the three months ended September 30, 2017 and 2016, respectively, and $75 million and $72 million for the nine months ended September 30, 2017 and 2016, respectively. We utilize the straight-line method of amortization, recognized over the estimated useful lives of the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Acquisitions during the three and nine months ended September 30, 2017 were not material individually or in the aggregate. As a result of certain acquisitions, our Automotive and Food Packaging segments allocated $47 million and $2 million, respectively, to goodwill during the nine months ended September 30, 2017. In addition, our Food Packaging segment allocated $25 million to definite-lived intangible assets amortized over a weighted average of 12 to 20 years. The purchase price allocations for the above acquisitions are not all final and are subject to change.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perform the annual goodwill impairment test for our Energy segment as of April 30 of each year, or more frequently if impairment indicators exist. During the first quarter of 2016, due to worsening sales trends for our Energy segment's petroleum reporting unit, we performed an interim goodwill impairment analysis. Based on this analysis, our Energy segment recognized a goodwill impairment charge of $574 million, which represented the full amount of the remaining goodwill allocated to the petroleum reporting unit as well as the Energy segment.</w:t>
      </w:r>
    </w:p>
    <w:p>
      <w:pPr>
        <w:spacing w:after="0" w:line="1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Refer to Note 12, "Segment Reporting," for debt balances for each of our segments and our Holding Company. Except for those described below, there were no other significant changes to our consolidated debt during the nine months ended September 30, 2017 as compared to that reported in our Annual Report on Form 10-K for the year ended December 31, 2016. Additionally, where applicable, we or our subsidiaries were in compliance with all covenants for their respective debt instruments as of September 30, 2017 and December 31, 2016.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 and Icahn Enterprises Holdings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January 18, 2017, we and a wholly owned subsidiary of ours, Icahn Enterprises Finance Corp. (collectively, the "Issuers"), issued $695 million in aggregate principal amount of 6.250% senior unsecured notes due 2022 and $500 million in aggregate principal amount of 6.750% senior unsecured notes due 2024 (collectively, the "New Notes"). The net proceeds from the sale of the New Notes were $1.190 billion, after deducting the initial purchaser’s discount and commission and estimated fees and expenses related to the offering. These proceeds were used to redeem all of the Issuer's outstanding senior unsecured notes due 2017, including accrued interest. Interest on the New Notes are payable on February 1 and August 1 of each year, commencing August 1, 2017. The Issuers issued the New Notes under an indenture dated January 18, 2017, among the Issuers, Icahn Enterprises Holdings (the "Guarantor"), and Wilmington Trust Company, as trustee. The indenture contains customary events of defaults and covenants relating to, among other things, the incurrence of debt, affiliate transactions, liens and restricted payments. Prior to maturity of the New Notes, the Issuers may redeem some or all of the notes at certain times by paying a premium as specified in the indenture, plus accrued and unpaid interest.</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7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March 22, 2017, the Issuers and the Guarantor filed a registration statement on Form S-4 with the SEC which offered to exchange the unregistered New Notes for registered, publicly tradable notes that have substantially identical terms as the New Notes. The registration statement on Form S-4 was declared effective by the SEC on April 27, 2017 and the exchange offer expired on May 24, 2017.</w:t>
      </w:r>
    </w:p>
    <w:p>
      <w:pPr>
        <w:spacing w:after="0" w:line="68"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2017, based on covenants in the indentures governing our senior unsecured notes, we are not permitted to incur additional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On March 30, 2017, Federal-Mogul issued €415 million in aggregate principal amount of 4.875% senior secured notes due 2022 and €300 million in aggregate principal amount of floating rate senior secured notes due 2024. Interest on the floating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33" w:right="2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rate notes will accrue at the three-month EURIBOR rate, with 0% floor, plus 4.875% per annum. These notes were issued without a discount and will rank equally in right of payment to all existing and future senior secured indebtedness of Federal-Mogul. Proceeds from the issuance of these notes were $776 million which were used to repay Federal-Mogul's tranche B term loan, including accrued interest, a portion of the outstanding balance on its revolving facility and fees and expenses related to the issuance of the notes.</w:t>
      </w:r>
    </w:p>
    <w:p>
      <w:pPr>
        <w:spacing w:after="0" w:line="7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June 29, 2017, Federal-Mogul issued €350 million in aggregate principal amount of 5.000% senior secured notes due 2024. These notes were issued without a discount and will rank equally in right of payment to all existing and future senior secured indebtedness of Federal-Mogul. Proceeds from the issuance of these notes were $395 million which were used to repay a portion of Federal-Mogul's tranche C term loan, including accrued interest, and fees and expenses related to the issuance of the notes.</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Federal-Mogul recognized an aggregate $4 million loss on the extinguishment of debt for the nine months ended September 30, 2017 for the write-off of prior debt issuance costs and original issue discounts related to the tranche B and tranche C term loans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Other Post-Retirement Benefits and Employee Benefit Plans.</w:t>
      </w:r>
    </w:p>
    <w:p>
      <w:pPr>
        <w:spacing w:after="0" w:line="12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Federal-Mogul, ARI and Viskase each sponsor several defined benefit pension plans (the ''Pension Benefits'') (and, in the case of Viskase, its pension plans include defined contribution plans). Additionally, Federal-Mogul and Viskase each sponsor health care and life insurance benefits (''Other Post-Retirement Benefits'') for certain employees and retirees around the world.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net periodic benefit cost for the three and nine months ended September 30, 2017 and 2016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3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4"/>
        </w:trPr>
        <w:tc>
          <w:tcPr>
            <w:tcW w:w="4680" w:type="dxa"/>
            <w:vAlign w:val="bottom"/>
          </w:tcPr>
          <w:p>
            <w:pPr>
              <w:spacing w:after="0"/>
              <w:rPr>
                <w:sz w:val="18"/>
                <w:szCs w:val="18"/>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r>
      <w:tr>
        <w:trPr>
          <w:trHeight w:val="238"/>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5"/>
        </w:trPr>
        <w:tc>
          <w:tcPr>
            <w:tcW w:w="4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4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6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67"/>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360" w:type="dxa"/>
            <w:vAlign w:val="bottom"/>
          </w:tcPr>
          <w:p>
            <w:pPr>
              <w:spacing w:after="0"/>
              <w:rPr>
                <w:sz w:val="24"/>
                <w:szCs w:val="24"/>
                <w:color w:val="auto"/>
              </w:rPr>
            </w:pPr>
          </w:p>
        </w:tc>
      </w:tr>
      <w:tr>
        <w:trPr>
          <w:trHeight w:val="27"/>
        </w:trPr>
        <w:tc>
          <w:tcPr>
            <w:tcW w:w="4680" w:type="dxa"/>
            <w:vAlign w:val="bottom"/>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4"/>
        </w:trPr>
        <w:tc>
          <w:tcPr>
            <w:tcW w:w="4680" w:type="dxa"/>
            <w:vAlign w:val="bottom"/>
          </w:tcPr>
          <w:p>
            <w:pPr>
              <w:spacing w:after="0"/>
              <w:rPr>
                <w:sz w:val="18"/>
                <w:szCs w:val="18"/>
                <w:color w:val="auto"/>
              </w:rPr>
            </w:pPr>
          </w:p>
        </w:tc>
        <w:tc>
          <w:tcPr>
            <w:tcW w:w="28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Pr>
          <w:p>
            <w:pPr>
              <w:spacing w:after="0"/>
              <w:rPr>
                <w:sz w:val="18"/>
                <w:szCs w:val="18"/>
                <w:color w:val="auto"/>
              </w:rPr>
            </w:pPr>
          </w:p>
        </w:tc>
      </w:tr>
      <w:tr>
        <w:trPr>
          <w:trHeight w:val="238"/>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5"/>
        </w:trPr>
        <w:tc>
          <w:tcPr>
            <w:tcW w:w="4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4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6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6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16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333" w:right="2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LP Unit.</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allocation of net income attributable to Icahn Enterprises allocable to limited partners and the computation of basic and diluted income (loss) per LP unit of Icahn Enterprises: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Icahn Enterprises allocable to</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10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6"/>
                <w:szCs w:val="16"/>
                <w:color w:val="auto"/>
              </w:rPr>
            </w:pPr>
          </w:p>
        </w:tc>
        <w:tc>
          <w:tcPr>
            <w:tcW w:w="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6"/>
                <w:szCs w:val="16"/>
                <w:color w:val="auto"/>
              </w:rPr>
            </w:pPr>
          </w:p>
        </w:tc>
        <w:tc>
          <w:tcPr>
            <w:tcW w:w="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limited partners (98.01% allocation)</w:t>
            </w:r>
          </w:p>
        </w:tc>
        <w:tc>
          <w:tcPr>
            <w:tcW w:w="106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 Rights Offering</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January 2017, Icahn Enterprises commenced a rights offering entitling holders of the rights to acquire newly issued depositary units of Icahn Enterprises. The rights offering, which expired on February 22, 2017, was fully subscribed with total basic subscription rights and over-subscription rights being exercised resulting in a total of 11,171,104 depositary units issued on March 1, 2017 and for aggregate proceeds of $600 million. Affiliates of Mr. Icahn fully exercised all of the basic subscription rights and over-subscription rights allocated to them in the rights offering aggregating 10,525,105 additional depositary units.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 Distributions</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27, 2017, Icahn Enterprises declared a quarterly distribution in the amount of $1.50 per depositary unit in which each depositary unit holder had the option to make an election to receive either cash or additional depositary units. As a result, on April 18, 2017, Icahn Enterprises distributed an aggregate 4,335,685 depositary units to unit holders electing to receive depositary units in connection with this distribution.</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May 3, 2017, Icahn Enterprises declared a quarterly distribution in the amount of $1.50 per depositary unit in which each depositary unit holder had the option to make an election to receive either cash or additional depositary units. As a result, on June 13, 2017, Icahn Enterprises distributed an aggregate 4,556,977 depositary units to unit holders electing to receive depositary units in connection with this distribution.</w:t>
      </w:r>
    </w:p>
    <w:p>
      <w:pPr>
        <w:spacing w:after="0" w:line="68"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On August 2, 2017, Icahn Enterprises declared a quarterly distribution in the amount of $1.50 per depositary unit in which each depositary unit holder had the option to make an election to receive either cash or additional depositary units. As a result, on September 15, 2017, Icahn Enterprises distributed an aggregate 4,272,982 depositary units to unit holders electing to receive depositary units in connection with this distribution.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Plan</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2017, Icahn Enterprises distributed 2,388 and 5,418 depositary units, respectively, net of payroll withholdings, with respect to certain restricted depositary units that vested during the period in connection with the 2017 Incentive Plan. The aggregate impact of the 2017 Incentive Plan is not material with respect to our condensed consolidated financial statements, including the calculation of potentially dilutive units.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81" w:lineRule="exact"/>
        <w:rPr>
          <w:sz w:val="20"/>
          <w:szCs w:val="20"/>
          <w:color w:val="auto"/>
        </w:rPr>
      </w:pPr>
    </w:p>
    <w:p>
      <w:pPr>
        <w:jc w:val="both"/>
        <w:ind w:right="440" w:firstLine="405"/>
        <w:spacing w:after="0" w:line="266" w:lineRule="auto"/>
        <w:rPr>
          <w:sz w:val="20"/>
          <w:szCs w:val="20"/>
          <w:color w:val="auto"/>
        </w:rPr>
      </w:pPr>
      <w:r>
        <w:rPr>
          <w:rFonts w:ascii="Times New Roman" w:cs="Times New Roman" w:eastAsia="Times New Roman" w:hAnsi="Times New Roman"/>
          <w:sz w:val="18"/>
          <w:szCs w:val="18"/>
          <w:color w:val="auto"/>
        </w:rPr>
        <w:t>Icahn Enterprises' condensed statements of operations by reporting segment for the three and nine months ended September 30, 2017 and 2016 are presented below. Icahn Enterprises Holdings' condensed statements of operations are substantially the same, with immaterial differences relating to our Holding Company's interest expense.</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10"/>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 30, 2017</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Real</w:t>
            </w:r>
          </w:p>
        </w:tc>
        <w:tc>
          <w:tcPr>
            <w:tcW w:w="10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Holding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8"/>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4,292</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420</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446</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5,680</w:t>
            </w:r>
          </w:p>
        </w:tc>
      </w:tr>
      <w:tr>
        <w:trPr>
          <w:trHeight w:val="2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3,679</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633</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207</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4,783</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107</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897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829</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2"/>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232</w:t>
            </w:r>
          </w:p>
        </w:tc>
      </w:t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73</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597</w:t>
            </w:r>
          </w:p>
        </w:tc>
      </w:tr>
      <w:tr>
        <w:trPr>
          <w:trHeight w:val="62"/>
        </w:trPr>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222</w:t>
            </w:r>
          </w:p>
        </w:tc>
      </w:tr>
      <w:tr>
        <w:trPr>
          <w:trHeight w:val="248"/>
        </w:trPr>
        <w:tc>
          <w:tcPr>
            <w:tcW w:w="2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-1649095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-3038475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11"/>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 30, 2016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Real</w:t>
            </w:r>
          </w:p>
        </w:tc>
        <w:tc>
          <w:tcPr>
            <w:tcW w:w="10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Holding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60" w:type="dxa"/>
            <w:vAlign w:val="bottom"/>
          </w:tcPr>
          <w:p>
            <w:pPr>
              <w:spacing w:after="0"/>
              <w:rPr>
                <w:sz w:val="12"/>
                <w:szCs w:val="12"/>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8"/>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3,904</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418</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4,899</w:t>
            </w:r>
          </w:p>
        </w:tc>
      </w:tr>
      <w:tr>
        <w:trPr>
          <w:trHeight w:val="2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3,378</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342</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603</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93</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222</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4,646</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253</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238</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2"/>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254</w:t>
            </w:r>
          </w:p>
        </w:tc>
      </w:t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(89)</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r>
      <w:tr>
        <w:trPr>
          <w:trHeight w:val="62"/>
        </w:trPr>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194</w:t>
            </w:r>
          </w:p>
        </w:tc>
      </w:tr>
      <w:tr>
        <w:trPr>
          <w:trHeight w:val="248"/>
        </w:trPr>
        <w:tc>
          <w:tcPr>
            <w:tcW w:w="2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258</w:t>
            </w:r>
          </w:p>
        </w:tc>
      </w:tr>
      <w:tr>
        <w:trPr>
          <w:trHeight w:val="405"/>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0"/>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 30, 2017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Real</w:t>
            </w:r>
          </w:p>
        </w:tc>
        <w:tc>
          <w:tcPr>
            <w:tcW w:w="10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Holding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60" w:type="dxa"/>
            <w:vAlign w:val="bottom"/>
          </w:tcPr>
          <w:p>
            <w:pPr>
              <w:spacing w:after="0"/>
              <w:rPr>
                <w:sz w:val="12"/>
                <w:szCs w:val="12"/>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8"/>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12,893</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1,389</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604</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1,966</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7,870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17,011</w:t>
            </w:r>
          </w:p>
        </w:tc>
      </w:tr>
      <w:tr>
        <w:trPr>
          <w:trHeight w:val="2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11,094</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1,883</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648</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7,838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14,507</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2,504</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569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2"/>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262</w:t>
            </w:r>
          </w:p>
        </w:tc>
      </w:t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561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1,063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2,132</w:t>
            </w:r>
          </w:p>
        </w:tc>
      </w:tr>
      <w:tr>
        <w:trPr>
          <w:trHeight w:val="62"/>
        </w:trPr>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692</w:t>
            </w:r>
          </w:p>
        </w:tc>
      </w:tr>
      <w:tr>
        <w:trPr>
          <w:trHeight w:val="248"/>
        </w:trPr>
        <w:tc>
          <w:tcPr>
            <w:tcW w:w="2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-5465445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-6168390</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-6528435</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-7917815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-585470</wp:posOffset>
            </wp:positionV>
            <wp:extent cx="1449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-1649095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-3038475</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60" w:top="333" w:right="259" w:bottom="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580" w:right="1440" w:bottom="1440" w:gutter="0" w:footer="0" w:header="0"/>
        </w:sectPr>
      </w:pPr>
    </w:p>
    <w:bookmarkStart w:id="34" w:name="page35"/>
    <w:bookmarkEnd w:id="3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93" w:lineRule="exact"/>
        <w:rPr>
          <w:sz w:val="20"/>
          <w:szCs w:val="20"/>
          <w:color w:val="auto"/>
        </w:rPr>
      </w:pPr>
    </w:p>
    <w:tbl>
      <w:tblPr>
        <w:tblLayout w:type="fixed"/>
        <w:tblInd w:w="12"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 30, 2016</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Real</w:t>
            </w:r>
          </w:p>
        </w:tc>
        <w:tc>
          <w:tcPr>
            <w:tcW w:w="10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Holding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60" w:type="dxa"/>
            <w:vAlign w:val="bottom"/>
          </w:tcPr>
          <w:p>
            <w:pPr>
              <w:spacing w:after="0"/>
              <w:rPr>
                <w:sz w:val="12"/>
                <w:szCs w:val="12"/>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8"/>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11,546</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1,506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(826)</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12,376</w:t>
            </w:r>
          </w:p>
        </w:tc>
      </w:tr>
      <w:tr>
        <w:trPr>
          <w:trHeight w:val="2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9,949</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902</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1,736</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670</w:t>
            </w: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665</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4,030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788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13,951</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(Loss) income before income tax (expense) benefit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(972)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(605)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(1,575)</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income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(972)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(1,656)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(loss) income attributable to non-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2"/>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(446)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(329)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(922)</w:t>
            </w:r>
          </w:p>
        </w:tc>
      </w:tr>
      <w:tr>
        <w:trPr>
          <w:trHeight w:val="62"/>
        </w:trPr>
        <w:tc>
          <w:tcPr>
            <w:tcW w:w="22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615</w:t>
            </w:r>
          </w:p>
        </w:tc>
      </w:tr>
      <w:tr>
        <w:trPr>
          <w:trHeight w:val="248"/>
        </w:trPr>
        <w:tc>
          <w:tcPr>
            <w:tcW w:w="2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-585470</wp:posOffset>
            </wp:positionV>
            <wp:extent cx="1449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-1649095</wp:posOffset>
            </wp:positionV>
            <wp:extent cx="1449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-3038475</wp:posOffset>
            </wp:positionV>
            <wp:extent cx="1449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172" w:right="160" w:hanging="172"/>
        <w:spacing w:after="0" w:line="281" w:lineRule="auto"/>
        <w:tabs>
          <w:tab w:leader="none" w:pos="172"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amounts related to the amortization of deferred financing costs and debt discounts and premiums included in interest expense in the amounts of $4 million and $6 million for the three months ended September 30, 2017 and 2016, respectively, and $13 million and $14 million for the nine months ended September 30, 2017 and 2016, respectively.</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92"/>
          </w:cols>
          <w:pgMar w:left="248" w:top="333" w:right="259" w:bottom="1440" w:gutter="0" w:footer="0" w:header="0"/>
        </w:sectPr>
      </w:pPr>
    </w:p>
    <w:bookmarkStart w:id="35" w:name="page36"/>
    <w:bookmarkEnd w:id="35"/>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Icahn Enterprises' condensed balance sheets by reporting segment as of September 30, 2017 and December 31, 2016 are presented below. Icahn Enterprises Holdings' condensed balance sheets are substantially the same, with immaterial differences relating to our Holding Company's other assets, debt and equity attributable to Icahn Enterprises Holdings.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35"/>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and restricted cash</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9,748</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1,853</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3,256</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9,631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2,271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3,021</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1,910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32,817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1,712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3,066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7,350</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1,258</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552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5,508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11,198</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3,573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7,644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912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441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5,724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21,619</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4,784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6,414</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7,437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3,007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2,249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998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984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851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(4,855)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11,198</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1,910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32,817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1,833</w:t>
            </w:r>
          </w:p>
        </w:tc>
        <w:tc>
          <w:tcPr>
            <w:tcW w:w="0" w:type="dxa"/>
            <w:vAlign w:val="bottom"/>
          </w:tcPr>
          <w:p>
            <w:pPr>
              <w:spacing w:after="0"/>
              <w:rPr>
                <w:sz w:val="1"/>
                <w:szCs w:val="1"/>
                <w:color w:val="auto"/>
              </w:rPr>
            </w:pPr>
          </w:p>
        </w:tc>
      </w:tr>
      <w:tr>
        <w:trPr>
          <w:trHeight w:val="135"/>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and restricted cash</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9,881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2,983</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10,122</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2,252</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3,887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33,371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1,236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2,870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8,191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1,139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3,725</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11,119</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6,100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7,242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2,680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5,658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25,354</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2,154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5,863</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5,396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642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(5,105)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8,017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33,371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70" w:orient="portrait"/>
          <w:cols w:equalWidth="0" w:num="1">
            <w:col w:w="11420"/>
          </w:cols>
          <w:pgMar w:left="240" w:top="333" w:right="239"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70" w:orient="portrait"/>
          <w:cols w:equalWidth="0" w:num="1">
            <w:col w:w="11420"/>
          </w:cols>
          <w:pgMar w:left="240" w:top="333" w:right="239" w:bottom="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7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2017, we recorded an income tax expense of $68 million on pre-tax income of $897 million compared to an income tax expense of $15 million on pre-tax income of $253 million for the three months ended September 30, 2016. Our effective income tax rate was 7.6% and 5.9% for the three months ended September 30, 2017 and 2016, respectively.</w:t>
      </w:r>
    </w:p>
    <w:p>
      <w:pPr>
        <w:spacing w:after="0" w:line="6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2017, the effective tax rate was lower than the statutory federal rate of 35%, primarily due to partnership income for which there was no tax expense, as such income is allocated to the partners.</w:t>
      </w:r>
    </w:p>
    <w:p>
      <w:pPr>
        <w:spacing w:after="0" w:line="5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2016, the effective tax rate was lower than the statutory federal rate of 35%, primarily due to partnership income not subject to taxation, as such income is allocated to the partners.</w:t>
      </w:r>
    </w:p>
    <w:p>
      <w:pPr>
        <w:spacing w:after="0" w:line="5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we recorded an income tax expense of $110 million on pre-tax income of approximately $2.5 billion compared to an income tax expense of $81 million on pre-tax loss of approximately $1.6 billion for the nine months ended September 30, 2016. Our effective income tax rate was 4.4% and (5.1)% for the nine months ended September 30, 2017 and 2016, respectively.</w:t>
      </w:r>
    </w:p>
    <w:p>
      <w:pPr>
        <w:spacing w:after="0" w:line="6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2017, the effective tax rate was lower than the statutory federal rate of 35%, primarily due to a decrease in the valuation allowance and partnership income for which there was no tax expense, as such income is allocated to the partners.</w:t>
      </w:r>
    </w:p>
    <w:p>
      <w:pPr>
        <w:spacing w:after="0" w:line="5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Hedge Instruments,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Adjustments and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Benefits, Net of Tax</w:t>
            </w: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1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Other, Net of Tax</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5"/>
        </w:trPr>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5"/>
          </w:tcPr>
          <w:p>
            <w:pPr>
              <w:ind w:left="110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5"/>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61"/>
        </w:trPr>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00"/>
          </w:cols>
          <w:pgMar w:left="240" w:top="333" w:right="2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Other Income, Net.</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4"/>
        </w:trPr>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6"/>
        </w:trPr>
        <w:tc>
          <w:tcPr>
            <w:tcW w:w="4700" w:type="dxa"/>
            <w:vAlign w:val="bottom"/>
          </w:tcPr>
          <w:p>
            <w:pPr>
              <w:spacing w:after="0"/>
              <w:rPr>
                <w:sz w:val="24"/>
                <w:szCs w:val="24"/>
                <w:color w:val="auto"/>
              </w:rPr>
            </w:pPr>
          </w:p>
        </w:tc>
        <w:tc>
          <w:tcPr>
            <w:tcW w:w="28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and unrealized loss on derivatives, net (Note 6)</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derivative loss</w:t>
            </w:r>
          </w:p>
        </w:tc>
        <w:tc>
          <w:tcPr>
            <w:tcW w:w="10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expense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(Note 9)</w:t>
            </w:r>
          </w:p>
        </w:tc>
        <w:tc>
          <w:tcPr>
            <w:tcW w:w="10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0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settlement gain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$49 million and $50 million as of September 30, 2017 and December 31, 2016, respectively, primarily within our Automotive, Energy and Metals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EPA,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the professional judgment of consultants.</w:t>
      </w:r>
    </w:p>
    <w:p>
      <w:pPr>
        <w:spacing w:after="0" w:line="7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Automotive segment's total environmental liabilities, determined on an undiscounted basis, were $15 million and $16 million as of September 30, 2017 and December 31, 2016, respectively. Federal-Mogul believes that recorded environmental liabilities will be adequate to cover its estimated liability for its exposure in respect to such matters. In the event that such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liabilities were to significantly exceed the amounts recorded by Federal-Mogul, our Automotive segment's results of operations could be materially affected. At September 30, 2017, Federal-Mogul estimates reasonably possible material additional losses, above and beyond its best estimate of required remediation costs as recorded, to approximate $40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Except as otherwise described below, there have been no new developments or material changes to the environmental accruals or expected capital expenditures related to compliance with the environmental matters from those disclosed in our Annual Report on Form 10-K for the year ended December 31, 2016. CVR Energy believes the petroleum and nitrogen fertilizer businesses are in material compliance with existing EHS rules and regulations. There can be no assurance that the EHS matters described or referenced herein or other EHS matters which may develop in the future will not have a material adverse effect on CVR Energy's business, financial condition or results of operations.</w:t>
      </w:r>
    </w:p>
    <w:p>
      <w:pPr>
        <w:spacing w:after="0" w:line="7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2017 and December 31, 2016, our Energy segment had environmental accruals of $4 million and $5 million, respectively. CVR Energy's management periodically reviews and, as appropriate, revises its environmental accruals. Based on current information and regulatory requirements, CVR Energy's management believes that the accruals established for environmental expenditures are adequate.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Environmental expenditures are capitalized when such expenditures are expected to result in future economic benefits. Capital expenditures incurred for environmental compliance and efficiency of the operations were $5 million and $7 million for the three months ended September 30, 2017 and 2016, respectively, and $12 million and $13 million for the nine months ended September 30, 2017 and 2016,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locations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at this location.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September 30, 2017 and December 31, 2016. If it is determined that PSC Metals has liability to remediate those sites and that more expensive remediation approaches are required in the future, PSC Metals could incur additional obligations, which could be material to its operations.</w:t>
      </w:r>
    </w:p>
    <w:p>
      <w:pPr>
        <w:spacing w:after="0" w:line="7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MDNR’s claims and required limited soil remediation at the 15 residences. PSC Metals has complied with the terms of the settlement agreement and expects its obligations under the settlement agreement to terminate in the near future. PSC Metals believes that it has adequately reserved for the cost of compliance with the settlement agreement. Additionally, PSC Metals believes that liability for off-site contamination was retained by the prior owner of the Festus yard and accordingly, it would have a claim for indemnification against the prior owner.</w:t>
      </w:r>
    </w:p>
    <w:p>
      <w:pPr>
        <w:spacing w:after="0" w:line="7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3"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$28 million and $28 million at September 30, 2017 and December 31, 2016,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Fuel Standards</w:t>
      </w:r>
    </w:p>
    <w:p>
      <w:pPr>
        <w:spacing w:after="0" w:line="12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CVR Refining is subject to the Renewable Fuel Standard which requires refiners to either blend "renewable fuels" with their transportation fuels or purchase renewable fuel credits, known as renewable identification numbers (“RINs”), in lieu of blending, by March 31, 2018 or otherwise be subject to penalties.</w:t>
      </w:r>
    </w:p>
    <w:p>
      <w:pPr>
        <w:spacing w:after="0" w:line="6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On December 12, 2016, the United States Environmental Protection Agency ("EPA") published in the Federal Register a final rule establishing the renewable fuel volume mandates for 2017, and the biomass-based diesel mandate for 2018. On July 21, 2017, the EPA published in the Federal Register its proposed rule establishing the renewable fuel volume mandates for 2018, and the biomass-based diesel mandate for 2019. The EPA is required by the Clean Air Act to publish the final rule for 2018 by November 30, 2017.</w:t>
      </w:r>
    </w:p>
    <w:p>
      <w:pPr>
        <w:spacing w:after="0" w:line="7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RINs expense was $64 million and $58 million for three months ended September 30, 2017 and 2016, respectively, and $164 million and $152 million for nine months ended September 30, 2017 and 2016, respectively. RINs expense includes the impact of recognizing the petroleum business' uncommitted biofuel blending obligation at fair value based on market prices at each reporting date. As of September 30, 2017 and December 31, 2016, the petroleum business' biofuel blending obligation was $185 million and $186 million, respectively, which is included in accrued expenses and other liabilities in our condensed consolidated balance sheets. The petroleum business' uncommitted biofuel blending obligation recognized at fair value as of September 30, 2017 and December 31, 2016 was $127 million and $186 million,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Times New Roman" w:cs="Times New Roman" w:eastAsia="Times New Roman" w:hAnsi="Times New Roman"/>
          <w:sz w:val="18"/>
          <w:szCs w:val="18"/>
          <w:i w:val="1"/>
          <w:iCs w:val="1"/>
          <w:color w:val="auto"/>
        </w:rPr>
        <w:t>In re Appraisal of Federal-Mogul Holdings LLC, C.A. No. 2017-0158-AGB</w:t>
      </w:r>
      <w:r>
        <w:rPr>
          <w:rFonts w:ascii="Times New Roman" w:cs="Times New Roman" w:eastAsia="Times New Roman" w:hAnsi="Times New Roman"/>
          <w:sz w:val="18"/>
          <w:szCs w:val="18"/>
          <w:color w:val="auto"/>
        </w:rPr>
        <w:t>. Discovery is ongoing and a trial date has not yet been set. Federal-Mogul believes that it has a meritorious defense and intends to vigorously defend the matter.</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the outcome of this litigation will have a material impact on its financial statements.</w:t>
      </w:r>
    </w:p>
    <w:p>
      <w:pPr>
        <w:spacing w:after="0" w:line="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September 29, 2016, September 30, 2016, October 12, 2016 and October 19, 2016, respectively, four putative class actions, captioned </w:t>
      </w:r>
      <w:r>
        <w:rPr>
          <w:rFonts w:ascii="Times New Roman" w:cs="Times New Roman" w:eastAsia="Times New Roman" w:hAnsi="Times New Roman"/>
          <w:sz w:val="18"/>
          <w:szCs w:val="18"/>
          <w:i w:val="1"/>
          <w:iCs w:val="1"/>
          <w:color w:val="auto"/>
        </w:rPr>
        <w:t>Skybo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Ninivaggi et al.</w:t>
      </w:r>
      <w:r>
        <w:rPr>
          <w:rFonts w:ascii="Times New Roman" w:cs="Times New Roman" w:eastAsia="Times New Roman" w:hAnsi="Times New Roman"/>
          <w:sz w:val="18"/>
          <w:szCs w:val="18"/>
          <w:color w:val="auto"/>
        </w:rPr>
        <w:t>, C.A. No. 12790,</w:t>
      </w:r>
      <w:r>
        <w:rPr>
          <w:rFonts w:ascii="Times New Roman" w:cs="Times New Roman" w:eastAsia="Times New Roman" w:hAnsi="Times New Roman"/>
          <w:sz w:val="18"/>
          <w:szCs w:val="18"/>
          <w:i w:val="1"/>
          <w:iCs w:val="1"/>
          <w:color w:val="auto"/>
        </w:rPr>
        <w:t xml:space="preserve"> Lemanchek v. Ninivaggi et al.</w:t>
      </w:r>
      <w:r>
        <w:rPr>
          <w:rFonts w:ascii="Times New Roman" w:cs="Times New Roman" w:eastAsia="Times New Roman" w:hAnsi="Times New Roman"/>
          <w:sz w:val="18"/>
          <w:szCs w:val="18"/>
          <w:color w:val="auto"/>
        </w:rPr>
        <w:t>, C.A. No. 12791,</w:t>
      </w:r>
      <w:r>
        <w:rPr>
          <w:rFonts w:ascii="Times New Roman" w:cs="Times New Roman" w:eastAsia="Times New Roman" w:hAnsi="Times New Roman"/>
          <w:sz w:val="18"/>
          <w:szCs w:val="18"/>
          <w:i w:val="1"/>
          <w:iCs w:val="1"/>
          <w:color w:val="auto"/>
        </w:rPr>
        <w:t xml:space="preserve"> Raul v. Ninivaggi et al.</w:t>
      </w:r>
      <w:r>
        <w:rPr>
          <w:rFonts w:ascii="Times New Roman" w:cs="Times New Roman" w:eastAsia="Times New Roman" w:hAnsi="Times New Roman"/>
          <w:sz w:val="18"/>
          <w:szCs w:val="18"/>
          <w:color w:val="auto"/>
        </w:rPr>
        <w:t>, C.A. No. 12821 and</w:t>
      </w:r>
      <w:r>
        <w:rPr>
          <w:rFonts w:ascii="Times New Roman" w:cs="Times New Roman" w:eastAsia="Times New Roman" w:hAnsi="Times New Roman"/>
          <w:sz w:val="18"/>
          <w:szCs w:val="18"/>
          <w:i w:val="1"/>
          <w:iCs w:val="1"/>
          <w:color w:val="auto"/>
        </w:rPr>
        <w:t xml:space="preserve"> Mercado v. Ninivaggi et 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 No. 12837, were filed in the Court of Chancery of the State of Delaware against the Board of Directors of Federal-Mogul (the "FM Board") and Icahn Enterprises, Icahn Enterprises Holdings, certain of their affiliates and Icahn Enterprises' Board of Directors (the "Icahn Defendants"), and, in the case of </w:t>
      </w:r>
      <w:r>
        <w:rPr>
          <w:rFonts w:ascii="Times New Roman" w:cs="Times New Roman" w:eastAsia="Times New Roman" w:hAnsi="Times New Roman"/>
          <w:sz w:val="18"/>
          <w:szCs w:val="18"/>
          <w:i w:val="1"/>
          <w:iCs w:val="1"/>
          <w:color w:val="auto"/>
        </w:rPr>
        <w:t>Raul</w:t>
      </w:r>
      <w:r>
        <w:rPr>
          <w:rFonts w:ascii="Times New Roman" w:cs="Times New Roman" w:eastAsia="Times New Roman" w:hAnsi="Times New Roman"/>
          <w:sz w:val="18"/>
          <w:szCs w:val="18"/>
          <w:color w:val="auto"/>
        </w:rPr>
        <w:t>, Federal-Mogul. The complaints allege that, among other things, the FM Board breached its fiduciary duties by approving the proposed Merger Agreement, that the Icahn Defendants breached their fiduciary duties to the minority stockholders of Federal-Mogul and/or aided and abetted the FM Board’s breaches of its fiduciary duties, as well as alleging certain material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333" w:right="2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misstatements and omissions in the Schedule 14D-9 filed by Federal-Mogul (the "Schedule 14D-9"). The complaints allege that, among other things, the then-Offer Price was inadequate and, together with that the Merger Agreement, was the result of a flawed and unfair sales process and conflicts of interest of the FM Board and the special committee of independent directors of Federal-Mogul (the "Special Committee"), alleging that the Special Committee and Federal-Mogul’s management lacked independence from the Icahn Defendants. In addition, the complaints allege that the Merger Agreement contains certain allegedly preclusive deal protection provisions, including a no-solicitation provision, an information rights provision and a matching rights provision. Among other things, the complaints sought to enjoin the transactions contemplated by the Merger Agreement, as well as award costs and disbursements, including reasonable attorneys’ and experts’ fees. The </w:t>
      </w:r>
      <w:r>
        <w:rPr>
          <w:rFonts w:ascii="Times New Roman" w:cs="Times New Roman" w:eastAsia="Times New Roman" w:hAnsi="Times New Roman"/>
          <w:sz w:val="18"/>
          <w:szCs w:val="18"/>
          <w:i w:val="1"/>
          <w:iCs w:val="1"/>
          <w:color w:val="auto"/>
        </w:rPr>
        <w:t>Raul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Mercado</w:t>
      </w:r>
      <w:r>
        <w:rPr>
          <w:rFonts w:ascii="Times New Roman" w:cs="Times New Roman" w:eastAsia="Times New Roman" w:hAnsi="Times New Roman"/>
          <w:sz w:val="18"/>
          <w:szCs w:val="18"/>
          <w:color w:val="auto"/>
        </w:rPr>
        <w:t xml:space="preserve"> complaints further seek to rescind the transaction or award rescissory damages, or (in the case of </w:t>
      </w:r>
      <w:r>
        <w:rPr>
          <w:rFonts w:ascii="Times New Roman" w:cs="Times New Roman" w:eastAsia="Times New Roman" w:hAnsi="Times New Roman"/>
          <w:sz w:val="18"/>
          <w:szCs w:val="18"/>
          <w:i w:val="1"/>
          <w:iCs w:val="1"/>
          <w:color w:val="auto"/>
        </w:rPr>
        <w:t>Raul</w:t>
      </w:r>
      <w:r>
        <w:rPr>
          <w:rFonts w:ascii="Times New Roman" w:cs="Times New Roman" w:eastAsia="Times New Roman" w:hAnsi="Times New Roman"/>
          <w:sz w:val="18"/>
          <w:szCs w:val="18"/>
          <w:color w:val="auto"/>
        </w:rPr>
        <w:t xml:space="preserve">) award a quasi-appraisal remedy in the event that the transaction was consummated, as well as award money damages. On October 28, 2016, all four actions were consolidated under the caption </w:t>
      </w:r>
      <w:r>
        <w:rPr>
          <w:rFonts w:ascii="Times New Roman" w:cs="Times New Roman" w:eastAsia="Times New Roman" w:hAnsi="Times New Roman"/>
          <w:sz w:val="18"/>
          <w:szCs w:val="18"/>
          <w:i w:val="1"/>
          <w:iCs w:val="1"/>
          <w:color w:val="auto"/>
        </w:rPr>
        <w:t>In re Federal-Mogul Holdings, Inc. Stockholder Litigation</w:t>
      </w:r>
      <w:r>
        <w:rPr>
          <w:rFonts w:ascii="Times New Roman" w:cs="Times New Roman" w:eastAsia="Times New Roman" w:hAnsi="Times New Roman"/>
          <w:sz w:val="18"/>
          <w:szCs w:val="18"/>
          <w:color w:val="auto"/>
        </w:rPr>
        <w:t>, C.A. No. 12790-CB (the "Delaware Action"). On March 6, 2017, plaintiffs filed a consolidated amended complaint that does not name Federal-Mogul as a defendant. Among other things, the consolidated amended complaint also adds allegations regarding the commencement and extension of the Offer, the increase in the Offer price, the closing of the transaction, Federal-Mogul's subsequent performance and public statements, Mr. Ninivaggi’s post-merger employment with Icahn Enterprises and the independence of the chairman of the Special Committee. The Icahn Defendants have moved to dismiss the amended complaint and discovery was stayed pending determination of that motion. In lieu of proceeding with the October 12, 2017 hearing on the Icahn Defendants' motion to dismiss, the plaintiffs in the Delaware Action dismissed the Delaware Action, with prejudice as to the named plaintiffs.</w:t>
      </w:r>
    </w:p>
    <w:p>
      <w:pPr>
        <w:spacing w:after="0" w:line="87"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On October 5, 2016, a putative class action captioned </w:t>
      </w:r>
      <w:r>
        <w:rPr>
          <w:rFonts w:ascii="Times New Roman" w:cs="Times New Roman" w:eastAsia="Times New Roman" w:hAnsi="Times New Roman"/>
          <w:sz w:val="18"/>
          <w:szCs w:val="18"/>
          <w:i w:val="1"/>
          <w:iCs w:val="1"/>
          <w:color w:val="auto"/>
        </w:rPr>
        <w:t>Sanders v. Federal-Mogul Holdings Corporation et al.</w:t>
      </w:r>
      <w:r>
        <w:rPr>
          <w:rFonts w:ascii="Times New Roman" w:cs="Times New Roman" w:eastAsia="Times New Roman" w:hAnsi="Times New Roman"/>
          <w:sz w:val="18"/>
          <w:szCs w:val="18"/>
          <w:color w:val="auto"/>
        </w:rPr>
        <w:t>, C.A. No. 16-155387 was filed in the Circuit Court for Oakland County of the State of Michigan against Federal-Mogul, the FM Board and the Icahn Defendants (the "Michigan Action"). The complaint alleges, among other things, that the FM Board breached its fiduciary duties and that Federal-Mogul and the Icahn Defendants aided and abetted the FM Board’s breaches of its fiduciary duties, as well as alleging certain material misstatements and omissions in the Schedule 14D-9. The complaint alleges that, among other things, the then-Offer Price was unfair and the result of an unfair sales process that included conflicts of interest. In addition, the complaint alleges that the Merger Agreement contains certain allegedly preclusive deal protection provisions, including a no-solicitation provision, an information rights provision and a matching rights provision. Among other things, the complaint sought to enjoin the transactions contemplated by the Merger Agreement, or, in the event that the transactions were consummated, rescind the transactions or award rescissory damages, as well as award money damages and costs, including reasonable attorneys’ and experts’ fees. On March 6, 2017, the plaintiffs filed an amended complaint which, among other things, dropped Federal-Mogul as a defendant. The amended complaint also: named certain additional Icahn-affiliated individuals and entities as defendants; deleted various allegations relating to process and purported disclosure deficiencies; added allegations regarding the commencement and extension of the Offer, the increase in the Offer price, the closing of the transaction, Federal-Mogul's subsequent performance and public statements, Mr. Ninivaggi’s post-merger employment with Icahn Enterprises, and the independence of certain directors; and eliminated the request for injunctive relief given the consummation of the transaction. On April 4, 2017, the Court entered a stipulated order staying the Michigan Action pending final determination of the Delaware Action. On October 16, 2017, the plaintiffs in the Michigan Action dismissed the Michigan Action, with prejudice as to the named plaintiffs.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 Directive</w:t>
      </w:r>
    </w:p>
    <w:p>
      <w:pPr>
        <w:spacing w:after="0" w:line="119"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On September 30, 2016, the Federal Railroad Administration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w:t>
      </w:r>
    </w:p>
    <w:p>
      <w:pPr>
        <w:spacing w:after="0" w:line="7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November 18, 2016 (the "Issuance Date"), the FRA issued RWD No. 2016-01 [Revised] (the "Revised Directive"). The Revised Directive changes and supersedes the Original Directive in several ways.</w:t>
      </w:r>
    </w:p>
    <w:p>
      <w:pPr>
        <w:spacing w:after="0" w:line="5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Revised Directive requires owners to identify their subject tank railcars and then from that population identify the 15% of subject tank railcars currently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15% of their subject tank railcars identified to be in hazardous materials service with the highest mileage. The FRA reserved the right to impose additional test and inspection requirements for the remaining tank railcars subject to the Revised Directive.</w:t>
      </w:r>
    </w:p>
    <w:p>
      <w:pPr>
        <w:spacing w:after="0" w:line="54"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Although the Revised Directive addressed some of our Railcar segment's concerns and clarifies certain requirements of the Original Directive, our Railcar segment identified significant issues with the Revised Directive. As a result, in December 2016, our Railcar segment sought judicial review of and relief from the Revised Directive by filing a petition for review against the FRA in the United States Court of Appeals for the District of Columbia Circuit.</w:t>
      </w:r>
    </w:p>
    <w:p>
      <w:pPr>
        <w:spacing w:after="0" w:line="6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August 17, 2017, our Railcar segment entered into a settlement agreement with the FRA, which covered the subject railcars owned by our Railcar segment. This agreement, among other things, extends the deadline for our Railcar segment to complete the inspection, testing and repairs, if needed, for the 15% identified railcars to December 31, 2017. Adding clarity regarding certain unknown requirements referenced in the Revised Directive, under the settlement agreement, our Railcar segment is required to inspect, test, and if necessary repair the remaining 85% subject tank railcars at the next tank railcar qualification, scheduled routine or regular maintenance, shopping or repair event, but no later than December 31, 2025. However, the settlement agreement permits our Railcar segment to: (i) if the FRA does not impose a similar requirement by July 31, 2018 on other owners’ railcars subject to the Revised Directive, suspend compliance with this requirement until such time as the FRA imposes requirements on all 85% railcars subject to the Revised Directive, and (ii) elect to be governed by any different requirements later imposed by the FRA on other owners’ railcars subject to the Revised Directive. In addition, the settlement agreement also provides that railcars owned by our Railcar segment are no longer required to have a surface inspection performed when the railcars are being inspected pursuant to the Revised Directive. The description above includes a summary of the terms of the settlement agreement. Finally, as part of the settlement agreement, our Railcar segment dismissed its lawsuit against the FRA.</w:t>
      </w:r>
    </w:p>
    <w:p>
      <w:pPr>
        <w:spacing w:after="0" w:line="8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It also provides that all other tank railcars subject to the Revised Directive must be inspected, tested, and if necessary repaired at the earlier of the next qualification, scheduled maintenance, shopping or repair event, or December 31, 2025. Additionally, the settlement agreement provides flexibility if the FRA imposes, or fails to impose, requirements on the other owners of the tank railcars subject to the Revised Directive, and it modifies and clarifies the inspection protocol. Finally, pursuant to the settlement agreement, our Railcar segment has dismissed its petition for review of the Revised Directive.</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Railcar segment has evaluated its potential exposure related to the Revised Directive and has a loss contingency reserve remaining of $13 million, as of September 30, 2017, to cover its probable and estimable liabilities with respect to our Railcar segment's response to the Revised Directive. The loss contingency amount takes into account information available as of September 30, 2017 and our Railcar segment's contractual obligations in its capacity as both a manufacturer and owner of railcars subject to the Revised Directive. This amount is included in accrued expenses and other liabilities on the condensed consolidated balance sheets. This amount will continue to be evaluated as our Railcar segment's and its customers' compliance with the Revised Directive and the settlement agreement progress. Actual results could differ from this estimate.</w:t>
      </w:r>
    </w:p>
    <w:p>
      <w:pPr>
        <w:spacing w:after="0" w:line="80"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It is reasonably possible that a loss exists in excess of the amount accrued by our Railcar segment. However, the amount of potential costs and expenses expected to be incurred for compliance with the Revised Directive in excess of the loss contingency reserve of $13 million cannot be reasonably estimated at this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90.8% of Icahn Enterprises' outstanding depositary units as of September 30, 2017.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Therefore, as a result of our ownership of more than 80% in certain of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September 30, 2017 and December 31, 2016. If the plans were voluntarily terminated, they would be underfunded by approximately $452 million and $613 million as of September 30, 2017 and December 31, 2016, respectively. These results are based on the most recent information provided by the plans’ actuaries. These liabilities could increase 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333" w:right="2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4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6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Cash Flow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p>
      <w:pPr>
        <w:spacing w:after="0" w:line="16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payments for income taxes</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subsidiary common stock included in accrued expenses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financing secured mortgages resulting from disposition of assets</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subsidiaries prior to acquiring a controlling interest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LP unit issuance for remaining 25% interest in ARL</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Subsidiary common unit issuance for acquisition of CVR Nitrogen</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 included in accounts payable, accrued expenses and other liabilities</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November 1, 2017,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December 20, 2017 to depositary unit holders of record at the close of business on November 13, 2017. Depositary unit holders have until December 8, 2017 to make an election to receive either cash or additional depositary units; if a holder does not make an election, it will automatically be deemed to have elected to receive the distribution in cash. Depositary unit holders who elect to receive additional depositary units will receive units valued at the volume weighted average trading price of the units on NASDAQ during the 5 consecutive trading days ending December 15, 2017.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Subsequent to September 30, 2017, our Automotive segment acquired an automotive services business for a purchase price of $120 million, net of cash acquired.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Subsequent to September 30, 2017, we sold an additional 4,382 railcars to SMBC Rail for $522 million, resulting in a $154 million pretax gain on disposition of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20"/>
          </w:cols>
          <w:pgMar w:left="24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September 30, 2017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Icahn Enterprises L.P. ("Icahn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it is necessary to an understanding of the businesses. References to "we," "our" or "us" herein include both Icahn Enterprises and Icahn Enterprises Holdings and their subsidiaries, unless the context otherwise requires.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Results of operations for our operating businesses primarily consist of net sales of various products, services revenue, casino related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 addition to the summary below, refer to Note 12, "Segment Reporting," to the condensed consolidated financial statements for a reconciliation of each of our reporting segment's results of operations to our consolidated results.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w:t>
            </w:r>
          </w:p>
        </w:tc>
      </w:tr>
      <w:tr>
        <w:trPr>
          <w:trHeight w:val="238"/>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c>
          <w:tcPr>
            <w:tcW w:w="120" w:type="dxa"/>
            <w:vAlign w:val="bottom"/>
          </w:tcPr>
          <w:p>
            <w:pPr>
              <w:spacing w:after="0"/>
              <w:rPr>
                <w:sz w:val="20"/>
                <w:szCs w:val="20"/>
                <w:color w:val="auto"/>
              </w:rPr>
            </w:pPr>
          </w:p>
        </w:tc>
        <w:tc>
          <w:tcPr>
            <w:tcW w:w="27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Icahn Enterprises</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4"/>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27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5"/>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26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41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5" w:name="page46"/>
    <w:bookmarkEnd w:id="4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w:t>
            </w:r>
          </w:p>
        </w:tc>
      </w:tr>
      <w:tr>
        <w:trPr>
          <w:trHeight w:val="238"/>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c>
          <w:tcPr>
            <w:tcW w:w="120" w:type="dxa"/>
            <w:vAlign w:val="bottom"/>
          </w:tcPr>
          <w:p>
            <w:pPr>
              <w:spacing w:after="0"/>
              <w:rPr>
                <w:sz w:val="20"/>
                <w:szCs w:val="20"/>
                <w:color w:val="auto"/>
              </w:rPr>
            </w:pPr>
          </w:p>
        </w:tc>
        <w:tc>
          <w:tcPr>
            <w:tcW w:w="2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Icahn Enterprises</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4"/>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20" w:type="dxa"/>
            <w:vAlign w:val="bottom"/>
          </w:tcPr>
          <w:p>
            <w:pPr>
              <w:spacing w:after="0"/>
              <w:rPr>
                <w:sz w:val="18"/>
                <w:szCs w:val="18"/>
                <w:color w:val="auto"/>
              </w:rPr>
            </w:pPr>
          </w:p>
        </w:tc>
        <w:tc>
          <w:tcPr>
            <w:tcW w:w="26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27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2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center"/>
              <w:ind w:left="551"/>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Railcar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7"/>
        </w:trPr>
        <w:tc>
          <w:tcPr>
            <w:tcW w:w="26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17,011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 September 30, 2017 and December 31, 2016, we had investments with a fair market value of approximately $2.9 billion and $1.7 billion, respectively, in the Investment Funds. As of September 30, 2017 and December 31, 2016, the total fair market value of investments in the Investment Funds made by Mr. Icahn and his affiliates (excluding us) was approximately $4.6 billion and $3.7 billion, respectively.</w:t>
      </w:r>
    </w:p>
    <w:p>
      <w:pPr>
        <w:spacing w:after="0" w:line="72" w:lineRule="exact"/>
        <w:rPr>
          <w:sz w:val="20"/>
          <w:szCs w:val="20"/>
          <w:color w:val="auto"/>
        </w:rPr>
      </w:pPr>
    </w:p>
    <w:p>
      <w:pPr>
        <w:ind w:firstLine="378"/>
        <w:spacing w:after="0" w:line="254"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(loss) on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the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2017.</w:t>
      </w:r>
    </w:p>
    <w:p>
      <w:pPr>
        <w:spacing w:after="0" w:line="81" w:lineRule="exact"/>
        <w:rPr>
          <w:sz w:val="20"/>
          <w:szCs w:val="20"/>
          <w:color w:val="auto"/>
        </w:rPr>
      </w:pPr>
    </w:p>
    <w:p>
      <w:pPr>
        <w:ind w:right="340" w:firstLine="37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2017 and 2016, our Investment Funds' returns were 5.1% and 6.5%, respectively, and for the nine months ended September 30, 2017 and 2016, such returns were 6.6% and (12.7)%, respectively. Our Investment Funds' returns represent a weighted-average composite of the average returns, net of expenses. The following table sets forth the performance attribution for the Investment Funds' returns.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1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320" w:type="dxa"/>
            <w:vAlign w:val="bottom"/>
          </w:tcPr>
          <w:p>
            <w:pPr>
              <w:spacing w:after="0"/>
              <w:rPr>
                <w:sz w:val="20"/>
                <w:szCs w:val="20"/>
                <w:color w:val="auto"/>
              </w:rPr>
            </w:pPr>
          </w:p>
        </w:tc>
        <w:tc>
          <w:tcPr>
            <w:tcW w:w="20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positions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positions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5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53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5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4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46" w:name="page47"/>
    <w:bookmarkEnd w:id="46"/>
    <w:p>
      <w:pPr>
        <w:ind w:left="380"/>
        <w:spacing w:after="0"/>
        <w:rPr>
          <w:sz w:val="20"/>
          <w:szCs w:val="20"/>
          <w:color w:val="auto"/>
        </w:rPr>
      </w:pPr>
      <w:r>
        <w:rPr>
          <w:rFonts w:ascii="Times New Roman" w:cs="Times New Roman" w:eastAsia="Times New Roman" w:hAnsi="Times New Roman"/>
          <w:sz w:val="18"/>
          <w:szCs w:val="18"/>
          <w:color w:val="auto"/>
        </w:rPr>
        <w:t>The following table presents net income (loss) for our Investment segment for the three and nine months ended September 30,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positions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positions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62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2017, the Investment Funds' positive performance was driven by net gains in their long positions offset in part by net losses in their short positions. The positive performance of our Investment segment's long positions was driven by gains from a consumer, non-cyclical sector investment, a consumer, cyclical sector investment and a basic materials sector investment aggregating $683 million. The aggregate performance of investments with gains across various other sectors accounted for the additional net positive performance of our Investment segment's long positions. Losses in short positions were attributable to the negative performance of broad market hedges of $498 million and the negative performance of various other short positions across multiple sectors. Losses in short positions were offset in part by the positive performance of a certain short position in the consumer, cyclical sector of $112 million.</w:t>
      </w:r>
    </w:p>
    <w:p>
      <w:pPr>
        <w:spacing w:after="0" w:line="81"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2016, the Investment Funds' positive performance was driven by net gains in their long positions offset in part by net losses in their short positions. The positive performance of our Investment segment's long positions was driven by gains from two energy sector investments, a financial sector investment, a consumer, cyclical sector investment and a consumer, non-cyclical sector investment aggregating $816 million and the positive performance of various other long positions across multiple sectors. Losses in short positions were attributable to the negative performance of broad market hedges of $555 million offset in part by the net performance of various other short positions.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2017, the Investment Funds' positive performance was driven by net gains in their long positions, offset in part by net losses in their short positions. The positive performance of our Investment segment's long positions was driven by gains from two consumer, non-cyclical sector investments, a technology sector investment and a consumer, cyclical sector investment aggregating approximately $1.1 billion. The aggregate performance of investments with gains across various other sectors accounted for the additional positive performance of our Investment segment's long positions, offset in part by the aggregate performance of investments with losses in the financial sector. Losses in short positions were attributable to the negative performance of broad market hedges of approximately $1.6 billion and the negative performance of various other short positions across multiple sectors. Losses in short positions were offset in part by the positive performance of short positions in the consumer, cyclical sector aggregating $735 million.</w:t>
      </w:r>
    </w:p>
    <w:p>
      <w:pPr>
        <w:spacing w:after="0" w:line="81"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2016, the Investment Funds' negative performance was driven by net losses in their short positions, offset in part by net gains in their long positions. Losses in short positions were attributable to the negative performance of broad market hedges of approximately $1.1 billion and the negative performance of various other short positions across multiple sectors. The positive performance of our Investment segment's long positions was driven by gains from a basic materials sector investment, a consumer, cyclical sector investment and two energy sector investments aggregating $826 million, offset in part by two technology sector investments with losses aggregating $394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7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75" w:lineRule="exact"/>
        <w:rPr>
          <w:sz w:val="20"/>
          <w:szCs w:val="20"/>
          <w:color w:val="auto"/>
        </w:rPr>
      </w:pPr>
    </w:p>
    <w:p>
      <w:pPr>
        <w:ind w:right="240" w:firstLine="378"/>
        <w:spacing w:after="0" w:line="258"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manufacturing and distribution of automotive parts. Acquisitions in recent years within our Automotive segment, including our acquisition of The Pep Boys - Manny, Moe &amp; Jack ("Pep Boys"), provided operating synergies, added new product lines, strengthened distribution channels and enhanced our Automotive segment's ability to better service its customers. Our Automotive segment's results of operations are affected by the relative strength of global vehicle production levels, global vehicle sales levels, automotive part replacement trends, geopolitical risk and foreign currencies, among other factors.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5,797</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Net sales for our Automotive segment for the three months ended September 30, 2017 increased by $147 million (6%) as compared to the comparable prior year period. The increase is primarily due to volume increases of $111 million, primarily organic sales volume increases and, to a lesser extent, sales volume increases from acquisitions, as well as $45 million due to a favorable effect of foreign currency exchange.</w:t>
      </w:r>
    </w:p>
    <w:p>
      <w:pPr>
        <w:spacing w:after="0" w:line="6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2017 increased by $123 million (6%) as compared to the comparable prior year period. The increase is primarily due to volume increases of $47 million, $46 million from the unfavorable effects of foreign currency exchange and $30 million from net performance and other.</w:t>
      </w:r>
    </w:p>
    <w:p>
      <w:pPr>
        <w:spacing w:after="0" w:line="6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Gross margin on net sales for the three months ended September 30, 2017 increased by $24 million (5%) as compared to the comparable prior year period. Gross margin as a percentage of net sales was flat at 19% for each of the three months ended September 30, 2017 and 2016. The favorable effects of higher sales volumes, net of changes in product mix, had a positive impact on gross margin as a percentage of net sales. However, this positive impact was offset by unfavorable effects of net performance and other.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Net sales for our Automotive segment for the nine months ended September 30, 2017 increased by $348 million (5%) as compared to the comparable prior year period. The increase was due to volume increases of $409 million attributable to organic sales volume increases and acquisitions. Increases from acquisitions was impacted primarily from the inclusion of the results of Pep Boys for the full nine months in 2017 compared to eight months in the comparable prior year period. These sales volume increases were offset in part by the unfavorable effects of foreign currency exchange.</w:t>
      </w:r>
    </w:p>
    <w:p>
      <w:pPr>
        <w:spacing w:after="0" w:line="7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2017 increased by $248 million (4%) as compared to the comparable prior year period. The increase is primarily due to volume increases and product mix of $242 million and $12 million of additional costs from net performance, offset in part by $6 million primarily due to the favorable effect of foreign currency exchange.</w:t>
      </w:r>
    </w:p>
    <w:p>
      <w:pPr>
        <w:spacing w:after="0" w:line="6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Gross margin on net sales for the nine months ended September 30, 2017 increased by $100 million (7%) as compared to the comparable prior year period. Gross margin as a percentage of net sales was flat at 19% for each of the nine months ended September 30, 2017 and 2016. The inclusion of the results of Pep Boys, whose product sales margins are higher than those of Federal-Mogul's, as well as the favorable effects of higher sales volumes, net of changes in product mix, had a positive impact on gross margin as a percentage of net sales. However, this positive impact was offset by unfavorable effects of net performance, foreign currency exchange and other.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0"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75"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The petroleum business accounted for approximately 94%, and 92% of our Energy segment's net sales for the nine months ended September 30, 2017 and 2016, respectively.</w:t>
      </w:r>
    </w:p>
    <w:p>
      <w:pPr>
        <w:spacing w:after="0" w:line="54"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7" w:lineRule="exact"/>
        <w:rPr>
          <w:sz w:val="20"/>
          <w:szCs w:val="20"/>
          <w:color w:val="auto"/>
        </w:rPr>
      </w:pPr>
    </w:p>
    <w:p>
      <w:pPr>
        <w:ind w:right="40" w:firstLine="378"/>
        <w:spacing w:after="0" w:line="255" w:lineRule="auto"/>
        <w:rPr>
          <w:sz w:val="20"/>
          <w:szCs w:val="20"/>
          <w:color w:val="auto"/>
        </w:rPr>
      </w:pPr>
      <w:r>
        <w:rPr>
          <w:rFonts w:ascii="Times New Roman" w:cs="Times New Roman" w:eastAsia="Times New Roman" w:hAnsi="Times New Roman"/>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("EPA"), which requires it to either blend “renewable fuels” in with its transportation fuels or purchase renewable fuel credits, known as renewable identification numbers (“RINs”), in lieu of blending. The price of RINs has been volatile and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3,297</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80" w:firstLine="378"/>
        <w:spacing w:after="0" w:line="266" w:lineRule="auto"/>
        <w:rPr>
          <w:sz w:val="20"/>
          <w:szCs w:val="20"/>
          <w:color w:val="auto"/>
        </w:rPr>
      </w:pPr>
      <w:r>
        <w:rPr>
          <w:rFonts w:ascii="Times New Roman" w:cs="Times New Roman" w:eastAsia="Times New Roman" w:hAnsi="Times New Roman"/>
          <w:sz w:val="18"/>
          <w:szCs w:val="18"/>
          <w:color w:val="auto"/>
        </w:rPr>
        <w:t>Net sales for our Energy segment increased by $213 million (17%) for the three months ended September 30, 2017 as compared to the comparable prior year period. The increase was primarily due to our petroleum business as a result of significantly higher sales prices as well as higher sales volume. This increase was offset in part by our nitrogen fertilizer business primarily due to a decrease in sales prices for its products.</w:t>
      </w:r>
    </w:p>
    <w:p>
      <w:pPr>
        <w:spacing w:after="0" w:line="68" w:lineRule="exact"/>
        <w:rPr>
          <w:sz w:val="20"/>
          <w:szCs w:val="20"/>
          <w:color w:val="auto"/>
        </w:rPr>
      </w:pPr>
    </w:p>
    <w:p>
      <w:pPr>
        <w:ind w:right="20" w:firstLine="378"/>
        <w:spacing w:after="0" w:line="266" w:lineRule="auto"/>
        <w:rPr>
          <w:sz w:val="20"/>
          <w:szCs w:val="20"/>
          <w:color w:val="auto"/>
        </w:rPr>
      </w:pPr>
      <w:r>
        <w:rPr>
          <w:rFonts w:ascii="Times New Roman" w:cs="Times New Roman" w:eastAsia="Times New Roman" w:hAnsi="Times New Roman"/>
          <w:sz w:val="18"/>
          <w:szCs w:val="18"/>
          <w:color w:val="auto"/>
        </w:rPr>
        <w:t>Cost of goods sold for our Energy segment increased by $161 million (13%) for the three months ended September 30, 2017 as compared to the comparable prior year period. The increase was primarily due to our petroleum business as a result of a higher cost of consumed crude oil costs and products purchased for resale. This increase was offset in part by our nitrogen fertilizer business which had a decrease in cost of material due to lower third-party costs.</w:t>
      </w:r>
    </w:p>
    <w:p>
      <w:pPr>
        <w:spacing w:after="0" w:line="68" w:lineRule="exact"/>
        <w:rPr>
          <w:sz w:val="20"/>
          <w:szCs w:val="20"/>
          <w:color w:val="auto"/>
        </w:rPr>
      </w:pPr>
    </w:p>
    <w:p>
      <w:pPr>
        <w:ind w:right="340" w:firstLine="378"/>
        <w:spacing w:after="0" w:line="258" w:lineRule="auto"/>
        <w:rPr>
          <w:sz w:val="20"/>
          <w:szCs w:val="20"/>
          <w:color w:val="auto"/>
        </w:rPr>
      </w:pPr>
      <w:r>
        <w:rPr>
          <w:rFonts w:ascii="Times New Roman" w:cs="Times New Roman" w:eastAsia="Times New Roman" w:hAnsi="Times New Roman"/>
          <w:sz w:val="18"/>
          <w:szCs w:val="18"/>
          <w:color w:val="auto"/>
        </w:rPr>
        <w:t>Gross margin for our Energy segment increased by $52 million for the three months ended September 30, 2017 as compared to the comparable prior year period. Gross margin as a percentage of net sales was 7% and 4% for the three months ended September 30, 2017 and 2016, respectively, with such increase attributable to our petroleum business, offset in part by a decrease attributable to our fertilizer business. The increase in the gross margin as a percentage of net sales for our petroleum business was primarily due to higher gross margins per barrel resulting from an increase in the sales price of gasoline and distillates, which was offset in part by unfavorable changes in the gasoline and distillate basis.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Net sales for our Energy segment increased by $966 million (28%) for the nine months ended September 30, 2017 as compared to the comparable prior year period. The increase was primarily due to our petroleum business as a result of higher sales prices for gasoline and distillates, as well as higher sales volume. This increase was offset in part by our nitrogen fertilizer business primarily due to a decrease in sales prices for its products.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60" w:right="239" w:bottom="1440" w:gutter="0" w:footer="0" w:header="0"/>
        </w:sectPr>
      </w:pPr>
    </w:p>
    <w:bookmarkStart w:id="49" w:name="page50"/>
    <w:bookmarkEnd w:id="49"/>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Cost of goods sold for our Energy segment increased by $894 million (27%) for the nine months ended September 30, 2017 as compared to the comparable prior year period. The increase was primarily due to our petroleum business as a result of higher cost of consumed crude oil and other feedstock as well as higher volumes. This increase was offset in part by our nitrogen fertilizer business which had a decrease in cost of material due to lower third-party costs.</w:t>
      </w:r>
    </w:p>
    <w:p>
      <w:pPr>
        <w:spacing w:after="0" w:line="72" w:lineRule="exact"/>
        <w:rPr>
          <w:sz w:val="20"/>
          <w:szCs w:val="20"/>
          <w:color w:val="auto"/>
        </w:rPr>
      </w:pPr>
    </w:p>
    <w:p>
      <w:pPr>
        <w:ind w:right="20" w:firstLine="378"/>
        <w:spacing w:after="0" w:line="258" w:lineRule="auto"/>
        <w:rPr>
          <w:sz w:val="20"/>
          <w:szCs w:val="20"/>
          <w:color w:val="auto"/>
        </w:rPr>
      </w:pPr>
      <w:r>
        <w:rPr>
          <w:rFonts w:ascii="Times New Roman" w:cs="Times New Roman" w:eastAsia="Times New Roman" w:hAnsi="Times New Roman"/>
          <w:sz w:val="18"/>
          <w:szCs w:val="18"/>
          <w:color w:val="auto"/>
        </w:rPr>
        <w:t>Gross margin for our Energy segment increased by $72 million for the nine months ended September 30, 2017 as compared to the comparable prior year period. Gross margin as a percentage of net sales was 5% and 4% for the nine months ended September 30, 2017 and 2016, respectively, with an increase attributable to our petroleum business offset in part by a decrease attributable to our fertilizer business. The increase in the gross margin as a percentage of net sales for our petroleum business was primarily due to higher gross margins per barrel resulting from a higher spread between crude oil and transportation fuels pricing and a favorable change in gasoline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75" w:lineRule="exact"/>
        <w:rPr>
          <w:sz w:val="20"/>
          <w:szCs w:val="20"/>
          <w:color w:val="auto"/>
        </w:rPr>
      </w:pPr>
    </w:p>
    <w:p>
      <w:pPr>
        <w:ind w:right="100" w:firstLine="378"/>
        <w:spacing w:after="0" w:line="258" w:lineRule="auto"/>
        <w:rPr>
          <w:sz w:val="20"/>
          <w:szCs w:val="20"/>
          <w:color w:val="auto"/>
        </w:rPr>
      </w:pPr>
      <w:r>
        <w:rPr>
          <w:rFonts w:ascii="Times New Roman" w:cs="Times New Roman" w:eastAsia="Times New Roman" w:hAnsi="Times New Roman"/>
          <w:sz w:val="18"/>
          <w:szCs w:val="18"/>
          <w:color w:val="auto"/>
        </w:rPr>
        <w:t>Our Railcar segment's results of operations are generally driven by the manufacturing and leasing of railcars. As discussed in Note 1, "Description of Business," to the condensed consolidated financial statements, we sold approximately 29,000 railcars on lease in connection with our previously announced ARL Initial Sale on June 1, 2017. For a period of three years after the closing of the ARL Initial Sale, and upon satisfaction of certain conditions, we have an option to sell, and SMBC Rail Services LLC has an option to buy, the 4,551 remaining railcars owned by a wholly owned subsidiary of ours, which continue to be included in our Railcar segment's results of operations. The majority of these remaining railcars were sold subsequent to September 30,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Sales/Other Revenues From Operations: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Sold/Other Expenses From Operations: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80" w:firstLine="378"/>
        <w:spacing w:after="0" w:line="282" w:lineRule="auto"/>
        <w:rPr>
          <w:sz w:val="20"/>
          <w:szCs w:val="20"/>
          <w:color w:val="auto"/>
        </w:rPr>
      </w:pPr>
      <w:r>
        <w:rPr>
          <w:rFonts w:ascii="Times New Roman" w:cs="Times New Roman" w:eastAsia="Times New Roman" w:hAnsi="Times New Roman"/>
          <w:sz w:val="18"/>
          <w:szCs w:val="18"/>
          <w:color w:val="auto"/>
        </w:rPr>
        <w:t>Summarized shipments of railcars to leasing and non-leasing customers for the three and nine months ended September 30, 2017 and 2016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00" w:type="dxa"/>
            <w:vAlign w:val="bottom"/>
          </w:tcPr>
          <w:p>
            <w:pPr>
              <w:spacing w:after="0"/>
              <w:rPr>
                <w:sz w:val="20"/>
                <w:szCs w:val="20"/>
                <w:color w:val="auto"/>
              </w:rPr>
            </w:pPr>
          </w:p>
        </w:tc>
        <w:tc>
          <w:tcPr>
            <w:tcW w:w="22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Shipments to leasing customers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Shipments to non-leasing customers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50" w:name="page51"/>
    <w:bookmarkEnd w:id="50"/>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2017, our Railcar segment had a backlog of 2,676 railcars, including 657 railcars expected to be built for lease customers and 2,019 for non-lease customers. In response to changes in customer demand, our Railcar segment continues to adjust production rates at its railcar manufacturing facilities as needed.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Total manufacturing revenues for the three months ended September 30, 2017 decreased by $26 million (28%) as compared to the comparable prior year period. The decrease was primarily due to fewer shipments to non-leasing customers and a decrease in average selling prices due to more competitive pricing for both hopper and tank railcars.</w:t>
      </w:r>
    </w:p>
    <w:p>
      <w:pPr>
        <w:spacing w:after="0" w:line="6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Gross margin from manufacturing operations for the three months ended September 30, 2017 decreased by $5 million as compared to the comparable prior year period. Gross margin from manufacturing operations as a percentage of manufacturing revenues decreased to 4% for the three months ended September 30, 2017 from 9% for the comparable prior year period. The decrease in gross margin as a percentage of revenue was due to higher costs associated with lower production volumes and a more competitive market for both hopper and tank railcars.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Railcar leasing revenues decreased for the three months ended September 30, 2017 as compared to the comparable prior year period due to a decrease in leased railcars as a result of the closing of the ARL Initial Sale on June 1, 2017 as well as a decrease in weighted average lease rates. The lease fleet decreased to 17,122 railcars at September 30, 2017 from 45,481 railcars at September 30,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Total manufacturing revenues for the nine months ended September 30, 2017 decreased by $131 million (42%) as compared to the comparable prior year period. The decrease was primarily due to fewer shipments to non-leasing customers and a decrease in average selling prices due to more competitive pricing for both hopper and tank railcars.</w:t>
      </w:r>
    </w:p>
    <w:p>
      <w:pPr>
        <w:spacing w:after="0" w:line="6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Gross margin from manufacturing operations for the nine months ended September 30, 2017 decreased by $31 million as compared to the comparable prior year period. Gross margin from manufacturing operations as a percentage of manufacturing revenues decreased to 8% for the nine months ended September 30, 2017 from 14% for the comparable prior year period. The decrease in gross margin as a percentage of revenue was due to higher costs associated with lower production volumes and a more competitive market for both hopper and tank railcars.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Railcar leasing revenues decreased for the nine months ended September 30, 2017 as compared to the comparable prior year period due to a decrease in leased railcars as a result of the closing of the ARL Initial Sale on June 1, 2017 as well as a decrease in weighted average lease rates. The lease fleet decreased to 17,122 railcars at September 30, 2017 from 45,481 railcars at September 30,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75"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Casino revenues are one of our Gaming segment's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consolidated gaming revenues decreased by $22 million (8%) for the three months ended September 30, 2017 as compared to the comparable prior year period due to the closing of the Trump Taj Mahal Casino Resort in October 2016, which accounted for a $38 million decrease in consolidated gaming revenues. Our existing gaming operations' revenues increased by $16 million over the comparable periods primarily due to an increase in casino revenues. The increase in casino revenues for the three months ended September 30, 2017 as compared to the comparable prior year period was primarily due to increased casino revenues at Tropicana Atlantic City.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consolidated gaming revenues decreased by $55 million (7%) for the nine months ended September 30, 2017 as compared to the comparable prior year period due to the closing of the Trump Taj Mahal Casino Resort in October 2016, which accounted for a $97 million decrease in consolidated gaming revenues. Our existing gaming operations' revenues increased by $42 million over the comparable periods primarily due to an increase in casino revenues. The increase in casino revenues for the nine months ended September 30, 2017 as compared to the comparable prior year period was primarily due to increased casino revenues at Tropicana Atlantic City.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21" w:lineRule="exact"/>
        <w:rPr>
          <w:sz w:val="20"/>
          <w:szCs w:val="20"/>
          <w:color w:val="auto"/>
        </w:rPr>
      </w:pPr>
    </w:p>
    <w:p>
      <w:pPr>
        <w:ind w:right="240" w:firstLine="378"/>
        <w:spacing w:after="0" w:line="266" w:lineRule="auto"/>
        <w:rPr>
          <w:sz w:val="20"/>
          <w:szCs w:val="20"/>
          <w:color w:val="auto"/>
        </w:rPr>
      </w:pPr>
      <w:r>
        <w:rPr>
          <w:rFonts w:ascii="Times New Roman" w:cs="Times New Roman" w:eastAsia="Times New Roman" w:hAnsi="Times New Roman"/>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40" w:firstLine="378"/>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September 30, 2017 increased by $38 million (53%) compared to the comparable prior year period primarily due to higher ferrous, non-ferrous and non-ferrous auto residue shipment volumes and higher average selling prices for most grades of metal. Non-ferrous shipment volumes increased primarily due to the capital investment in aluminum processing capabilities at one of our facilities made in late 2016, while higher pricing reflected higher terminal market prices in 2017 as compared to 2016. Ferrous selling prices increased due to higher market pricing as domestic mill production has benefited from trade cases and speculation regarding the recent probe into steel imports. Improved consumer market pricing was also driven primarily by the increased demand from domestic steel mills.</w:t>
      </w:r>
    </w:p>
    <w:p>
      <w:pPr>
        <w:spacing w:after="0" w:line="80" w:lineRule="exact"/>
        <w:rPr>
          <w:sz w:val="20"/>
          <w:szCs w:val="20"/>
          <w:color w:val="auto"/>
        </w:rPr>
      </w:pPr>
    </w:p>
    <w:p>
      <w:pPr>
        <w:ind w:right="40" w:firstLine="378"/>
        <w:spacing w:after="0" w:line="258"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2017 increased by $27 million (35%) compared to the comparable prior year period. The increase was primarily due to higher shipment volumes, as discussed above, and to increased material costs driven by higher market prices. Gross margin as a percentage of net sales was 5% for the three months ended September 30, 2017 as compared to a loss of 8% in the comparable prior year period. The margin percentage improvement was attributed to a continued focus on disciplined buying, higher pricing for non-ferrous auto residue, improved terminal market pricing, and by continued efforts to bring processing costs in line with volume and market pricing.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Net sales for the nine months ended September 30, 2017 increased by $109 million (53%) compared to the comparable prior year period primarily due to higher ferrous, non-ferrous and non-ferrous auto residue shipment volumes and higher average selling prices for most grades of metal. Ferrous shipment volumes increased due to improved demand from domestic steel mills and improved flow of raw materials into the recycling yards driven by increased market pricing. Additionally, during 2017, a major new steel mill came on line which increased demand for scrap metal. Domestic mill production has benefited from trade cases and speculation regarding the recent probe into steel imports. Improved consumer market pricing was also driven primarily by the increased demand from domestic steel mills. Non-ferrous shipment volumes increased 44% during the nine months ended September 30, 2017 as compared to the comparable prior year period primarily due to utilization of the capital investment in aluminum processing capabilities at one of our facilities made in late 2016, while higher pricing reflected higher terminal market prices in 2017 as compared to 2016.</w:t>
      </w:r>
    </w:p>
    <w:p>
      <w:pPr>
        <w:spacing w:after="0" w:line="77" w:lineRule="exact"/>
        <w:rPr>
          <w:sz w:val="20"/>
          <w:szCs w:val="20"/>
          <w:color w:val="auto"/>
        </w:rPr>
      </w:pPr>
    </w:p>
    <w:p>
      <w:pPr>
        <w:ind w:firstLine="378"/>
        <w:spacing w:after="0" w:line="258"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2017 increased by $82 million (38%) compared to the comparable prior year period. The increase was primarily due to higher shipment volumes, as discussed above, and to increased material costs due to higher market prices. Gross margin as a percentage of net sales was 5% for the nine months ended September 30, 2017 as compared to a loss of 5% in the comparable prior year period. The margin percentage improvement was driven by an increased material margin attributed to a continued focus on disciplined buying, higher pricing for non-ferrous auto residue, and by continued efforts to bring processing costs in line with volume and market pricing.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Our Mining segment's key performance driver has historically been from demand for raw materials from Chinese steelmakers. Since acquiring Ferrous Resources in 2015, our Mining segment has been concentrating on sales in its domestic market, Brazil.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September 30, 2017 increased $3 million as compared to the comparable prior year period due to iron ore price increases. Cost of goods sold for the three months ended September 30, 2017 increased $2 million as compared to the comparable prior year period due to volume increases.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nine months ended September 30, 2017 increased $27 million as compared to the comparable prior year period primarily due to iron ore price increases, offset in part by volume decreases. Cost of goods sold for the nine months ended September 30, 2017 increased $2 million as compared to the comparable prior year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12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6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September 30, 2017 increased by $18 million (22%) as compared to the corresponding prior year period. The increase was primarily due to higher sales volume, primarily from acquisitions, offset in part by unfavorable price and product mix. Cost of goods sold for the three months ended September 30, 2017 increased by $14 million (23%) as compared to the corresponding prior year period. Gross margin as a percentage of net sales 24% for the three months ended September 30, 2017 compared to 25% for the comparable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September 30, 2017 increased by $45 million (19%) as compared to the corresponding prior year period. The increase was primarily due to higher sales volume, primarily from acquisitions, offset in part by unfavorable price and product mix and foreign currency exchange. Cost of goods sold for the nine months ended September 30, 2017 increased by $33 million (18%) as compared to the corresponding prior year period. Gross margin as a percentage of net sales was flat at 24% for the nine months ended September 30, 2017 and 2016.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Real Estate revenues and expenses include sales of residential units, results from club operations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 Revenue from our real estate operations for each of the three and nine months ended September 30, 2017 and 2016 were substantially derived from income from club and rental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 Many of the larger retailers are customers of WestPoint Home LLC ("WPH"). WPH has a stable manufacturing platform and is focused on continued improvement in its cost structure through the use of certain process improvement initiatives.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September 30, 2017 decreased by $2 million (4%) compared to the comparable prior year period. The decrease was primarily due to lower sales volume. Cost of goods sold for the three months ended September 30, 2017 decreased by $3 million (7%) compared to the comparable prior year period. The decrease was primarily due to lower sales volume and product mix. Gross margin as a percentage of net sales was 15% for the three months ended September 30, 2017 compared to 13% for the comparable prior year period. The increase was primarily due to product mix.</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September 30, 2017 decreased by $13 million (9%) compared to the comparable prior year period. The decrease was primarily due to lower sales volume. Cost of goods sold for the nine months ended September 30, 2017 decreased by $11 million (8%) compared to the comparable prior year period. The decrease was primarily due to lower sales volume. Gross margin as a percentage of net sales was flat at 14% for the nine months ended September 30, 2017 and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discussed in Note 1, "Description of Business," to the condensed consolidated financial statements, on June 1, 2017, we closed on the ARL Initial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resulting in a pretax gain on disposition of assets of approximately $1.5 billion recorded by our Railcar segment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In August 2017, our Real Estate segment sold a development property in Las Vegas Nevada for $600 million, resulting in a pretax 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disposition of assets of $456 million for the three and nine months ended September 30, 2017.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consolidated selling, general and administrative for the three months ended September 30, 2017 increased by $30 million (5%) as compared to the comparable prior year period. The increase was primarily attributable to our Automotive segment due to certain acquisitions and personnel costs associated with integration and increased customer services, offset in part by a decrease in our Gaming segment due to the closing and subsequent sale the Trump Taj Mahal Casino Resort in October 2016 and a decrease in our Investment segment due to lower compensation expense.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70"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consolidated selling, general and administrative for the nine months ended September 30, 2017 increased by $147 million (8%) as compared to the comparable prior year period. The increase was primarily attributable to an increase from our Automotive segment of $189 million primarily due to the inclusion of Pep Boys' results beginning in February 2016 and certain other acquisitions as well as personnel costs associated with integration and increased customer services. This increase was offset in part by a decrease in our Gaming segment due to the closing and subsequent sale the Trump Taj Mahal Casino Resort in October 2016 and a decrease in our Investment segment due to lower compensation expense.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Net</w:t>
      </w:r>
    </w:p>
    <w:p>
      <w:pPr>
        <w:spacing w:after="0" w:line="2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consolidated restructuring costs, net is primarily attributable to our Automotive segment and consists primarily of employee severance and termination benefits as well as facility closures and other costs. Our Automotive segment's restructuring activities are undertaken as necessary to execute management’s strategy and streamline operations, consolidate and take advantage of available capacity and resources, and ultimately achieve net cost reductions. Restructuring activities include efforts to integrate and rationalize businesses and to relocate manufacturing operations to best cost manufacturing locations. Restructuring, net decreased for the three and nine months ended September 30, 2017 compared to the comparable prior year periods due to lower severance and other charges incurred.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5, "Fair Value Measurements," and Note 8, "Goodwill and Intangible Assets, Net," for discussion of impairments of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2017 and 2016</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September 30, 2017 decreased by $15 million (7%) as compared the corresponding prior year period. The decrease was primarily due to lower interest expense from our Railcar segment due to the sale of ARL in the second quarter of 2017, as well as lower interest expense from our Investment segment attributable to a decrease in due to broker balances over the respective periods. These decreases were offset in part by higher interest expense from our Holding Company due to our senior unsecured notes refinancing in the first quarter of 2017, which is subject to a higher interest rate.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2017 and 2016</w:t>
      </w:r>
    </w:p>
    <w:p>
      <w:pPr>
        <w:spacing w:after="0" w:line="119"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Our consolidated interest expense during the nine months ended September 30, 2017 decreased by $17 million as compared the corresponding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Energy segment due to a certain debt offering during the second quarter of 2016, as well as higher interest expense from our Holding Company due to our senior unsecured notes refinancing in the first quarter of 2017, which is subject to a higher interest 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560" w:firstLine="405"/>
        <w:spacing w:after="0" w:line="261"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of 35%. Refer to Note 13, "Income Taxes," to the condensed consolidated financial statements for a discussion of income taxes.</w:t>
      </w:r>
    </w:p>
    <w:p>
      <w:pPr>
        <w:spacing w:after="0" w:line="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7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12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2017, our Holding Company had cash and cash equivalents of $484 million and total debt of approximately $5.5 billion. During 2017, our Holding Company invested $1.0 billion in the Investment Funds, net of redemptions. As of September 30, 2017, our Holding Company had investments in the Investment Funds with a total fair market value of approximately $2.9 billion. Subsequent to September 30, 2017, our Holding Company invested an additional $300 million in the Investment Funds. We may redeem our direct investment in the Investment Funds upon notice. See "Segment Liquidity and Capital Resources" below for additional information with respect to our Investment segment liquidity.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ARL</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1, 2017, we closed on our previously announced sale of ARL (the "ARL Initial Sale") to SMBC Rail Services, LLC ("SMBC Rail"). After repaying, or assigning to SMBC Rail, applicable indebtedness of ARL, we received cash consideration of approximately $1.3 billion in connection with the ARL Initial Sale. For a period of three years after the closing of the ARL Initial Sale, and upon satisfaction of certain conditions, we have an option to sell, and SMBC Rail has an option to buy, 4,551 remaining railcars owned by a wholly owned subsidiary of ours. Subsequent to September 30, 2017, we sold an additional 4,382 railcars to SMBC Rail for $522 million, resulting in a $154 million pretax gain on disposition of assets.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6.75% senior unsecured notes due 2024 - Icahn Enterprises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6.25% senior unsecured notes due 2022 - Icahn Enterprises</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 senior unsecured notes due 2020 - Icahn Enterprises</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w:t>
            </w: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2017, based on covenants in the indenture governing our senior unsecured notes, we are not permitted to incur additional indebtedness. However, our covenants do permit us to refinance our debt obligations and receive additional incremental proceeds to pay related fees as well as accrued and unpaid interest.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Refinancing of 3.50% Senior Unsecured Notes Due 2017</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18, 2017, we issued $695 million in aggregate principal amount of 6.250% senior notes due 2022 and $500 million in aggregate principal amount of 6.750% senior notes due 2024 resulting in proceeds of $1.190 billion, after deducting the initial purchaser’s discount and commission and estimated fees and expenses related to the offering. The proceeds from the issuance of these notes were used to redeem all of our 3.50% senior unsecured notes due 2017 and to pay related accrued and unpaid interest.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60"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Icahn Enterprises Rights Offering</w:t>
      </w:r>
    </w:p>
    <w:p>
      <w:pPr>
        <w:spacing w:after="0" w:line="119"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In January 2017, Icahn Enterprises commenced a rights offering entitling holders of the rights to acquire newly issued depositary units of Icahn Enterprises. The purposes of the rights offering were to (i) enhance Icahn Enterprises' depositary unit holder equity; (ii) endeavor to improve Icahn Enterprises' credit ratings; and (iii) raise equity capital to be used for general partnership purposes. Aggregate proceeds from the rights offering was $600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Depositary Units</w:t>
      </w:r>
    </w:p>
    <w:p>
      <w:pPr>
        <w:spacing w:after="0" w:line="119"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On November 1, 2017,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December 20, 2017 to depositary unit holders of record at the close of business on November 13, 2017.</w:t>
      </w:r>
    </w:p>
    <w:p>
      <w:pPr>
        <w:spacing w:after="0" w:line="68" w:lineRule="exact"/>
        <w:rPr>
          <w:sz w:val="20"/>
          <w:szCs w:val="20"/>
          <w:color w:val="auto"/>
        </w:rPr>
      </w:pPr>
    </w:p>
    <w:p>
      <w:pPr>
        <w:ind w:right="60" w:firstLine="37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we declared three quarterly distributions aggregating $4.50 per depositary unit. Mr. Icahn and his affiliates elected to receive their proportionate share of these distributions in depositary units. Mr. Icahn and his affiliates owned approximately 90.8% of Icahn Enterprises' outstanding depositary units as of September 30, 2017. In connection with these distributions, aggregate cash distributions to all depositary unitholders was $60 million.</w:t>
      </w:r>
    </w:p>
    <w:p>
      <w:pPr>
        <w:spacing w:after="0" w:line="72" w:lineRule="exact"/>
        <w:rPr>
          <w:sz w:val="20"/>
          <w:szCs w:val="20"/>
          <w:color w:val="auto"/>
        </w:rPr>
      </w:pPr>
    </w:p>
    <w:p>
      <w:pPr>
        <w:ind w:firstLine="378"/>
        <w:spacing w:after="0" w:line="255" w:lineRule="auto"/>
        <w:rPr>
          <w:sz w:val="20"/>
          <w:szCs w:val="20"/>
          <w:color w:val="auto"/>
        </w:rPr>
      </w:pPr>
      <w:r>
        <w:rPr>
          <w:rFonts w:ascii="Times New Roman" w:cs="Times New Roman" w:eastAsia="Times New Roman" w:hAnsi="Times New Roman"/>
          <w:sz w:val="18"/>
          <w:szCs w:val="18"/>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Additional Interests in Consolidated Subsidiaries</w:t>
      </w:r>
    </w:p>
    <w:p>
      <w:pPr>
        <w:spacing w:after="0" w:line="11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During January 2017, we increased our ownership in Federal-Mogul from 82.0% to 100% through a tender offer for the remaining shares of Federal-Mogul common stock not already owned by us and a subsequent short form merger for an aggregate purchase price of $305 million.</w:t>
      </w:r>
    </w:p>
    <w:p>
      <w:pPr>
        <w:spacing w:after="0" w:line="54"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August 2017, we increased our ownership in Tropicana from 72.5% to 83.9% through a tender offer for additional shares of Tropicana common stock not already owned by us, for an aggregate purchase price of $95 million, excluding cash paid by Tropicana to repurchase shares in connection with the tender offer and in accordance with Tropicana's stock repurchase program, as discussed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 From Subsidiaries</w:t>
      </w:r>
    </w:p>
    <w:p>
      <w:pPr>
        <w:spacing w:after="0" w:line="119"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Dividends and distributions are primarily received from our Energy, Railcar and Real Estate segments. See "Other Segment Liquidity" below for additional information with respect to our dividends and distributions received from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121" w:lineRule="exact"/>
        <w:rPr>
          <w:sz w:val="20"/>
          <w:szCs w:val="20"/>
          <w:color w:val="auto"/>
        </w:rPr>
      </w:pPr>
    </w:p>
    <w:p>
      <w:pPr>
        <w:jc w:val="both"/>
        <w:ind w:right="360" w:firstLine="378"/>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30, 2017, we invested $1.0 billion in the Investment Funds, net of redemptions, and affiliates of Mr. Icahn (excluding us and our subsidiaries) invested $600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5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September 30, 2017, the Investment Funds' had a net short notional exposure of 77%. The Investment Funds' long exposure was 124% (118% long equity and 6% long credit and other) and its short exposure was 201% (182% short equity, 19% short credit and other). The notional exposure represents the ratio of the notional exposure of the Investment Funds' invested capital to the net asset value of the Investment Funds at September 30, 2017.</w:t>
      </w:r>
    </w:p>
    <w:p>
      <w:pPr>
        <w:spacing w:after="0" w:line="72"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Of the Investment Funds' 124% long exposure, 122% was comprised of the fair value of its long positions (with certain adjustments) and 2% was comprised of single name equity forward contracts and credit contracts. Of the Investment Funds' 201% short exposure, 17% was comprised of the fair value of our short positions and 184% was comprised of short credit default swap contracts and short broad market index swap derivative contracts.</w:t>
      </w:r>
    </w:p>
    <w:p>
      <w:pPr>
        <w:spacing w:after="0" w:line="68" w:lineRule="exact"/>
        <w:rPr>
          <w:sz w:val="20"/>
          <w:szCs w:val="20"/>
          <w:color w:val="auto"/>
        </w:rPr>
      </w:pPr>
    </w:p>
    <w:p>
      <w:pPr>
        <w:ind w:right="200" w:firstLine="378"/>
        <w:spacing w:after="0" w:line="266"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(122% long exposure) and our short positions that are not notionalized (17% short), each 1% change in exposure as a result of purchases or sales (assuming no change in value) would have a 1% impact on our cash and cash equivalents (as a percentage of net asset value). Changes in exposure as a result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70"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purchases and sales as well as adverse changes in market value would also have an effect on funds available to us pursuant to prime brokerage lines of credit.</w:t>
      </w:r>
    </w:p>
    <w:p>
      <w:pPr>
        <w:spacing w:after="0" w:line="117"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(184%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5"/>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and credit facilities - Automotive</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facilities - Energy</w:t>
            </w: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 - Food Packaging</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leases and other</w:t>
            </w: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5,629</w:t>
            </w: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2016 for information concerning terms, restrictions and covenants pertaining to our subsidiaries' debt. See Note 9, “Debt,” to the condensed consolidated financial statements for information with respect to updates to our subsidiaries' debt as of September 30, 2017 compared to December 31, 2016. As of September 30, 2017, our subsidiaries are in compliance with all debt covenants.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8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27"/>
        </w:trPr>
        <w:tc>
          <w:tcPr>
            <w:tcW w:w="9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9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456</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9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Railcar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98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1,107</w:t>
            </w:r>
          </w:p>
        </w:tc>
      </w:tr>
      <w:tr>
        <w:trPr>
          <w:trHeight w:val="27"/>
        </w:trPr>
        <w:tc>
          <w:tcPr>
            <w:tcW w:w="9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Common Stock Dividends and Distributions</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we received $107 million in dividends from CVR Energy. Subsequent to September 30, 2017, CVR Energy and CVR Refining declared a quarterly dividend and distribution, respectively, which will result in an additional aggregate $41 million in dividends and distributions paid to us in the fourth quarter of 2017.</w:t>
      </w:r>
    </w:p>
    <w:p>
      <w:pPr>
        <w:spacing w:after="0" w:line="6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2017, we received $65 million in aggregate dividends and distributions from our Railcar segment. Subsequent to September 30, 2017, ARI declared a quarterly dividend, which will result in an additional $5 million in dividends paid to us in the fourth quarter of 2017.</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nine months ended September 30, 2017, we received $258 million in net distributions from our Real Estate segment.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72"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Sale of Las Vegas Development Property</w:t>
      </w:r>
    </w:p>
    <w:p>
      <w:pPr>
        <w:spacing w:after="0" w:line="11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Federal-Mogul's subsidiaries in Brazil, Canada, France, Germany, Italy, and the United States are party to accounts receivable factoring and securitization facilities. Refer to Note 2, "Basis of Presentation and Summary of Significant Accounting Policies," to the condensed consolidated financial statements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Stock Repurchases</w:t>
      </w:r>
    </w:p>
    <w:p>
      <w:pPr>
        <w:spacing w:after="0" w:line="1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July 28, 2015, ARI's board of directors authorized the repurchase of up to $250 million of its outstanding common stock (the "ARI Stock Repurchase Program"). ARI did not repurchase shares of its common stock during the nine months ended September 30, 2017. Prior to 2017, an aggregate $86 million was repurchased under the ARI Stock Repurchase Program.</w:t>
      </w:r>
    </w:p>
    <w:p>
      <w:pPr>
        <w:spacing w:after="0" w:line="6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On July 31, 2015, Tropicana's board of directors authorized the repurchase of up to $50 million of its outstanding common stock and on February 22, 2017, an additional $50 million was authorized for repurchase (the "Tropicana Stock Repurchase Program"). During the nine months ended September 30, 2017, Tropicana repurchased shares of its common stock aggregating $36 million in connection with a tender offer commenced by Icahn Enterprises and Tropicana. Prior to 2017, an aggregate $43 million was repurchased under the Tropicana Stock Repurchase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Payments to Acquire Businesses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our Automotive segment acquired several automotive services businesses for an aggregate purchase price of $74 million, net of cash acquired. Additionally, subsequent to September 30, 2017, our Automotive segment acquired an automotive services business for a purchase price of $120 million, net of cash acquired.</w:t>
      </w:r>
    </w:p>
    <w:p>
      <w:pPr>
        <w:spacing w:after="0" w:line="6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2017, our Food Packaging segment acquired a casings business for a purchase price of $31 million, net of cash acquired.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30"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may include various investment transactions, including acquisitions and dispositions of businesses, including proceeds from the ARL Initial Sale. Our Investment segment's cash flows are primarily driven by investment transactions, which are included in net cash flows from operating activities due to the nature of its business, as well as contributions and distributions from Mr. Icahn and his affiliates (including Icahn Enterprises and Icahn Enterprises Holdings), which are included in net cash flow from financing activities. Our other operating segments' cash flows are driven by the activities and performance of each business, which is included in the discussion below. The following table summarizes consolidated cash and cash equivalents as of September 30, 2017 and cash flow information for the nine months ended September 30, 2017 and 2016 for Icahn Enterprises' reporting segments and our Holding Company:</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18"/>
                <w:szCs w:val="18"/>
                <w:color w:val="auto"/>
              </w:rPr>
            </w:pPr>
          </w:p>
        </w:tc>
        <w:tc>
          <w:tcPr>
            <w:tcW w:w="360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160" w:type="dxa"/>
            <w:vAlign w:val="bottom"/>
          </w:tcPr>
          <w:p>
            <w:pPr>
              <w:spacing w:after="0"/>
              <w:rPr>
                <w:sz w:val="18"/>
                <w:szCs w:val="18"/>
                <w:color w:val="auto"/>
              </w:rPr>
            </w:pPr>
          </w:p>
        </w:tc>
        <w:tc>
          <w:tcPr>
            <w:tcW w:w="3420" w:type="dxa"/>
            <w:vAlign w:val="bottom"/>
            <w:gridSpan w:val="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7"/>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Cash Provided By (Used In)</w:t>
            </w:r>
          </w:p>
        </w:tc>
        <w:tc>
          <w:tcPr>
            <w:tcW w:w="160" w:type="dxa"/>
            <w:vAlign w:val="bottom"/>
          </w:tcPr>
          <w:p>
            <w:pPr>
              <w:spacing w:after="0"/>
              <w:rPr>
                <w:sz w:val="18"/>
                <w:szCs w:val="18"/>
                <w:color w:val="auto"/>
              </w:rPr>
            </w:pPr>
          </w:p>
        </w:tc>
        <w:tc>
          <w:tcPr>
            <w:tcW w:w="3420" w:type="dxa"/>
            <w:vAlign w:val="bottom"/>
            <w:gridSpan w:val="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Net Cash Provided By (Used In)</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Investing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Investing</w:t>
            </w:r>
          </w:p>
        </w:tc>
        <w:tc>
          <w:tcPr>
            <w:tcW w:w="1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12"/>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1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Activities</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5"/>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Holding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Operating Segments: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Energy</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Railcar</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Gaming</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Metals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Mining</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Food Packaging</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20" w:type="dxa"/>
            <w:vAlign w:val="bottom"/>
          </w:tcPr>
          <w:p>
            <w:pPr>
              <w:spacing w:after="0"/>
              <w:rPr>
                <w:sz w:val="20"/>
                <w:szCs w:val="20"/>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Fashion</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20" w:type="dxa"/>
            <w:vAlign w:val="bottom"/>
          </w:tcPr>
          <w:p>
            <w:pPr>
              <w:spacing w:after="0"/>
              <w:rPr>
                <w:sz w:val="18"/>
                <w:szCs w:val="18"/>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operating segments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before eliminations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50"/>
        </w:trPr>
        <w:tc>
          <w:tcPr>
            <w:tcW w:w="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Eliminations</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1,172</w:t>
            </w:r>
          </w:p>
        </w:tc>
      </w:tr>
      <w:tr>
        <w:trPr>
          <w:trHeight w:val="244"/>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right="40" w:hanging="172"/>
        <w:spacing w:after="0" w:line="248" w:lineRule="auto"/>
        <w:tabs>
          <w:tab w:leader="none" w:pos="145"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Eliminations in the table above relate to our Holding Company's transactions with our Investment and other operating segments. Our Holding Company's transactions with our Investment and other operating segments are generally reported as cash flows from investing activities by our Holding Company and such transactions are generally reported as cash flows from financing activities by our Investment and other operating segments. During the nine months ended September 30, 2017, our Holding Company had net investment of $1.0 billion in the Investment Funds offset in part by $215 million in net proceeds from our other operating segments. Additionally, our Holding Company repaid a loan to ARL for $120 million classified as financing activities by our Holding Company and investing activities by our Railcar segment for the nine months ended September 30, 2017. For the nine months ended September 30, 2016, our Holding Company had net proceeds from the Investment Funds and our other operating segments aggregating approximately $1.3 billion. Additionally, our Holding Company received loan proceeds from ARL of $125 million classified as financing activities by our Holding Company and investing activities by our Railcar segment for the nine months ended September 30, 2016.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2017, net cash used in operating activities was primarily driven by our Investment segment and our Holding Company, offset in part by net cash provided by operating activities from our other operating segments, particularly from our Energy, Railcar, Automotive, and Gaming segments. For the nine months ended September 30, 2016, net cash provided by operating activities was primarily driven by our Investment and other operating segments, particularly from our Automotive, Railcar and Energy segments, offset in part by our Holding Company.</w:t>
      </w:r>
    </w:p>
    <w:p>
      <w:pPr>
        <w:spacing w:after="0" w:line="72"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 Our Holding Company's cash flows from operating activities for the comparable periods were attributable to our semi-annual interest payments on our senior unsecured notes and certain operating expenses of the Holding Company. Our other operating segments' cash flows from operating activities for the comparable periods were primarily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68" w:right="259" w:bottom="1440" w:gutter="0" w:footer="0" w:header="0"/>
        </w:sectPr>
      </w:pPr>
    </w:p>
    <w:bookmarkStart w:id="59" w:name="page60"/>
    <w:bookmarkEnd w:id="59"/>
    <w:p>
      <w:pPr>
        <w:ind w:right="380"/>
        <w:spacing w:after="0" w:line="282" w:lineRule="auto"/>
        <w:rPr>
          <w:sz w:val="20"/>
          <w:szCs w:val="20"/>
          <w:color w:val="auto"/>
        </w:rPr>
      </w:pPr>
      <w:r>
        <w:rPr>
          <w:rFonts w:ascii="Times New Roman" w:cs="Times New Roman" w:eastAsia="Times New Roman" w:hAnsi="Times New Roman"/>
          <w:sz w:val="18"/>
          <w:szCs w:val="18"/>
          <w:color w:val="auto"/>
        </w:rPr>
        <w:t>attributable to earnings before non-cash charges. However, the decrease in net cash provided by operating activities from our other operating segments in 2017 compared to 2016 was primarily attributable to changes in operating assets and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2017, our Holding Company had net cash provided by investing activities due to proceeds of approximately $1.3 billion from the ARL Initial Sale and aggregate proceeds from our other operating segments of $215 million. This was offset in part by net investments in the Investment Funds of $1.0 billion and payments to acquire additional outstanding common stock of Federal-Mogul and Tropicana aggregating $349 million during the nine months ended September 30, 2017. For the nine months ended September 30, 2016, our Holding Company had net cash provided by investing activities due to proceeds received from our Investment and other operating segments of approximately $1.3 billion, offset in part by our acquisition of Pep Boys for approximately $1.0 billion.</w:t>
      </w:r>
    </w:p>
    <w:p>
      <w:pPr>
        <w:spacing w:after="0" w:line="8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other operating segments had net cash used in investing activities for the nine months ended September 30, 2017 and 2016 primarily due to capital expenditures. For the nine months ended September 30, 2017, capital expenditures at our Automotive segment of $333 million were primarily related to investing in new facilities, upgrading existing products, continuing new product launches and other infrastructure and equipment costs. Our Railcar segment's capital expenditures were $139 million, primarily for railcars for lease and our Gaming and Energy segments had capital expenditures of $83 million and $80 million, respectively. For the nine months ended September 30, 2016 our Railcar segment had capital expenditures of $104 million, primarily for railcars for lease, and our Automotive and Energy segments had capital expenditures of $306 million and $106 million, respectively.</w:t>
      </w:r>
    </w:p>
    <w:p>
      <w:pPr>
        <w:spacing w:after="0" w:line="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2017, our Railcar segment's net cash used in investing activities also reflects the cash held by ARL at disposition which, when netted with the proceeds from the ARL Initial Sale received by our Holding Company, resulted in net cash proceeds from the ARL Initial Sale in consolidation of approximately $1.2 billion, offset in part by cash received of $120 million from the Holding Company for the repayment of an intercompany loan. Additionally, our Automotive and Food Packaging segments had cash used in investing activities due to certain acquisitions aggregating $105 million for the nine months ended September 30, 2017. For the nine months ended September 30, 2016, our other operating segments had payments to acquire businesses of $94 million, including our Energy segments acquisition of CVR Nitrogen, LP. in 2016 for $64 million, net of cash acquired. In addition, our Railcar segment's net cash used in investing activities for or the nine months ended September 30, 2016 included a $125 million loan to our Holding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2017, our Holding Company received proceeds from our rights offing of $612 million (which includes a contribution from our general partner in order to maintain its aggregate 1.99% general partner interest in us) and net proceeds from our senior unsecured debt refinancing of $15 million, offset in part by repayment of an intercompany loan due to ARL of $120 million and by cash distributions on our depositary units of $61 million for the nine months ended September 30, 2017. For the nine months ended September 30, 2016, our Holding Company received $125 million in proceeds from its intercompany loan from ARL which was offset in part by cash distributions to our depositary unitholders of $81 million.</w:t>
      </w:r>
    </w:p>
    <w:p>
      <w:pPr>
        <w:spacing w:after="0" w:line="7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2017, our Investment segment had net cash provided by financing activities of $1.6 billion, which included our $1.0 billion investment in the Investment Funds as well as $600 million received from Mr. Icahn and his affiliates (excluding us). For the nine months ended September 30, 2016, our Investment segment had net cash used in financing activities of $552 million due to distributions paid to our Holding Company of approximately $1.1 billion, offset in part by net contributions from Mr. Icahn and his affiliates (excluding us) of $498 million.</w:t>
      </w:r>
    </w:p>
    <w:p>
      <w:pPr>
        <w:spacing w:after="0" w:line="7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other operating segments had net cash used in financing activities for the nine months ended September 30, 2017 and 2016 primarily due to net debt transactions as well as dividends and distributions to us and to non-controlling interests. Our other operating segments had net cash payments for debt of $237 million and $54 million for the nine months ended September 30, 2017 and 2016, respectively. Additionally, our Energy and Railcar segments had cash payments for dividends and distributions aggregating $210 million and $246 million for the nine months ended September 30, 2017 and 2016, respectively, of which $172 million and $172 million, respectively, was paid to us. For the nine months ended September 30, 2017, our Real Estate segment had net distributions to us of $258 million. Net cash used in financing activities at our other operating segments was offset in part by contributions from us received by our Automotive segment of $220 million for the nine months ended September 30, 2017.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72"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Resources</w:t>
      </w:r>
    </w:p>
    <w:p>
      <w:pPr>
        <w:spacing w:after="0" w:line="121"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capital expenditures during the nine months ended September 30, 2017 as compared to the estimated capital expenditures for 2017 as reported in our Annual Report on Form 10-K for the year ended December 31, 2016. Capital expenditures with respect to certain environmental matters are discussed in Note 16, "Commitments and Contingencies," to the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Contractual Commitments and Contingencies</w:t>
      </w:r>
    </w:p>
    <w:p>
      <w:pPr>
        <w:spacing w:after="0" w:line="121" w:lineRule="exact"/>
        <w:rPr>
          <w:sz w:val="20"/>
          <w:szCs w:val="20"/>
          <w:color w:val="auto"/>
        </w:rPr>
      </w:pPr>
    </w:p>
    <w:p>
      <w:pPr>
        <w:ind w:right="480" w:firstLine="378"/>
        <w:spacing w:after="0" w:line="282" w:lineRule="auto"/>
        <w:rPr>
          <w:sz w:val="20"/>
          <w:szCs w:val="20"/>
          <w:color w:val="auto"/>
        </w:rPr>
      </w:pPr>
      <w:r>
        <w:rPr>
          <w:rFonts w:ascii="Times New Roman" w:cs="Times New Roman" w:eastAsia="Times New Roman" w:hAnsi="Times New Roman"/>
          <w:sz w:val="18"/>
          <w:szCs w:val="18"/>
          <w:color w:val="auto"/>
        </w:rPr>
        <w:t>Other than certain debt transactions as described above, there have been no material changes to our contractual commitments and contingencies as compared to those reported in our Annual Report on Form 10-K for the year ended December 31, 2016</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Off-Balance Sheet Arrangements</w:t>
      </w:r>
    </w:p>
    <w:p>
      <w:pPr>
        <w:spacing w:after="0" w:line="12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2, “Basis of Presentation and Summary of Significant Accounting Policies” and Note 6, “Financial Instruments," to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nine months ended September 30, 2017 as compared to those reported in our Annual Report on Form 10-K for the year ended December 31,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440" w:firstLine="378"/>
        <w:spacing w:after="0" w:line="282" w:lineRule="auto"/>
        <w:rPr>
          <w:sz w:val="20"/>
          <w:szCs w:val="20"/>
          <w:color w:val="auto"/>
        </w:rPr>
      </w:pPr>
      <w:r>
        <w:rPr>
          <w:rFonts w:ascii="Times New Roman" w:cs="Times New Roman" w:eastAsia="Times New Roman" w:hAnsi="Times New Roman"/>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6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2016 and those set forth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7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2017, we estimate that in the event of a 10% adverse change in the fair value of these investments, the fair values of securities owned, securities sold, not yet purchased and derivatives would decrease by approximately $902 million, $126 million and $1.5 billion, respectively. However, as of September 30, 2017, we estimate that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68" w:right="259" w:bottom="1440" w:gutter="0" w:footer="0" w:header="0"/>
        </w:sectPr>
      </w:pPr>
    </w:p>
    <w:bookmarkStart w:id="61" w:name="page62"/>
    <w:bookmarkEnd w:id="61"/>
    <w:p>
      <w:pPr>
        <w:ind w:right="40"/>
        <w:spacing w:after="0" w:line="266" w:lineRule="auto"/>
        <w:rPr>
          <w:sz w:val="20"/>
          <w:szCs w:val="20"/>
          <w:color w:val="auto"/>
        </w:rPr>
      </w:pPr>
      <w:r>
        <w:rPr>
          <w:rFonts w:ascii="Times New Roman" w:cs="Times New Roman" w:eastAsia="Times New Roman" w:hAnsi="Times New Roman"/>
          <w:sz w:val="18"/>
          <w:szCs w:val="18"/>
          <w:color w:val="auto"/>
        </w:rPr>
        <w:t>the impact to our share of the net gain (loss) from investment activities reported in our condensed consolidated statement of operations would be less than the change in fair value since we have an investment of approximately 39% in the Investment Funds, and the non-controlling interests in income would correspondingly offset approximately 61% of the change in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predominant exposure to foreign currency exchange rate risk is related to our Automotive segment and the sensitivities to movements in the foreign currency exchange rate between the Euro and U.S. Dollar.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Federal-Mogul issued notes in the amount €1,065 million during the nine months ended September 30, 2017. Federal-Mogul has designated €753 million of these notes as a net investment hedge in certain foreign subsidiaries and affiliates of Federal-Mogul. As such, an adverse change in foreign currency exchange rates will have no effect on earnings. For the portion of the debt not designated as a net investment hedge, Federal-Mogul has other natural hedges in place that will offset any adverse change in foreign currency exchange rates. A 10% adverse change in foreign currency exchange rates between the Euro and U.S. Dollar as of September 30, 2017 would increase the amount of cash required to settle the Euro Notes by approximately $126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September 30, 2017,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72" w:right="2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risk factors during the nine months ended September 30, 2017 as compared to those reported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U.S. Attorney’s office for the Southern District of New York recently contacted Icahn Enterprises L.P. seeking production of information pertaining to our and Mr. Icahn’s activities relating to the Renewable Fuels Standard and Mr. Icahn’s role as an advisor to the President. We are cooperating with the request and are providing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80" w:type="dxa"/>
            <w:vAlign w:val="bottom"/>
            <w:gridSpan w:val="5"/>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6"/>
        </w:trPr>
        <w:tc>
          <w:tcPr>
            <w:tcW w:w="1380" w:type="dxa"/>
            <w:vAlign w:val="bottom"/>
            <w:gridSpan w:val="3"/>
          </w:tcPr>
          <w:p>
            <w:pPr>
              <w:jc w:val="cente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6"/>
          </w:tcPr>
          <w:p>
            <w:pP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Certification of Chief Executive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Securities Exchange Act of 1934.</w:t>
              </w:r>
            </w:hyperlink>
          </w:p>
        </w:tc>
        <w:tc>
          <w:tcPr>
            <w:tcW w:w="6860" w:type="dxa"/>
            <w:vAlign w:val="bottom"/>
            <w:tcBorders>
              <w:top w:val="single" w:sz="8" w:color="0000FF"/>
            </w:tcBorders>
            <w:gridSpan w:val="3"/>
          </w:tcPr>
          <w:p>
            <w:pPr>
              <w:spacing w:after="0"/>
              <w:rPr>
                <w:sz w:val="17"/>
                <w:szCs w:val="17"/>
                <w:color w:val="auto"/>
              </w:rPr>
            </w:pPr>
          </w:p>
        </w:tc>
        <w:tc>
          <w:tcPr>
            <w:tcW w:w="620" w:type="dxa"/>
            <w:vAlign w:val="bottom"/>
            <w:gridSpan w:val="2"/>
          </w:tcPr>
          <w:p>
            <w:pPr>
              <w:spacing w:after="0"/>
              <w:rPr>
                <w:sz w:val="17"/>
                <w:szCs w:val="17"/>
                <w:color w:val="auto"/>
              </w:rPr>
            </w:pPr>
          </w:p>
        </w:tc>
      </w:tr>
      <w:tr>
        <w:trPr>
          <w:trHeight w:val="250"/>
        </w:trPr>
        <w:tc>
          <w:tcPr>
            <w:tcW w:w="1380" w:type="dxa"/>
            <w:vAlign w:val="bottom"/>
            <w:gridSpan w:val="3"/>
          </w:tcPr>
          <w:p>
            <w:pPr>
              <w:jc w:val="cente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Chief Financial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66">
              <w:r>
                <w:rPr>
                  <w:rFonts w:ascii="Times New Roman" w:cs="Times New Roman" w:eastAsia="Times New Roman" w:hAnsi="Times New Roman"/>
                  <w:sz w:val="18"/>
                  <w:szCs w:val="18"/>
                  <w:color w:val="0000FF"/>
                  <w:w w:val="99"/>
                </w:rPr>
                <w:t>Securities Exchange Act of 1934.</w:t>
              </w:r>
            </w:hyperlink>
          </w:p>
        </w:tc>
        <w:tc>
          <w:tcPr>
            <w:tcW w:w="6800" w:type="dxa"/>
            <w:vAlign w:val="bottom"/>
            <w:tcBorders>
              <w:top w:val="single" w:sz="8" w:color="0000FF"/>
            </w:tcBorders>
            <w:gridSpan w:val="2"/>
          </w:tcPr>
          <w:p>
            <w:pPr>
              <w:spacing w:after="0"/>
              <w:rPr>
                <w:sz w:val="17"/>
                <w:szCs w:val="17"/>
                <w:color w:val="auto"/>
              </w:rPr>
            </w:pPr>
          </w:p>
        </w:tc>
        <w:tc>
          <w:tcPr>
            <w:tcW w:w="680" w:type="dxa"/>
            <w:vAlign w:val="bottom"/>
            <w:gridSpan w:val="3"/>
          </w:tcPr>
          <w:p>
            <w:pPr>
              <w:spacing w:after="0"/>
              <w:rPr>
                <w:sz w:val="17"/>
                <w:szCs w:val="17"/>
                <w:color w:val="auto"/>
              </w:rPr>
            </w:pPr>
          </w:p>
        </w:tc>
      </w:tr>
      <w:tr>
        <w:trPr>
          <w:trHeight w:val="250"/>
        </w:trPr>
        <w:tc>
          <w:tcPr>
            <w:tcW w:w="1380" w:type="dxa"/>
            <w:vAlign w:val="bottom"/>
            <w:gridSpan w:val="3"/>
          </w:tcPr>
          <w:p>
            <w:pPr>
              <w:jc w:val="cente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Certification of Chief Executive Officer and Chief Financial Officer pursuant to Section 906 of the Sarbanes-Oxley Act of 2002 (18</w:t>
              </w:r>
            </w:hyperlink>
          </w:p>
        </w:tc>
      </w:tr>
      <w:tr>
        <w:trPr>
          <w:trHeight w:val="196"/>
        </w:trPr>
        <w:tc>
          <w:tcPr>
            <w:tcW w:w="5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U.S.C. 1350) and Rule 13a-14(b) of the Securities Exchange Act of 1934.</w:t>
              </w:r>
            </w:hyperlink>
          </w:p>
        </w:tc>
        <w:tc>
          <w:tcPr>
            <w:tcW w:w="4180" w:type="dxa"/>
            <w:vAlign w:val="bottom"/>
            <w:tcBorders>
              <w:top w:val="single" w:sz="8" w:color="0000FF"/>
            </w:tcBorders>
            <w:gridSpan w:val="3"/>
          </w:tcPr>
          <w:p>
            <w:pPr>
              <w:spacing w:after="0"/>
              <w:rPr>
                <w:sz w:val="17"/>
                <w:szCs w:val="17"/>
                <w:color w:val="auto"/>
              </w:rPr>
            </w:pPr>
          </w:p>
        </w:tc>
        <w:tc>
          <w:tcPr>
            <w:tcW w:w="400" w:type="dxa"/>
            <w:vAlign w:val="bottom"/>
          </w:tcPr>
          <w:p>
            <w:pPr>
              <w:spacing w:after="0"/>
              <w:rPr>
                <w:sz w:val="17"/>
                <w:szCs w:val="17"/>
                <w:color w:val="auto"/>
              </w:rPr>
            </w:pPr>
          </w:p>
        </w:tc>
      </w:tr>
      <w:tr>
        <w:trPr>
          <w:trHeight w:val="291"/>
        </w:trPr>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0"/>
        </w:trPr>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60" w:right="2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60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60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r>
      <w:tr>
        <w:trPr>
          <w:trHeight w:val="234"/>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360" w:right="2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right="880" w:firstLine="332"/>
        <w:spacing w:after="0" w:line="282"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September 30, 2017;</w:t>
      </w:r>
    </w:p>
    <w:p>
      <w:pPr>
        <w:spacing w:after="0" w:line="161"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general partner of Icahn Enterprises L.P. and Icahn Enterprises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right="880" w:firstLine="332"/>
        <w:spacing w:after="0" w:line="282"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September 30, 2017;</w:t>
      </w:r>
    </w:p>
    <w:p>
      <w:pPr>
        <w:spacing w:after="0" w:line="161"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joint quarterly report on Form 10-Q of Icahn Enterprises L.P. and Icahn Enterprises Holdings L.P., for the period ended September 30, 2017, the undersigned certify that, to the best of his knowledge, based upon a review of the Icahn Enterprises L.P. and Icahn Enterprises Holdings L.P. joint quarterly report on Form 10-Q for the period ended September 30, 2017:</w:t>
      </w:r>
    </w:p>
    <w:p>
      <w:pPr>
        <w:spacing w:after="0" w:line="176" w:lineRule="exact"/>
        <w:rPr>
          <w:sz w:val="20"/>
          <w:szCs w:val="20"/>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registrants.</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 the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partner of Icahn Enterprises L.P. and Icahn Enterprises Holdings</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Roman"/>
      <w:start w:val="2"/>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2019-12-29T04:00:15Z</dcterms:created>
  <dcterms:modified xsi:type="dcterms:W3CDTF">2019-12-29T04:00:15Z</dcterms:modified>
</cp:coreProperties>
</file>