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520" w:right="2720" w:hanging="3510"/>
        <w:spacing w:after="0" w:line="424" w:lineRule="auto"/>
        <w:tabs>
          <w:tab w:leader="none" w:pos="18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2021</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3300" w:type="dxa"/>
            <w:vAlign w:val="bottom"/>
          </w:tcPr>
          <w:p>
            <w:pPr>
              <w:spacing w:after="0"/>
              <w:rPr>
                <w:sz w:val="13"/>
                <w:szCs w:val="13"/>
                <w:color w:val="auto"/>
              </w:rPr>
            </w:pPr>
          </w:p>
        </w:tc>
        <w:tc>
          <w:tcPr>
            <w:tcW w:w="3520" w:type="dxa"/>
            <w:vAlign w:val="bottom"/>
            <w:gridSpan w:val="5"/>
          </w:tcPr>
          <w:p>
            <w:pPr>
              <w:jc w:val="center"/>
              <w:ind w:left="88"/>
              <w:spacing w:after="0" w:line="154" w:lineRule="exact"/>
              <w:rPr>
                <w:sz w:val="20"/>
                <w:szCs w:val="20"/>
                <w:color w:val="auto"/>
              </w:rPr>
            </w:pPr>
            <w:r>
              <w:rPr>
                <w:rFonts w:ascii="Arial" w:cs="Arial" w:eastAsia="Arial" w:hAnsi="Arial"/>
                <w:sz w:val="14"/>
                <w:szCs w:val="14"/>
                <w:color w:val="auto"/>
                <w:w w:val="93"/>
              </w:rPr>
              <w:t>(Exact Name of Registrant as Specified in Its Charter)</w:t>
            </w:r>
          </w:p>
        </w:tc>
        <w:tc>
          <w:tcPr>
            <w:tcW w:w="2100" w:type="dxa"/>
            <w:vAlign w:val="bottom"/>
          </w:tcPr>
          <w:p>
            <w:pPr>
              <w:jc w:val="center"/>
              <w:ind w:left="808"/>
              <w:spacing w:after="0" w:line="154"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520" w:type="dxa"/>
            <w:vAlign w:val="bottom"/>
            <w:gridSpan w:val="5"/>
          </w:tcPr>
          <w:p>
            <w:pPr>
              <w:jc w:val="center"/>
              <w:ind w:left="6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90"/>
        </w:trPr>
        <w:tc>
          <w:tcPr>
            <w:tcW w:w="3300" w:type="dxa"/>
            <w:vAlign w:val="bottom"/>
          </w:tcPr>
          <w:p>
            <w:pPr>
              <w:ind w:left="520"/>
              <w:spacing w:after="0"/>
              <w:rPr>
                <w:sz w:val="20"/>
                <w:szCs w:val="20"/>
                <w:color w:val="auto"/>
              </w:rPr>
            </w:pPr>
            <w:r>
              <w:rPr>
                <w:rFonts w:ascii="Arial" w:cs="Arial" w:eastAsia="Arial" w:hAnsi="Arial"/>
                <w:sz w:val="14"/>
                <w:szCs w:val="14"/>
                <w:color w:val="auto"/>
              </w:rPr>
              <w:t>(Commission File Number)</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(Telephone Number)</w:t>
            </w: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97"/>
        </w:trPr>
        <w:tc>
          <w:tcPr>
            <w:tcW w:w="3300" w:type="dxa"/>
            <w:vAlign w:val="bottom"/>
          </w:tcPr>
          <w:p>
            <w:pPr>
              <w:jc w:val="right"/>
              <w:ind w:right="1728"/>
              <w:spacing w:after="0"/>
              <w:rPr>
                <w:sz w:val="20"/>
                <w:szCs w:val="20"/>
                <w:color w:val="auto"/>
              </w:rPr>
            </w:pPr>
            <w:r>
              <w:rPr>
                <w:rFonts w:ascii="Arial" w:cs="Arial" w:eastAsia="Arial" w:hAnsi="Arial"/>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c>
          <w:tcPr>
            <w:tcW w:w="0" w:type="dxa"/>
            <w:vAlign w:val="bottom"/>
          </w:tcPr>
          <w:p>
            <w:pPr>
              <w:spacing w:after="0"/>
              <w:rPr>
                <w:sz w:val="1"/>
                <w:szCs w:val="1"/>
                <w:color w:val="auto"/>
              </w:rPr>
            </w:pPr>
          </w:p>
        </w:tc>
      </w:tr>
      <w:tr>
        <w:trPr>
          <w:trHeight w:val="475"/>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3300" w:type="dxa"/>
            <w:vAlign w:val="bottom"/>
          </w:tcPr>
          <w:p>
            <w:pPr>
              <w:jc w:val="right"/>
              <w:ind w:right="1488"/>
              <w:spacing w:after="0"/>
              <w:rPr>
                <w:sz w:val="20"/>
                <w:szCs w:val="20"/>
                <w:color w:val="auto"/>
              </w:rPr>
            </w:pPr>
            <w:r>
              <w:rPr>
                <w:rFonts w:ascii="Arial" w:cs="Arial" w:eastAsia="Arial" w:hAnsi="Arial"/>
                <w:sz w:val="14"/>
                <w:szCs w:val="14"/>
                <w:b w:val="1"/>
                <w:bCs w:val="1"/>
                <w:color w:val="auto"/>
              </w:rPr>
              <w:t>333-118021-01</w:t>
            </w:r>
          </w:p>
        </w:tc>
        <w:tc>
          <w:tcPr>
            <w:tcW w:w="3520" w:type="dxa"/>
            <w:vAlign w:val="bottom"/>
            <w:gridSpan w:val="5"/>
          </w:tcPr>
          <w:p>
            <w:pPr>
              <w:jc w:val="center"/>
              <w:ind w:left="88"/>
              <w:spacing w:after="0"/>
              <w:rPr>
                <w:sz w:val="20"/>
                <w:szCs w:val="20"/>
                <w:color w:val="auto"/>
              </w:rPr>
            </w:pPr>
            <w:r>
              <w:rPr>
                <w:rFonts w:ascii="Arial" w:cs="Arial" w:eastAsia="Arial" w:hAnsi="Arial"/>
                <w:sz w:val="14"/>
                <w:szCs w:val="14"/>
                <w:b w:val="1"/>
                <w:bCs w:val="1"/>
                <w:color w:val="auto"/>
              </w:rPr>
              <w:t>ICAHN ENTERPRISES HOLDINGS L.P.</w:t>
            </w: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13-3398767</w:t>
            </w:r>
          </w:p>
        </w:tc>
        <w:tc>
          <w:tcPr>
            <w:tcW w:w="0" w:type="dxa"/>
            <w:vAlign w:val="bottom"/>
          </w:tcPr>
          <w:p>
            <w:pPr>
              <w:spacing w:after="0"/>
              <w:rPr>
                <w:sz w:val="1"/>
                <w:szCs w:val="1"/>
                <w:color w:val="auto"/>
              </w:rPr>
            </w:pPr>
          </w:p>
        </w:tc>
      </w:tr>
      <w:tr>
        <w:trPr>
          <w:trHeight w:val="475"/>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3520" w:type="dxa"/>
            <w:vAlign w:val="bottom"/>
            <w:gridSpan w:val="5"/>
          </w:tcPr>
          <w:p>
            <w:pPr>
              <w:jc w:val="center"/>
              <w:ind w:left="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00" w:type="dxa"/>
            <w:vAlign w:val="bottom"/>
          </w:tcPr>
          <w:p>
            <w:pPr>
              <w:jc w:val="center"/>
              <w:ind w:left="528"/>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Pr>
          <w:p>
            <w:pPr>
              <w:spacing w:after="0"/>
              <w:rPr>
                <w:sz w:val="24"/>
                <w:szCs w:val="24"/>
                <w:color w:val="auto"/>
              </w:rPr>
            </w:pPr>
          </w:p>
        </w:tc>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300" w:type="dxa"/>
            <w:vAlign w:val="bottom"/>
          </w:tcPr>
          <w:p>
            <w:pPr>
              <w:jc w:val="center"/>
              <w:ind w:left="488"/>
              <w:spacing w:after="0"/>
              <w:rPr>
                <w:sz w:val="20"/>
                <w:szCs w:val="20"/>
                <w:color w:val="auto"/>
              </w:rPr>
            </w:pPr>
            <w:r>
              <w:rPr>
                <w:rFonts w:ascii="Arial" w:cs="Arial" w:eastAsia="Arial" w:hAnsi="Arial"/>
                <w:sz w:val="14"/>
                <w:szCs w:val="14"/>
                <w:color w:val="auto"/>
                <w:w w:val="94"/>
              </w:rPr>
              <w:t>Depositary Units of Icahn Enterprises L.P.</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8"/>
              </w:rPr>
              <w:t>IEP</w:t>
            </w:r>
          </w:p>
        </w:tc>
        <w:tc>
          <w:tcPr>
            <w:tcW w:w="500" w:type="dxa"/>
            <w:vAlign w:val="bottom"/>
          </w:tcPr>
          <w:p>
            <w:pPr>
              <w:spacing w:after="0"/>
              <w:rPr>
                <w:sz w:val="15"/>
                <w:szCs w:val="15"/>
                <w:color w:val="auto"/>
              </w:rPr>
            </w:pPr>
          </w:p>
        </w:tc>
        <w:tc>
          <w:tcPr>
            <w:tcW w:w="3400" w:type="dxa"/>
            <w:vAlign w:val="bottom"/>
            <w:gridSpan w:val="2"/>
            <w:vMerge w:val="restart"/>
          </w:tcPr>
          <w:p>
            <w:pPr>
              <w:ind w:left="68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r>
        <w:trPr>
          <w:trHeight w:val="94"/>
        </w:trPr>
        <w:tc>
          <w:tcPr>
            <w:tcW w:w="3300" w:type="dxa"/>
            <w:vAlign w:val="bottom"/>
            <w:vMerge w:val="restart"/>
          </w:tcPr>
          <w:p>
            <w:pPr>
              <w:jc w:val="center"/>
              <w:ind w:left="528"/>
              <w:spacing w:after="0"/>
              <w:rPr>
                <w:sz w:val="20"/>
                <w:szCs w:val="20"/>
                <w:color w:val="auto"/>
              </w:rPr>
            </w:pPr>
            <w:r>
              <w:rPr>
                <w:rFonts w:ascii="Arial" w:cs="Arial" w:eastAsia="Arial" w:hAnsi="Arial"/>
                <w:sz w:val="14"/>
                <w:szCs w:val="14"/>
                <w:color w:val="auto"/>
                <w:w w:val="92"/>
              </w:rPr>
              <w:t>Representing Limited Partner Interests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3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ind w:left="20" w:right="2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4" w:lineRule="exact"/>
        <w:rPr>
          <w:sz w:val="24"/>
          <w:szCs w:val="24"/>
          <w:color w:val="auto"/>
        </w:rPr>
      </w:pPr>
    </w:p>
    <w:p>
      <w:pPr>
        <w:ind w:left="20" w:right="60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20" w:right="140"/>
        <w:spacing w:after="0" w:line="23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700" w:type="dxa"/>
        <w:tblCellMar>
          <w:top w:w="0" w:type="dxa"/>
          <w:left w:w="0" w:type="dxa"/>
          <w:bottom w:w="0" w:type="dxa"/>
          <w:right w:w="0" w:type="dxa"/>
        </w:tblCellMar>
      </w:tblPr>
      <w:tr>
        <w:trPr>
          <w:trHeight w:val="142"/>
        </w:trPr>
        <w:tc>
          <w:tcPr>
            <w:tcW w:w="1260" w:type="dxa"/>
            <w:vAlign w:val="bottom"/>
          </w:tcPr>
          <w:p>
            <w:pPr>
              <w:spacing w:after="0"/>
              <w:rPr>
                <w:sz w:val="12"/>
                <w:szCs w:val="12"/>
                <w:color w:val="auto"/>
              </w:rPr>
            </w:pPr>
          </w:p>
        </w:tc>
        <w:tc>
          <w:tcPr>
            <w:tcW w:w="12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w w:val="92"/>
              </w:rPr>
              <w:t>Icahn Enterprises L.P</w:t>
            </w:r>
          </w:p>
        </w:tc>
        <w:tc>
          <w:tcPr>
            <w:tcW w:w="1680" w:type="dxa"/>
            <w:vAlign w:val="bottom"/>
          </w:tcPr>
          <w:p>
            <w:pPr>
              <w:spacing w:after="0"/>
              <w:rPr>
                <w:sz w:val="12"/>
                <w:szCs w:val="12"/>
                <w:color w:val="auto"/>
              </w:rPr>
            </w:pPr>
          </w:p>
        </w:tc>
        <w:tc>
          <w:tcPr>
            <w:tcW w:w="5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420" w:type="dxa"/>
            <w:vAlign w:val="bottom"/>
          </w:tcPr>
          <w:p>
            <w:pPr>
              <w:spacing w:after="0"/>
              <w:rPr>
                <w:sz w:val="12"/>
                <w:szCs w:val="12"/>
                <w:color w:val="auto"/>
              </w:rPr>
            </w:pPr>
          </w:p>
        </w:tc>
        <w:tc>
          <w:tcPr>
            <w:tcW w:w="18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w w:val="92"/>
              </w:rPr>
              <w:t>Icahn Enterprises Holdings L.P.</w:t>
            </w:r>
          </w:p>
        </w:tc>
        <w:tc>
          <w:tcPr>
            <w:tcW w:w="1180" w:type="dxa"/>
            <w:vAlign w:val="bottom"/>
          </w:tcPr>
          <w:p>
            <w:pPr>
              <w:spacing w:after="0"/>
              <w:rPr>
                <w:sz w:val="12"/>
                <w:szCs w:val="12"/>
                <w:color w:val="auto"/>
              </w:rPr>
            </w:pPr>
          </w:p>
        </w:tc>
        <w:tc>
          <w:tcPr>
            <w:tcW w:w="2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2"/>
        </w:trPr>
        <w:tc>
          <w:tcPr>
            <w:tcW w:w="1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Large Accelerated Filer</w:t>
            </w:r>
          </w:p>
        </w:tc>
        <w:tc>
          <w:tcPr>
            <w:tcW w:w="4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Arial" w:cs="Arial" w:eastAsia="Arial" w:hAnsi="Arial"/>
                <w:sz w:val="14"/>
                <w:szCs w:val="14"/>
                <w:color w:val="auto"/>
              </w:rPr>
              <w:t>Accelerated Filer</w:t>
            </w:r>
          </w:p>
        </w:tc>
        <w:tc>
          <w:tcPr>
            <w:tcW w:w="540" w:type="dxa"/>
            <w:vAlign w:val="bottom"/>
            <w:vMerge w:val="continue"/>
          </w:tcPr>
          <w:p>
            <w:pPr>
              <w:spacing w:after="0"/>
              <w:rPr>
                <w:sz w:val="12"/>
                <w:szCs w:val="12"/>
                <w:color w:val="auto"/>
              </w:rPr>
            </w:pPr>
          </w:p>
        </w:tc>
        <w:tc>
          <w:tcPr>
            <w:tcW w:w="2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Large Accelerated Filer</w:t>
            </w:r>
          </w:p>
        </w:tc>
        <w:tc>
          <w:tcPr>
            <w:tcW w:w="4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spacing w:after="0"/>
              <w:rPr>
                <w:sz w:val="12"/>
                <w:szCs w:val="12"/>
                <w:color w:val="auto"/>
              </w:rPr>
            </w:pPr>
          </w:p>
        </w:tc>
        <w:tc>
          <w:tcPr>
            <w:tcW w:w="1180" w:type="dxa"/>
            <w:vAlign w:val="bottom"/>
          </w:tcPr>
          <w:p>
            <w:pPr>
              <w:jc w:val="right"/>
              <w:ind w:right="8"/>
              <w:spacing w:after="0" w:line="142" w:lineRule="exact"/>
              <w:rPr>
                <w:sz w:val="20"/>
                <w:szCs w:val="20"/>
                <w:color w:val="auto"/>
              </w:rPr>
            </w:pPr>
            <w:r>
              <w:rPr>
                <w:rFonts w:ascii="Arial" w:cs="Arial" w:eastAsia="Arial" w:hAnsi="Arial"/>
                <w:sz w:val="14"/>
                <w:szCs w:val="14"/>
                <w:color w:val="auto"/>
              </w:rPr>
              <w:t>Accelerated Filer</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0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4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4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gridSpan w:val="2"/>
          </w:tcPr>
          <w:p>
            <w:pPr>
              <w:jc w:val="right"/>
              <w:ind w:right="8"/>
              <w:spacing w:after="0"/>
              <w:rPr>
                <w:sz w:val="20"/>
                <w:szCs w:val="20"/>
                <w:color w:val="auto"/>
              </w:rPr>
            </w:pPr>
            <w:r>
              <w:rPr>
                <w:rFonts w:ascii="Arial" w:cs="Arial" w:eastAsia="Arial" w:hAnsi="Arial"/>
                <w:sz w:val="14"/>
                <w:szCs w:val="14"/>
                <w:color w:val="auto"/>
              </w:rPr>
              <w:t>Smaller Reporting Company</w:t>
            </w:r>
          </w:p>
        </w:tc>
        <w:tc>
          <w:tcPr>
            <w:tcW w:w="20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6"/>
        </w:trPr>
        <w:tc>
          <w:tcPr>
            <w:tcW w:w="1700" w:type="dxa"/>
            <w:vAlign w:val="bottom"/>
            <w:gridSpan w:val="2"/>
          </w:tcPr>
          <w:p>
            <w:pPr>
              <w:jc w:val="right"/>
              <w:spacing w:after="0"/>
              <w:rPr>
                <w:sz w:val="20"/>
                <w:szCs w:val="20"/>
                <w:color w:val="auto"/>
              </w:rPr>
            </w:pPr>
            <w:r>
              <w:rPr>
                <w:rFonts w:ascii="Arial" w:cs="Arial" w:eastAsia="Arial" w:hAnsi="Arial"/>
                <w:sz w:val="14"/>
                <w:szCs w:val="14"/>
                <w:color w:val="auto"/>
                <w:w w:val="93"/>
              </w:rPr>
              <w:t>Emerging Growth Company</w:t>
            </w:r>
          </w:p>
        </w:tc>
        <w:tc>
          <w:tcPr>
            <w:tcW w:w="4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ind w:left="20"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9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November 2, 2021, there were 278,605,558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gridSpan w:val="6"/>
            <w:vMerge w:val="restart"/>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Explanatory Note and Forward-Looking Statements</w:t>
              </w:r>
            </w:hyperlink>
          </w:p>
        </w:tc>
        <w:tc>
          <w:tcPr>
            <w:tcW w:w="3160" w:type="dxa"/>
            <w:vAlign w:val="bottom"/>
            <w:gridSpan w:val="3"/>
            <w:vMerge w:val="restart"/>
          </w:tcPr>
          <w:p>
            <w:pPr>
              <w:spacing w:after="0"/>
              <w:rPr>
                <w:sz w:val="14"/>
                <w:szCs w:val="1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740" w:type="dxa"/>
            <w:vAlign w:val="bottom"/>
            <w:tcBorders>
              <w:bottom w:val="single" w:sz="8" w:color="0000EE"/>
            </w:tcBorders>
            <w:gridSpan w:val="6"/>
            <w:vMerge w:val="continue"/>
          </w:tcPr>
          <w:p>
            <w:pPr>
              <w:spacing w:after="0"/>
              <w:rPr>
                <w:sz w:val="15"/>
                <w:szCs w:val="15"/>
                <w:color w:val="auto"/>
              </w:rPr>
            </w:pPr>
          </w:p>
        </w:tc>
        <w:tc>
          <w:tcPr>
            <w:tcW w:w="3160" w:type="dxa"/>
            <w:vAlign w:val="bottom"/>
            <w:gridSpan w:val="3"/>
            <w:vMerge w:val="continue"/>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92"/>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gridSpan w:val="3"/>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900" w:type="dxa"/>
            <w:vAlign w:val="bottom"/>
            <w:gridSpan w:val="9"/>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6900" w:type="dxa"/>
            <w:vAlign w:val="bottom"/>
            <w:gridSpan w:val="9"/>
          </w:tcPr>
          <w:p>
            <w:pPr>
              <w:spacing w:after="0" w:line="196"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Management’s Discussion and Analysis of Financial Condition and Results of Operations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3.</w:t>
              </w:r>
            </w:hyperlink>
          </w:p>
        </w:tc>
        <w:tc>
          <w:tcPr>
            <w:tcW w:w="6900" w:type="dxa"/>
            <w:vAlign w:val="bottom"/>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600" w:type="dxa"/>
            <w:vAlign w:val="bottom"/>
            <w:tcBorders>
              <w:left w:val="single" w:sz="8" w:color="0000EE"/>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4.</w:t>
              </w:r>
            </w:hyperlink>
          </w:p>
        </w:tc>
        <w:tc>
          <w:tcPr>
            <w:tcW w:w="6900" w:type="dxa"/>
            <w:vAlign w:val="bottom"/>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Controls and Procedures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492"/>
        </w:trPr>
        <w:tc>
          <w:tcPr>
            <w:tcW w:w="4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gridSpan w:val="3"/>
          </w:tcPr>
          <w:p>
            <w:pPr>
              <w:spacing w:after="0" w:line="190" w:lineRule="exact"/>
              <w:rPr>
                <w:rFonts w:ascii="Arial" w:cs="Arial" w:eastAsia="Arial" w:hAnsi="Arial"/>
                <w:sz w:val="18"/>
                <w:szCs w:val="18"/>
                <w:color w:val="0000EE"/>
              </w:rPr>
            </w:pPr>
            <w:hyperlink w:anchor="page62">
              <w:r>
                <w:rPr>
                  <w:rFonts w:ascii="Arial" w:cs="Arial" w:eastAsia="Arial" w:hAnsi="Arial"/>
                  <w:sz w:val="18"/>
                  <w:szCs w:val="18"/>
                  <w:color w:val="0000EE"/>
                </w:rPr>
                <w:t>Item 1.</w:t>
              </w:r>
            </w:hyperlink>
          </w:p>
        </w:tc>
        <w:tc>
          <w:tcPr>
            <w:tcW w:w="6900" w:type="dxa"/>
            <w:vAlign w:val="bottom"/>
            <w:gridSpan w:val="9"/>
          </w:tcPr>
          <w:p>
            <w:pPr>
              <w:spacing w:after="0" w:line="190" w:lineRule="exact"/>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Item 1A.</w:t>
              </w:r>
            </w:hyperlink>
          </w:p>
        </w:tc>
        <w:tc>
          <w:tcPr>
            <w:tcW w:w="360" w:type="dxa"/>
            <w:vAlign w:val="bottom"/>
          </w:tcPr>
          <w:p>
            <w:pPr>
              <w:spacing w:after="0"/>
              <w:rPr>
                <w:sz w:val="17"/>
                <w:szCs w:val="17"/>
                <w:color w:val="auto"/>
              </w:rPr>
            </w:pPr>
          </w:p>
        </w:tc>
        <w:tc>
          <w:tcPr>
            <w:tcW w:w="6900" w:type="dxa"/>
            <w:vAlign w:val="bottom"/>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2</w:t>
              </w:r>
            </w:hyperlink>
            <w:r>
              <w:rPr>
                <w:rFonts w:ascii="Arial" w:cs="Arial" w:eastAsia="Arial" w:hAnsi="Arial"/>
                <w:sz w:val="18"/>
                <w:szCs w:val="18"/>
                <w:color w:val="000000"/>
              </w:rPr>
              <w:t>.</w:t>
            </w:r>
          </w:p>
        </w:tc>
        <w:tc>
          <w:tcPr>
            <w:tcW w:w="360" w:type="dxa"/>
            <w:vAlign w:val="bottom"/>
          </w:tcPr>
          <w:p>
            <w:pPr>
              <w:spacing w:after="0"/>
              <w:rPr>
                <w:sz w:val="17"/>
                <w:szCs w:val="17"/>
                <w:color w:val="auto"/>
              </w:rPr>
            </w:pPr>
          </w:p>
        </w:tc>
        <w:tc>
          <w:tcPr>
            <w:tcW w:w="6900" w:type="dxa"/>
            <w:vAlign w:val="bottom"/>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Unregistered Sales of Equity Securities and use of Proceeds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00" w:type="dxa"/>
            <w:vAlign w:val="bottom"/>
            <w:gridSpan w:val="6"/>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 6.</w:t>
              </w:r>
            </w:hyperlink>
          </w:p>
        </w:tc>
        <w:tc>
          <w:tcPr>
            <w:tcW w:w="6900" w:type="dxa"/>
            <w:vAlign w:val="bottom"/>
            <w:gridSpan w:val="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9"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risks related to our energy business, including the volatility and availability of crude oil, declines in global demand for crude oil, refined products and liquid transportation fuels as result of the COVID-19 pandemic, other feed stocks and refined products,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COVID-19 pandemic;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labor shortages and workforce availability; risks related to our scrap metals activities, including potential environmental exposure;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2020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4"/>
                <w:szCs w:val="14"/>
                <w:color w:val="auto"/>
                <w:w w:val="92"/>
              </w:rPr>
              <w:t>(in millions, except</w:t>
            </w:r>
          </w:p>
        </w:tc>
        <w:tc>
          <w:tcPr>
            <w:tcW w:w="1120" w:type="dxa"/>
            <w:vAlign w:val="bottom"/>
            <w:gridSpan w:val="2"/>
          </w:tcPr>
          <w:p>
            <w:pPr>
              <w:jc w:val="right"/>
              <w:ind w:right="170"/>
              <w:spacing w:after="0" w:line="129" w:lineRule="exact"/>
              <w:rPr>
                <w:sz w:val="20"/>
                <w:szCs w:val="20"/>
                <w:color w:val="auto"/>
              </w:rPr>
            </w:pPr>
            <w:r>
              <w:rPr>
                <w:rFonts w:ascii="Arial" w:cs="Arial" w:eastAsia="Arial" w:hAnsi="Arial"/>
                <w:sz w:val="14"/>
                <w:szCs w:val="14"/>
                <w:color w:val="auto"/>
                <w:w w:val="98"/>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1,945</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liabilities,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Limited partners: Depositary units: 278,605,558 units issued and outstanding at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September 30, 2021 and 241,338,835 units issued and outstanding at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2020</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(846)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60" w:type="dxa"/>
            <w:vAlign w:val="bottom"/>
            <w:gridSpan w:val="7"/>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10"/>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80" w:type="dxa"/>
            <w:vAlign w:val="bottom"/>
          </w:tcPr>
          <w:p>
            <w:pPr>
              <w:spacing w:after="0"/>
              <w:rPr>
                <w:sz w:val="24"/>
                <w:szCs w:val="24"/>
                <w:color w:val="auto"/>
              </w:rPr>
            </w:pPr>
          </w:p>
        </w:tc>
        <w:tc>
          <w:tcPr>
            <w:tcW w:w="18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(in</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color w:val="auto"/>
                <w:w w:val="94"/>
              </w:rPr>
              <w:t>millions, except</w:t>
            </w: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color w:val="auto"/>
                <w:w w:val="86"/>
              </w:rPr>
              <w:t>per unit amounts)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2,657</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1,764</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7,487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Net (loss) gain from investment activities</w:t>
            </w:r>
          </w:p>
        </w:tc>
        <w:tc>
          <w:tcPr>
            <w:tcW w:w="16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Other (loss) income, net</w:t>
            </w:r>
          </w:p>
        </w:tc>
        <w:tc>
          <w:tcPr>
            <w:tcW w:w="16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(Loss) income before income tax (expense) benefit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income attributable to non-controlling interests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Icahn Enterprises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Net loss attributable to Icahn Enterprises allocated to:</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6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LP unit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weighted average LP units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distributions declared per LP unit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18"/>
                <w:szCs w:val="18"/>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6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r>
      <w:tr>
        <w:trPr>
          <w:trHeight w:val="128"/>
        </w:trPr>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4"/>
          </w:tcPr>
          <w:p>
            <w:pPr>
              <w:jc w:val="right"/>
              <w:ind w:right="39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2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(2,841)</w:t>
            </w:r>
          </w:p>
        </w:tc>
      </w:tr>
      <w:tr>
        <w:trPr>
          <w:trHeight w:val="202"/>
        </w:trPr>
        <w:tc>
          <w:tcPr>
            <w:tcW w:w="5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Less: Comprehensive (loss) income attributable to non-controlling</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4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attributable to Icahn Enterprises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w:t>
            </w:r>
          </w:p>
        </w:tc>
      </w:tr>
      <w:tr>
        <w:trPr>
          <w:trHeight w:val="197"/>
        </w:trPr>
        <w:tc>
          <w:tcPr>
            <w:tcW w:w="5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w w:val="99"/>
              </w:rPr>
              <w:t>Comprehensive loss attributable to Icahn Enterprises allocated to:</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95"/>
              </w:rPr>
              <w:t>Equity Attributable to Icahn Enterprises</w:t>
            </w:r>
          </w:p>
        </w:tc>
        <w:tc>
          <w:tcPr>
            <w:tcW w:w="80" w:type="dxa"/>
            <w:vAlign w:val="bottom"/>
          </w:tcPr>
          <w:p>
            <w:pPr>
              <w:spacing w:after="0"/>
              <w:rPr>
                <w:sz w:val="14"/>
                <w:szCs w:val="14"/>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General</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Limited</w:t>
            </w: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Partner’s</w:t>
            </w:r>
          </w:p>
        </w:tc>
        <w:tc>
          <w:tcPr>
            <w:tcW w:w="8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9"/>
              </w:rPr>
              <w:t>Partners’</w:t>
            </w: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Partners’</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controlling</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(Deficit) Equity</w:t>
            </w:r>
          </w:p>
        </w:tc>
        <w:tc>
          <w:tcPr>
            <w:tcW w:w="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Interests</w:t>
            </w: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153"/>
              <w:spacing w:after="0" w:line="129" w:lineRule="exact"/>
              <w:rPr>
                <w:sz w:val="20"/>
                <w:szCs w:val="20"/>
                <w:color w:val="auto"/>
              </w:rPr>
            </w:pPr>
            <w:r>
              <w:rPr>
                <w:rFonts w:ascii="Arial" w:cs="Arial" w:eastAsia="Arial" w:hAnsi="Arial"/>
                <w:sz w:val="13"/>
                <w:szCs w:val="13"/>
                <w:color w:val="auto"/>
              </w:rPr>
              <w:t>(in millions)</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December 31, 2020</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(853)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Partnership distributions payable</w:t>
            </w: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(489)</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(499)</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Partnership contributions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Investment segment contributions from non-controlling interests</w:t>
            </w:r>
          </w:p>
        </w:tc>
        <w:tc>
          <w:tcPr>
            <w:tcW w:w="12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subsidiary equity and other</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3"/>
                <w:szCs w:val="13"/>
                <w:b w:val="1"/>
                <w:bCs w:val="1"/>
                <w:color w:val="auto"/>
              </w:rPr>
              <w:t>Balance, March 31, 2021</w:t>
            </w: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(856)</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4,086</w:t>
            </w: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3,230</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6,352</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Net (loss) income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2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Partnership distributions payable reversal</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Partnership distributions</w:t>
            </w: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(56)</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Partnership contributions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Investment segment contributions from non-controlling interests</w:t>
            </w:r>
          </w:p>
        </w:tc>
        <w:tc>
          <w:tcPr>
            <w:tcW w:w="12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and distributions to non-controlling interests in subsidiaries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(144)</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ind w:left="20"/>
              <w:spacing w:after="0"/>
              <w:rPr>
                <w:sz w:val="20"/>
                <w:szCs w:val="20"/>
                <w:color w:val="auto"/>
              </w:rPr>
            </w:pPr>
            <w:r>
              <w:rPr>
                <w:rFonts w:ascii="Arial" w:cs="Arial" w:eastAsia="Arial" w:hAnsi="Arial"/>
                <w:sz w:val="13"/>
                <w:szCs w:val="13"/>
                <w:color w:val="auto"/>
              </w:rPr>
              <w:t>Changes in subsidiary equity and other</w:t>
            </w: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June 30, 2021</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(846)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4,581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3,735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6,290</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ind w:left="20"/>
              <w:spacing w:after="0" w:line="142" w:lineRule="exact"/>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(145)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(148)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(63)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Partnership distributions</w:t>
            </w: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(35)</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Partnership contributions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Investment segment contributions from non-controlling interests</w:t>
            </w:r>
          </w:p>
        </w:tc>
        <w:tc>
          <w:tcPr>
            <w:tcW w:w="12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and distributions to non-controlling interests in subsidiaries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Changes in subsidiary equity and other</w:t>
            </w:r>
          </w:p>
        </w:tc>
        <w:tc>
          <w:tcPr>
            <w:tcW w:w="12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September 30, 2021</w:t>
            </w: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4,616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3,770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6,237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95"/>
              </w:rPr>
              <w:t>Equity Attributable to Icahn Enterprises</w:t>
            </w:r>
          </w:p>
        </w:tc>
        <w:tc>
          <w:tcPr>
            <w:tcW w:w="80" w:type="dxa"/>
            <w:vAlign w:val="bottom"/>
          </w:tcPr>
          <w:p>
            <w:pPr>
              <w:spacing w:after="0"/>
              <w:rPr>
                <w:sz w:val="24"/>
                <w:szCs w:val="24"/>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General</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Limited</w:t>
            </w: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Partner’s</w:t>
            </w:r>
          </w:p>
        </w:tc>
        <w:tc>
          <w:tcPr>
            <w:tcW w:w="8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9"/>
              </w:rPr>
              <w:t>Partners’</w:t>
            </w: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Partners’</w:t>
            </w: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controlling</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(Deficit) Equity</w:t>
            </w:r>
          </w:p>
        </w:tc>
        <w:tc>
          <w:tcPr>
            <w:tcW w:w="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Interests</w:t>
            </w: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153"/>
              <w:spacing w:after="0" w:line="129" w:lineRule="exact"/>
              <w:rPr>
                <w:sz w:val="20"/>
                <w:szCs w:val="20"/>
                <w:color w:val="auto"/>
              </w:rPr>
            </w:pPr>
            <w:r>
              <w:rPr>
                <w:rFonts w:ascii="Arial" w:cs="Arial" w:eastAsia="Arial" w:hAnsi="Arial"/>
                <w:sz w:val="13"/>
                <w:szCs w:val="13"/>
                <w:color w:val="auto"/>
              </w:rPr>
              <w:t>(in millions)</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December 31, 2019</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(812)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(1,356)</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(1,384)</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(922)</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Partnership distributions payable</w:t>
            </w: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(428)</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(437)</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Partnership contributions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Investment segment contributions from non-controlling interests</w:t>
            </w:r>
          </w:p>
        </w:tc>
        <w:tc>
          <w:tcPr>
            <w:tcW w:w="12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and distributions to non-controlling interests in subsidiaries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ind w:left="20"/>
              <w:spacing w:after="0"/>
              <w:rPr>
                <w:sz w:val="20"/>
                <w:szCs w:val="20"/>
                <w:color w:val="auto"/>
              </w:rPr>
            </w:pPr>
            <w:r>
              <w:rPr>
                <w:rFonts w:ascii="Arial" w:cs="Arial" w:eastAsia="Arial" w:hAnsi="Arial"/>
                <w:sz w:val="13"/>
                <w:szCs w:val="13"/>
                <w:color w:val="auto"/>
              </w:rPr>
              <w:t>Changes in subsidiary equity and other</w:t>
            </w:r>
          </w:p>
        </w:tc>
        <w:tc>
          <w:tcPr>
            <w:tcW w:w="12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March 31, 2020</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(849)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4,484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3,635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5,782</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ind w:left="20"/>
              <w:spacing w:after="0" w:line="142" w:lineRule="exact"/>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293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299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565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Partnership distributions payable reversal</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Partnership distributions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(452)</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(461)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Partnership contributions</w:t>
            </w:r>
          </w:p>
        </w:tc>
        <w:tc>
          <w:tcPr>
            <w:tcW w:w="12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and distributions to non-controlling interests in subsidiaries</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ind w:left="20"/>
              <w:spacing w:after="0"/>
              <w:rPr>
                <w:sz w:val="20"/>
                <w:szCs w:val="20"/>
                <w:color w:val="auto"/>
              </w:rPr>
            </w:pPr>
            <w:r>
              <w:rPr>
                <w:rFonts w:ascii="Arial" w:cs="Arial" w:eastAsia="Arial" w:hAnsi="Arial"/>
                <w:sz w:val="13"/>
                <w:szCs w:val="13"/>
                <w:color w:val="auto"/>
              </w:rPr>
              <w:t>Changes in subsidiary equity and other</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June 30, 2020</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(842)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4,774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3,932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6,333</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10,265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ind w:left="20"/>
              <w:spacing w:after="0" w:line="142" w:lineRule="exact"/>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(700)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(714)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(686)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(1,400)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rPr>
                <w:sz w:val="20"/>
                <w:szCs w:val="20"/>
                <w:color w:val="auto"/>
              </w:rPr>
            </w:pPr>
            <w:r>
              <w:rPr>
                <w:rFonts w:ascii="Arial" w:cs="Arial" w:eastAsia="Arial" w:hAnsi="Arial"/>
                <w:sz w:val="13"/>
                <w:szCs w:val="13"/>
                <w:color w:val="auto"/>
              </w:rPr>
              <w:t>Partnership distributions</w:t>
            </w: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(31)</w:t>
            </w:r>
          </w:p>
        </w:tc>
        <w:tc>
          <w:tcPr>
            <w:tcW w:w="1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Partnership contributions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ind w:left="20"/>
              <w:spacing w:after="0"/>
              <w:rPr>
                <w:sz w:val="20"/>
                <w:szCs w:val="20"/>
                <w:color w:val="auto"/>
              </w:rPr>
            </w:pPr>
            <w:r>
              <w:rPr>
                <w:rFonts w:ascii="Arial" w:cs="Arial" w:eastAsia="Arial" w:hAnsi="Arial"/>
                <w:sz w:val="13"/>
                <w:szCs w:val="13"/>
                <w:color w:val="auto"/>
              </w:rPr>
              <w:t>Changes in subsidiary equity and other</w:t>
            </w:r>
          </w:p>
        </w:tc>
        <w:tc>
          <w:tcPr>
            <w:tcW w:w="12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September 30, 2020</w:t>
            </w: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(856)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4,086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3,230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5,643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8,873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199"/>
        </w:trPr>
        <w:tc>
          <w:tcPr>
            <w:tcW w:w="64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r>
      <w:tr>
        <w:trPr>
          <w:trHeight w:val="183"/>
        </w:trPr>
        <w:tc>
          <w:tcPr>
            <w:tcW w:w="6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ind w:right="4"/>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326</w:t>
            </w:r>
          </w:p>
        </w:tc>
        <w:tc>
          <w:tcPr>
            <w:tcW w:w="24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(2,842)</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20" w:type="dxa"/>
            <w:vAlign w:val="bottom"/>
          </w:tcPr>
          <w:p>
            <w:pPr>
              <w:ind w:left="120"/>
              <w:spacing w:after="0"/>
              <w:rPr>
                <w:sz w:val="20"/>
                <w:szCs w:val="20"/>
                <w:color w:val="auto"/>
              </w:rPr>
            </w:pPr>
            <w:r>
              <w:rPr>
                <w:rFonts w:ascii="Arial" w:cs="Arial" w:eastAsia="Arial" w:hAnsi="Arial"/>
                <w:sz w:val="16"/>
                <w:szCs w:val="16"/>
                <w:color w:val="auto"/>
              </w:rPr>
              <w:t>Net (gain) loss from securities transactions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(1,603)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2,777</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securities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(1,991)</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20" w:type="dxa"/>
            <w:vAlign w:val="bottom"/>
          </w:tcPr>
          <w:p>
            <w:pPr>
              <w:spacing w:after="0"/>
              <w:rPr>
                <w:sz w:val="17"/>
                <w:szCs w:val="17"/>
                <w:color w:val="auto"/>
              </w:rPr>
            </w:pPr>
          </w:p>
        </w:tc>
      </w:tr>
      <w:tr>
        <w:trPr>
          <w:trHeight w:val="203"/>
        </w:trPr>
        <w:tc>
          <w:tcPr>
            <w:tcW w:w="6420" w:type="dxa"/>
            <w:vAlign w:val="bottom"/>
          </w:tcPr>
          <w:p>
            <w:pPr>
              <w:ind w:left="120"/>
              <w:spacing w:after="0"/>
              <w:rPr>
                <w:sz w:val="20"/>
                <w:szCs w:val="20"/>
                <w:color w:val="auto"/>
              </w:rPr>
            </w:pPr>
            <w:r>
              <w:rPr>
                <w:rFonts w:ascii="Arial" w:cs="Arial" w:eastAsia="Arial" w:hAnsi="Arial"/>
                <w:sz w:val="16"/>
                <w:szCs w:val="16"/>
                <w:color w:val="auto"/>
              </w:rPr>
              <w:t>Proceeds from sales of securities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3,756</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to cover securities sold, not yet purchased</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(2,325)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20" w:type="dxa"/>
            <w:vAlign w:val="bottom"/>
          </w:tcPr>
          <w:p>
            <w:pPr>
              <w:spacing w:after="0"/>
              <w:rPr>
                <w:sz w:val="17"/>
                <w:szCs w:val="17"/>
                <w:color w:val="auto"/>
              </w:rPr>
            </w:pPr>
          </w:p>
        </w:tc>
      </w:tr>
      <w:tr>
        <w:trPr>
          <w:trHeight w:val="203"/>
        </w:trPr>
        <w:tc>
          <w:tcPr>
            <w:tcW w:w="6420" w:type="dxa"/>
            <w:vAlign w:val="bottom"/>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3,626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1,547</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(1,672)</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20" w:type="dxa"/>
            <w:vAlign w:val="bottom"/>
          </w:tcPr>
          <w:p>
            <w:pPr>
              <w:spacing w:after="0"/>
              <w:rPr>
                <w:sz w:val="17"/>
                <w:szCs w:val="17"/>
                <w:color w:val="auto"/>
              </w:rPr>
            </w:pPr>
          </w:p>
        </w:tc>
      </w:tr>
      <w:tr>
        <w:trPr>
          <w:trHeight w:val="203"/>
        </w:trPr>
        <w:tc>
          <w:tcPr>
            <w:tcW w:w="6420" w:type="dxa"/>
            <w:vAlign w:val="bottom"/>
          </w:tcPr>
          <w:p>
            <w:pPr>
              <w:ind w:left="120"/>
              <w:spacing w:after="0"/>
              <w:rPr>
                <w:sz w:val="20"/>
                <w:szCs w:val="20"/>
                <w:color w:val="auto"/>
              </w:rPr>
            </w:pPr>
            <w:r>
              <w:rPr>
                <w:rFonts w:ascii="Arial" w:cs="Arial" w:eastAsia="Arial" w:hAnsi="Arial"/>
                <w:sz w:val="16"/>
                <w:szCs w:val="16"/>
                <w:color w:val="auto"/>
              </w:rPr>
              <w:t>Changes in derivative assets and liabilities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(171)</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(2,309)</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0" w:type="dxa"/>
            <w:vAlign w:val="bottom"/>
          </w:tcPr>
          <w:p>
            <w:pPr>
              <w:spacing w:after="0"/>
              <w:rPr>
                <w:sz w:val="17"/>
                <w:szCs w:val="17"/>
                <w:color w:val="auto"/>
              </w:rPr>
            </w:pPr>
          </w:p>
        </w:tc>
      </w:tr>
      <w:tr>
        <w:trPr>
          <w:trHeight w:val="203"/>
        </w:trPr>
        <w:tc>
          <w:tcPr>
            <w:tcW w:w="642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7"/>
                <w:szCs w:val="17"/>
                <w:color w:val="auto"/>
              </w:rPr>
            </w:pPr>
          </w:p>
        </w:tc>
      </w:tr>
      <w:tr>
        <w:trPr>
          <w:trHeight w:val="203"/>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7"/>
                <w:szCs w:val="17"/>
                <w:color w:val="auto"/>
              </w:rPr>
            </w:pPr>
          </w:p>
        </w:tc>
      </w:tr>
      <w:tr>
        <w:trPr>
          <w:trHeight w:val="19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20" w:type="dxa"/>
            <w:vAlign w:val="bottom"/>
          </w:tcPr>
          <w:p>
            <w:pPr>
              <w:spacing w:after="0"/>
              <w:rPr>
                <w:sz w:val="17"/>
                <w:szCs w:val="17"/>
                <w:color w:val="auto"/>
              </w:rPr>
            </w:pPr>
          </w:p>
        </w:tc>
      </w:tr>
      <w:tr>
        <w:trPr>
          <w:trHeight w:val="190"/>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 w:type="dxa"/>
            <w:vAlign w:val="bottom"/>
          </w:tcPr>
          <w:p>
            <w:pPr>
              <w:spacing w:after="0"/>
              <w:rPr>
                <w:sz w:val="18"/>
                <w:szCs w:val="18"/>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Turnaround expenditures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businesses, net of cash acquired</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24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(317)</w:t>
            </w:r>
          </w:p>
        </w:tc>
        <w:tc>
          <w:tcPr>
            <w:tcW w:w="20" w:type="dxa"/>
            <w:vAlign w:val="bottom"/>
          </w:tcPr>
          <w:p>
            <w:pPr>
              <w:spacing w:after="0"/>
              <w:rPr>
                <w:sz w:val="17"/>
                <w:szCs w:val="17"/>
                <w:color w:val="auto"/>
              </w:rPr>
            </w:pPr>
          </w:p>
        </w:tc>
      </w:tr>
      <w:tr>
        <w:trPr>
          <w:trHeight w:val="20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Proceeds from disposition of businesses and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19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20" w:type="dxa"/>
            <w:vAlign w:val="bottom"/>
          </w:tcPr>
          <w:p>
            <w:pPr>
              <w:spacing w:after="0"/>
              <w:rPr>
                <w:sz w:val="17"/>
                <w:szCs w:val="17"/>
                <w:color w:val="auto"/>
              </w:rPr>
            </w:pPr>
          </w:p>
        </w:tc>
      </w:tr>
      <w:tr>
        <w:trPr>
          <w:trHeight w:val="19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Investment segment contributions from non-controlling interests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7"/>
                <w:szCs w:val="17"/>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(92)</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(493)</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and distributions to non-controlling interests in subsidiaries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(81)</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Proceeds from Holding Company senior unsecured notes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866</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Holding Company senior unsecured notes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(1,205)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20" w:type="dxa"/>
            <w:vAlign w:val="bottom"/>
          </w:tcPr>
          <w:p>
            <w:pPr>
              <w:spacing w:after="0"/>
              <w:rPr>
                <w:sz w:val="17"/>
                <w:szCs w:val="17"/>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Proceeds from subsidiary borrowings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1,644</w:t>
            </w:r>
          </w:p>
        </w:tc>
        <w:tc>
          <w:tcPr>
            <w:tcW w:w="20" w:type="dxa"/>
            <w:vAlign w:val="bottom"/>
          </w:tcPr>
          <w:p>
            <w:pPr>
              <w:spacing w:after="0"/>
              <w:rPr>
                <w:sz w:val="17"/>
                <w:szCs w:val="17"/>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subsidiary borrowings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(1,477)</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20" w:type="dxa"/>
            <w:vAlign w:val="bottom"/>
          </w:tcPr>
          <w:p>
            <w:pPr>
              <w:spacing w:after="0"/>
              <w:rPr>
                <w:sz w:val="17"/>
                <w:szCs w:val="17"/>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r>
      <w:tr>
        <w:trPr>
          <w:trHeight w:val="196"/>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20" w:type="dxa"/>
            <w:vAlign w:val="bottom"/>
          </w:tcPr>
          <w:p>
            <w:pPr>
              <w:spacing w:after="0"/>
              <w:rPr>
                <w:sz w:val="17"/>
                <w:szCs w:val="17"/>
                <w:color w:val="auto"/>
              </w:rPr>
            </w:pPr>
          </w:p>
        </w:tc>
      </w:tr>
      <w:tr>
        <w:trPr>
          <w:trHeight w:val="173"/>
        </w:trPr>
        <w:tc>
          <w:tcPr>
            <w:tcW w:w="6420" w:type="dxa"/>
            <w:vAlign w:val="bottom"/>
          </w:tcPr>
          <w:p>
            <w:pPr>
              <w:ind w:left="20"/>
              <w:spacing w:after="0" w:line="173" w:lineRule="exact"/>
              <w:rPr>
                <w:sz w:val="20"/>
                <w:szCs w:val="20"/>
                <w:color w:val="auto"/>
              </w:rPr>
            </w:pPr>
            <w:r>
              <w:rPr>
                <w:rFonts w:ascii="Arial" w:cs="Arial" w:eastAsia="Arial" w:hAnsi="Arial"/>
                <w:sz w:val="16"/>
                <w:szCs w:val="16"/>
                <w:color w:val="auto"/>
                <w:w w:val="93"/>
              </w:rPr>
              <w:t>Effect of exchange rate changes on cash and cash equivalents and restricted cash and restricted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6420" w:type="dxa"/>
            <w:vAlign w:val="bottom"/>
          </w:tcPr>
          <w:p>
            <w:pPr>
              <w:ind w:left="140"/>
              <w:spacing w:after="0"/>
              <w:rPr>
                <w:sz w:val="20"/>
                <w:szCs w:val="20"/>
                <w:color w:val="auto"/>
              </w:rPr>
            </w:pPr>
            <w:r>
              <w:rPr>
                <w:rFonts w:ascii="Arial" w:cs="Arial" w:eastAsia="Arial" w:hAnsi="Arial"/>
                <w:sz w:val="16"/>
                <w:szCs w:val="16"/>
                <w:color w:val="auto"/>
              </w:rPr>
              <w:t>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5"/>
              </w:rPr>
              <w:t>Net increase (decrease) in cash and cash equivalents and restricted cash and restricted</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0" w:type="dxa"/>
            <w:vAlign w:val="bottom"/>
          </w:tcPr>
          <w:p>
            <w:pPr>
              <w:spacing w:after="0"/>
              <w:rPr>
                <w:sz w:val="18"/>
                <w:szCs w:val="18"/>
                <w:color w:val="auto"/>
              </w:rPr>
            </w:pPr>
          </w:p>
        </w:tc>
      </w:tr>
      <w:tr>
        <w:trPr>
          <w:trHeight w:val="193"/>
        </w:trPr>
        <w:tc>
          <w:tcPr>
            <w:tcW w:w="6420" w:type="dxa"/>
            <w:vAlign w:val="bottom"/>
          </w:tcPr>
          <w:p>
            <w:pPr>
              <w:ind w:left="20"/>
              <w:spacing w:after="0"/>
              <w:rPr>
                <w:sz w:val="20"/>
                <w:szCs w:val="20"/>
                <w:color w:val="auto"/>
              </w:rPr>
            </w:pPr>
            <w:r>
              <w:rPr>
                <w:rFonts w:ascii="Arial" w:cs="Arial" w:eastAsia="Arial" w:hAnsi="Arial"/>
                <w:sz w:val="16"/>
                <w:szCs w:val="16"/>
                <w:color w:val="auto"/>
                <w:w w:val="97"/>
              </w:rPr>
              <w:t>Cash and cash equivalents and restricted cash and restricted cash equivalents, beginning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20" w:type="dxa"/>
            <w:vAlign w:val="bottom"/>
          </w:tcPr>
          <w:p>
            <w:pPr>
              <w:spacing w:after="0"/>
              <w:rPr>
                <w:sz w:val="18"/>
                <w:szCs w:val="18"/>
                <w:color w:val="auto"/>
              </w:rPr>
            </w:pPr>
          </w:p>
        </w:tc>
      </w:tr>
      <w:tr>
        <w:trPr>
          <w:trHeight w:val="199"/>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Cash and cash equivalents and restricted cash and restricted cash equivalents, end of period</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20" w:type="dxa"/>
            <w:vAlign w:val="bottom"/>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80" w:type="dxa"/>
            <w:vAlign w:val="bottom"/>
            <w:gridSpan w:val="4"/>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gridSpan w:val="4"/>
          </w:tcPr>
          <w:p>
            <w:pPr>
              <w:ind w:left="1700"/>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4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ind w:left="640"/>
              <w:spacing w:after="0" w:line="142"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1,945</w:t>
            </w:r>
          </w:p>
        </w:tc>
        <w:tc>
          <w:tcPr>
            <w:tcW w:w="1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27,973</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liabilities,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(892)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560" w:type="dxa"/>
            <w:vAlign w:val="bottom"/>
            <w:gridSpan w:val="10"/>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gridSpan w:val="11"/>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60" w:type="dxa"/>
            <w:vAlign w:val="bottom"/>
          </w:tcPr>
          <w:p>
            <w:pPr>
              <w:spacing w:after="0"/>
              <w:rPr>
                <w:sz w:val="24"/>
                <w:szCs w:val="24"/>
                <w:color w:val="auto"/>
              </w:rPr>
            </w:pPr>
          </w:p>
        </w:tc>
        <w:tc>
          <w:tcPr>
            <w:tcW w:w="30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3"/>
          </w:tcPr>
          <w:p>
            <w:pPr>
              <w:jc w:val="right"/>
              <w:ind w:right="24"/>
              <w:spacing w:after="0" w:line="129" w:lineRule="exact"/>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2,657</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1,764</w:t>
            </w:r>
          </w:p>
        </w:tc>
        <w:tc>
          <w:tcPr>
            <w:tcW w:w="2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7,487</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2"/>
        </w:trPr>
        <w:tc>
          <w:tcPr>
            <w:tcW w:w="3060" w:type="dxa"/>
            <w:vAlign w:val="bottom"/>
          </w:tcPr>
          <w:p>
            <w:pPr>
              <w:ind w:left="120"/>
              <w:spacing w:after="0" w:line="201" w:lineRule="exact"/>
              <w:rPr>
                <w:sz w:val="20"/>
                <w:szCs w:val="20"/>
                <w:color w:val="auto"/>
              </w:rPr>
            </w:pPr>
            <w:r>
              <w:rPr>
                <w:rFonts w:ascii="Arial" w:cs="Arial" w:eastAsia="Arial" w:hAnsi="Arial"/>
                <w:sz w:val="18"/>
                <w:szCs w:val="18"/>
                <w:color w:val="auto"/>
              </w:rPr>
              <w:t>Net (loss) gain from investment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40"/>
              <w:spacing w:after="0"/>
              <w:rPr>
                <w:sz w:val="20"/>
                <w:szCs w:val="20"/>
                <w:color w:val="auto"/>
              </w:rPr>
            </w:pPr>
            <w:r>
              <w:rPr>
                <w:rFonts w:ascii="Arial" w:cs="Arial" w:eastAsia="Arial" w:hAnsi="Arial"/>
                <w:sz w:val="18"/>
                <w:szCs w:val="18"/>
                <w:color w:val="auto"/>
              </w:rPr>
              <w:t>activities</w:t>
            </w:r>
          </w:p>
        </w:tc>
        <w:tc>
          <w:tcPr>
            <w:tcW w:w="2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(1,259)</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Other (loss) income, net</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182"/>
        </w:trPr>
        <w:tc>
          <w:tcPr>
            <w:tcW w:w="3060" w:type="dxa"/>
            <w:vAlign w:val="bottom"/>
          </w:tcPr>
          <w:p>
            <w:pPr>
              <w:ind w:left="20"/>
              <w:spacing w:after="0" w:line="182" w:lineRule="exact"/>
              <w:rPr>
                <w:sz w:val="20"/>
                <w:szCs w:val="20"/>
                <w:color w:val="auto"/>
              </w:rPr>
            </w:pPr>
            <w:r>
              <w:rPr>
                <w:rFonts w:ascii="Arial" w:cs="Arial" w:eastAsia="Arial" w:hAnsi="Arial"/>
                <w:sz w:val="18"/>
                <w:szCs w:val="18"/>
                <w:color w:val="auto"/>
              </w:rPr>
              <w:t>(Loss) income before income tax</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(expense) benefit</w:t>
            </w:r>
          </w:p>
        </w:tc>
        <w:tc>
          <w:tcPr>
            <w:tcW w:w="2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(1,466)</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net (loss) income attributable to</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Net loss attributable to Icahn</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vMerge w:val="continue"/>
          </w:tcPr>
          <w:p>
            <w:pPr>
              <w:spacing w:after="0"/>
              <w:rPr>
                <w:sz w:val="15"/>
                <w:szCs w:val="15"/>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260" w:type="dxa"/>
            <w:vAlign w:val="bottom"/>
            <w:vMerge w:val="restart"/>
          </w:tcPr>
          <w:p>
            <w:pPr>
              <w:spacing w:after="0"/>
              <w:rPr>
                <w:sz w:val="15"/>
                <w:szCs w:val="15"/>
                <w:color w:val="auto"/>
              </w:rPr>
            </w:pPr>
          </w:p>
        </w:tc>
        <w:tc>
          <w:tcPr>
            <w:tcW w:w="280" w:type="dxa"/>
            <w:vAlign w:val="bottom"/>
            <w:vMerge w:val="restart"/>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(714)</w:t>
            </w:r>
          </w:p>
        </w:tc>
        <w:tc>
          <w:tcPr>
            <w:tcW w:w="320" w:type="dxa"/>
            <w:vAlign w:val="bottom"/>
            <w:vMerge w:val="restart"/>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(121)</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57"/>
        </w:trPr>
        <w:tc>
          <w:tcPr>
            <w:tcW w:w="3060" w:type="dxa"/>
            <w:vAlign w:val="bottom"/>
          </w:tcPr>
          <w:p>
            <w:pPr>
              <w:ind w:left="140"/>
              <w:spacing w:after="0"/>
              <w:rPr>
                <w:sz w:val="20"/>
                <w:szCs w:val="20"/>
                <w:color w:val="auto"/>
              </w:rPr>
            </w:pPr>
            <w:r>
              <w:rPr>
                <w:rFonts w:ascii="Arial" w:cs="Arial" w:eastAsia="Arial" w:hAnsi="Arial"/>
                <w:sz w:val="18"/>
                <w:szCs w:val="18"/>
                <w:color w:val="auto"/>
              </w:rPr>
              <w:t>Enterprises Holdings</w:t>
            </w:r>
          </w:p>
        </w:tc>
        <w:tc>
          <w:tcPr>
            <w:tcW w:w="2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20"/>
              <w:spacing w:after="0" w:line="201" w:lineRule="exact"/>
              <w:rPr>
                <w:sz w:val="20"/>
                <w:szCs w:val="20"/>
                <w:color w:val="auto"/>
              </w:rPr>
            </w:pPr>
            <w:r>
              <w:rPr>
                <w:rFonts w:ascii="Arial" w:cs="Arial" w:eastAsia="Arial" w:hAnsi="Arial"/>
                <w:sz w:val="18"/>
                <w:szCs w:val="18"/>
                <w:color w:val="auto"/>
              </w:rPr>
              <w:t>Net loss attributable to Icahn</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Enterprises Holdings allocated to:</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304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28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94"/>
              </w:rPr>
              <w:t>2021</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3"/>
          </w:tcPr>
          <w:p>
            <w:pPr>
              <w:jc w:val="right"/>
              <w:ind w:right="24"/>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(211)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2"/>
        </w:trPr>
        <w:tc>
          <w:tcPr>
            <w:tcW w:w="3060" w:type="dxa"/>
            <w:vAlign w:val="bottom"/>
          </w:tcPr>
          <w:p>
            <w:pPr>
              <w:ind w:left="20"/>
              <w:spacing w:after="0" w:line="201" w:lineRule="exact"/>
              <w:rPr>
                <w:sz w:val="20"/>
                <w:szCs w:val="20"/>
                <w:color w:val="auto"/>
              </w:rPr>
            </w:pPr>
            <w:r>
              <w:rPr>
                <w:rFonts w:ascii="Arial" w:cs="Arial" w:eastAsia="Arial" w:hAnsi="Arial"/>
                <w:sz w:val="18"/>
                <w:szCs w:val="18"/>
                <w:color w:val="auto"/>
                <w:w w:val="94"/>
              </w:rPr>
              <w:t>Other comprehensive (loss) income, net</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of tax:</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8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Other comprehensive (loss) income, net</w:t>
            </w:r>
          </w:p>
        </w:tc>
        <w:tc>
          <w:tcPr>
            <w:tcW w:w="8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tax</w:t>
            </w:r>
          </w:p>
        </w:tc>
        <w:tc>
          <w:tcPr>
            <w:tcW w:w="8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8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(216)</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Less: Comprehensive (loss) income</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attributable to non-controlling</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Comprehensive loss attributable to</w:t>
            </w: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vMerge w:val="continue"/>
          </w:tcPr>
          <w:p>
            <w:pPr>
              <w:spacing w:after="0"/>
              <w:rPr>
                <w:sz w:val="15"/>
                <w:szCs w:val="15"/>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9"/>
              </w:rPr>
              <w:t>(152)</w:t>
            </w:r>
          </w:p>
        </w:tc>
        <w:tc>
          <w:tcPr>
            <w:tcW w:w="260" w:type="dxa"/>
            <w:vAlign w:val="bottom"/>
            <w:vMerge w:val="restart"/>
          </w:tcPr>
          <w:p>
            <w:pPr>
              <w:spacing w:after="0"/>
              <w:rPr>
                <w:sz w:val="15"/>
                <w:szCs w:val="15"/>
                <w:color w:val="auto"/>
              </w:rPr>
            </w:pPr>
          </w:p>
        </w:tc>
        <w:tc>
          <w:tcPr>
            <w:tcW w:w="280" w:type="dxa"/>
            <w:vAlign w:val="bottom"/>
            <w:vMerge w:val="restart"/>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(712)</w:t>
            </w:r>
          </w:p>
        </w:tc>
        <w:tc>
          <w:tcPr>
            <w:tcW w:w="340" w:type="dxa"/>
            <w:vAlign w:val="bottom"/>
            <w:vMerge w:val="restart"/>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(124)</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57"/>
        </w:trPr>
        <w:tc>
          <w:tcPr>
            <w:tcW w:w="3060" w:type="dxa"/>
            <w:vAlign w:val="bottom"/>
          </w:tcPr>
          <w:p>
            <w:pPr>
              <w:ind w:left="140"/>
              <w:spacing w:after="0"/>
              <w:rPr>
                <w:sz w:val="20"/>
                <w:szCs w:val="20"/>
                <w:color w:val="auto"/>
              </w:rPr>
            </w:pPr>
            <w:r>
              <w:rPr>
                <w:rFonts w:ascii="Arial" w:cs="Arial" w:eastAsia="Arial" w:hAnsi="Arial"/>
                <w:sz w:val="18"/>
                <w:szCs w:val="18"/>
                <w:color w:val="auto"/>
              </w:rPr>
              <w:t>Icahn Enterprises Holdings</w:t>
            </w:r>
          </w:p>
        </w:tc>
        <w:tc>
          <w:tcPr>
            <w:tcW w:w="860" w:type="dxa"/>
            <w:vAlign w:val="bottom"/>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0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20"/>
              <w:spacing w:after="0" w:line="201" w:lineRule="exact"/>
              <w:rPr>
                <w:sz w:val="20"/>
                <w:szCs w:val="20"/>
                <w:color w:val="auto"/>
              </w:rPr>
            </w:pPr>
            <w:r>
              <w:rPr>
                <w:rFonts w:ascii="Arial" w:cs="Arial" w:eastAsia="Arial" w:hAnsi="Arial"/>
                <w:sz w:val="18"/>
                <w:szCs w:val="18"/>
                <w:color w:val="auto"/>
              </w:rPr>
              <w:t>Comprehensive loss attributable to</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8"/>
                <w:szCs w:val="18"/>
                <w:color w:val="auto"/>
                <w:w w:val="99"/>
              </w:rPr>
              <w:t>Icahn Enterprises Holdings allocated</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to:</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(151)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8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gridSpan w:val="13"/>
          </w:tcPr>
          <w:p>
            <w:pPr>
              <w:jc w:val="center"/>
              <w:ind w:right="200"/>
              <w:spacing w:after="0"/>
              <w:rPr>
                <w:sz w:val="20"/>
                <w:szCs w:val="20"/>
                <w:color w:val="auto"/>
              </w:rPr>
            </w:pPr>
            <w:r>
              <w:rPr>
                <w:rFonts w:ascii="Arial" w:cs="Arial" w:eastAsia="Arial" w:hAnsi="Arial"/>
                <w:sz w:val="13"/>
                <w:szCs w:val="13"/>
                <w:b w:val="1"/>
                <w:bCs w:val="1"/>
                <w:color w:val="auto"/>
                <w:w w:val="95"/>
              </w:rPr>
              <w:t>Equity Attributable to Icahn Enterprises Holdings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3"/>
                <w:szCs w:val="13"/>
                <w:b w:val="1"/>
                <w:bCs w:val="1"/>
                <w:color w:val="auto"/>
              </w:rPr>
              <w:t>General</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Limited</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Partner’s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Partner’s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6"/>
              </w:rPr>
              <w:t>Total Partners’</w:t>
            </w:r>
          </w:p>
        </w:tc>
        <w:tc>
          <w:tcPr>
            <w:tcW w:w="2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Arial" w:cs="Arial" w:eastAsia="Arial" w:hAnsi="Arial"/>
                <w:sz w:val="13"/>
                <w:szCs w:val="13"/>
                <w:b w:val="1"/>
                <w:bCs w:val="1"/>
                <w:color w:val="auto"/>
              </w:rPr>
              <w:t>controlling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(Deficit) Equity</w:t>
            </w:r>
          </w:p>
        </w:tc>
        <w:tc>
          <w:tcPr>
            <w:tcW w:w="16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5"/>
              </w:rPr>
              <w:t>Equity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2"/>
              </w:rPr>
              <w:t>Interests</w:t>
            </w:r>
          </w:p>
        </w:tc>
        <w:tc>
          <w:tcPr>
            <w:tcW w:w="1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right"/>
              <w:ind w:right="273"/>
              <w:spacing w:after="0" w:line="129" w:lineRule="exact"/>
              <w:rPr>
                <w:sz w:val="20"/>
                <w:szCs w:val="20"/>
                <w:color w:val="auto"/>
              </w:rPr>
            </w:pPr>
            <w:r>
              <w:rPr>
                <w:rFonts w:ascii="Arial" w:cs="Arial" w:eastAsia="Arial" w:hAnsi="Arial"/>
                <w:sz w:val="13"/>
                <w:szCs w:val="13"/>
                <w:color w:val="auto"/>
              </w:rPr>
              <w:t>(in millions)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December 31, 2020</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(896)</w:t>
            </w: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4,277</w:t>
            </w:r>
          </w:p>
        </w:tc>
        <w:tc>
          <w:tcPr>
            <w:tcW w:w="2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Partnership distributions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(494)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Partnership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Investment segment contributions from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Changes in subsidiary equity and other</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3"/>
                <w:szCs w:val="13"/>
                <w:b w:val="1"/>
                <w:bCs w:val="1"/>
                <w:color w:val="auto"/>
              </w:rPr>
              <w:t>Balance, March 31, 2021</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(897)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4,125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3,228</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6,352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Net (loss)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Partnership distributions payable reversal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Partnership distributions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(56)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Partnership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Investment segment contributions from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and distributions to non-controlling interests in subsidiaries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Changes in subsidiary equity and 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June 30, 2021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(893)</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4,627</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3,734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6,290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(147)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(148)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(63)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Partnership distributions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Partnership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Investment segment contributions from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and distributions to non-controlling interests in subsidiaries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Changes in subsidiary equity and 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September 30, 2021</w:t>
            </w: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(892)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4,661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jc w:val="right"/>
              <w:ind w:right="5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3,769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6,237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gridSpan w:val="2"/>
            <w:shd w:val="clear" w:color="auto" w:fill="CCEEFF"/>
          </w:tcPr>
          <w:p>
            <w:pPr>
              <w:jc w:val="right"/>
              <w:ind w:right="78"/>
              <w:spacing w:after="0" w:line="142" w:lineRule="exact"/>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gridSpan w:val="13"/>
          </w:tcPr>
          <w:p>
            <w:pPr>
              <w:jc w:val="center"/>
              <w:ind w:right="200"/>
              <w:spacing w:after="0"/>
              <w:rPr>
                <w:sz w:val="20"/>
                <w:szCs w:val="20"/>
                <w:color w:val="auto"/>
              </w:rPr>
            </w:pPr>
            <w:r>
              <w:rPr>
                <w:rFonts w:ascii="Arial" w:cs="Arial" w:eastAsia="Arial" w:hAnsi="Arial"/>
                <w:sz w:val="13"/>
                <w:szCs w:val="13"/>
                <w:b w:val="1"/>
                <w:bCs w:val="1"/>
                <w:color w:val="auto"/>
                <w:w w:val="95"/>
              </w:rPr>
              <w:t>Equity Attributable to Icahn Enterprises Holdings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3"/>
                <w:szCs w:val="13"/>
                <w:b w:val="1"/>
                <w:bCs w:val="1"/>
                <w:color w:val="auto"/>
              </w:rPr>
              <w:t>General</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Limited</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Partner’s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Partner’s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6"/>
              </w:rPr>
              <w:t>Total Partners’</w:t>
            </w:r>
          </w:p>
        </w:tc>
        <w:tc>
          <w:tcPr>
            <w:tcW w:w="20" w:type="dxa"/>
            <w:vAlign w:val="bottom"/>
          </w:tcPr>
          <w:p>
            <w:pPr>
              <w:spacing w:after="0"/>
              <w:rPr>
                <w:sz w:val="12"/>
                <w:szCs w:val="12"/>
                <w:color w:val="auto"/>
              </w:rPr>
            </w:pPr>
          </w:p>
        </w:tc>
        <w:tc>
          <w:tcPr>
            <w:tcW w:w="800" w:type="dxa"/>
            <w:vAlign w:val="bottom"/>
            <w:gridSpan w:val="4"/>
          </w:tcPr>
          <w:p>
            <w:pPr>
              <w:spacing w:after="0"/>
              <w:rPr>
                <w:sz w:val="20"/>
                <w:szCs w:val="20"/>
                <w:color w:val="auto"/>
              </w:rPr>
            </w:pPr>
            <w:r>
              <w:rPr>
                <w:rFonts w:ascii="Arial" w:cs="Arial" w:eastAsia="Arial" w:hAnsi="Arial"/>
                <w:sz w:val="13"/>
                <w:szCs w:val="13"/>
                <w:b w:val="1"/>
                <w:bCs w:val="1"/>
                <w:color w:val="auto"/>
              </w:rPr>
              <w:t>controlling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(Deficit) Equity</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2"/>
              </w:rPr>
              <w:t>Interests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jc w:val="right"/>
              <w:ind w:right="360"/>
              <w:spacing w:after="0" w:line="129" w:lineRule="exact"/>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December 31, 2019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(875)</w:t>
            </w: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6,328</w:t>
            </w:r>
          </w:p>
        </w:tc>
        <w:tc>
          <w:tcPr>
            <w:tcW w:w="2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(14)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(1,370)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(1,384)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(922)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Partnership distributions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(433)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(437)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Partnership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Investment segment contributions from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Dividends and distributions to non-controlling interests in subsidiaries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Changes in subsidiary equity and 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March 31, 2020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(893)</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4,525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3,632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5,782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9,414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296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299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565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Partnership distributions payable reversal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433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Partnership distributions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Partnership contributions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Dividends and distributions to non-controlling interests in subsidiaries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Changes in subsidiary equity and other</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June 30, 2020</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(890)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4,819</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3,929</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6,333</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10,262</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(707)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(714)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(686)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Partnership distributions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(32)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Partnership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Changes in subsidiary equity and 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September 30, 2020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b w:val="1"/>
                <w:bCs w:val="1"/>
                <w:color w:val="auto"/>
              </w:rPr>
              <w:t>(897)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4"/>
                <w:szCs w:val="4"/>
                <w:b w:val="1"/>
                <w:bCs w:val="1"/>
                <w:color w:val="auto"/>
                <w:w w:val="87"/>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4,124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3,227</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5,643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8,870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2480" w:type="dxa"/>
            <w:vAlign w:val="bottom"/>
            <w:gridSpan w:val="6"/>
          </w:tcPr>
          <w:p>
            <w:pPr>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199"/>
        </w:trPr>
        <w:tc>
          <w:tcPr>
            <w:tcW w:w="64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r>
      <w:tr>
        <w:trPr>
          <w:trHeight w:val="128"/>
        </w:trPr>
        <w:tc>
          <w:tcPr>
            <w:tcW w:w="6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right"/>
              <w:ind w:right="4"/>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(2,842)</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Net (gain) loss from securities transactions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(1,603)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2,777</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securities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(1,991)</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Proceeds from sales of securities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3,756</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to cover securities sold, not yet purchased</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(2,325)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3,626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1,547</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(1,672)</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Changes in derivative assets and liabilities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(171)</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(2,309)</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0" w:type="dxa"/>
            <w:vAlign w:val="bottom"/>
          </w:tcPr>
          <w:p>
            <w:pPr>
              <w:spacing w:after="0"/>
              <w:rPr>
                <w:sz w:val="17"/>
                <w:szCs w:val="17"/>
                <w:color w:val="auto"/>
              </w:rPr>
            </w:pPr>
          </w:p>
        </w:tc>
      </w:tr>
      <w:tr>
        <w:trPr>
          <w:trHeight w:val="203"/>
        </w:trPr>
        <w:tc>
          <w:tcPr>
            <w:tcW w:w="644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7"/>
                <w:szCs w:val="17"/>
                <w:color w:val="auto"/>
              </w:rPr>
            </w:pPr>
          </w:p>
        </w:tc>
      </w:tr>
      <w:tr>
        <w:trPr>
          <w:trHeight w:val="203"/>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7"/>
                <w:szCs w:val="17"/>
                <w:color w:val="auto"/>
              </w:rPr>
            </w:pP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20" w:type="dxa"/>
            <w:vAlign w:val="bottom"/>
          </w:tcPr>
          <w:p>
            <w:pPr>
              <w:spacing w:after="0"/>
              <w:rPr>
                <w:sz w:val="17"/>
                <w:szCs w:val="17"/>
                <w:color w:val="auto"/>
              </w:rPr>
            </w:pPr>
          </w:p>
        </w:tc>
      </w:tr>
      <w:tr>
        <w:trPr>
          <w:trHeight w:val="190"/>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 w:type="dxa"/>
            <w:vAlign w:val="bottom"/>
          </w:tcPr>
          <w:p>
            <w:pPr>
              <w:spacing w:after="0"/>
              <w:rPr>
                <w:sz w:val="18"/>
                <w:szCs w:val="18"/>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Turnaround expenditures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businesses, net of cash acquired</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24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(317)</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Proceeds from disposition of businesses and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20" w:type="dxa"/>
            <w:vAlign w:val="bottom"/>
          </w:tcPr>
          <w:p>
            <w:pPr>
              <w:spacing w:after="0"/>
              <w:rPr>
                <w:sz w:val="17"/>
                <w:szCs w:val="17"/>
                <w:color w:val="auto"/>
              </w:rPr>
            </w:pP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Investment segment contributions from non-controlling interests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(92)</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(493)</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and distributions to non-controlling interests in subsidiaries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Proceeds from Holding Company senior unsecured notes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866</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Holding Company senior unsecured notes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Proceeds from subsidiary borrowings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1,644</w:t>
            </w:r>
          </w:p>
        </w:tc>
        <w:tc>
          <w:tcPr>
            <w:tcW w:w="20" w:type="dxa"/>
            <w:vAlign w:val="bottom"/>
          </w:tcPr>
          <w:p>
            <w:pPr>
              <w:spacing w:after="0"/>
              <w:rPr>
                <w:sz w:val="17"/>
                <w:szCs w:val="17"/>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subsidiary borrowings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(1,477)</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20" w:type="dxa"/>
            <w:vAlign w:val="bottom"/>
          </w:tcPr>
          <w:p>
            <w:pPr>
              <w:spacing w:after="0"/>
              <w:rPr>
                <w:sz w:val="17"/>
                <w:szCs w:val="17"/>
                <w:color w:val="auto"/>
              </w:rPr>
            </w:pP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r>
      <w:tr>
        <w:trPr>
          <w:trHeight w:val="19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20" w:type="dxa"/>
            <w:vAlign w:val="bottom"/>
          </w:tcPr>
          <w:p>
            <w:pPr>
              <w:spacing w:after="0"/>
              <w:rPr>
                <w:sz w:val="17"/>
                <w:szCs w:val="17"/>
                <w:color w:val="auto"/>
              </w:rPr>
            </w:pPr>
          </w:p>
        </w:tc>
      </w:tr>
      <w:tr>
        <w:trPr>
          <w:trHeight w:val="173"/>
        </w:trPr>
        <w:tc>
          <w:tcPr>
            <w:tcW w:w="6440" w:type="dxa"/>
            <w:vAlign w:val="bottom"/>
          </w:tcPr>
          <w:p>
            <w:pPr>
              <w:ind w:left="20"/>
              <w:spacing w:after="0" w:line="173" w:lineRule="exact"/>
              <w:rPr>
                <w:sz w:val="20"/>
                <w:szCs w:val="20"/>
                <w:color w:val="auto"/>
              </w:rPr>
            </w:pPr>
            <w:r>
              <w:rPr>
                <w:rFonts w:ascii="Arial" w:cs="Arial" w:eastAsia="Arial" w:hAnsi="Arial"/>
                <w:sz w:val="16"/>
                <w:szCs w:val="16"/>
                <w:color w:val="auto"/>
                <w:w w:val="93"/>
              </w:rPr>
              <w:t>Effect of exchange rate changes on cash and cash equivalents and restricted cash and restricted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6440" w:type="dxa"/>
            <w:vAlign w:val="bottom"/>
          </w:tcPr>
          <w:p>
            <w:pPr>
              <w:ind w:left="140"/>
              <w:spacing w:after="0"/>
              <w:rPr>
                <w:sz w:val="20"/>
                <w:szCs w:val="20"/>
                <w:color w:val="auto"/>
              </w:rPr>
            </w:pPr>
            <w:r>
              <w:rPr>
                <w:rFonts w:ascii="Arial" w:cs="Arial" w:eastAsia="Arial" w:hAnsi="Arial"/>
                <w:sz w:val="16"/>
                <w:szCs w:val="16"/>
                <w:color w:val="auto"/>
              </w:rPr>
              <w:t>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192"/>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5"/>
              </w:rPr>
              <w:t>Net increase (decrease) in cash and cash equivalents and restricted cash and restricted</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0" w:type="dxa"/>
            <w:vAlign w:val="bottom"/>
          </w:tcPr>
          <w:p>
            <w:pPr>
              <w:spacing w:after="0"/>
              <w:rPr>
                <w:sz w:val="18"/>
                <w:szCs w:val="18"/>
                <w:color w:val="auto"/>
              </w:rPr>
            </w:pPr>
          </w:p>
        </w:tc>
      </w:tr>
      <w:tr>
        <w:trPr>
          <w:trHeight w:val="193"/>
        </w:trPr>
        <w:tc>
          <w:tcPr>
            <w:tcW w:w="6440" w:type="dxa"/>
            <w:vAlign w:val="bottom"/>
          </w:tcPr>
          <w:p>
            <w:pPr>
              <w:ind w:left="20"/>
              <w:spacing w:after="0"/>
              <w:rPr>
                <w:sz w:val="20"/>
                <w:szCs w:val="20"/>
                <w:color w:val="auto"/>
              </w:rPr>
            </w:pPr>
            <w:r>
              <w:rPr>
                <w:rFonts w:ascii="Arial" w:cs="Arial" w:eastAsia="Arial" w:hAnsi="Arial"/>
                <w:sz w:val="16"/>
                <w:szCs w:val="16"/>
                <w:color w:val="auto"/>
                <w:w w:val="98"/>
              </w:rPr>
              <w:t>Cash and cash equivalents and restricted cash and restricted cash equivalents, beginning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20" w:type="dxa"/>
            <w:vAlign w:val="bottom"/>
          </w:tcPr>
          <w:p>
            <w:pPr>
              <w:spacing w:after="0"/>
              <w:rPr>
                <w:sz w:val="18"/>
                <w:szCs w:val="18"/>
                <w:color w:val="auto"/>
              </w:rPr>
            </w:pPr>
          </w:p>
        </w:tc>
      </w:tr>
      <w:tr>
        <w:trPr>
          <w:trHeight w:val="199"/>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Cash and cash equivalents and restricted cash and restricted cash equivalents, end of period</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20" w:type="dxa"/>
            <w:vAlign w:val="bottom"/>
          </w:tcPr>
          <w:p>
            <w:pPr>
              <w:spacing w:after="0"/>
              <w:rPr>
                <w:sz w:val="17"/>
                <w:szCs w:val="17"/>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17, 1987. References to “we,” “our” or “us” herein include both Icahn Enterprises and Icahn Enterprises Holdings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their subsidiaries, unless the context otherwise requires.</w:t>
      </w:r>
    </w:p>
    <w:p>
      <w:pPr>
        <w:spacing w:after="0" w:line="211"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2021.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89% of Icahn Enterprises’ outstanding depositary units as of September 30,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We are a diversified holding company owning subsidiaries currently engaged in the following continuing operating businesses: Investment, Energy, Automotive, Food Packaging, Metals, Real Estate, Home Fashion and Pharma. We also report the results of our Holding Company, which includes the results of certain subsidiaries of Icahn Enterprises and Icahn Enterprises Holdings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is discussed below.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$4.7 billion and $4.3 billion as of September 30, 2021 and December 31, 2020,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approximately 36% of the outstanding common units of CVR Partners as of September 30, 2021. As of September 30, 2021, we owned approximately 71% of the total outstanding common stock of CVR Energy.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conduct our Automotive segment through our wholly 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Chief Executive Officer and management teams, and both of which are supported by a central shared service group. Our Automotive segment also includes our separate investment in 767 Auto Leasing LLC (“767 Leasing”), a joint venture created by us to purchase vehicles for lease, as described further in Note 3, “Related Party Transactions.” Our investment in 767 Leasing is included as a component of our Automotive segment due to the nature of the joint venture activities.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As of September 30, 2021, we owned approximately 89% of the total outstanding common stock of Viskase.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We conduct our Metals segment through our wholly 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 On October 29, 2021, we announced a definitive agreement to sell PSC Metals. Refer to Note 18, “Subsequent Events,” for further discussion.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Real Estate segment consists primarily of investment properties, the development and sale of single-family homes and the management of a country club.</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We conduct our Pharma segment through our wholly owned subsidiary, Vivus LLC, formerly Vivus, Inc. (“Vivus”). We acquired all of the outstanding common stock of Vivus in December 2020 upon its emergence from bankruptcy. Vivus is a specialty pharmaceutical company with two approved therapies and one product candidate in active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and Ferrous Resources Ltd.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2020.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Our condensed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66"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following is a discussion of variable interest entities in which we are deemed to be the primary beneficiary and we therefore consolidate.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Icahn Enterprises Holdings</w:t>
      </w:r>
    </w:p>
    <w:p>
      <w:pPr>
        <w:spacing w:after="0" w:line="22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Partners and Viskase’s joint venture.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CVR Partners is considered a VIE because it is a limited partnership that lacks both substantive kick-out and participating rights. In addition, CVR Energy also concluded that, based upon its general partner’s roles and rights in CVR Partners as afforded by CVR Partners’ partnership agreement, coupled with its exposure to losses and benefits in CVR Partners through its significant limited partner interest, intercompany credit facilities and services agreements, it is the primary beneficiary of CVR Partners.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299" w:firstLine="324"/>
        <w:spacing w:after="0" w:line="286" w:lineRule="auto"/>
        <w:rPr>
          <w:sz w:val="20"/>
          <w:szCs w:val="20"/>
          <w:color w:val="auto"/>
        </w:rPr>
      </w:pPr>
      <w:r>
        <w:rPr>
          <w:rFonts w:ascii="Arial" w:cs="Arial" w:eastAsia="Arial" w:hAnsi="Arial"/>
          <w:sz w:val="17"/>
          <w:szCs w:val="17"/>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following table includes balances of assets and liabilities of VIE’s included in Icahn Enterprises Holdings’ condensed consolidated balance sheets.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r>
      <w:tr>
        <w:trPr>
          <w:trHeight w:val="128"/>
        </w:trPr>
        <w:tc>
          <w:tcPr>
            <w:tcW w:w="5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Due from brokers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Inventories, net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Unrealized gain on derivative contracts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assets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Unrealized loss on derivative contracts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Due to brokers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88"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2021 was approximately $7.7 billion and $7.9 billion, respectively. The carrying value and estimated fair value of our long-term debt as of December 31, 2020 was approximately $8.1 billion and $8.2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cash held at consolidated affiliated partnerships balance was $95 million and $686 million as of</w:t>
      </w:r>
    </w:p>
    <w:p>
      <w:pPr>
        <w:spacing w:after="0" w:line="23" w:lineRule="exact"/>
        <w:rPr>
          <w:sz w:val="20"/>
          <w:szCs w:val="20"/>
          <w:color w:val="auto"/>
        </w:rPr>
      </w:pPr>
    </w:p>
    <w:p>
      <w:pPr>
        <w:ind w:left="60" w:right="279"/>
        <w:spacing w:after="0" w:line="302" w:lineRule="auto"/>
        <w:rPr>
          <w:sz w:val="20"/>
          <w:szCs w:val="20"/>
          <w:color w:val="auto"/>
        </w:rPr>
      </w:pPr>
      <w:r>
        <w:rPr>
          <w:rFonts w:ascii="Arial" w:cs="Arial" w:eastAsia="Arial" w:hAnsi="Arial"/>
          <w:sz w:val="16"/>
          <w:szCs w:val="16"/>
          <w:color w:val="auto"/>
        </w:rPr>
        <w:t>September 30, 2021 and December 31, 2020,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restricted cash balance was $1,652 million and $926 million as of September 30, 2021 and December 31, 2020, respectively. Restricted cash primarily relates to our Investment segment’s cash pledged and held for margin requirements on derivative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 of our Investment segment’s and our Holding Company’s revenues, and our Real Estate segment’s leasing revenue,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is generally derived from contracts with customers in accordance with U.S. GAAP. Such revenue from contracts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with customers is included in net sales and other revenues from operations in the condensed consolidated statements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operations, however, our Real Estate segment’s leasing revenue, as disclosed in Note 9, “Leases,” is also included in other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revenues from operations. Related contract assets are included in accounts receivable, net or other assets and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contract liabilities are included in accrued expenses and other liabilities in the condensed consolidated balance sheets.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disaggregation of revenue information includes our net sales and other revenues from operations for each of our reporting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segments as well as additional disaggregation of revenue information for our Energy and Automotive segments. See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Note 12, “Segment Reporting,” for our complete disaggregation of revenue information. In addition, we disclose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with respect to revenue from contracts with customers and contract balances for our Energy and Automotive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segments below.</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Our Energy segment had deferred revenue of $34 million and $31 million as of September 30, 2021 and December 31, 2020, respectively. For the nine months ended</w:t>
      </w:r>
    </w:p>
    <w:p>
      <w:pPr>
        <w:spacing w:after="0" w:line="2" w:lineRule="exact"/>
        <w:rPr>
          <w:sz w:val="20"/>
          <w:szCs w:val="20"/>
          <w:color w:val="auto"/>
        </w:rPr>
      </w:pPr>
    </w:p>
    <w:p>
      <w:pPr>
        <w:ind w:left="60" w:right="379"/>
        <w:spacing w:after="0" w:line="260" w:lineRule="auto"/>
        <w:rPr>
          <w:sz w:val="20"/>
          <w:szCs w:val="20"/>
          <w:color w:val="auto"/>
        </w:rPr>
      </w:pPr>
      <w:r>
        <w:rPr>
          <w:rFonts w:ascii="Arial" w:cs="Arial" w:eastAsia="Arial" w:hAnsi="Arial"/>
          <w:sz w:val="18"/>
          <w:szCs w:val="18"/>
          <w:color w:val="auto"/>
        </w:rPr>
        <w:t>September 30, 2021 and 2020, our Energy segment recorded revenue of $30 million and $27 million, respectively, with respect to deferred revenue outstanding as of the beginning of each respective period.</w:t>
      </w:r>
    </w:p>
    <w:p>
      <w:pPr>
        <w:spacing w:after="0" w:line="185" w:lineRule="exact"/>
        <w:rPr>
          <w:sz w:val="20"/>
          <w:szCs w:val="20"/>
          <w:color w:val="auto"/>
        </w:rPr>
      </w:pPr>
    </w:p>
    <w:p>
      <w:pPr>
        <w:jc w:val="both"/>
        <w:ind w:left="60" w:right="419" w:firstLine="324"/>
        <w:spacing w:after="0" w:line="311" w:lineRule="auto"/>
        <w:rPr>
          <w:sz w:val="20"/>
          <w:szCs w:val="20"/>
          <w:color w:val="auto"/>
        </w:rPr>
      </w:pPr>
      <w:r>
        <w:rPr>
          <w:rFonts w:ascii="Arial" w:cs="Arial" w:eastAsia="Arial" w:hAnsi="Arial"/>
          <w:sz w:val="16"/>
          <w:szCs w:val="16"/>
          <w:color w:val="auto"/>
        </w:rPr>
        <w:t>As of September 30, 2021, our Energy segment had $7 million of remaining performance obligations for contracts with an original expected duration of more than one year. Our Energy segment expects to recognize approximately $1 million of these performance obligations as revenue by the end of 2021 and the remaining balance thereafter.</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Our Automotive segment has deferred revenue with respect to extended warranty plans of $41 million at each of September 30, 2021 and December 31, 2020, which are included in accrued expenses and other liabilities on the condensed consolidated balance sheets. For the nine months ended September 30, 2021 and 2020, our Automotive segment recorded revenue of $18 million and $19 million, respectively, with respect to deferred revenue outstanding as of the beginning of each respective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December 2019, the Financial Account Standards Board (“FASB”) issued Accounting Standards Update (“ASU”)</w:t>
      </w:r>
    </w:p>
    <w:p>
      <w:pPr>
        <w:spacing w:after="0" w:line="46" w:lineRule="exact"/>
        <w:rPr>
          <w:sz w:val="20"/>
          <w:szCs w:val="20"/>
          <w:color w:val="auto"/>
        </w:rPr>
      </w:pPr>
    </w:p>
    <w:p>
      <w:pPr>
        <w:ind w:left="60" w:right="399"/>
        <w:spacing w:after="0" w:line="295" w:lineRule="auto"/>
        <w:rPr>
          <w:sz w:val="20"/>
          <w:szCs w:val="20"/>
          <w:color w:val="auto"/>
        </w:rPr>
      </w:pPr>
      <w:r>
        <w:rPr>
          <w:rFonts w:ascii="Arial" w:cs="Arial" w:eastAsia="Arial" w:hAnsi="Arial"/>
          <w:sz w:val="16"/>
          <w:szCs w:val="16"/>
          <w:color w:val="auto"/>
        </w:rPr>
        <w:t xml:space="preserve">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which amends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This ASU simplifies the accounting for income taxes by removing certain exceptions to the general principles in the standard and modifies other areas of the standard to clarify the application of U.S. GAAP. This ASU is effective for fiscal years beginning after December 15, 2020, and interim periods within those fiscal years. We have adopted this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40" w:right="180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standard on January 1, 2021. Certain amendments in this ASU are applied using a retrospective approach and others using the prospective approach. The adoption of this standard did not have a significant impact on our condensed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amends FASB ASC Topic 848,</w:t>
      </w:r>
      <w:r>
        <w:rPr>
          <w:rFonts w:ascii="Arial" w:cs="Arial" w:eastAsia="Arial" w:hAnsi="Arial"/>
          <w:sz w:val="17"/>
          <w:szCs w:val="17"/>
          <w:i w:val="1"/>
          <w:iCs w:val="1"/>
          <w:color w:val="auto"/>
        </w:rPr>
        <w:t xml:space="preserve"> Reference Rate Reform</w:t>
      </w:r>
      <w:r>
        <w:rPr>
          <w:rFonts w:ascii="Arial" w:cs="Arial" w:eastAsia="Arial" w:hAnsi="Arial"/>
          <w:sz w:val="17"/>
          <w:szCs w:val="17"/>
          <w:color w:val="auto"/>
        </w:rPr>
        <w:t>. By the end of 2021, banks will no longer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Companies can apply this ASU immediately and will only be available for a limited time (generally through December 31, 2022). We are currently assessing the impact of this standard on our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ind w:left="60" w:right="239" w:firstLine="324"/>
        <w:spacing w:after="0" w:line="255" w:lineRule="auto"/>
        <w:rPr>
          <w:sz w:val="20"/>
          <w:szCs w:val="20"/>
          <w:color w:val="auto"/>
        </w:rPr>
      </w:pPr>
      <w:r>
        <w:rPr>
          <w:rFonts w:ascii="Arial" w:cs="Arial" w:eastAsia="Arial" w:hAnsi="Arial"/>
          <w:sz w:val="18"/>
          <w:szCs w:val="18"/>
          <w:color w:val="auto"/>
        </w:rPr>
        <w:t>During the nine months ended September 30, 2020, Mr. Icahn and his affiliates (excluding us) contributed $1,241 million to the Investment Funds consisting primarily of in-kind investments previously held directly by Mr. Icahn and his affiliates (excluding us). As of September 30, 2021 and December 31, 2020, the total fair market value of investments in the Investment Funds made by Mr. Icahn and his affiliates (excluding us and Brett Icahn) was approximately $5.5 billion and $5.0 billion, respectively, representing approximately 54% and 54% of the Investment Funds’ assets under management as of each respective date.</w:t>
      </w:r>
    </w:p>
    <w:p>
      <w:pPr>
        <w:spacing w:after="0" w:line="192"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three months ended September 30, 2021 and 2020, $2 million and $2 million, respectively, was allocated to the Investment Funds based on this expense-sharing arrangement and for the nine months ended September 30, 2021 and 2020, such allocation was $10 million and $(1) million, respectively. For the nine months ended September 30, 2020, the allocation was reduced by $8 million relating to certain compensation arrangements.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Hertz Global Holdings, Inc. and 767 Auto Leasing LLC</w:t>
      </w:r>
    </w:p>
    <w:p>
      <w:pPr>
        <w:spacing w:after="0" w:line="225"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The Investment Funds had an investment in the common stock of Hertz Global Holdings, Inc. (“Hertz”) measured at fair value that would have otherwise been subject to the equity method of accounting (until sold in the second quarter of 2020). Icahn Automotive provides services to Hertz in the ordinary course of business. Revenue from Hertz was $20 million for the nine months ended September 30,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During 2021, this agreement was amended to commence the early disposition of vehicles owned by 767 Leasing.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Our exposure to loss with respect to 767 Leasing is primarily limited to our direct investment in 767 Leasing as well as any payment obligations of 767 Leasing that we guarantee, which are not material as of September 30, 2021 and December 31, 2020. For the three and nine months ended September 30, 2021, 767 Leasing distributed $10 million and $26 million, respectively, to us. As of September 30, 2021 and December 31, 2020, we had an equity method investment in 767 Leasing of $12 million and $40 million, respectively, which we report in our Automotive segment.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Related Party Agreements</w:t>
      </w:r>
    </w:p>
    <w:p>
      <w:pPr>
        <w:spacing w:after="0" w:line="225"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2021, Brett Icahn contributed $68 million in accordance with the manager agreement and has investments in the Investment Funds with a total fair market value of $83 million as of September 30, 2021.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259" w:firstLine="324"/>
        <w:spacing w:after="0" w:line="275" w:lineRule="auto"/>
        <w:rPr>
          <w:sz w:val="20"/>
          <w:szCs w:val="20"/>
          <w:color w:val="auto"/>
        </w:rPr>
      </w:pPr>
      <w:r>
        <w:rPr>
          <w:rFonts w:ascii="Arial" w:cs="Arial" w:eastAsia="Arial" w:hAnsi="Arial"/>
          <w:sz w:val="17"/>
          <w:szCs w:val="17"/>
          <w:color w:val="auto"/>
        </w:rPr>
        <w:t>Investments and securities sold, not yet purchased consist of equities, bonds, bank debt and other corporate obligations, all of which are reported at fair value in our condensed consolidated balance sheets.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128"/>
        </w:trPr>
        <w:tc>
          <w:tcPr>
            <w:tcW w:w="6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4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Consumer, non-cyclical</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1,548</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2,654</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0"/>
        </w:trPr>
        <w:tc>
          <w:tcPr>
            <w:tcW w:w="6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8,118</w:t>
            </w:r>
          </w:p>
        </w:tc>
      </w:tr>
      <w:tr>
        <w:trPr>
          <w:trHeight w:val="209"/>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64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9,653</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8,239</w:t>
            </w:r>
          </w:p>
        </w:tc>
      </w:tr>
      <w:tr>
        <w:trPr>
          <w:trHeight w:val="197"/>
        </w:trPr>
        <w:tc>
          <w:tcPr>
            <w:tcW w:w="6440" w:type="dxa"/>
            <w:vAlign w:val="bottom"/>
            <w:shd w:val="clear" w:color="auto" w:fill="CCEEFF"/>
          </w:tcPr>
          <w:p>
            <w:pPr>
              <w:ind w:left="2780"/>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Consumer, non-cyclical</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Materials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311" w:lineRule="auto"/>
        <w:rPr>
          <w:sz w:val="20"/>
          <w:szCs w:val="20"/>
          <w:color w:val="auto"/>
        </w:rPr>
      </w:pPr>
      <w:r>
        <w:rPr>
          <w:rFonts w:ascii="Arial" w:cs="Arial" w:eastAsia="Arial" w:hAnsi="Arial"/>
          <w:sz w:val="16"/>
          <w:szCs w:val="16"/>
          <w:color w:val="auto"/>
        </w:rPr>
        <w:t>The portion of unrealized (losses) gains that relates to securities still held by our Investment segment, primarily equity securities, was $(204) million and $(535) million for the three months ended September 30, 2021 and 2020, respectively, and $1,384 million and $(1,560)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22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128"/>
        </w:trPr>
        <w:tc>
          <w:tcPr>
            <w:tcW w:w="6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Held to maturity debt investments measured at amortized cost</w:t>
            </w: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9"/>
        </w:trPr>
        <w:tc>
          <w:tcPr>
            <w:tcW w:w="644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The portion of unrealized gains (losses) that relates to equity securities still held by our other segments and Holding Company was $(86) million and $(93) million for the three months ended September 30, 2021 and 2020, respectively, and $(42) million and $(259) million for the nine months ended September 30, 2021 and 2020, respectively.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4" w:lineRule="exact"/>
        <w:rPr>
          <w:sz w:val="20"/>
          <w:szCs w:val="20"/>
          <w:color w:val="auto"/>
        </w:rPr>
      </w:pPr>
    </w:p>
    <w:p>
      <w:pPr>
        <w:ind w:left="60" w:right="859" w:firstLine="324"/>
        <w:spacing w:after="0" w:line="277" w:lineRule="auto"/>
        <w:rPr>
          <w:sz w:val="20"/>
          <w:szCs w:val="20"/>
          <w:color w:val="auto"/>
        </w:rPr>
      </w:pPr>
      <w:r>
        <w:rPr>
          <w:rFonts w:ascii="Arial" w:cs="Arial" w:eastAsia="Arial" w:hAnsi="Arial"/>
          <w:sz w:val="18"/>
          <w:szCs w:val="18"/>
          <w:color w:val="auto"/>
        </w:rPr>
        <w:t>Assets and liabilities measured and reported at fair value are classified and disclosed in one of the following categories: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are available in active markets for identical assets and liabilities as of the reporting date.</w:t>
      </w:r>
    </w:p>
    <w:p>
      <w:pPr>
        <w:spacing w:after="0" w:line="237" w:lineRule="exact"/>
        <w:rPr>
          <w:sz w:val="20"/>
          <w:szCs w:val="20"/>
          <w:color w:val="auto"/>
        </w:rPr>
      </w:pPr>
    </w:p>
    <w:p>
      <w:pPr>
        <w:ind w:left="380" w:right="559"/>
        <w:spacing w:after="0" w:line="25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88" w:lineRule="exact"/>
        <w:rPr>
          <w:sz w:val="20"/>
          <w:szCs w:val="20"/>
          <w:color w:val="auto"/>
        </w:rPr>
      </w:pPr>
    </w:p>
    <w:p>
      <w:pPr>
        <w:ind w:left="380" w:right="99"/>
        <w:spacing w:after="0" w:line="279" w:lineRule="auto"/>
        <w:rPr>
          <w:sz w:val="20"/>
          <w:szCs w:val="20"/>
          <w:color w:val="auto"/>
        </w:rPr>
      </w:pPr>
      <w:r>
        <w:rPr>
          <w:rFonts w:ascii="Arial" w:cs="Arial" w:eastAsia="Arial" w:hAnsi="Arial"/>
          <w:sz w:val="17"/>
          <w:szCs w:val="17"/>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71"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w w:val="91"/>
              </w:rPr>
              <w:t>September 30, 2021</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w w:val="96"/>
              </w:rPr>
              <w:t>December 31, 2020</w:t>
            </w:r>
          </w:p>
        </w:tc>
        <w:tc>
          <w:tcPr>
            <w:tcW w:w="600" w:type="dxa"/>
            <w:vAlign w:val="bottom"/>
            <w:tcBorders>
              <w:bottom w:val="single" w:sz="8" w:color="auto"/>
            </w:tcBorders>
          </w:tcPr>
          <w:p>
            <w:pPr>
              <w:spacing w:after="0"/>
              <w:rPr>
                <w:sz w:val="20"/>
                <w:szCs w:val="20"/>
                <w:color w:val="auto"/>
              </w:rPr>
            </w:pPr>
          </w:p>
        </w:tc>
      </w:tr>
      <w:tr>
        <w:trPr>
          <w:trHeight w:val="209"/>
        </w:trPr>
        <w:tc>
          <w:tcPr>
            <w:tcW w:w="2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Level 2</w:t>
            </w: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Level 1</w:t>
            </w:r>
          </w:p>
        </w:tc>
        <w:tc>
          <w:tcPr>
            <w:tcW w:w="18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Arial" w:cs="Arial" w:eastAsia="Arial" w:hAnsi="Arial"/>
                <w:sz w:val="18"/>
                <w:szCs w:val="18"/>
                <w:b w:val="1"/>
                <w:bCs w:val="1"/>
                <w:color w:val="auto"/>
              </w:rPr>
              <w:t>Level 2</w:t>
            </w:r>
          </w:p>
        </w:tc>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Level 3</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0"/>
        </w:trPr>
        <w:tc>
          <w:tcPr>
            <w:tcW w:w="2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28"/>
        </w:trPr>
        <w:tc>
          <w:tcPr>
            <w:tcW w:w="2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right"/>
              <w:ind w:right="29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16"/>
        </w:trPr>
        <w:tc>
          <w:tcPr>
            <w:tcW w:w="280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Investments (Note 4)</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$ 9,637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9,794</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$ 8,546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$ 8,761</w:t>
            </w: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 (Note 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49"/>
        </w:trPr>
        <w:tc>
          <w:tcPr>
            <w:tcW w:w="28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$ 9,637</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10,590</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$ 8,546</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$ 9,546</w:t>
            </w:r>
          </w:p>
        </w:tc>
      </w:tr>
      <w:tr>
        <w:trPr>
          <w:trHeight w:val="197"/>
        </w:trPr>
        <w:tc>
          <w:tcPr>
            <w:tcW w:w="2800" w:type="dxa"/>
            <w:vAlign w:val="bottom"/>
            <w:shd w:val="clear" w:color="auto" w:fill="CCEEFF"/>
          </w:tcPr>
          <w:p>
            <w:pPr>
              <w:ind w:left="940"/>
              <w:spacing w:after="0" w:line="196" w:lineRule="exact"/>
              <w:rPr>
                <w:sz w:val="20"/>
                <w:szCs w:val="20"/>
                <w:color w:val="auto"/>
              </w:rPr>
            </w:pPr>
            <w:r>
              <w:rPr>
                <w:rFonts w:ascii="Arial" w:cs="Arial" w:eastAsia="Arial" w:hAnsi="Arial"/>
                <w:sz w:val="18"/>
                <w:szCs w:val="18"/>
                <w:b w:val="1"/>
                <w:bCs w:val="1"/>
                <w:color w:val="auto"/>
              </w:rPr>
              <w:t>Liabilities</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2"/>
        </w:trPr>
        <w:tc>
          <w:tcPr>
            <w:tcW w:w="2800" w:type="dxa"/>
            <w:vAlign w:val="bottom"/>
          </w:tcPr>
          <w:p>
            <w:pPr>
              <w:ind w:left="20"/>
              <w:spacing w:after="0" w:line="201" w:lineRule="exact"/>
              <w:rPr>
                <w:sz w:val="20"/>
                <w:szCs w:val="20"/>
                <w:color w:val="auto"/>
              </w:rPr>
            </w:pPr>
            <w:r>
              <w:rPr>
                <w:rFonts w:ascii="Arial" w:cs="Arial" w:eastAsia="Arial" w:hAnsi="Arial"/>
                <w:sz w:val="18"/>
                <w:szCs w:val="18"/>
                <w:color w:val="auto"/>
              </w:rPr>
              <w:t>Securities sold, not yet purchased</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(Note 4)</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$ 4,957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4,957</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$ 2,521</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$ 2,521</w:t>
            </w:r>
          </w:p>
        </w:tc>
      </w:tr>
      <w:tr>
        <w:trPr>
          <w:trHeight w:val="21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 net (Note 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16"/>
        </w:trPr>
        <w:tc>
          <w:tcPr>
            <w:tcW w:w="28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09"/>
        </w:trPr>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$ 4,957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$ 3,374</w:t>
            </w:r>
          </w:p>
        </w:tc>
      </w:tr>
      <w:tr>
        <w:trPr>
          <w:trHeight w:val="20"/>
        </w:trPr>
        <w:tc>
          <w:tcPr>
            <w:tcW w:w="2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we use Level 3 inputs to determine fair value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7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6140" w:type="dxa"/>
            <w:vAlign w:val="bottom"/>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129"/>
        </w:trPr>
        <w:tc>
          <w:tcPr>
            <w:tcW w:w="6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gridSpan w:val="3"/>
          </w:tcPr>
          <w:p>
            <w:pPr>
              <w:jc w:val="right"/>
              <w:ind w:right="30"/>
              <w:spacing w:after="0" w:line="129" w:lineRule="exact"/>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1"/>
                <w:szCs w:val="1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140" w:type="dxa"/>
            <w:vAlign w:val="bottom"/>
          </w:tcPr>
          <w:p>
            <w:pPr>
              <w:ind w:left="20"/>
              <w:spacing w:after="0"/>
              <w:rPr>
                <w:sz w:val="20"/>
                <w:szCs w:val="20"/>
                <w:color w:val="auto"/>
              </w:rPr>
            </w:pPr>
            <w:r>
              <w:rPr>
                <w:rFonts w:ascii="Arial" w:cs="Arial" w:eastAsia="Arial" w:hAnsi="Arial"/>
                <w:sz w:val="18"/>
                <w:szCs w:val="18"/>
                <w:color w:val="auto"/>
              </w:rPr>
              <w:t>Transfer in from Level 2</w:t>
            </w:r>
          </w:p>
        </w:tc>
        <w:tc>
          <w:tcPr>
            <w:tcW w:w="92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140" w:type="dxa"/>
            <w:vAlign w:val="bottom"/>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w:t>
            </w:r>
          </w:p>
        </w:tc>
        <w:tc>
          <w:tcPr>
            <w:tcW w:w="9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6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77"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color w:val="auto"/>
        </w:rPr>
        <w:t>Investment Funds seek to mitigate these risks by actively monitoring exposures, collateral requirements and the creditworthiness of its counterparties.</w:t>
      </w:r>
    </w:p>
    <w:p>
      <w:pPr>
        <w:spacing w:after="0" w:line="170"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18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1"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92"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as of September 30, 2021 and December 31, 2020 was $0 million and $1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8"/>
                <w:szCs w:val="18"/>
                <w:b w:val="1"/>
                <w:bCs w:val="1"/>
                <w:color w:val="auto"/>
                <w:w w:val="93"/>
              </w:rPr>
              <w:t>September 30, 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Long</w:t>
            </w:r>
          </w:p>
        </w:tc>
        <w:tc>
          <w:tcPr>
            <w:tcW w:w="2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11"/>
        </w:trPr>
        <w:tc>
          <w:tcPr>
            <w:tcW w:w="3500" w:type="dxa"/>
            <w:vAlign w:val="bottom"/>
            <w:vMerge w:val="restart"/>
          </w:tcPr>
          <w:p>
            <w:pPr>
              <w:spacing w:after="0"/>
              <w:rPr>
                <w:sz w:val="20"/>
                <w:szCs w:val="20"/>
                <w:color w:val="auto"/>
              </w:rPr>
            </w:pPr>
            <w:r>
              <w:rPr>
                <w:rFonts w:ascii="Arial" w:cs="Arial" w:eastAsia="Arial" w:hAnsi="Arial"/>
                <w:sz w:val="18"/>
                <w:szCs w:val="18"/>
                <w:color w:val="auto"/>
              </w:rPr>
              <w:t>Primary underlying risk:</w:t>
            </w:r>
          </w:p>
        </w:tc>
        <w:tc>
          <w:tcPr>
            <w:tcW w:w="1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37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contracts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5,086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8,623</w:t>
            </w:r>
          </w:p>
        </w:tc>
        <w:tc>
          <w:tcPr>
            <w:tcW w:w="0" w:type="dxa"/>
            <w:vAlign w:val="bottom"/>
          </w:tcPr>
          <w:p>
            <w:pPr>
              <w:spacing w:after="0"/>
              <w:rPr>
                <w:sz w:val="1"/>
                <w:szCs w:val="1"/>
                <w:color w:val="auto"/>
              </w:rPr>
            </w:pPr>
          </w:p>
        </w:tc>
      </w:tr>
      <w:tr>
        <w:trPr>
          <w:trHeight w:val="353"/>
        </w:trPr>
        <w:tc>
          <w:tcPr>
            <w:tcW w:w="3500" w:type="dxa"/>
            <w:vAlign w:val="bottom"/>
          </w:tcPr>
          <w:p>
            <w:pPr>
              <w:ind w:left="10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6"/>
                <w:szCs w:val="26"/>
                <w:color w:val="auto"/>
                <w:vertAlign w:val="superscript"/>
              </w:rPr>
              <w:t>(1)</w:t>
            </w:r>
          </w:p>
        </w:tc>
        <w:tc>
          <w:tcPr>
            <w:tcW w:w="17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2,153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41" w:lineRule="exact"/>
        <w:rPr>
          <w:sz w:val="20"/>
          <w:szCs w:val="20"/>
          <w:color w:val="auto"/>
        </w:rPr>
      </w:pPr>
    </w:p>
    <w:p>
      <w:pPr>
        <w:ind w:left="380" w:right="79" w:hanging="330"/>
        <w:spacing w:after="0" w:line="255"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short notional amount on our credit default swap positions was approximately $6.5 billion at September 30, 2021. However, because credit spreads cannot compress below zero, our downside short notional exposure to loss is approximately $2.2 billion as of September 30, 2021. The short notional amount on our credit default swap positions was approximately $6.3 billion as of December 31, 2020. However, because credit spreads cannot compress below zero, our downside short notional exposure to loss is approximately $2.1 billion as of December 31, 2020.</w:t>
      </w:r>
    </w:p>
    <w:p>
      <w:pPr>
        <w:spacing w:after="0" w:line="17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7"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Derivative Assets</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Derivative Liabilities</w:t>
            </w: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 2021</w:t>
            </w:r>
          </w:p>
        </w:tc>
        <w:tc>
          <w:tcPr>
            <w:tcW w:w="180" w:type="dxa"/>
            <w:vAlign w:val="bottom"/>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2020</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 2021</w:t>
            </w: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2020</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gridSpan w:val="3"/>
          </w:tcPr>
          <w:p>
            <w:pPr>
              <w:ind w:left="52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r>
      <w:tr>
        <w:trPr>
          <w:trHeight w:val="216"/>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0"/>
        </w:trPr>
        <w:tc>
          <w:tcPr>
            <w:tcW w:w="23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r>
      <w:tr>
        <w:trPr>
          <w:trHeight w:val="192"/>
        </w:trPr>
        <w:tc>
          <w:tcPr>
            <w:tcW w:w="2340" w:type="dxa"/>
            <w:vAlign w:val="bottom"/>
            <w:gridSpan w:val="2"/>
          </w:tcPr>
          <w:p>
            <w:pPr>
              <w:ind w:left="120"/>
              <w:spacing w:after="0" w:line="192" w:lineRule="exact"/>
              <w:rPr>
                <w:sz w:val="20"/>
                <w:szCs w:val="20"/>
                <w:color w:val="auto"/>
              </w:rPr>
            </w:pPr>
            <w:r>
              <w:rPr>
                <w:rFonts w:ascii="Arial" w:cs="Arial" w:eastAsia="Arial" w:hAnsi="Arial"/>
                <w:sz w:val="18"/>
                <w:szCs w:val="18"/>
                <w:color w:val="auto"/>
              </w:rPr>
              <w:t>Netting across contract</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0"/>
        </w:trPr>
        <w:tc>
          <w:tcPr>
            <w:tcW w:w="2340" w:type="dxa"/>
            <w:vAlign w:val="bottom"/>
            <w:gridSpan w:val="2"/>
          </w:tcPr>
          <w:p>
            <w:pPr>
              <w:ind w:left="240"/>
              <w:spacing w:after="0" w:line="240" w:lineRule="exact"/>
              <w:rPr>
                <w:sz w:val="20"/>
                <w:szCs w:val="20"/>
                <w:color w:val="auto"/>
              </w:rPr>
            </w:pPr>
            <w:r>
              <w:rPr>
                <w:rFonts w:ascii="Arial" w:cs="Arial" w:eastAsia="Arial" w:hAnsi="Arial"/>
                <w:sz w:val="18"/>
                <w:szCs w:val="18"/>
                <w:color w:val="auto"/>
              </w:rPr>
              <w:t>types</w:t>
            </w:r>
            <w:r>
              <w:rPr>
                <w:rFonts w:ascii="Arial" w:cs="Arial" w:eastAsia="Arial" w:hAnsi="Arial"/>
                <w:sz w:val="26"/>
                <w:szCs w:val="26"/>
                <w:color w:val="auto"/>
                <w:vertAlign w:val="superscript"/>
              </w:rPr>
              <w:t>(1)</w:t>
            </w:r>
          </w:p>
        </w:tc>
        <w:tc>
          <w:tcPr>
            <w:tcW w:w="5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(363)</w:t>
            </w:r>
          </w:p>
        </w:tc>
        <w:tc>
          <w:tcPr>
            <w:tcW w:w="7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8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r>
      <w:tr>
        <w:trPr>
          <w:trHeight w:val="210"/>
        </w:trPr>
        <w:tc>
          <w:tcPr>
            <w:tcW w:w="234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99" w:hanging="330"/>
        <w:spacing w:after="0" w:line="238"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netting of cash collateral received and posted. The total collateral posted at September 30, 2021 and December 31, 2020 was $1,541 million and $872 million, respectively, across all counterparties, which are included in cash held at consolidated affiliated partnerships and restricted cash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w w:val="95"/>
              </w:rPr>
              <w:t>Gain (Loss) Recognized in Income</w:t>
            </w:r>
            <w:r>
              <w:rPr>
                <w:rFonts w:ascii="Arial" w:cs="Arial" w:eastAsia="Arial" w:hAnsi="Arial"/>
                <w:sz w:val="26"/>
                <w:szCs w:val="26"/>
                <w:b w:val="1"/>
                <w:bCs w:val="1"/>
                <w:color w:val="auto"/>
                <w:w w:val="95"/>
                <w:vertAlign w:val="superscript"/>
              </w:rPr>
              <w:t>(1)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0" w:type="dxa"/>
            <w:vAlign w:val="bottom"/>
            <w:gridSpan w:val="6"/>
          </w:tcPr>
          <w:p>
            <w:pPr>
              <w:jc w:val="center"/>
              <w:ind w:right="180"/>
              <w:spacing w:after="0" w:line="191" w:lineRule="exact"/>
              <w:rPr>
                <w:sz w:val="20"/>
                <w:szCs w:val="20"/>
                <w:color w:val="auto"/>
              </w:rPr>
            </w:pPr>
            <w:r>
              <w:rPr>
                <w:rFonts w:ascii="Arial" w:cs="Arial" w:eastAsia="Arial" w:hAnsi="Arial"/>
                <w:sz w:val="18"/>
                <w:szCs w:val="18"/>
                <w:b w:val="1"/>
                <w:bCs w:val="1"/>
                <w:color w:val="auto"/>
                <w:w w:val="90"/>
              </w:rPr>
              <w:t>Three Months Ended</w:t>
            </w:r>
          </w:p>
        </w:tc>
        <w:tc>
          <w:tcPr>
            <w:tcW w:w="320" w:type="dxa"/>
            <w:vAlign w:val="bottom"/>
          </w:tcPr>
          <w:p>
            <w:pPr>
              <w:spacing w:after="0"/>
              <w:rPr>
                <w:sz w:val="16"/>
                <w:szCs w:val="16"/>
                <w:color w:val="auto"/>
              </w:rPr>
            </w:pPr>
          </w:p>
        </w:tc>
        <w:tc>
          <w:tcPr>
            <w:tcW w:w="1920" w:type="dxa"/>
            <w:vAlign w:val="bottom"/>
            <w:gridSpan w:val="4"/>
          </w:tcPr>
          <w:p>
            <w:pPr>
              <w:jc w:val="center"/>
              <w:ind w:right="210"/>
              <w:spacing w:after="0" w:line="191" w:lineRule="exact"/>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18"/>
                <w:szCs w:val="18"/>
                <w:color w:val="auto"/>
              </w:rPr>
            </w:pPr>
          </w:p>
        </w:tc>
      </w:tr>
      <w:tr>
        <w:trPr>
          <w:trHeight w:val="216"/>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Credit contracts</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122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20" w:type="dxa"/>
            <w:vAlign w:val="bottom"/>
          </w:tcPr>
          <w:p>
            <w:pPr>
              <w:spacing w:after="0"/>
              <w:rPr>
                <w:sz w:val="18"/>
                <w:szCs w:val="18"/>
                <w:color w:val="auto"/>
              </w:rPr>
            </w:pPr>
          </w:p>
        </w:tc>
      </w:tr>
      <w:tr>
        <w:trPr>
          <w:trHeight w:val="209"/>
        </w:trPr>
        <w:tc>
          <w:tcPr>
            <w:tcW w:w="22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41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regularly enters into various commodity derivative transactions. CVR Refining holds derivative instruments, such as exchange-traded crude oil futures and over-the-counter forward swap agreements, which it believes provide an economic hedge on future transactions, but such instruments are not designated as hedge instruments. CVR Refining may enter into forward purchase or sale contracts associated with renewable identification numbers (“RINs”).</w:t>
      </w:r>
    </w:p>
    <w:p>
      <w:pPr>
        <w:spacing w:after="0" w:line="19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As of September 30, 2021 and December 31, 2020, CVR Refining had 2 million and 7 million, respectively, outstanding commodity swap positions. As of September 30, 2021 and December 31, 2020, CVR Refining had open forward purchase and sale commitments for 2 million barrels and 6 million barrels, respectively. As of September 30, 2021 and December 31, 2020, CVR Refining had open fixed-price commitments to purchase a net 17 million and 13 million RINs, respectively.</w:t>
      </w:r>
    </w:p>
    <w:p>
      <w:pPr>
        <w:spacing w:after="0" w:line="188"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Certain derivative contracts executed by our Energy segment with a single counterparty are reported on a net-by-counterparty basis where a legal right of offset exists under an enforceable netting agreement. As of September 30, 2021, our Energy segment had net asset derivatives of $3 million and net liability derivatives of $3 million and as of December 31, 2020, our Energy segment had net liability derivatives of $17 million. (Losses) gains recognized on derivatives for our Energy segment were $(12) million and $5 million for the three months ended September 30, 2021 and 2020, respectively, and $(46) million and $70 million for the nine months ended September 30, 2021 and 2020, respectively. Gains and losses recognized on derivatives for our Energy segment are included in cost of goods sold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7. Inventories,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gridSpan w:val="4"/>
          </w:tcPr>
          <w:p>
            <w:pPr>
              <w:ind w:left="320"/>
              <w:spacing w:after="0"/>
              <w:rPr>
                <w:sz w:val="20"/>
                <w:szCs w:val="20"/>
                <w:color w:val="auto"/>
              </w:rPr>
            </w:pPr>
            <w:r>
              <w:rPr>
                <w:rFonts w:ascii="Arial" w:cs="Arial" w:eastAsia="Arial" w:hAnsi="Arial"/>
                <w:sz w:val="18"/>
                <w:szCs w:val="18"/>
                <w:color w:val="auto"/>
              </w:rPr>
              <w:t>Inventories, net consists of the following:</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center"/>
              <w:ind w:right="156"/>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ind w:left="380"/>
              <w:spacing w:after="0" w:line="129"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1,590</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8. Goodwill and Intangible Assets, Net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w w:val="98"/>
              </w:rPr>
              <w:t>Goodwill consists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 2021</w:t>
            </w:r>
          </w:p>
        </w:tc>
        <w:tc>
          <w:tcPr>
            <w:tcW w:w="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4"/>
              </w:rPr>
              <w:t>December 31, 2020</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gridSpan w:val="22"/>
          </w:tcPr>
          <w:p>
            <w:pPr>
              <w:jc w:val="right"/>
              <w:spacing w:after="0"/>
              <w:rPr>
                <w:sz w:val="20"/>
                <w:szCs w:val="20"/>
                <w:color w:val="auto"/>
              </w:rPr>
            </w:pPr>
            <w:r>
              <w:rPr>
                <w:rFonts w:ascii="Arial" w:cs="Arial" w:eastAsia="Arial" w:hAnsi="Arial"/>
                <w:sz w:val="18"/>
                <w:szCs w:val="18"/>
                <w:b w:val="1"/>
                <w:bCs w:val="1"/>
                <w:color w:val="auto"/>
              </w:rPr>
              <w:t>Carrying  Accumulated  Carrying  Carrying  Accumulated  Carrying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5"/>
          </w:tcPr>
          <w:p>
            <w:pPr>
              <w:jc w:val="right"/>
              <w:ind w:right="31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80" w:type="dxa"/>
            <w:vAlign w:val="bottom"/>
            <w:gridSpan w:val="3"/>
            <w:shd w:val="clear" w:color="auto" w:fill="CCEEFF"/>
          </w:tcPr>
          <w:p>
            <w:pPr>
              <w:jc w:val="center"/>
              <w:ind w:right="256"/>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Food Packaging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Metals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Home Fashion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Pharma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384</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center"/>
              <w:ind w:right="4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1"/>
              </w:rPr>
              <w:t>September 30, 2021</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4"/>
              <w:spacing w:after="0"/>
              <w:rPr>
                <w:sz w:val="20"/>
                <w:szCs w:val="20"/>
                <w:color w:val="auto"/>
              </w:rPr>
            </w:pPr>
            <w:r>
              <w:rPr>
                <w:rFonts w:ascii="Arial" w:cs="Arial" w:eastAsia="Arial" w:hAnsi="Arial"/>
                <w:sz w:val="18"/>
                <w:szCs w:val="18"/>
                <w:b w:val="1"/>
                <w:bCs w:val="1"/>
                <w:color w:val="auto"/>
                <w:w w:val="88"/>
              </w:rPr>
              <w:t>December 31, 2020</w:t>
            </w:r>
          </w:p>
        </w:tc>
        <w:tc>
          <w:tcPr>
            <w:tcW w:w="640" w:type="dxa"/>
            <w:vAlign w:val="bottom"/>
            <w:tcBorders>
              <w:bottom w:val="single" w:sz="8" w:color="auto"/>
            </w:tcBorders>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2"/>
              <w:spacing w:after="0" w:line="191" w:lineRule="exact"/>
              <w:rPr>
                <w:sz w:val="20"/>
                <w:szCs w:val="20"/>
                <w:color w:val="auto"/>
              </w:rPr>
            </w:pPr>
            <w:r>
              <w:rPr>
                <w:rFonts w:ascii="Arial" w:cs="Arial" w:eastAsia="Arial" w:hAnsi="Arial"/>
                <w:sz w:val="18"/>
                <w:szCs w:val="18"/>
                <w:b w:val="1"/>
                <w:bCs w:val="1"/>
                <w:color w:val="auto"/>
                <w:w w:val="96"/>
              </w:rPr>
              <w:t>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6"/>
              </w:rPr>
              <w:t>Net</w:t>
            </w:r>
          </w:p>
        </w:tc>
      </w:tr>
      <w:tr>
        <w:trPr>
          <w:trHeight w:val="216"/>
        </w:trPr>
        <w:tc>
          <w:tcPr>
            <w:tcW w:w="30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30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6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4"/>
          </w:tcPr>
          <w:p>
            <w:pPr>
              <w:jc w:val="right"/>
              <w:ind w:right="31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399</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59" w:firstLine="324"/>
        <w:spacing w:after="0" w:line="259" w:lineRule="auto"/>
        <w:rPr>
          <w:sz w:val="20"/>
          <w:szCs w:val="20"/>
          <w:color w:val="auto"/>
        </w:rPr>
      </w:pPr>
      <w:r>
        <w:rPr>
          <w:rFonts w:ascii="Arial" w:cs="Arial" w:eastAsia="Arial" w:hAnsi="Arial"/>
          <w:sz w:val="18"/>
          <w:szCs w:val="18"/>
          <w:color w:val="auto"/>
        </w:rPr>
        <w:t>Amortization expense associated with definite-lived intangible assets was $17 million and $10 million for the three months ended September 30, 2021 and 2020, respectively, and $49 million and $31 million for the nine months ended September 30, 2021 and 2020, respectively. We utilize the straight-line method of amortization, recognized over the estimated useful lives of the assets.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ind w:left="340"/>
              <w:spacing w:after="0"/>
              <w:rPr>
                <w:sz w:val="20"/>
                <w:szCs w:val="20"/>
                <w:color w:val="auto"/>
              </w:rPr>
            </w:pPr>
            <w:r>
              <w:rPr>
                <w:rFonts w:ascii="Arial" w:cs="Arial" w:eastAsia="Arial" w:hAnsi="Arial"/>
                <w:sz w:val="18"/>
                <w:szCs w:val="18"/>
                <w:color w:val="auto"/>
              </w:rPr>
              <w:t>Right-of-use assets and lease liabilities are as follows: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636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128"/>
        </w:trPr>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16"/>
        </w:trPr>
        <w:tc>
          <w:tcPr>
            <w:tcW w:w="6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202"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Additional information with respect to our operating leases as of September 30, 2021 and December 31, 2020 is presented below. The lease terms and discount rates for our Energy, Automotive and Food Packaging segments represent weighted averages based on their respective lease liability balances.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September 30, 2021</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20"/>
                <w:szCs w:val="20"/>
                <w:color w:val="auto"/>
              </w:rPr>
            </w:pPr>
          </w:p>
        </w:tc>
      </w:tr>
      <w:tr>
        <w:trPr>
          <w:trHeight w:val="142"/>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4.3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4.4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5.8%</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10.7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Discount</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December 31, 2020</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3.1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4.6 years</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11.1 years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 and Holding Company</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20" w:type="dxa"/>
            <w:vAlign w:val="bottom"/>
            <w:vMerge w:val="restart"/>
          </w:tcPr>
          <w:p>
            <w:pPr>
              <w:jc w:val="right"/>
              <w:ind w:right="39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396" w:lineRule="exact"/>
        <w:rPr>
          <w:sz w:val="20"/>
          <w:szCs w:val="20"/>
          <w:color w:val="auto"/>
        </w:rPr>
      </w:pPr>
    </w:p>
    <w:p>
      <w:pPr>
        <w:jc w:val="both"/>
        <w:ind w:left="60" w:right="119" w:firstLine="324"/>
        <w:spacing w:after="0" w:line="285" w:lineRule="auto"/>
        <w:rPr>
          <w:sz w:val="20"/>
          <w:szCs w:val="20"/>
          <w:color w:val="auto"/>
        </w:rPr>
      </w:pPr>
      <w:r>
        <w:rPr>
          <w:rFonts w:ascii="Arial" w:cs="Arial" w:eastAsia="Arial" w:hAnsi="Arial"/>
          <w:sz w:val="16"/>
          <w:szCs w:val="16"/>
          <w:color w:val="auto"/>
        </w:rPr>
        <w:t>For the three months ended September 30, 2021 and 2020, lease cost was comprised of (i) operating lease cost of $49 million and $52 million, respectively, (ii) amortization of financing lease right-of-use assets of $3 million and $3 million, respectively, and (iii) interest expense on financing lease liabilities of $2 million and $1 million, respectively. For the nine months ended September 30, 2021 and 2020, lease cost was comprised of (i) operating lease cost of $150 million and $155 million, respectively, (ii) amortization of financing lease right-of-use assets of $8 million and $9 million, respectively, and</w:t>
      </w:r>
    </w:p>
    <w:p>
      <w:pPr>
        <w:spacing w:after="0" w:line="2" w:lineRule="exact"/>
        <w:rPr>
          <w:sz w:val="20"/>
          <w:szCs w:val="20"/>
          <w:color w:val="auto"/>
        </w:rPr>
      </w:pPr>
    </w:p>
    <w:p>
      <w:pPr>
        <w:ind w:left="60" w:right="279" w:hanging="10"/>
        <w:spacing w:after="0" w:line="255"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on financing lease liabilities of $5 million and $5 million, respectively. Our Automotive segment accounted for $127 million and $129 million of total lease cost for the nine months ended September 30, 2021 and 2020, respectively.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Our Real Estate segment leases real estate, primarily commercial properties under long-term operating leases. As of September 30, 2021 and December 31, 2020, our Real Estate segment has assets leased to others included in property, plant and equipment of $221 million and $222 million, respectively, net of accumulated depreciation. Our Real Estate segment’s revenue from operating leases were $1 million and $8 million for the three months ended September 30, 2021 and 2020, respectively, and $7 million and $24 million for the nine months ended September 30, 2021 and 2020, respectively. Revenues from operating leases are included in other revenue from operations in the condensed consolidated statements of operations.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10. Debt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6460" w:type="dxa"/>
            <w:vAlign w:val="bottom"/>
          </w:tcPr>
          <w:p>
            <w:pPr>
              <w:ind w:left="340"/>
              <w:spacing w:after="0"/>
              <w:rPr>
                <w:sz w:val="20"/>
                <w:szCs w:val="20"/>
                <w:color w:val="auto"/>
              </w:rPr>
            </w:pPr>
            <w:r>
              <w:rPr>
                <w:rFonts w:ascii="Arial" w:cs="Arial" w:eastAsia="Arial" w:hAnsi="Arial"/>
                <w:sz w:val="18"/>
                <w:szCs w:val="18"/>
                <w:color w:val="auto"/>
              </w:rPr>
              <w:t>Debt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7"/>
        </w:trPr>
        <w:tc>
          <w:tcPr>
            <w:tcW w:w="646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 Company: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6.250% senior unsecured notes due 2022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6.750% senior unsecured notes due 2024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4.750% senior unsecured notes due 2024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6.250% senior unsecured notes due 2026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5.250% senior unsecured notes due 2027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4.375% senior unsecured notes due 2029</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r>
      <w:tr>
        <w:trPr>
          <w:trHeight w:val="210"/>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Reporting Segments: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Metals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6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09"/>
        </w:trPr>
        <w:tc>
          <w:tcPr>
            <w:tcW w:w="64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 January 2021, Icahn Enterprises and Icahn Enterprises Finance Corp. (together the “Issuers”) issued $750 million in aggregate principal amount of 4.375% senior unsecured notes due 2029 (the “New 2029 Notes”). The New 2029</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Notes are guaranteed by Icahn Enterprises Holdings (the “Guarantor”). The proceeds from the New 2029 Notes were used to redeem $750 million principal amount of 6.250% senior unsecured notes due 2022 (the “2022 Notes”), and to pay accrued interest, related fees and expenses. Interest on the New 2029 Notes is payable semi-annually. In connection with this transaction, our Holding Company recorded a gain on extinguishment of debt of $2 million.</w:t>
      </w:r>
    </w:p>
    <w:p>
      <w:pPr>
        <w:spacing w:after="0" w:line="171"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The New 2029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New 2029 Notes and the related guarantees are effectively subordinated to the Issuers’ and the Guarantor’s existing and future secured indebtedness to the extent of the collateral securing such indebtedness. The New 2029 Notes and the related guarantees are also effectively subordinated to all indebtedness and other liabilities of the Issuers’ subsidiaries other than the Guarantor.</w:t>
      </w:r>
    </w:p>
    <w:p>
      <w:pPr>
        <w:spacing w:after="0" w:line="164"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Consistent with the indenture governing the 2022 Notes and the indentures governing the Issuers’ other outstanding notes, the indenture governing the New 2029 Notes: restricts the payment of cash distributions, the purchase of equity interests or the purchase, redemption, defeasance or acquisition of debt subordinated to the senior unsecured notes; restricts the incurrence of debt or the issuance of disqualified stock, as defined in the indenture, with certain exceptions; requires that on each quarterly determination date, Icahn Enterprises and the guarantor of the New 2029 Notes (currently only Icahn Enterprises Holdings) maintain certain minimum financial ratios, as defined therein; and restricts the creation of liens, mergers, consolidations and sales of substantially all of our assets, and transactions with affiliates by the Issuers and the guarantor of the New 2029 Notes.</w:t>
      </w:r>
    </w:p>
    <w:p>
      <w:pPr>
        <w:spacing w:after="0" w:line="178"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“New 2027 Notes”). The proceeds from this issuance were used to redeem the remaining $455 million principal amount of the 2022 Notes and to pay accrued interest, related fees and expenses. The Issuers issued the New 2027 Notes under the indenture dated as of December 12, 2019 pursuant to which the Issuers had previously issued an aggregate of $1.0 billion aggregate principal amount of 5.250% senior unsecured notes due 2027.</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ind w:left="60" w:right="359" w:firstLine="324"/>
        <w:spacing w:after="0" w:line="291" w:lineRule="auto"/>
        <w:rPr>
          <w:sz w:val="20"/>
          <w:szCs w:val="20"/>
          <w:color w:val="auto"/>
        </w:rPr>
      </w:pPr>
      <w:r>
        <w:rPr>
          <w:rFonts w:ascii="Arial" w:cs="Arial" w:eastAsia="Arial" w:hAnsi="Arial"/>
          <w:sz w:val="16"/>
          <w:szCs w:val="16"/>
          <w:color w:val="auto"/>
        </w:rPr>
        <w:t>In June 2021, CVR Partners issued $550 million in aggregate principal amount of 6.125% senior secured notes due 2028. Proceeds from these notes were used to fund a partial redemption of its existing 9.25% senior secured notes due</w:t>
      </w:r>
    </w:p>
    <w:p>
      <w:pPr>
        <w:ind w:left="60" w:right="99"/>
        <w:spacing w:after="0" w:line="287" w:lineRule="auto"/>
        <w:rPr>
          <w:sz w:val="20"/>
          <w:szCs w:val="20"/>
          <w:color w:val="auto"/>
        </w:rPr>
      </w:pPr>
      <w:r>
        <w:rPr>
          <w:rFonts w:ascii="Arial" w:cs="Arial" w:eastAsia="Arial" w:hAnsi="Arial"/>
          <w:sz w:val="16"/>
          <w:szCs w:val="16"/>
          <w:color w:val="auto"/>
        </w:rPr>
        <w:t>2023. These senior secured notes issued by CVR Partners are guaranteed on a senior secured basis by all of CVR Partners’ existing domestic subsidiaries, excluding CVR Nitrogen Finance Corporation. The indenture governing these notes contain certain covenants that restrict the ability of the issuers and their restricted subsidiaries from incurring additional debt or issuing certain disqualified equity, create liens on certain assets to secure debt, pay dividends/distributions or make other equity distributions, purchase or redeem capital stock/common units, make certain investments, transfer and sell assets, agree to certain restrictions on the ability of restricted subsidiaries to make distributions, loans, or other asset transfers to the issuers, consolidate, merge, sell, or otherwise dispose of all or substantially all of their assets, engage in transactions with affiliates and designate restricted subsidiaries as unrestricted subsidiaries.</w:t>
      </w:r>
    </w:p>
    <w:p>
      <w:pPr>
        <w:spacing w:after="0" w:line="170"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In August 2021, all of our Automotive segment’s outstanding credit facility was repaid in full in the amount of $350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Each of Icahn Enterprises and Icahn Enterprises Holdings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amortization of deferred financing costs and debt discounts and premiums included in interest expense in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condensed consolidated statements of operations were $3 million and $2 million for the three months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2021 and 2020, respectively, and $4 million and $4 million for the nine months ended September 30, 2021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2020, respectively.</w:t>
      </w:r>
    </w:p>
    <w:p>
      <w:pPr>
        <w:spacing w:after="0" w:line="207"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The components of the computation of basic and diluted income (loss) per LP unit of Icahn Enterprises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Three Months Ended September 30,</w:t>
            </w:r>
          </w:p>
        </w:tc>
        <w:tc>
          <w:tcPr>
            <w:tcW w:w="140" w:type="dxa"/>
            <w:vAlign w:val="bottom"/>
          </w:tcPr>
          <w:p>
            <w:pPr>
              <w:spacing w:after="0"/>
              <w:rPr>
                <w:sz w:val="20"/>
                <w:szCs w:val="20"/>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4"/>
                <w:szCs w:val="14"/>
                <w:color w:val="auto"/>
              </w:rPr>
              <w:t>(in millions, except</w:t>
            </w:r>
          </w:p>
        </w:tc>
        <w:tc>
          <w:tcPr>
            <w:tcW w:w="140" w:type="dxa"/>
            <w:vAlign w:val="bottom"/>
          </w:tcPr>
          <w:p>
            <w:pPr>
              <w:spacing w:after="0"/>
              <w:rPr>
                <w:sz w:val="11"/>
                <w:szCs w:val="11"/>
                <w:color w:val="auto"/>
              </w:rPr>
            </w:pPr>
          </w:p>
        </w:tc>
        <w:tc>
          <w:tcPr>
            <w:tcW w:w="1280" w:type="dxa"/>
            <w:vAlign w:val="bottom"/>
            <w:gridSpan w:val="2"/>
          </w:tcPr>
          <w:p>
            <w:pPr>
              <w:spacing w:after="0" w:line="129" w:lineRule="exact"/>
              <w:rPr>
                <w:sz w:val="20"/>
                <w:szCs w:val="20"/>
                <w:color w:val="auto"/>
              </w:rPr>
            </w:pPr>
            <w:r>
              <w:rPr>
                <w:rFonts w:ascii="Arial" w:cs="Arial" w:eastAsia="Arial" w:hAnsi="Arial"/>
                <w:sz w:val="14"/>
                <w:szCs w:val="14"/>
                <w:color w:val="auto"/>
              </w:rPr>
              <w:t>per unit amounts)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loss attributable to Icahn Enterprises</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1"/>
              </w:rPr>
              <w:t>Net loss attributable to Icahn Enterprises</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auto"/>
                <w:w w:val="97"/>
              </w:rPr>
              <w:t>allocated to limited partners (98.01%</w:t>
            </w:r>
          </w:p>
        </w:tc>
        <w:tc>
          <w:tcPr>
            <w:tcW w:w="3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(700)</w:t>
            </w:r>
          </w:p>
        </w:tc>
        <w:tc>
          <w:tcPr>
            <w:tcW w:w="42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auto"/>
              </w:rPr>
              <w:t>allocation)</w:t>
            </w:r>
          </w:p>
        </w:tc>
        <w:tc>
          <w:tcPr>
            <w:tcW w:w="36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Basic and diluted loss per LP unit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and diluted weighted average LP</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units outstanding</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99" w:firstLine="324"/>
        <w:spacing w:after="0" w:line="342" w:lineRule="auto"/>
        <w:rPr>
          <w:sz w:val="20"/>
          <w:szCs w:val="20"/>
          <w:color w:val="auto"/>
        </w:rPr>
      </w:pPr>
      <w:r>
        <w:rPr>
          <w:rFonts w:ascii="Arial" w:cs="Arial" w:eastAsia="Arial" w:hAnsi="Arial"/>
          <w:sz w:val="16"/>
          <w:szCs w:val="16"/>
          <w:color w:val="auto"/>
        </w:rPr>
        <w:t>On February 24, 2021, Icahn Enterprises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299" w:firstLine="324"/>
        <w:spacing w:after="0" w:line="342" w:lineRule="auto"/>
        <w:rPr>
          <w:sz w:val="20"/>
          <w:szCs w:val="20"/>
          <w:color w:val="auto"/>
        </w:rPr>
      </w:pPr>
      <w:r>
        <w:rPr>
          <w:rFonts w:ascii="Arial" w:cs="Arial" w:eastAsia="Arial" w:hAnsi="Arial"/>
          <w:sz w:val="16"/>
          <w:szCs w:val="16"/>
          <w:color w:val="auto"/>
        </w:rPr>
        <w:t>On May 5, 2021, Icahn Enterprises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jc w:val="both"/>
        <w:ind w:left="60" w:right="299" w:firstLine="324"/>
        <w:spacing w:after="0" w:line="342" w:lineRule="auto"/>
        <w:rPr>
          <w:sz w:val="20"/>
          <w:szCs w:val="20"/>
          <w:color w:val="auto"/>
        </w:rPr>
      </w:pPr>
      <w:r>
        <w:rPr>
          <w:rFonts w:ascii="Arial" w:cs="Arial" w:eastAsia="Arial" w:hAnsi="Arial"/>
          <w:sz w:val="16"/>
          <w:szCs w:val="16"/>
          <w:color w:val="auto"/>
        </w:rPr>
        <w:t>On August 4, 2021, Icahn Enterprises declared a quarterly distribution in the amount of $2.00 per depositary unit in which each depositary unitholder had the option to make an election to receive either cash or additional depositary units.</w:t>
      </w:r>
    </w:p>
    <w:p>
      <w:pPr>
        <w:spacing w:after="0" w:line="124"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As a result of the above distributions declared, during the nine months ended September 30, 2021, Icahn Enterprises distributed an aggregate 26,465,134 depositary units to unitholders electing to receive depositary units, of which an aggregate of 25,372,644 depositary units were distributed to Mr. Icahn and his affiliates. In connection with these distributions, aggregate cash distributions to all depositary unitholders that made a timely election to receive cash was $91 million for the nine months ended September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539" w:firstLine="324"/>
        <w:spacing w:after="0" w:line="342" w:lineRule="auto"/>
        <w:rPr>
          <w:sz w:val="20"/>
          <w:szCs w:val="20"/>
          <w:color w:val="auto"/>
        </w:rPr>
      </w:pPr>
      <w:r>
        <w:rPr>
          <w:rFonts w:ascii="Arial" w:cs="Arial" w:eastAsia="Arial" w:hAnsi="Arial"/>
          <w:sz w:val="16"/>
          <w:szCs w:val="16"/>
          <w:color w:val="auto"/>
        </w:rPr>
        <w:t>On May 2, 2019, Icahn Enterprises announced the commencement of its “at-the-market” offering under its Open Market Sale Agreement, pursuant to which Icahn Enterprises was able to sell its depositary units, from time to time,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during the term of the agreement ending on March 31, 2021, for up to $400 million in aggregate sale proceeds. During the three months ended September 30, 2020, Icahn Enterprises sold 637,352 depositary units pursuant to this agreement, resulting in gross proceeds of $34 million. During the nine months ended September 30, 2020, Icahn Enterprises sold 1,118,596 depositary units pursuant to this agreement, resulting in gross proceeds of $60 million. On February 26, 2021, this agreement was terminated and replaced by a new Open Market Sale Agreement for the sale of Icahn Enterprises’ depositary units, from time to time, for up to $400 million in aggregate sale proceeds. On August 6, 2021, this agreement was terminated and replaced by a new Open Market Sale Agreement, pursuant to which Icahn Enterprises may sell its depositary units, from time to time, for up to $400 million in aggregate sale proceeds. During the three months ended September 30, 2021, Icahn Enterprises sold 4,164,179 depositary units pursuant to these agreements, resulting in gross proceeds of $220 million. During the nine months ended September 30, 2021, Icahn Enterprises sold 10,783,098 depositary units pursuant to these agreements, resulting in gross proceeds of $604 million. As of September 30, 2021, Icahn Enterprises may sell its depositary units for up to an additional $180 million in aggregate gross sale proceeds pursuant to its agreement entered into on August 6, 2021. No assurance can be made that any or all amounts will be sold during the term of this agreement.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Incentive Plan</w:t>
      </w:r>
    </w:p>
    <w:p>
      <w:pPr>
        <w:spacing w:after="0" w:line="225"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During the three and nine months ended September 30, 2021, Icahn Enterprises distributed 18,491 depositary units, net of payroll withholdings, to Brett Icahn with respect to certain restricted depositary units that vested during the period in connection with the Icahn Enterprises L.P. 2017 Long Term Incentive Plan (the “2017 Incentive Plan”). The aggregate impact of the 2017 Incentive Plan is not material with respect to our condensed consolidated financial statements, including the calculation of potentially dilutive units and diluted income per LP unit.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29"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13"/>
          </w:tcPr>
          <w:p>
            <w:pPr>
              <w:ind w:left="40"/>
              <w:spacing w:after="0"/>
              <w:rPr>
                <w:sz w:val="20"/>
                <w:szCs w:val="20"/>
                <w:color w:val="auto"/>
              </w:rPr>
            </w:pPr>
            <w:r>
              <w:rPr>
                <w:rFonts w:ascii="Arial" w:cs="Arial" w:eastAsia="Arial" w:hAnsi="Arial"/>
                <w:sz w:val="13"/>
                <w:szCs w:val="13"/>
                <w:b w:val="1"/>
                <w:bCs w:val="1"/>
                <w:color w:val="auto"/>
                <w:w w:val="89"/>
              </w:rPr>
              <w:t>Three Months Ended September 30, 2021</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w w:val="95"/>
              </w:rPr>
              <w:t>Food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5"/>
              </w:rPr>
              <w:t>Automotive</w:t>
            </w:r>
          </w:p>
        </w:tc>
        <w:tc>
          <w:tcPr>
            <w:tcW w:w="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480" w:type="dxa"/>
            <w:vAlign w:val="bottom"/>
            <w:gridSpan w:val="3"/>
          </w:tcPr>
          <w:p>
            <w:pPr>
              <w:spacing w:after="0"/>
              <w:rPr>
                <w:sz w:val="20"/>
                <w:szCs w:val="20"/>
                <w:color w:val="auto"/>
              </w:rPr>
            </w:pPr>
            <w:r>
              <w:rPr>
                <w:rFonts w:ascii="Arial" w:cs="Arial" w:eastAsia="Arial" w:hAnsi="Arial"/>
                <w:sz w:val="13"/>
                <w:szCs w:val="13"/>
                <w:b w:val="1"/>
                <w:bCs w:val="1"/>
                <w:color w:val="auto"/>
              </w:rPr>
              <w:t>Estate</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Fashion</w:t>
            </w: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right"/>
              <w:ind w:right="97"/>
              <w:spacing w:after="0" w:line="115" w:lineRule="exact"/>
              <w:rPr>
                <w:sz w:val="20"/>
                <w:szCs w:val="20"/>
                <w:color w:val="auto"/>
              </w:rPr>
            </w:pPr>
            <w:r>
              <w:rPr>
                <w:rFonts w:ascii="Arial" w:cs="Arial" w:eastAsia="Arial" w:hAnsi="Arial"/>
                <w:sz w:val="13"/>
                <w:szCs w:val="13"/>
                <w:color w:val="auto"/>
                <w:w w:val="91"/>
              </w:rPr>
              <w:t>(in millions)</w:t>
            </w:r>
          </w:p>
        </w:tc>
        <w:tc>
          <w:tcPr>
            <w:tcW w:w="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1,883</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440</w:t>
            </w:r>
          </w:p>
        </w:tc>
        <w:tc>
          <w:tcPr>
            <w:tcW w:w="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104</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144</w:t>
            </w:r>
          </w:p>
        </w:tc>
        <w:tc>
          <w:tcPr>
            <w:tcW w:w="14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2,657</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(148)</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1,883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2,646</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1,686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2,270</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79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1,746</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646</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2,876</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(Loss) income before income tax (expense)</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0"/>
              <w:spacing w:after="0"/>
              <w:rPr>
                <w:sz w:val="20"/>
                <w:szCs w:val="20"/>
                <w:color w:val="auto"/>
              </w:rPr>
            </w:pPr>
            <w:r>
              <w:rPr>
                <w:rFonts w:ascii="Arial" w:cs="Arial" w:eastAsia="Arial" w:hAnsi="Arial"/>
                <w:sz w:val="13"/>
                <w:szCs w:val="13"/>
                <w:color w:val="auto"/>
              </w:rPr>
              <w:t>benefit</w:t>
            </w:r>
          </w:p>
        </w:tc>
        <w:tc>
          <w:tcPr>
            <w:tcW w:w="2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137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(110)</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(43)</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29"/>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(187)</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94</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(63)</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(loss) income attributable to non-</w:t>
            </w: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controlling interests</w:t>
            </w:r>
          </w:p>
        </w:tc>
        <w:tc>
          <w:tcPr>
            <w:tcW w:w="2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Net (loss) income attributable to Icahn</w:t>
            </w:r>
          </w:p>
        </w:tc>
        <w:tc>
          <w:tcPr>
            <w:tcW w:w="200" w:type="dxa"/>
            <w:vAlign w:val="bottom"/>
            <w:vMerge w:val="restart"/>
          </w:tcPr>
          <w:p>
            <w:pPr>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(84)</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54</w:t>
            </w:r>
          </w:p>
        </w:tc>
        <w:tc>
          <w:tcPr>
            <w:tcW w:w="140" w:type="dxa"/>
            <w:vAlign w:val="bottom"/>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(55)</w:t>
            </w:r>
          </w:p>
        </w:tc>
        <w:tc>
          <w:tcPr>
            <w:tcW w:w="18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(3)</w:t>
            </w: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(5)</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(63)</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36" w:lineRule="exact"/>
              <w:rPr>
                <w:sz w:val="20"/>
                <w:szCs w:val="20"/>
                <w:color w:val="auto"/>
              </w:rPr>
            </w:pPr>
            <w:r>
              <w:rPr>
                <w:rFonts w:ascii="Arial" w:cs="Arial" w:eastAsia="Arial" w:hAnsi="Arial"/>
                <w:sz w:val="13"/>
                <w:szCs w:val="13"/>
                <w:color w:val="auto"/>
              </w:rPr>
              <w:t>Enterprises</w:t>
            </w:r>
          </w:p>
        </w:tc>
        <w:tc>
          <w:tcPr>
            <w:tcW w:w="20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6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2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62</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13"/>
          </w:tcPr>
          <w:p>
            <w:pPr>
              <w:ind w:left="40"/>
              <w:spacing w:after="0"/>
              <w:rPr>
                <w:sz w:val="20"/>
                <w:szCs w:val="20"/>
                <w:color w:val="auto"/>
              </w:rPr>
            </w:pPr>
            <w:r>
              <w:rPr>
                <w:rFonts w:ascii="Arial" w:cs="Arial" w:eastAsia="Arial" w:hAnsi="Arial"/>
                <w:sz w:val="13"/>
                <w:szCs w:val="13"/>
                <w:b w:val="1"/>
                <w:bCs w:val="1"/>
                <w:color w:val="auto"/>
                <w:w w:val="89"/>
              </w:rPr>
              <w:t>Three Months Ended September 30, 2020</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w w:val="95"/>
              </w:rPr>
              <w:t>Food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5"/>
              </w:rPr>
              <w:t>Automotive</w:t>
            </w:r>
          </w:p>
        </w:tc>
        <w:tc>
          <w:tcPr>
            <w:tcW w:w="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480" w:type="dxa"/>
            <w:vAlign w:val="bottom"/>
            <w:gridSpan w:val="3"/>
          </w:tcPr>
          <w:p>
            <w:pPr>
              <w:spacing w:after="0"/>
              <w:rPr>
                <w:sz w:val="20"/>
                <w:szCs w:val="20"/>
                <w:color w:val="auto"/>
              </w:rPr>
            </w:pPr>
            <w:r>
              <w:rPr>
                <w:rFonts w:ascii="Arial" w:cs="Arial" w:eastAsia="Arial" w:hAnsi="Arial"/>
                <w:sz w:val="13"/>
                <w:szCs w:val="13"/>
                <w:b w:val="1"/>
                <w:bCs w:val="1"/>
                <w:color w:val="auto"/>
              </w:rPr>
              <w:t>Estate</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Fashion</w:t>
            </w: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right"/>
              <w:ind w:right="97"/>
              <w:spacing w:after="0" w:line="115" w:lineRule="exact"/>
              <w:rPr>
                <w:sz w:val="20"/>
                <w:szCs w:val="20"/>
                <w:color w:val="auto"/>
              </w:rPr>
            </w:pPr>
            <w:r>
              <w:rPr>
                <w:rFonts w:ascii="Arial" w:cs="Arial" w:eastAsia="Arial" w:hAnsi="Arial"/>
                <w:sz w:val="13"/>
                <w:szCs w:val="13"/>
                <w:color w:val="auto"/>
                <w:w w:val="91"/>
              </w:rPr>
              <w:t>(in millions)</w:t>
            </w:r>
          </w:p>
        </w:tc>
        <w:tc>
          <w:tcPr>
            <w:tcW w:w="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1,005</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513</w:t>
            </w:r>
          </w:p>
        </w:tc>
        <w:tc>
          <w:tcPr>
            <w:tcW w:w="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105</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c>
          <w:tcPr>
            <w:tcW w:w="14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1,764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14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(1,166)</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(68)</w:t>
            </w:r>
          </w:p>
        </w:tc>
        <w:tc>
          <w:tcPr>
            <w:tcW w:w="24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(1,259)</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4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(1,130)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723</w:t>
            </w:r>
          </w:p>
        </w:tc>
        <w:tc>
          <w:tcPr>
            <w:tcW w:w="0" w:type="dxa"/>
            <w:vAlign w:val="bottom"/>
          </w:tcPr>
          <w:p>
            <w:pPr>
              <w:spacing w:after="0"/>
              <w:rPr>
                <w:sz w:val="1"/>
                <w:szCs w:val="1"/>
                <w:color w:val="auto"/>
              </w:rPr>
            </w:pPr>
          </w:p>
        </w:tc>
      </w:tr>
      <w:tr>
        <w:trPr>
          <w:trHeight w:val="129"/>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1,040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1,599</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115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84</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1,098</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2,189</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(Loss) income before income tax benefit</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rPr>
                <w:sz w:val="20"/>
                <w:szCs w:val="20"/>
                <w:color w:val="auto"/>
              </w:rPr>
            </w:pPr>
            <w:r>
              <w:rPr>
                <w:rFonts w:ascii="Arial" w:cs="Arial" w:eastAsia="Arial" w:hAnsi="Arial"/>
                <w:sz w:val="13"/>
                <w:szCs w:val="13"/>
                <w:color w:val="auto"/>
              </w:rPr>
              <w:t>(expense)</w:t>
            </w:r>
          </w:p>
        </w:tc>
        <w:tc>
          <w:tcPr>
            <w:tcW w:w="14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(1,183)</w:t>
            </w:r>
          </w:p>
        </w:tc>
        <w:tc>
          <w:tcPr>
            <w:tcW w:w="80" w:type="dxa"/>
            <w:vAlign w:val="bottom"/>
          </w:tcPr>
          <w:p>
            <w:pPr>
              <w:spacing w:after="0"/>
              <w:rPr>
                <w:sz w:val="12"/>
                <w:szCs w:val="1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(155)</w:t>
            </w:r>
          </w:p>
        </w:tc>
        <w:tc>
          <w:tcPr>
            <w:tcW w:w="24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(111)</w:t>
            </w: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(1,466)</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benefit (expense)</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(1,183)</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(120)</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(87)</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(loss) income attributable to non-</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controlling interests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w:t>
            </w: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20"/>
              <w:spacing w:after="0" w:line="121" w:lineRule="exact"/>
              <w:rPr>
                <w:sz w:val="20"/>
                <w:szCs w:val="20"/>
                <w:color w:val="auto"/>
              </w:rPr>
            </w:pPr>
            <w:r>
              <w:rPr>
                <w:rFonts w:ascii="Arial" w:cs="Arial" w:eastAsia="Arial" w:hAnsi="Arial"/>
                <w:sz w:val="13"/>
                <w:szCs w:val="13"/>
                <w:color w:val="auto"/>
              </w:rPr>
              <w:t>Net (loss) income attributable to Icahn</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40" w:type="dxa"/>
            <w:vAlign w:val="bottom"/>
            <w:vMerge w:val="continue"/>
          </w:tcPr>
          <w:p>
            <w:pPr>
              <w:spacing w:after="0"/>
              <w:rPr>
                <w:sz w:val="8"/>
                <w:szCs w:val="8"/>
                <w:color w:val="auto"/>
              </w:rPr>
            </w:pP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(543)</w:t>
            </w:r>
          </w:p>
        </w:tc>
        <w:tc>
          <w:tcPr>
            <w:tcW w:w="140" w:type="dxa"/>
            <w:vAlign w:val="bottom"/>
            <w:vMerge w:val="restart"/>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(73)</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(26)</w:t>
            </w:r>
          </w:p>
        </w:tc>
        <w:tc>
          <w:tcPr>
            <w:tcW w:w="18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8"/>
                <w:szCs w:val="8"/>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(87)</w:t>
            </w:r>
          </w:p>
        </w:tc>
        <w:tc>
          <w:tcPr>
            <w:tcW w:w="220" w:type="dxa"/>
            <w:vAlign w:val="bottom"/>
            <w:vMerge w:val="restart"/>
          </w:tcPr>
          <w:p>
            <w:pPr>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36" w:lineRule="exact"/>
              <w:rPr>
                <w:sz w:val="20"/>
                <w:szCs w:val="20"/>
                <w:color w:val="auto"/>
              </w:rPr>
            </w:pPr>
            <w:r>
              <w:rPr>
                <w:rFonts w:ascii="Arial" w:cs="Arial" w:eastAsia="Arial" w:hAnsi="Arial"/>
                <w:sz w:val="13"/>
                <w:szCs w:val="13"/>
                <w:color w:val="auto"/>
              </w:rPr>
              <w:t>Enterprises</w:t>
            </w:r>
          </w:p>
        </w:tc>
        <w:tc>
          <w:tcPr>
            <w:tcW w:w="1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2"/>
          </w:tcPr>
          <w:p>
            <w:pPr>
              <w:spacing w:after="0"/>
              <w:rPr>
                <w:sz w:val="20"/>
                <w:szCs w:val="20"/>
                <w:color w:val="auto"/>
              </w:rPr>
            </w:pPr>
            <w:r>
              <w:rPr>
                <w:rFonts w:ascii="Arial" w:cs="Arial" w:eastAsia="Arial" w:hAnsi="Arial"/>
                <w:sz w:val="13"/>
                <w:szCs w:val="13"/>
                <w:b w:val="1"/>
                <w:bCs w:val="1"/>
                <w:color w:val="auto"/>
                <w:w w:val="90"/>
              </w:rPr>
              <w:t>Nine Months Ended September 30, 2021</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w w:val="95"/>
              </w:rPr>
              <w:t>Food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Real</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480" w:type="dxa"/>
            <w:vAlign w:val="bottom"/>
            <w:gridSpan w:val="3"/>
          </w:tcPr>
          <w:p>
            <w:pPr>
              <w:spacing w:after="0"/>
              <w:rPr>
                <w:sz w:val="20"/>
                <w:szCs w:val="20"/>
                <w:color w:val="auto"/>
              </w:rPr>
            </w:pPr>
            <w:r>
              <w:rPr>
                <w:rFonts w:ascii="Arial" w:cs="Arial" w:eastAsia="Arial" w:hAnsi="Arial"/>
                <w:sz w:val="13"/>
                <w:szCs w:val="13"/>
                <w:b w:val="1"/>
                <w:bCs w:val="1"/>
                <w:color w:val="auto"/>
              </w:rPr>
              <w:t>Estate</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Fashion</w:t>
            </w: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right"/>
              <w:ind w:right="97"/>
              <w:spacing w:after="0" w:line="115" w:lineRule="exact"/>
              <w:rPr>
                <w:sz w:val="20"/>
                <w:szCs w:val="20"/>
                <w:color w:val="auto"/>
              </w:rPr>
            </w:pPr>
            <w:r>
              <w:rPr>
                <w:rFonts w:ascii="Arial" w:cs="Arial" w:eastAsia="Arial" w:hAnsi="Arial"/>
                <w:sz w:val="13"/>
                <w:szCs w:val="13"/>
                <w:color w:val="auto"/>
                <w:w w:val="91"/>
              </w:rPr>
              <w:t>(in millions)</w:t>
            </w:r>
          </w:p>
        </w:tc>
        <w:tc>
          <w:tcPr>
            <w:tcW w:w="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5,129</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1,377</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311</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417</w:t>
            </w:r>
          </w:p>
        </w:tc>
        <w:tc>
          <w:tcPr>
            <w:tcW w:w="14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143</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7,487</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gain (loss) from investment activities</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966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1,035</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16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w:t>
            </w: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5,212</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9,018</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5,022</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6,807</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345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1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Impairment</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170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84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243</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5,212</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265</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8,635</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Income (loss) before income tax benefit</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rPr>
                <w:sz w:val="20"/>
                <w:szCs w:val="20"/>
                <w:color w:val="auto"/>
              </w:rPr>
            </w:pPr>
            <w:r>
              <w:rPr>
                <w:rFonts w:ascii="Arial" w:cs="Arial" w:eastAsia="Arial" w:hAnsi="Arial"/>
                <w:sz w:val="13"/>
                <w:szCs w:val="13"/>
                <w:color w:val="auto"/>
              </w:rPr>
              <w:t>(expense)</w:t>
            </w:r>
          </w:p>
        </w:tc>
        <w:tc>
          <w:tcPr>
            <w:tcW w:w="1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(9)</w:t>
            </w:r>
          </w:p>
        </w:tc>
        <w:tc>
          <w:tcPr>
            <w:tcW w:w="1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(271)</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benefit (expense)</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(105)</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820</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(139)</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(376)</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income (loss) attributable to non-</w:t>
            </w: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controlling interests</w:t>
            </w:r>
          </w:p>
        </w:tc>
        <w:tc>
          <w:tcPr>
            <w:tcW w:w="1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Net income (loss) attributable to Icahn</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375</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8"/>
                <w:szCs w:val="8"/>
                <w:color w:val="auto"/>
              </w:rPr>
            </w:pPr>
          </w:p>
        </w:tc>
        <w:tc>
          <w:tcPr>
            <w:tcW w:w="200" w:type="dxa"/>
            <w:vAlign w:val="bottom"/>
            <w:vMerge w:val="restart"/>
          </w:tcPr>
          <w:p>
            <w:pPr>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(139)</w:t>
            </w: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auto"/>
              </w:rPr>
              <w:t>$</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(5)</w:t>
            </w: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(9)</w:t>
            </w: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(376)</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36" w:lineRule="exact"/>
              <w:rPr>
                <w:sz w:val="20"/>
                <w:szCs w:val="20"/>
                <w:color w:val="auto"/>
              </w:rPr>
            </w:pPr>
            <w:r>
              <w:rPr>
                <w:rFonts w:ascii="Arial" w:cs="Arial" w:eastAsia="Arial" w:hAnsi="Arial"/>
                <w:sz w:val="13"/>
                <w:szCs w:val="13"/>
                <w:color w:val="auto"/>
              </w:rPr>
              <w:t>Enterprises</w:t>
            </w:r>
          </w:p>
        </w:tc>
        <w:tc>
          <w:tcPr>
            <w:tcW w:w="1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6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1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188</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12"/>
          </w:tcPr>
          <w:p>
            <w:pPr>
              <w:jc w:val="right"/>
              <w:spacing w:after="0"/>
              <w:rPr>
                <w:sz w:val="20"/>
                <w:szCs w:val="20"/>
                <w:color w:val="auto"/>
              </w:rPr>
            </w:pPr>
            <w:r>
              <w:rPr>
                <w:rFonts w:ascii="Arial" w:cs="Arial" w:eastAsia="Arial" w:hAnsi="Arial"/>
                <w:sz w:val="13"/>
                <w:szCs w:val="13"/>
                <w:b w:val="1"/>
                <w:bCs w:val="1"/>
                <w:color w:val="auto"/>
                <w:w w:val="90"/>
              </w:rPr>
              <w:t>Nine Months Ended September 30, 2020</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w w:val="86"/>
              </w:rPr>
              <w:t>Real</w:t>
            </w:r>
          </w:p>
        </w:tc>
        <w:tc>
          <w:tcPr>
            <w:tcW w:w="120" w:type="dxa"/>
            <w:vAlign w:val="bottom"/>
          </w:tcPr>
          <w:p>
            <w:pPr>
              <w:spacing w:after="0"/>
              <w:rPr>
                <w:sz w:val="9"/>
                <w:szCs w:val="9"/>
                <w:color w:val="auto"/>
              </w:rPr>
            </w:pPr>
          </w:p>
        </w:tc>
        <w:tc>
          <w:tcPr>
            <w:tcW w:w="4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13"/>
                <w:szCs w:val="13"/>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b w:val="1"/>
                <w:bCs w:val="1"/>
                <w:color w:val="auto"/>
                <w:w w:val="96"/>
              </w:rPr>
              <w:t>Investment</w:t>
            </w:r>
          </w:p>
        </w:tc>
        <w:tc>
          <w:tcPr>
            <w:tcW w:w="60" w:type="dxa"/>
            <w:vAlign w:val="bottom"/>
          </w:tcPr>
          <w:p>
            <w:pPr>
              <w:spacing w:after="0"/>
              <w:rPr>
                <w:sz w:val="13"/>
                <w:szCs w:val="13"/>
                <w:color w:val="auto"/>
              </w:rPr>
            </w:pPr>
          </w:p>
        </w:tc>
        <w:tc>
          <w:tcPr>
            <w:tcW w:w="42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Energy</w:t>
            </w: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ind w:left="120"/>
              <w:spacing w:after="0"/>
              <w:rPr>
                <w:sz w:val="20"/>
                <w:szCs w:val="20"/>
                <w:color w:val="auto"/>
              </w:rPr>
            </w:pPr>
            <w:r>
              <w:rPr>
                <w:rFonts w:ascii="Arial" w:cs="Arial" w:eastAsia="Arial" w:hAnsi="Arial"/>
                <w:sz w:val="13"/>
                <w:szCs w:val="13"/>
                <w:b w:val="1"/>
                <w:bCs w:val="1"/>
                <w:color w:val="auto"/>
                <w:w w:val="82"/>
              </w:rPr>
              <w:t>Packaging</w:t>
            </w:r>
          </w:p>
        </w:tc>
        <w:tc>
          <w:tcPr>
            <w:tcW w:w="1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3"/>
                <w:szCs w:val="13"/>
                <w:b w:val="1"/>
                <w:bCs w:val="1"/>
                <w:color w:val="auto"/>
                <w:w w:val="88"/>
              </w:rPr>
              <w:t>Metals</w:t>
            </w:r>
          </w:p>
        </w:tc>
        <w:tc>
          <w:tcPr>
            <w:tcW w:w="12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Estate</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4"/>
              </w:rPr>
              <w:t>Fashion</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7"/>
              </w:rPr>
              <w:t>Pharma</w:t>
            </w:r>
          </w:p>
        </w:tc>
        <w:tc>
          <w:tcPr>
            <w:tcW w:w="1440" w:type="dxa"/>
            <w:vAlign w:val="bottom"/>
            <w:gridSpan w:val="6"/>
          </w:tcPr>
          <w:p>
            <w:pPr>
              <w:ind w:left="140"/>
              <w:spacing w:after="0"/>
              <w:rPr>
                <w:sz w:val="20"/>
                <w:szCs w:val="20"/>
                <w:color w:val="auto"/>
              </w:rPr>
            </w:pPr>
            <w:r>
              <w:rPr>
                <w:rFonts w:ascii="Arial" w:cs="Arial" w:eastAsia="Arial" w:hAnsi="Arial"/>
                <w:sz w:val="13"/>
                <w:szCs w:val="13"/>
                <w:b w:val="1"/>
                <w:bCs w:val="1"/>
                <w:color w:val="auto"/>
                <w:w w:val="88"/>
              </w:rPr>
              <w:t>Company Consolidated</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4"/>
          </w:tcPr>
          <w:p>
            <w:pPr>
              <w:jc w:val="right"/>
              <w:ind w:right="37"/>
              <w:spacing w:after="0" w:line="115" w:lineRule="exact"/>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38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2,811</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1,468</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307</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2"/>
              </w:rPr>
              <w:t>203</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140</w:t>
            </w:r>
          </w:p>
        </w:tc>
        <w:tc>
          <w:tcPr>
            <w:tcW w:w="3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4,951</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Net loss from investment activities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(1,893)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(239)</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(2,152)</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44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2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(1,793)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2,794</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1,875</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205</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(226)</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3,372</w:t>
            </w:r>
          </w:p>
        </w:tc>
        <w:tc>
          <w:tcPr>
            <w:tcW w:w="0" w:type="dxa"/>
            <w:vAlign w:val="bottom"/>
          </w:tcPr>
          <w:p>
            <w:pPr>
              <w:spacing w:after="0"/>
              <w:rPr>
                <w:sz w:val="1"/>
                <w:szCs w:val="1"/>
                <w:color w:val="auto"/>
              </w:rPr>
            </w:pPr>
          </w:p>
        </w:tc>
      </w:tr>
      <w:tr>
        <w:trPr>
          <w:trHeight w:val="129"/>
        </w:trPr>
        <w:tc>
          <w:tcPr>
            <w:tcW w:w="244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2,934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202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4,544</w:t>
            </w:r>
          </w:p>
        </w:tc>
        <w:tc>
          <w:tcPr>
            <w:tcW w:w="0" w:type="dxa"/>
            <w:vAlign w:val="bottom"/>
          </w:tcPr>
          <w:p>
            <w:pPr>
              <w:spacing w:after="0"/>
              <w:rPr>
                <w:sz w:val="1"/>
                <w:szCs w:val="1"/>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Impairment</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44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2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145</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93</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258</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517</w:t>
            </w: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3,115</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2,063</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292</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215</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278</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6,332</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Arial" w:cs="Arial" w:eastAsia="Arial" w:hAnsi="Arial"/>
                <w:sz w:val="10"/>
                <w:szCs w:val="10"/>
                <w:color w:val="auto"/>
              </w:rPr>
              <w:t>(Loss) income before income tax benefit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120"/>
              <w:spacing w:after="0"/>
              <w:rPr>
                <w:sz w:val="20"/>
                <w:szCs w:val="20"/>
                <w:color w:val="auto"/>
              </w:rPr>
            </w:pPr>
            <w:r>
              <w:rPr>
                <w:rFonts w:ascii="Arial" w:cs="Arial" w:eastAsia="Arial" w:hAnsi="Arial"/>
                <w:sz w:val="13"/>
                <w:szCs w:val="13"/>
                <w:color w:val="auto"/>
              </w:rPr>
              <w:t>(expense)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(1,937)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ind w:lef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(504)</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(2,960)</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tax benefit (expense)</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28"/>
        </w:trPr>
        <w:tc>
          <w:tcPr>
            <w:tcW w:w="2440" w:type="dxa"/>
            <w:vAlign w:val="bottom"/>
          </w:tcPr>
          <w:p>
            <w:pPr>
              <w:spacing w:after="0" w:line="129" w:lineRule="exact"/>
              <w:rPr>
                <w:sz w:val="20"/>
                <w:szCs w:val="20"/>
                <w:color w:val="auto"/>
              </w:rPr>
            </w:pPr>
            <w:r>
              <w:rPr>
                <w:rFonts w:ascii="Arial" w:cs="Arial" w:eastAsia="Arial" w:hAnsi="Arial"/>
                <w:sz w:val="13"/>
                <w:szCs w:val="13"/>
                <w:color w:val="auto"/>
              </w:rPr>
              <w:t>Net (loss) income</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(1,937)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(236)</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(149)</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(507)</w:t>
            </w: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(2,842)</w:t>
            </w: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Less: net loss attributable to non-controlling</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interests</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0" w:type="dxa"/>
            <w:vAlign w:val="bottom"/>
          </w:tcPr>
          <w:p>
            <w:pPr>
              <w:spacing w:after="0"/>
              <w:rPr>
                <w:sz w:val="1"/>
                <w:szCs w:val="1"/>
                <w:color w:val="auto"/>
              </w:rPr>
            </w:pPr>
          </w:p>
        </w:tc>
      </w:tr>
      <w:tr>
        <w:trPr>
          <w:trHeight w:val="101"/>
        </w:trPr>
        <w:tc>
          <w:tcPr>
            <w:tcW w:w="2440" w:type="dxa"/>
            <w:vAlign w:val="bottom"/>
          </w:tcPr>
          <w:p>
            <w:pPr>
              <w:spacing w:after="0" w:line="101" w:lineRule="exact"/>
              <w:rPr>
                <w:sz w:val="20"/>
                <w:szCs w:val="20"/>
                <w:color w:val="auto"/>
              </w:rPr>
            </w:pPr>
            <w:r>
              <w:rPr>
                <w:rFonts w:ascii="Arial" w:cs="Arial" w:eastAsia="Arial" w:hAnsi="Arial"/>
                <w:sz w:val="10"/>
                <w:szCs w:val="10"/>
                <w:color w:val="auto"/>
              </w:rPr>
              <w:t>Net (loss) income attributable to Icahn</w:t>
            </w:r>
          </w:p>
        </w:tc>
        <w:tc>
          <w:tcPr>
            <w:tcW w:w="38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(990)</w:t>
            </w:r>
          </w:p>
        </w:tc>
        <w:tc>
          <w:tcPr>
            <w:tcW w:w="80" w:type="dxa"/>
            <w:vAlign w:val="bottom"/>
          </w:tcPr>
          <w:p>
            <w:pPr>
              <w:spacing w:after="0"/>
              <w:rPr>
                <w:sz w:val="8"/>
                <w:szCs w:val="8"/>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3"/>
                <w:szCs w:val="13"/>
                <w:color w:val="auto"/>
                <w:w w:val="82"/>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(140)</w:t>
            </w:r>
          </w:p>
        </w:tc>
        <w:tc>
          <w:tcPr>
            <w:tcW w:w="32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(149)</w:t>
            </w:r>
          </w:p>
        </w:tc>
        <w:tc>
          <w:tcPr>
            <w:tcW w:w="2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4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26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3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(507)</w:t>
            </w:r>
          </w:p>
        </w:tc>
        <w:tc>
          <w:tcPr>
            <w:tcW w:w="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(1,799)</w:t>
            </w:r>
          </w:p>
        </w:tc>
        <w:tc>
          <w:tcPr>
            <w:tcW w:w="0" w:type="dxa"/>
            <w:vAlign w:val="bottom"/>
          </w:tcPr>
          <w:p>
            <w:pPr>
              <w:spacing w:after="0"/>
              <w:rPr>
                <w:sz w:val="1"/>
                <w:szCs w:val="1"/>
                <w:color w:val="auto"/>
              </w:rPr>
            </w:pPr>
          </w:p>
        </w:tc>
      </w:tr>
      <w:tr>
        <w:trPr>
          <w:trHeight w:val="176"/>
        </w:trPr>
        <w:tc>
          <w:tcPr>
            <w:tcW w:w="2440" w:type="dxa"/>
            <w:vAlign w:val="bottom"/>
          </w:tcPr>
          <w:p>
            <w:pPr>
              <w:ind w:left="120"/>
              <w:spacing w:after="0" w:line="136" w:lineRule="exact"/>
              <w:rPr>
                <w:sz w:val="20"/>
                <w:szCs w:val="20"/>
                <w:color w:val="auto"/>
              </w:rPr>
            </w:pPr>
            <w:r>
              <w:rPr>
                <w:rFonts w:ascii="Arial" w:cs="Arial" w:eastAsia="Arial" w:hAnsi="Arial"/>
                <w:sz w:val="13"/>
                <w:szCs w:val="13"/>
                <w:color w:val="auto"/>
              </w:rPr>
              <w:t>Enterprises</w:t>
            </w:r>
          </w:p>
        </w:tc>
        <w:tc>
          <w:tcPr>
            <w:tcW w:w="38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4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Supplemental information:</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38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101</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30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35"/>
        </w:trPr>
        <w:tc>
          <w:tcPr>
            <w:tcW w:w="2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Depreciation and amortization</w:t>
            </w:r>
          </w:p>
        </w:tc>
        <w:tc>
          <w:tcPr>
            <w:tcW w:w="3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256</w:t>
            </w:r>
          </w:p>
        </w:tc>
        <w:tc>
          <w:tcPr>
            <w:tcW w:w="3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3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our Energy and Automotive segments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Disaggregated revenue for our Energy segment net sales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September 30,</w:t>
            </w:r>
          </w:p>
        </w:tc>
        <w:tc>
          <w:tcPr>
            <w:tcW w:w="180" w:type="dxa"/>
            <w:vAlign w:val="bottom"/>
          </w:tcPr>
          <w:p>
            <w:pPr>
              <w:spacing w:after="0"/>
              <w:rPr>
                <w:sz w:val="20"/>
                <w:szCs w:val="20"/>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128"/>
        </w:trPr>
        <w:tc>
          <w:tcPr>
            <w:tcW w:w="2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jc w:val="right"/>
              <w:ind w:right="38"/>
              <w:spacing w:after="0" w:line="129" w:lineRule="exact"/>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1400" w:type="dxa"/>
            <w:vAlign w:val="bottom"/>
            <w:gridSpan w:val="2"/>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1,738</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16"/>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5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09"/>
        </w:trPr>
        <w:tc>
          <w:tcPr>
            <w:tcW w:w="2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1,883</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0"/>
        </w:trPr>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Disaggregated revenue for our Automotive segment net sales and other revenues from operations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September 30,</w:t>
            </w:r>
          </w:p>
        </w:tc>
        <w:tc>
          <w:tcPr>
            <w:tcW w:w="200" w:type="dxa"/>
            <w:vAlign w:val="bottom"/>
          </w:tcPr>
          <w:p>
            <w:pPr>
              <w:spacing w:after="0"/>
              <w:rPr>
                <w:sz w:val="20"/>
                <w:szCs w:val="20"/>
                <w:color w:val="auto"/>
              </w:rPr>
            </w:pPr>
          </w:p>
        </w:tc>
        <w:tc>
          <w:tcPr>
            <w:tcW w:w="28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2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128"/>
        </w:trPr>
        <w:tc>
          <w:tcPr>
            <w:tcW w:w="2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tcPr>
          <w:p>
            <w:pPr>
              <w:jc w:val="right"/>
              <w:ind w:right="38"/>
              <w:spacing w:after="0" w:line="129" w:lineRule="exact"/>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Automotive services</w:t>
            </w:r>
          </w:p>
        </w:tc>
        <w:tc>
          <w:tcPr>
            <w:tcW w:w="1620" w:type="dxa"/>
            <w:vAlign w:val="bottom"/>
            <w:gridSpan w:val="2"/>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5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16"/>
        </w:trPr>
        <w:tc>
          <w:tcPr>
            <w:tcW w:w="2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Aftermarket parts sales</w:t>
            </w:r>
          </w:p>
        </w:tc>
        <w:tc>
          <w:tcPr>
            <w:tcW w:w="7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10"/>
        </w:trPr>
        <w:tc>
          <w:tcPr>
            <w:tcW w:w="23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0"/>
        </w:trPr>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6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29" w:lineRule="exact"/>
        <w:rPr>
          <w:sz w:val="20"/>
          <w:szCs w:val="20"/>
          <w:color w:val="auto"/>
        </w:rPr>
      </w:pPr>
    </w:p>
    <w:p>
      <w:pPr>
        <w:jc w:val="both"/>
        <w:ind w:left="60" w:right="240" w:firstLine="324"/>
        <w:spacing w:after="0" w:line="263" w:lineRule="auto"/>
        <w:rPr>
          <w:sz w:val="20"/>
          <w:szCs w:val="20"/>
          <w:color w:val="auto"/>
        </w:rPr>
      </w:pPr>
      <w:r>
        <w:rPr>
          <w:rFonts w:ascii="Arial" w:cs="Arial" w:eastAsia="Arial" w:hAnsi="Arial"/>
          <w:sz w:val="18"/>
          <w:szCs w:val="18"/>
          <w:color w:val="auto"/>
        </w:rPr>
        <w:t>Icahn Enterprises’ condensed balance sheets by reporting segment are presented below. Icahn Enterprises Holdings’ condensed balance sheets are substantially the same, with immaterial differences relating to our Holding Company’s debt and equity attributable to Icahn Enterprises Holdings.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2"/>
              </w:rPr>
              <w:t>September 30, 2021</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Food</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4"/>
              </w:rPr>
              <w:t>Real</w:t>
            </w:r>
          </w:p>
        </w:tc>
        <w:tc>
          <w:tcPr>
            <w:tcW w:w="80" w:type="dxa"/>
            <w:vAlign w:val="bottom"/>
          </w:tcPr>
          <w:p>
            <w:pPr>
              <w:spacing w:after="0"/>
              <w:rPr>
                <w:sz w:val="9"/>
                <w:szCs w:val="9"/>
                <w:color w:val="auto"/>
              </w:rPr>
            </w:pPr>
          </w:p>
        </w:tc>
        <w:tc>
          <w:tcPr>
            <w:tcW w:w="5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Home</w:t>
            </w: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4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84"/>
              </w:rPr>
              <w:t>Investment</w:t>
            </w: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Energy</w:t>
            </w:r>
          </w:p>
        </w:tc>
        <w:tc>
          <w:tcPr>
            <w:tcW w:w="8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Automotive</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5"/>
              </w:rPr>
              <w:t>Packaging</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rPr>
              <w:t>Metals</w:t>
            </w:r>
          </w:p>
        </w:tc>
        <w:tc>
          <w:tcPr>
            <w:tcW w:w="80" w:type="dxa"/>
            <w:vAlign w:val="bottom"/>
          </w:tcPr>
          <w:p>
            <w:pPr>
              <w:spacing w:after="0"/>
              <w:rPr>
                <w:sz w:val="13"/>
                <w:szCs w:val="13"/>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Estate</w:t>
            </w:r>
          </w:p>
        </w:tc>
        <w:tc>
          <w:tcPr>
            <w:tcW w:w="6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Fashion</w:t>
            </w:r>
          </w:p>
        </w:tc>
        <w:tc>
          <w:tcPr>
            <w:tcW w:w="620" w:type="dxa"/>
            <w:vAlign w:val="bottom"/>
            <w:gridSpan w:val="3"/>
          </w:tcPr>
          <w:p>
            <w:pPr>
              <w:ind w:left="60"/>
              <w:spacing w:after="0"/>
              <w:rPr>
                <w:sz w:val="20"/>
                <w:szCs w:val="20"/>
                <w:color w:val="auto"/>
              </w:rPr>
            </w:pPr>
            <w:r>
              <w:rPr>
                <w:rFonts w:ascii="Arial" w:cs="Arial" w:eastAsia="Arial" w:hAnsi="Arial"/>
                <w:sz w:val="13"/>
                <w:szCs w:val="13"/>
                <w:b w:val="1"/>
                <w:bCs w:val="1"/>
                <w:color w:val="auto"/>
              </w:rPr>
              <w:t>Pharma</w:t>
            </w:r>
          </w:p>
        </w:tc>
        <w:tc>
          <w:tcPr>
            <w:tcW w:w="64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tcPr>
          <w:p>
            <w:pPr>
              <w:jc w:val="right"/>
              <w:ind w:right="157"/>
              <w:spacing w:after="0" w:line="115" w:lineRule="exact"/>
              <w:rPr>
                <w:sz w:val="20"/>
                <w:szCs w:val="20"/>
                <w:color w:val="auto"/>
              </w:rPr>
            </w:pPr>
            <w:r>
              <w:rPr>
                <w:rFonts w:ascii="Arial" w:cs="Arial" w:eastAsia="Arial" w:hAnsi="Arial"/>
                <w:sz w:val="13"/>
                <w:szCs w:val="13"/>
                <w:color w:val="auto"/>
              </w:rPr>
              <w:t>(in millions)</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94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566</w:t>
            </w:r>
          </w:p>
        </w:tc>
        <w:tc>
          <w:tcPr>
            <w:tcW w:w="8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8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1"/>
                <w:szCs w:val="11"/>
                <w:color w:val="auto"/>
              </w:rPr>
            </w:pPr>
          </w:p>
        </w:tc>
        <w:tc>
          <w:tcPr>
            <w:tcW w:w="12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1,257</w:t>
            </w:r>
          </w:p>
        </w:tc>
        <w:tc>
          <w:tcPr>
            <w:tcW w:w="10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1,945</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Cash held at consolidated affiliated</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partnerships and restricted cash</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9,653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83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134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9,897</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422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1,590</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2,765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4,194</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225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261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5,988</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261</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554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7,095</w:t>
            </w:r>
          </w:p>
        </w:tc>
        <w:tc>
          <w:tcPr>
            <w:tcW w:w="0" w:type="dxa"/>
            <w:vAlign w:val="bottom"/>
          </w:tcPr>
          <w:p>
            <w:pPr>
              <w:spacing w:after="0"/>
              <w:rPr>
                <w:sz w:val="1"/>
                <w:szCs w:val="1"/>
                <w:color w:val="auto"/>
              </w:rPr>
            </w:pPr>
          </w:p>
        </w:tc>
      </w:tr>
      <w:tr>
        <w:trPr>
          <w:trHeight w:val="168"/>
        </w:trPr>
        <w:tc>
          <w:tcPr>
            <w:tcW w:w="242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17,296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4,569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2,867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466</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1,508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27,973</w:t>
            </w:r>
          </w:p>
        </w:tc>
        <w:tc>
          <w:tcPr>
            <w:tcW w:w="0" w:type="dxa"/>
            <w:vAlign w:val="bottom"/>
          </w:tcPr>
          <w:p>
            <w:pPr>
              <w:spacing w:after="0"/>
              <w:rPr>
                <w:sz w:val="1"/>
                <w:szCs w:val="1"/>
                <w:color w:val="auto"/>
              </w:rPr>
            </w:pPr>
          </w:p>
        </w:tc>
      </w:tr>
      <w:tr>
        <w:trPr>
          <w:trHeight w:val="116"/>
        </w:trPr>
        <w:tc>
          <w:tcPr>
            <w:tcW w:w="2420" w:type="dxa"/>
            <w:vAlign w:val="bottom"/>
            <w:shd w:val="clear" w:color="auto" w:fill="CCEEFF"/>
          </w:tcPr>
          <w:p>
            <w:pPr>
              <w:ind w:left="36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w w:val="98"/>
              </w:rPr>
              <w:t>Accounts payable, accrued expenses and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2,107</w:t>
            </w:r>
          </w:p>
        </w:tc>
        <w:tc>
          <w:tcPr>
            <w:tcW w:w="10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1,540</w:t>
            </w:r>
          </w:p>
        </w:tc>
        <w:tc>
          <w:tcPr>
            <w:tcW w:w="8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1,036</w:t>
            </w:r>
          </w:p>
        </w:tc>
        <w:tc>
          <w:tcPr>
            <w:tcW w:w="10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159</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2"/>
                <w:szCs w:val="1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5,297</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Securities sold, not yet purchased, at fair</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value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4,957</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w w:val="98"/>
              </w:rPr>
              <w:t>1,676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5,810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7,712</w:t>
            </w:r>
          </w:p>
        </w:tc>
        <w:tc>
          <w:tcPr>
            <w:tcW w:w="0" w:type="dxa"/>
            <w:vAlign w:val="bottom"/>
          </w:tcPr>
          <w:p>
            <w:pPr>
              <w:spacing w:after="0"/>
              <w:rPr>
                <w:sz w:val="1"/>
                <w:szCs w:val="1"/>
                <w:color w:val="auto"/>
              </w:rPr>
            </w:pPr>
          </w:p>
        </w:tc>
      </w:tr>
      <w:tr>
        <w:trPr>
          <w:trHeight w:val="128"/>
        </w:trPr>
        <w:tc>
          <w:tcPr>
            <w:tcW w:w="24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7,064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3,216</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6,032</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17,966</w:t>
            </w: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4,660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(4,524)</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3,770</w:t>
            </w: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Equity attributable to non-controlling</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652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6,237</w:t>
            </w:r>
          </w:p>
        </w:tc>
        <w:tc>
          <w:tcPr>
            <w:tcW w:w="0" w:type="dxa"/>
            <w:vAlign w:val="bottom"/>
          </w:tcPr>
          <w:p>
            <w:pPr>
              <w:spacing w:after="0"/>
              <w:rPr>
                <w:sz w:val="1"/>
                <w:szCs w:val="1"/>
                <w:color w:val="auto"/>
              </w:rPr>
            </w:pPr>
          </w:p>
        </w:tc>
      </w:tr>
      <w:tr>
        <w:trPr>
          <w:trHeight w:val="129"/>
        </w:trPr>
        <w:tc>
          <w:tcPr>
            <w:tcW w:w="24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10,232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1,353</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1,815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436</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(4,524)</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10,007</w:t>
            </w:r>
          </w:p>
        </w:tc>
        <w:tc>
          <w:tcPr>
            <w:tcW w:w="0" w:type="dxa"/>
            <w:vAlign w:val="bottom"/>
          </w:tcPr>
          <w:p>
            <w:pPr>
              <w:spacing w:after="0"/>
              <w:rPr>
                <w:sz w:val="1"/>
                <w:szCs w:val="1"/>
                <w:color w:val="auto"/>
              </w:rPr>
            </w:pPr>
          </w:p>
        </w:tc>
      </w:tr>
      <w:tr>
        <w:trPr>
          <w:trHeight w:val="128"/>
        </w:trPr>
        <w:tc>
          <w:tcPr>
            <w:tcW w:w="2420" w:type="dxa"/>
            <w:vAlign w:val="bottom"/>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17,296</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4,569</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2,867</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466</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238</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483</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313</w:t>
            </w:r>
          </w:p>
        </w:tc>
        <w:tc>
          <w:tcPr>
            <w:tcW w:w="80" w:type="dxa"/>
            <w:vAlign w:val="bottom"/>
          </w:tcPr>
          <w:p>
            <w:pPr>
              <w:spacing w:after="0"/>
              <w:rPr>
                <w:sz w:val="11"/>
                <w:szCs w:val="11"/>
                <w:color w:val="auto"/>
              </w:rPr>
            </w:pPr>
          </w:p>
        </w:tc>
        <w:tc>
          <w:tcPr>
            <w:tcW w:w="1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1,508</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27,973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December 31, 2020</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Real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57"/>
              <w:spacing w:after="0" w:line="110" w:lineRule="exact"/>
              <w:rPr>
                <w:sz w:val="20"/>
                <w:szCs w:val="20"/>
                <w:color w:val="auto"/>
              </w:rPr>
            </w:pPr>
            <w:r>
              <w:rPr>
                <w:rFonts w:ascii="Arial" w:cs="Arial" w:eastAsia="Arial" w:hAnsi="Arial"/>
                <w:sz w:val="12"/>
                <w:szCs w:val="12"/>
                <w:b w:val="1"/>
                <w:bCs w:val="1"/>
                <w:color w:val="auto"/>
                <w:w w:val="95"/>
              </w:rPr>
              <w:t>Home</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Energy</w:t>
            </w:r>
          </w:p>
        </w:tc>
        <w:tc>
          <w:tcPr>
            <w:tcW w:w="760" w:type="dxa"/>
            <w:vAlign w:val="bottom"/>
            <w:gridSpan w:val="4"/>
          </w:tcPr>
          <w:p>
            <w:pPr>
              <w:ind w:left="80"/>
              <w:spacing w:after="0"/>
              <w:rPr>
                <w:sz w:val="20"/>
                <w:szCs w:val="20"/>
                <w:color w:val="auto"/>
              </w:rPr>
            </w:pPr>
            <w:r>
              <w:rPr>
                <w:rFonts w:ascii="Arial" w:cs="Arial" w:eastAsia="Arial" w:hAnsi="Arial"/>
                <w:sz w:val="13"/>
                <w:szCs w:val="13"/>
                <w:b w:val="1"/>
                <w:bCs w:val="1"/>
                <w:color w:val="auto"/>
                <w:w w:val="92"/>
              </w:rPr>
              <w:t>Automotive</w:t>
            </w: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w w:val="82"/>
              </w:rPr>
              <w:t>Packaging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b w:val="1"/>
                <w:bCs w:val="1"/>
                <w:color w:val="auto"/>
                <w:w w:val="83"/>
              </w:rPr>
              <w:t>Metals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Estate</w:t>
            </w: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Fashion</w:t>
            </w: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Pharma</w:t>
            </w:r>
          </w:p>
        </w:tc>
        <w:tc>
          <w:tcPr>
            <w:tcW w:w="10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w w:val="97"/>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tcPr>
          <w:p>
            <w:pPr>
              <w:jc w:val="right"/>
              <w:ind w:right="157"/>
              <w:spacing w:after="0" w:line="115" w:lineRule="exact"/>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ind w:left="860"/>
              <w:spacing w:after="0" w:line="135" w:lineRule="exact"/>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280" w:type="dxa"/>
            <w:vAlign w:val="bottom"/>
            <w:gridSpan w:val="2"/>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200" w:type="dxa"/>
            <w:vAlign w:val="bottom"/>
            <w:gridSpan w:val="2"/>
          </w:tcPr>
          <w:p>
            <w:pPr>
              <w:jc w:val="right"/>
              <w:ind w:right="22"/>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667</w:t>
            </w:r>
          </w:p>
        </w:tc>
        <w:tc>
          <w:tcPr>
            <w:tcW w:w="2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60" w:type="dxa"/>
            <w:vAlign w:val="bottom"/>
          </w:tcPr>
          <w:p>
            <w:pPr>
              <w:spacing w:after="0"/>
              <w:rPr>
                <w:sz w:val="11"/>
                <w:szCs w:val="11"/>
                <w:color w:val="auto"/>
              </w:rPr>
            </w:pPr>
          </w:p>
        </w:tc>
        <w:tc>
          <w:tcPr>
            <w:tcW w:w="1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300" w:type="dxa"/>
            <w:vAlign w:val="bottom"/>
            <w:gridSpan w:val="2"/>
          </w:tcPr>
          <w:p>
            <w:pPr>
              <w:jc w:val="right"/>
              <w:ind w:right="44"/>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925</w:t>
            </w:r>
          </w:p>
        </w:tc>
        <w:tc>
          <w:tcPr>
            <w:tcW w:w="6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1,679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Cash held at consolidated affiliated</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partnerships and restricted cash</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8,239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253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366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8,913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Inventories, 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298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1,080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2,747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238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372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4,308</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335</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582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5,522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8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ind w:right="22"/>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4,723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3,085</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217</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486</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1,319</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24,989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shd w:val="clear" w:color="auto" w:fill="CCEEFF"/>
          </w:tcPr>
          <w:p>
            <w:pPr>
              <w:ind w:left="30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tcPr>
          <w:p>
            <w:pPr>
              <w:spacing w:after="0" w:line="121" w:lineRule="exact"/>
              <w:rPr>
                <w:sz w:val="20"/>
                <w:szCs w:val="20"/>
                <w:color w:val="auto"/>
              </w:rPr>
            </w:pPr>
            <w:r>
              <w:rPr>
                <w:rFonts w:ascii="Arial" w:cs="Arial" w:eastAsia="Arial" w:hAnsi="Arial"/>
                <w:sz w:val="13"/>
                <w:szCs w:val="13"/>
                <w:color w:val="auto"/>
                <w:w w:val="89"/>
              </w:rPr>
              <w:t>Accounts payable, accrued expenses and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other liabilities</w:t>
            </w:r>
          </w:p>
        </w:tc>
        <w:tc>
          <w:tcPr>
            <w:tcW w:w="28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2,256</w:t>
            </w:r>
          </w:p>
        </w:tc>
        <w:tc>
          <w:tcPr>
            <w:tcW w:w="200" w:type="dxa"/>
            <w:vAlign w:val="bottom"/>
            <w:gridSpan w:val="2"/>
          </w:tcPr>
          <w:p>
            <w:pPr>
              <w:jc w:val="right"/>
              <w:ind w:right="22"/>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1,189</w:t>
            </w:r>
          </w:p>
        </w:tc>
        <w:tc>
          <w:tcPr>
            <w:tcW w:w="2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1,163</w:t>
            </w:r>
          </w:p>
        </w:tc>
        <w:tc>
          <w:tcPr>
            <w:tcW w:w="60" w:type="dxa"/>
            <w:vAlign w:val="bottom"/>
          </w:tcPr>
          <w:p>
            <w:pPr>
              <w:spacing w:after="0"/>
              <w:rPr>
                <w:sz w:val="12"/>
                <w:szCs w:val="12"/>
                <w:color w:val="auto"/>
              </w:rPr>
            </w:pP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182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65</w:t>
            </w:r>
          </w:p>
        </w:tc>
        <w:tc>
          <w:tcPr>
            <w:tcW w:w="300" w:type="dxa"/>
            <w:vAlign w:val="bottom"/>
            <w:gridSpan w:val="2"/>
          </w:tcPr>
          <w:p>
            <w:pPr>
              <w:jc w:val="right"/>
              <w:ind w:right="44"/>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114</w:t>
            </w:r>
          </w:p>
        </w:tc>
        <w:tc>
          <w:tcPr>
            <w:tcW w:w="60" w:type="dxa"/>
            <w:vAlign w:val="bottom"/>
          </w:tcPr>
          <w:p>
            <w:pPr>
              <w:spacing w:after="0"/>
              <w:rPr>
                <w:sz w:val="12"/>
                <w:szCs w:val="12"/>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5,151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Securities sold, not yet purchased, at fair</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value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8"/>
              </w:rPr>
              <w:t>1,691</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368</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151</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5,811</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8,059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4,777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2,880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5,925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15,731</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Equity attributable to Icahn Enterprises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1,039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(4,606)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180" w:type="dxa"/>
            <w:vAlign w:val="bottom"/>
          </w:tcPr>
          <w:p>
            <w:pPr>
              <w:spacing w:after="0" w:line="121" w:lineRule="exact"/>
              <w:rPr>
                <w:sz w:val="20"/>
                <w:szCs w:val="20"/>
                <w:color w:val="auto"/>
              </w:rPr>
            </w:pPr>
            <w:r>
              <w:rPr>
                <w:rFonts w:ascii="Arial" w:cs="Arial" w:eastAsia="Arial" w:hAnsi="Arial"/>
                <w:sz w:val="13"/>
                <w:szCs w:val="13"/>
                <w:color w:val="auto"/>
              </w:rPr>
              <w:t>Equity attributable to non-controlling</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interests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5,059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5,875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9,342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1,843</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1,554</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440</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(4,606)</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9,258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160" w:type="dxa"/>
            <w:vAlign w:val="bottom"/>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14,119</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ind w:right="22"/>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4,723</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3,085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487</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217</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486</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40" w:type="dxa"/>
            <w:vAlign w:val="bottom"/>
          </w:tcPr>
          <w:p>
            <w:pPr>
              <w:spacing w:after="0"/>
              <w:rPr>
                <w:sz w:val="11"/>
                <w:szCs w:val="11"/>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326</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1,319</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0" w:right="239" w:firstLine="324"/>
        <w:spacing w:after="0" w:line="259" w:lineRule="auto"/>
        <w:rPr>
          <w:sz w:val="20"/>
          <w:szCs w:val="20"/>
          <w:color w:val="auto"/>
        </w:rPr>
      </w:pPr>
      <w:r>
        <w:rPr>
          <w:rFonts w:ascii="Arial" w:cs="Arial" w:eastAsia="Arial" w:hAnsi="Arial"/>
          <w:sz w:val="18"/>
          <w:szCs w:val="18"/>
          <w:color w:val="auto"/>
        </w:rPr>
        <w:t>For the three months ended September 30, 2021, we recorded an income tax benefit of $19 million on pre-tax loss of $230 million compared to an income tax benefit of $66 million on pre-tax loss of $1,466 million for the three months ended September 30, 2020. Our effective income tax rate was 8.3% and 4.5% for the three months ended September 30, 2021 and 2020, respectively.</w:t>
      </w:r>
    </w:p>
    <w:p>
      <w:pPr>
        <w:spacing w:after="0" w:line="187" w:lineRule="exact"/>
        <w:rPr>
          <w:sz w:val="20"/>
          <w:szCs w:val="20"/>
          <w:color w:val="auto"/>
        </w:rPr>
      </w:pPr>
    </w:p>
    <w:p>
      <w:pPr>
        <w:ind w:left="60" w:right="499" w:firstLine="324"/>
        <w:spacing w:after="0" w:line="342" w:lineRule="auto"/>
        <w:rPr>
          <w:sz w:val="20"/>
          <w:szCs w:val="20"/>
          <w:color w:val="auto"/>
        </w:rPr>
      </w:pPr>
      <w:r>
        <w:rPr>
          <w:rFonts w:ascii="Arial" w:cs="Arial" w:eastAsia="Arial" w:hAnsi="Arial"/>
          <w:sz w:val="16"/>
          <w:szCs w:val="16"/>
          <w:color w:val="auto"/>
        </w:rPr>
        <w:t>For the three months ended September 30, 2021, the effective tax rate was lower than the statutory federal rate of 21%, primarily due to partnership loss for which there was no tax benefit, as such loss is allocated to the partners.</w:t>
      </w:r>
    </w:p>
    <w:p>
      <w:pPr>
        <w:spacing w:after="0" w:line="12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For the three months ended September 30, 2020, the effective tax rate was lower than the statutory federal rate of 21%, primarily due to changes in the valuation allowance and partnership loss for which there was no tax benefit, as such loss is allocated to the partners.</w:t>
      </w:r>
    </w:p>
    <w:p>
      <w:pPr>
        <w:spacing w:after="0" w:line="184"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For the nine months ended September 30, 2021, we recorded an income tax expense of $57 million on pre-tax income of $383 million compared to an income tax benefit of $118 million on pre-tax loss of $2,960 million for the nine months ended September 30, 2020. Our effective income tax rate was 14.9% and 4.0% for the nine months ended September 30, 2021 and 2020, respectively.</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For the nine months ended September 30, 2021, the effective tax rate was lower than the statutory federal rate of</w:t>
      </w:r>
    </w:p>
    <w:p>
      <w:pPr>
        <w:spacing w:after="0" w:line="3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 primarily due to partnership income for which there was no tax expense, as such income is allocated to the partners.</w:t>
      </w:r>
    </w:p>
    <w:p>
      <w:pPr>
        <w:spacing w:after="0" w:line="234" w:lineRule="exact"/>
        <w:rPr>
          <w:sz w:val="20"/>
          <w:szCs w:val="20"/>
          <w:color w:val="auto"/>
        </w:rPr>
      </w:pPr>
    </w:p>
    <w:p>
      <w:pPr>
        <w:jc w:val="both"/>
        <w:ind w:left="60" w:right="119" w:firstLine="324"/>
        <w:spacing w:after="0" w:line="263" w:lineRule="auto"/>
        <w:rPr>
          <w:sz w:val="20"/>
          <w:szCs w:val="20"/>
          <w:color w:val="auto"/>
        </w:rPr>
      </w:pPr>
      <w:r>
        <w:rPr>
          <w:rFonts w:ascii="Arial" w:cs="Arial" w:eastAsia="Arial" w:hAnsi="Arial"/>
          <w:sz w:val="18"/>
          <w:szCs w:val="18"/>
          <w:color w:val="auto"/>
        </w:rPr>
        <w:t>For the nine months ended September 30, 2020, the effective tax rate was lower than the statutory federal rate of 21%, primarily due to changes in the valuation allowance and partnership loss for which there was no tax benefit, as such loss is allocated to the partners.</w:t>
      </w:r>
    </w:p>
    <w:p>
      <w:pPr>
        <w:spacing w:after="0" w:line="180"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Post-Retirement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Adjustments, Net</w:t>
            </w:r>
          </w:p>
        </w:tc>
        <w:tc>
          <w:tcPr>
            <w:tcW w:w="1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Benefits and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Tax</w:t>
            </w:r>
          </w:p>
        </w:tc>
        <w:tc>
          <w:tcPr>
            <w:tcW w:w="15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Other, Net of Tax</w:t>
            </w:r>
          </w:p>
        </w:tc>
        <w:tc>
          <w:tcPr>
            <w:tcW w:w="24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13"/>
              <w:spacing w:after="0" w:line="129"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line="201" w:lineRule="exact"/>
              <w:rPr>
                <w:sz w:val="20"/>
                <w:szCs w:val="20"/>
                <w:color w:val="auto"/>
              </w:rPr>
            </w:pPr>
            <w:r>
              <w:rPr>
                <w:rFonts w:ascii="Arial" w:cs="Arial" w:eastAsia="Arial" w:hAnsi="Arial"/>
                <w:sz w:val="18"/>
                <w:szCs w:val="18"/>
                <w:color w:val="auto"/>
                <w:w w:val="90"/>
              </w:rPr>
              <w:t>Other comprehensive (loss) income before reclassifications,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Reclassifications from accumulated other comprehensive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to earnings, net of tax</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9"/>
              </w:rPr>
              <w:t>36</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3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Other (Loss) Income, Net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Other (loss) income,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September 30,</w:t>
            </w:r>
          </w:p>
        </w:tc>
        <w:tc>
          <w:tcPr>
            <w:tcW w:w="200" w:type="dxa"/>
            <w:vAlign w:val="bottom"/>
          </w:tcPr>
          <w:p>
            <w:pPr>
              <w:spacing w:after="0"/>
              <w:rPr>
                <w:sz w:val="20"/>
                <w:szCs w:val="20"/>
                <w:color w:val="auto"/>
              </w:rPr>
            </w:pPr>
          </w:p>
        </w:tc>
        <w:tc>
          <w:tcPr>
            <w:tcW w:w="280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09"/>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129"/>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3"/>
          </w:tcPr>
          <w:p>
            <w:pPr>
              <w:jc w:val="right"/>
              <w:ind w:right="38"/>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expense</w:t>
            </w:r>
          </w:p>
        </w:tc>
        <w:tc>
          <w:tcPr>
            <w:tcW w:w="1000" w:type="dxa"/>
            <w:vAlign w:val="bottom"/>
            <w:gridSpan w:val="2"/>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Equity earnings (losses) from non-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2960" w:type="dxa"/>
            <w:vAlign w:val="bottom"/>
          </w:tcPr>
          <w:p>
            <w:pPr>
              <w:ind w:left="140"/>
              <w:spacing w:after="0"/>
              <w:rPr>
                <w:sz w:val="20"/>
                <w:szCs w:val="20"/>
                <w:color w:val="auto"/>
              </w:rPr>
            </w:pPr>
            <w:r>
              <w:rPr>
                <w:rFonts w:ascii="Arial" w:cs="Arial" w:eastAsia="Arial" w:hAnsi="Arial"/>
                <w:sz w:val="18"/>
                <w:szCs w:val="18"/>
                <w:color w:val="auto"/>
              </w:rPr>
              <w:t>consolidated affiliates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gain on disposition of assets, net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Foreign currency transaction loss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2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$39 million and $37 million as of</w:t>
      </w:r>
    </w:p>
    <w:p>
      <w:pPr>
        <w:spacing w:after="0" w:line="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September 30, 2021 and December 31, 2020, respectively, primarily within our Metals and Energy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193"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color w:val="auto"/>
        </w:rPr>
        <w:t>On August 21, 2018, CVR Refining received a letter from the United States Department of Justice (the “DOJ”) on behalf of the Environmental Protection Agency (the “EPA”) and the Kansas Department of Health and Environment (“KDHE”) alleging violations of the Clean Air Act and a 2012 Consent Decree (“CD”) between CVR Refining, the United States (on behalf of the EPA) and KDHE at its Coffeyville refinery. In June 2020, a tolling agreement between the parties relating to such allegations expired, and the United States and KDHE sent demand letters relating to the allegations (the “Stipulated Claims”) and seeking stipulated penalties. In February 2021, the DOJ and KDHE sent CVR Refining a statement of position under the CD regarding its demand for Stipulated Claims. As CVR Refining disputes most claims asserted by the government, in accordance with the CD, CVR Refining deposited funds into a commercial escrow account pending resolution of disputed claims. The escrowed funds are legally restricted for use and are included within other assets on the consolidated balance sheets. CVR Refining filed a petition for judicial review of the Stipulated Claims with the United States District Court for the District of Kansas (“Kansas Federal District Court”), in accordance with the dispute resolution provisions of the CD. On September 23, 2021, the court ordered briefing on CVR Refining’s petition, which is expected to be completed by December 2021. In December 2020, the DOJ and KDHE filed a supplemental complaint in the Kansas Federal District Court asserting nine counts for alleged violations of the Clean Air Act, the Kansas State Implementation Plan and Kansas law (the “Statutory Claims”) and seeking civil penalties, injunctive and related relief. Our Energy segment has responded to numerous information request and negotiations relating to the Stipulated Claims and the Statutory Claims are ongoing and CVR Energy cannot at this time determine the outcome of this matter, including whether such outcome, or any subsequent enforcement or litigation relating thereto would have a material impact on our Energy segment’s financial position, results of operations, or cash flows.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CVR Refining is subject to the Renewable Fuel Standard (“RFS”) implemented primarily by the EPA which requires refiners to either blend renewable fuels into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or other exemptions from the EPA, to the extent available, in order to comply with the RFS.</w:t>
      </w:r>
    </w:p>
    <w:p>
      <w:pPr>
        <w:spacing w:after="0" w:line="188"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For the three months ended September 30, 2021 and 2020, our Energy segment recognized a benefit of $16 million and an expense of $36 million, respectively, for CVR Refining’s compliance with the RFS (based on our Energy segment’s 2020 annual renewal volume obligation (“RVO”) for all periods since the EPA has not yet set the 2021 RVO and excluding the impacts of any exemptions or waivers to which our Energy segment may be entitled). For the nine months ended September 30, 2021 and 2020, such expenses were $335 million and $71 million, respectively. These recognized amounts are included in cost of goods sold in the condensed consolidated statements of operations and represent costs to comply with the RFS obligation through purchasing of RINs not otherwise reduced by blending of ethanol or biodiesel. At each reporting period, to the extent RINs purchased or generated through blending are less than the RFS obligation (excluding the impact of exemptions or waivers to which CVR Refining may be entitled), the remaining position is marked-to-market using RIN market prices at period end. As of September 30, 2021 and December 31, 2020, CVR Refining’s RFS position was $442 million and $214 million, respectively, and is included in accrued expenses and other liabilities in the condensed consolidated balance sheets.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On July 29, 2021, trial concluded in the consolidated lawsuits filed by purported former unitholders of CVR Refining on behalf of themselves and an alleged class of similarly situated unitholders against CVR Energy, CVR Refining and its general partner, CVR Refining Holdings, Icahn Enterprises and certain directors and affiliates in the Court of Chancery of the State of Delaware related to CVR Energy’s exercise of the call option under the CVR Refining Amended and Restated Agreement of Limited Partnership assigned to it by CVR Refining’s general partner (the “Delaware Lawsuits”) primarily alleging breach of contract, tortious interference, and breach of the implied covenant of good faith and fair dealing. The parties are currently in post-trial proceedings and will be submitting post-trial briefs. Post-trial briefing and related activities are in process. CVR Energy believes the Delaware Lawsuits are without merit and has vigorously defended against them. As no ruling in the case has yet been issued, CVR Energy cannot determine at this time the outcome of the Delaware Lawsuits, including whether the outcome would have a material impact on our Energy segment’s financial position, results of operations, or cash flows.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Mr. Icahn, through certain affiliates, owns 100% of Icahn Enterprises GP and approximately 89% of Icahn Enterprises’ outstanding depositary units as of September 30, 2021.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84"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September 30, 2021. If the plans were voluntarily terminated, they would be underfunded by approximately $110 million as of September 30, 2021.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7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former President of the United States.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believe that we maintain a strong compliance program and, while no assurances can be made, we do not believe these inquiries will have a material impact on our business, financial condition, results of operations or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17. Supplemental Cash Flow Information</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740" w:type="dxa"/>
            <w:vAlign w:val="bottom"/>
          </w:tcPr>
          <w:p>
            <w:pPr>
              <w:ind w:left="320"/>
              <w:spacing w:after="0"/>
              <w:rPr>
                <w:sz w:val="20"/>
                <w:szCs w:val="20"/>
                <w:color w:val="auto"/>
              </w:rPr>
            </w:pPr>
            <w:r>
              <w:rPr>
                <w:rFonts w:ascii="Arial" w:cs="Arial" w:eastAsia="Arial" w:hAnsi="Arial"/>
                <w:sz w:val="18"/>
                <w:szCs w:val="18"/>
                <w:color w:val="auto"/>
              </w:rPr>
              <w:t>Supplemental cash flow information consists of the following:</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5"/>
        </w:trPr>
        <w:tc>
          <w:tcPr>
            <w:tcW w:w="5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09"/>
        </w:trPr>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129"/>
        </w:trPr>
        <w:tc>
          <w:tcPr>
            <w:tcW w:w="5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3"/>
          </w:tcPr>
          <w:p>
            <w:pPr>
              <w:jc w:val="right"/>
              <w:ind w:right="120"/>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Cash (payments) receipts for income taxes, net of payments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Non-cash dividends to non-controlling interests in subsidiary</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Partnership contributions receivable</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7"/>
              </w:rPr>
              <w:t>Non-cash Investment segment contributions from non-controlling interests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On October 27, 2021, IEP Utility Holdings LLC, a wholly owned subsidiary of Icahn Enterprises Holdings, commenced a cash offer (the “SWX Tender Offer”) to acquire, subject to certain terms and conditions, all of the issued and outstanding shares of common stock of Southwest Gas Holdings, Inc. (“Southwest Gas”) not held by affiliates of Icahn Enterprises Holdings at a price of $75.00 per share. Southwest Gas, through its wholly owned subsidiaries, is engaged in the business of purchasing, distributing, and transporting natural gas for customers in portions of Arizona, Nevada, and California. Southwest Gas’ shares of common stock are listed on the New York Stock Exchange under the symbol “SWX.” The SWX Tender Offer is scheduled to expire at 12:00 midnight, New York City Time, on December 27, 2021, unless the offer is extended.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On November 1, 2021, the Board of Directors of the general partner of Icahn Enterprises declared a quarterly distribution in the amount of $2.00 per depositary unit, which will be paid on or about December 22, 2021 to depositary unitholders of record at the close of business on November 16, 2021. Depositary unitholders will have until December 10, 2021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December 17, 2021. Icahn Enterprises will make a cash payment in lieu of issuing fractional depositary units to any unitholders electing to receive (or who are deemed to have elected to receive) depositary units.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Metals</w:t>
      </w:r>
    </w:p>
    <w:p>
      <w:pPr>
        <w:spacing w:after="0" w:line="225" w:lineRule="exact"/>
        <w:rPr>
          <w:sz w:val="20"/>
          <w:szCs w:val="20"/>
          <w:color w:val="auto"/>
        </w:rPr>
      </w:pPr>
    </w:p>
    <w:p>
      <w:pPr>
        <w:ind w:left="60" w:right="59" w:firstLine="324"/>
        <w:spacing w:after="0" w:line="279" w:lineRule="auto"/>
        <w:rPr>
          <w:sz w:val="20"/>
          <w:szCs w:val="20"/>
          <w:color w:val="auto"/>
        </w:rPr>
      </w:pPr>
      <w:r>
        <w:rPr>
          <w:rFonts w:ascii="Arial" w:cs="Arial" w:eastAsia="Arial" w:hAnsi="Arial"/>
          <w:sz w:val="17"/>
          <w:szCs w:val="17"/>
          <w:color w:val="auto"/>
        </w:rPr>
        <w:t>On October 29, 2021, we announced a definitive agreement to sell 100% of the equity interests in PSC Metals for total consideration of approximately $290 million (including indebtedness that will be repaid at closing and subject to customary working capital adjustments). The sale is expected to close in the fourth quarter of 2021, subject to receiving applicable regulatory approvals, and to the satisfaction of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September 30, 2021 (this “Report”), as well as our Annual Report on Form 10-K for the year ended December 31, 2020 filed with the Securities and Exchange Commission on February 26,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17, 1987. References to “we,” “our” or “us” herein include both Icahn Enterprises and Icahn Enterprises Holdings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their subsidiaries, unless the context otherwise requires.</w:t>
      </w:r>
    </w:p>
    <w:p>
      <w:pPr>
        <w:spacing w:after="0" w:line="211"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161"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Energy, Automotive, Food Packaging, Metals, Real Estate, Home Fashion and Pharma. We also report the results of our Holding Company, which includes the results of certain subsidiaries of Icahn Enterprises and Icahn Enterprises Holdings (unless otherwise noted), and investment activity and expenses associated with our Holding Company.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w:t>
      </w:r>
    </w:p>
    <w:p>
      <w:pPr>
        <w:spacing w:after="0" w:line="225"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color w:val="auto"/>
        </w:rPr>
        <w:t>On October 27, 2021, IEP Utility Holdings LLC (“IEP Utility”), a wholly owned subsidiary of Icahn Enterprises Holdings, commenced a cash offer (the “SWX Tender Offer”) to acquire, subject to certain terms and conditions, all of the issued and outstanding shares of common stock of Southwest Gas Holdings, Inc. (“Southwest Gas”) not held by affiliates of Icahn Enterprises Holdings at a price of $75.00 per share. Southwest Gas, through its wholly owned subsidiaries, is engaged in the business of purchasing, distributing, and transporting natural gas for customers in portions of Arizona, Nevada, and California. Southwest Gas’ shares of common stock are listed on the New York Stock Exchange under the symbol “SWX.” The SWX Tender Offer is scheduled to expire at 12:00 midnight, New York City Time, on December 27, 2021, unless the offer is extended.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Pending Sale of PSC Metals, LLC</w:t>
      </w:r>
    </w:p>
    <w:p>
      <w:pPr>
        <w:spacing w:after="0" w:line="225"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On October 29, 2021, we announced a definitive agreement to sell 100% of the equity interests in PSC Metals, LLC (“PSC Metals”), our wholly owned subsidiary through which we conduct our Metals segment, for total consideration of approximately $290 million (including indebtedness that will be repaid at closing and subject to customary working capital adjustments). The sale is expected to close in the fourth quarter of 2021, subject to receiving applicable regulatory approvals, and to the satisfaction of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Issuances</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In January 2021, Icahn Enterprises and Icahn Enterprises Finance Corp. (together the “Issuers”) issued $750 million in aggregate principal amount of 4.375% senior unsecured notes due 2029 (the “New 2029 Notes”). The proceeds from the New 2029 Notes were used to redeem $750 million principal amount of 6.250% senior unsecured notes due 2022, and to pay accrued interest, related fees and expenses.</w:t>
      </w:r>
    </w:p>
    <w:p>
      <w:pPr>
        <w:spacing w:after="0" w:line="187"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proceeds from this issuance were used to redeem the remaining $455 million principal amount of 6.250% senior unsecured notes due 2022, and to pay accrued interest, related fees and expenses.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Changes</w:t>
      </w:r>
    </w:p>
    <w:p>
      <w:pPr>
        <w:spacing w:after="0" w:line="225"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On April 5, 2021, we announced the hiring of Aris Kekedjian, who succeeded Keith Cozza as President and Chief Executive Officer as of May 10, 2021. Mr. Kekedjian also joined the board of directors of our general partner. In addition, on May 17, 2021, we announced the hiring of David Willetts, who succeeded SungHwan Cho as Chief Financial Officer as of June 7, 2021. Mr. Willetts also joined the board of directors of our general partner.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166"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Throughout 2020 and 2021, the COVID-19 pandemic, and actions taken by governments and others in response thereto, has negatively impacted the global economy, financial markets, and certain of the industries in which our subsidiaries operate. Our consolidated results of operations and financial condition have been impacted primarily by the volatility in the fair value of investments held by our Investment segment and the Holding Company as well as volatility in the global demand for refined products, especially gasoline and diesel fuels, with respect to our Energy segment. The impact on our businesses has also included the acceleration of selective planned store closures in our Automotive segment and recording write-downs to inventories. The economic conditions that persisted for much of 2020 have improved in 2021 as more governments reduce restrictions and more businesses resume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The comparability of our summarized consolidated financial results presented below is affected primarily by the performance of the Investment Funds (as defined below), the results of operations of our Energy segment, impacted by the demand and pricing for its products, and our Holding Company’s realized and unrealized gains and losses on certain equity investments. Refer to our respective segment discussions and “Other Consolidated Results of Operations,” below for further discussion.</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restart"/>
          </w:tcPr>
          <w:p>
            <w:pPr>
              <w:jc w:val="right"/>
              <w:ind w:right="29"/>
              <w:spacing w:after="0"/>
              <w:rPr>
                <w:sz w:val="20"/>
                <w:szCs w:val="20"/>
                <w:color w:val="auto"/>
              </w:rPr>
            </w:pPr>
            <w:r>
              <w:rPr>
                <w:rFonts w:ascii="Arial" w:cs="Arial" w:eastAsia="Arial" w:hAnsi="Arial"/>
                <w:sz w:val="14"/>
                <w:szCs w:val="14"/>
                <w:b w:val="1"/>
                <w:bCs w:val="1"/>
                <w:color w:val="auto"/>
              </w:rPr>
              <w:t>Revenues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Pr>
          <w:p>
            <w:pPr>
              <w:spacing w:after="0"/>
              <w:rPr>
                <w:sz w:val="14"/>
                <w:szCs w:val="14"/>
                <w:color w:val="auto"/>
              </w:rPr>
            </w:pPr>
          </w:p>
        </w:tc>
        <w:tc>
          <w:tcPr>
            <w:tcW w:w="2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2"/>
                <w:szCs w:val="12"/>
                <w:color w:val="auto"/>
              </w:rPr>
            </w:pPr>
          </w:p>
        </w:tc>
        <w:tc>
          <w:tcPr>
            <w:tcW w:w="230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2"/>
                <w:szCs w:val="12"/>
                <w:color w:val="auto"/>
              </w:rPr>
            </w:pPr>
          </w:p>
        </w:tc>
        <w:tc>
          <w:tcPr>
            <w:tcW w:w="234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Three Months Ended 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5"/>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(131)</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(1,130)</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(187)</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2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w:t>
            </w: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gridSpan w:val="5"/>
          </w:tcPr>
          <w:p>
            <w:pPr>
              <w:ind w:left="20"/>
              <w:spacing w:after="0" w:line="135" w:lineRule="exact"/>
              <w:rPr>
                <w:sz w:val="20"/>
                <w:szCs w:val="20"/>
                <w:color w:val="auto"/>
              </w:rPr>
            </w:pPr>
            <w:r>
              <w:rPr>
                <w:rFonts w:ascii="Arial" w:cs="Arial" w:eastAsia="Arial" w:hAnsi="Arial"/>
                <w:sz w:val="14"/>
                <w:szCs w:val="14"/>
                <w:color w:val="auto"/>
              </w:rPr>
              <w:t>Other Operating</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86"/>
              </w:rPr>
              <w:t>Segments:</w:t>
            </w:r>
          </w:p>
        </w:tc>
        <w:tc>
          <w:tcPr>
            <w:tcW w:w="20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0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1,883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Automotive</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5"/>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Metals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5"/>
            <w:shd w:val="clear" w:color="auto" w:fill="CCEEFF"/>
          </w:tcPr>
          <w:p>
            <w:pPr>
              <w:ind w:left="20"/>
              <w:spacing w:after="0" w:line="149" w:lineRule="exact"/>
              <w:rPr>
                <w:sz w:val="20"/>
                <w:szCs w:val="20"/>
                <w:color w:val="auto"/>
              </w:rPr>
            </w:pPr>
            <w:r>
              <w:rPr>
                <w:rFonts w:ascii="Arial" w:cs="Arial" w:eastAsia="Arial" w:hAnsi="Arial"/>
                <w:sz w:val="14"/>
                <w:szCs w:val="14"/>
                <w:color w:val="auto"/>
              </w:rPr>
              <w:t>Real Estate</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Home Fashion</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5"/>
            <w:shd w:val="clear" w:color="auto" w:fill="CCEEFF"/>
          </w:tcPr>
          <w:p>
            <w:pPr>
              <w:ind w:left="20"/>
              <w:spacing w:after="0" w:line="149" w:lineRule="exact"/>
              <w:rPr>
                <w:sz w:val="20"/>
                <w:szCs w:val="20"/>
                <w:color w:val="auto"/>
              </w:rPr>
            </w:pPr>
            <w:r>
              <w:rPr>
                <w:rFonts w:ascii="Arial" w:cs="Arial" w:eastAsia="Arial" w:hAnsi="Arial"/>
                <w:sz w:val="14"/>
                <w:szCs w:val="14"/>
                <w:color w:val="auto"/>
              </w:rPr>
              <w:t>Pharma</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gridSpan w:val="5"/>
          </w:tcPr>
          <w:p>
            <w:pPr>
              <w:ind w:left="20"/>
              <w:spacing w:after="0" w:line="142" w:lineRule="exact"/>
              <w:rPr>
                <w:sz w:val="20"/>
                <w:szCs w:val="20"/>
                <w:color w:val="auto"/>
              </w:rPr>
            </w:pPr>
            <w:r>
              <w:rPr>
                <w:rFonts w:ascii="Arial" w:cs="Arial" w:eastAsia="Arial" w:hAnsi="Arial"/>
                <w:sz w:val="14"/>
                <w:szCs w:val="14"/>
                <w:color w:val="auto"/>
              </w:rPr>
              <w:t>Other operating segments</w:t>
            </w: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2,804</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1,874</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w:t>
            </w:r>
          </w:p>
        </w:tc>
        <w:tc>
          <w:tcPr>
            <w:tcW w:w="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gridSpan w:val="5"/>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2,646</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723</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(1,400)</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Revenues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Pr>
          <w:p>
            <w:pPr>
              <w:spacing w:after="0"/>
              <w:rPr>
                <w:sz w:val="14"/>
                <w:szCs w:val="14"/>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22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Pr>
          <w:p>
            <w:pPr>
              <w:spacing w:after="0"/>
              <w:rPr>
                <w:sz w:val="12"/>
                <w:szCs w:val="12"/>
                <w:color w:val="auto"/>
              </w:rPr>
            </w:pPr>
          </w:p>
        </w:tc>
        <w:tc>
          <w:tcPr>
            <w:tcW w:w="222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Pr>
          <w:p>
            <w:pPr>
              <w:spacing w:after="0"/>
              <w:rPr>
                <w:sz w:val="12"/>
                <w:szCs w:val="12"/>
                <w:color w:val="auto"/>
              </w:rPr>
            </w:pPr>
          </w:p>
        </w:tc>
        <w:tc>
          <w:tcPr>
            <w:tcW w:w="224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2"/>
              </w:rPr>
              <w:t>Nine Months Ended 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(1,793)</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(1,937)</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2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(226)</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(376)</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(507)</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(376)</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Other Operating Segments: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5,212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2,794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(236)</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Automotive</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1,806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1,875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Metals</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Real Estate</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Home Fashion</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Pharma</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Other operating segments</w:t>
            </w: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8,023</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5,391</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w:t>
            </w:r>
          </w:p>
        </w:tc>
        <w:tc>
          <w:tcPr>
            <w:tcW w:w="2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(398)</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w:t>
            </w:r>
          </w:p>
        </w:tc>
        <w:tc>
          <w:tcPr>
            <w:tcW w:w="2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9,018</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3,372</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w:t>
            </w:r>
          </w:p>
        </w:tc>
        <w:tc>
          <w:tcPr>
            <w:tcW w:w="2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(2,842)</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We invest our proprietary capital through various private investment funds (“Investment Funds”). As of September 30, 2021 and December 31, 2020, we had investments with a fair market value of approximately $4.6 billion and $4.3 billion, respectively, in the Investment Funds. As of September 30, 2021 and December 31, 2020, the total fair market value of investments in the Investment Funds made by Mr. Icahn and his affiliates (excluding us and Brett Icahn) was approximately $5.5 billion and $5.0 billion, respectively.</w:t>
      </w:r>
    </w:p>
    <w:p>
      <w:pPr>
        <w:spacing w:after="0" w:line="188"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Our Investment segment’s results of operations are reflected in net income (loss)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September 30, 2021.</w:t>
      </w:r>
    </w:p>
    <w:p>
      <w:pPr>
        <w:spacing w:after="0" w:line="187" w:lineRule="exact"/>
        <w:rPr>
          <w:sz w:val="20"/>
          <w:szCs w:val="20"/>
          <w:color w:val="auto"/>
        </w:rPr>
      </w:pPr>
    </w:p>
    <w:p>
      <w:pPr>
        <w:ind w:left="60" w:right="299" w:firstLine="324"/>
        <w:spacing w:after="0" w:line="291" w:lineRule="auto"/>
        <w:rPr>
          <w:sz w:val="20"/>
          <w:szCs w:val="20"/>
          <w:color w:val="auto"/>
        </w:rPr>
      </w:pPr>
      <w:r>
        <w:rPr>
          <w:rFonts w:ascii="Arial" w:cs="Arial" w:eastAsia="Arial" w:hAnsi="Arial"/>
          <w:sz w:val="16"/>
          <w:szCs w:val="16"/>
          <w:color w:val="auto"/>
        </w:rPr>
        <w:t>For the three months ended September 30, 2021 and 2020, our Investment Funds’ returns were (1.8)% and (11.8)%, respectively. For the nine months ended September 30, 2021 and 2020, our Investment Funds’ returns were 8.8% and</w:t>
      </w:r>
    </w:p>
    <w:p>
      <w:pPr>
        <w:ind w:left="60" w:right="79"/>
        <w:spacing w:after="0" w:line="260" w:lineRule="auto"/>
        <w:rPr>
          <w:sz w:val="20"/>
          <w:szCs w:val="20"/>
          <w:color w:val="auto"/>
        </w:rPr>
      </w:pPr>
      <w:r>
        <w:rPr>
          <w:rFonts w:ascii="Arial" w:cs="Arial" w:eastAsia="Arial" w:hAnsi="Arial"/>
          <w:sz w:val="18"/>
          <w:szCs w:val="18"/>
          <w:color w:val="auto"/>
        </w:rPr>
        <w:t>(18.8)%, respectively. Our Investment Funds’ returns represent a weighted-average composite of the average returns, net of expenses.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33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0"/>
              </w:rPr>
              <w:t>Three Months Ended September 30,</w:t>
            </w:r>
          </w:p>
        </w:tc>
        <w:tc>
          <w:tcPr>
            <w:tcW w:w="30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09"/>
        </w:trPr>
        <w:tc>
          <w:tcPr>
            <w:tcW w:w="25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18"/>
                <w:szCs w:val="18"/>
                <w:color w:val="auto"/>
              </w:rPr>
            </w:pPr>
          </w:p>
        </w:tc>
      </w:tr>
      <w:tr>
        <w:trPr>
          <w:trHeight w:val="209"/>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Short positions</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(8.8)%</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(18.8)%</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1.6 %</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r>
      <w:tr>
        <w:trPr>
          <w:trHeight w:val="209"/>
        </w:trPr>
        <w:tc>
          <w:tcPr>
            <w:tcW w:w="25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r>
        <w:trPr>
          <w:trHeight w:val="20"/>
        </w:trPr>
        <w:tc>
          <w:tcPr>
            <w:tcW w:w="2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and nine months ended September 30, 2021 and 2020.</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Three Months Ended September 30,</w:t>
            </w:r>
          </w:p>
        </w:tc>
        <w:tc>
          <w:tcPr>
            <w:tcW w:w="180" w:type="dxa"/>
            <w:vAlign w:val="bottom"/>
          </w:tcPr>
          <w:p>
            <w:pPr>
              <w:spacing w:after="0"/>
              <w:rPr>
                <w:sz w:val="20"/>
                <w:szCs w:val="20"/>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128"/>
        </w:trPr>
        <w:tc>
          <w:tcPr>
            <w:tcW w:w="2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jc w:val="right"/>
              <w:ind w:right="18"/>
              <w:spacing w:after="0" w:line="129" w:lineRule="exact"/>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8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w:t>
            </w:r>
          </w:p>
        </w:tc>
        <w:tc>
          <w:tcPr>
            <w:tcW w:w="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5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Short positions</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(187)</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r>
      <w:tr>
        <w:trPr>
          <w:trHeight w:val="20"/>
        </w:trPr>
        <w:tc>
          <w:tcPr>
            <w:tcW w:w="2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2021 and 2020</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For the three months ended September 30, 2021, the Investment Funds’ negative performance was primarily driven by net losses in long positions. The negative performance of our Investment segment’s long positions was driven primarily by losses from a consumer, cyclical sector investment of $223 million and an energy sector investment of $141 million. The aggregate performance of investments with net losses across various sectors accounted for an additional negative performance of our Investment segment’s long positions. The negative performance of our Investment segment’s long positions was offset in part by gains from a consumer, non-cyclical sector investment of $231 million and an energy sector investment of $177 million. The negative performance of our Investment segment’s short positions was driven primarily by the net negative performance of various short equity positions aggregating $80 million offset in part by the net positive performance of short credit positions aggregating $73 million.</w:t>
      </w:r>
    </w:p>
    <w:p>
      <w:pPr>
        <w:spacing w:after="0" w:line="166"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For the three months ended September 30, 2020, the Investment Funds’ negative performance was driven by net losses in short positions and, to a lesser extent, net losses in long positions. The negative performance of our Investment segment’s short positions was driven primarily by the negative performance of broad market hedges of $677 million, losses from a consumer, non-cyclical sector investment of $156 million and the aggregate performance of various other short positions with net losses aggregating $161 million across various sectors. The negative performance of our Investment segment’s short positions was partially offset by net gains from its short exposure to commercial mortgage-backed securities through credit default swap contracts of $71 million. The negative performance of our Investment Segment’s long positions was driven by losses from an energy sector investment of $699 million, offset in part by gains from a consumer, cyclical sector investment of $257 million. Net losses in long positions were further offset in part by the aggregate performance of investments with net gains across various other sectors.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2021 and 2020</w:t>
      </w:r>
    </w:p>
    <w:p>
      <w:pPr>
        <w:spacing w:after="0" w:line="225"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color w:val="auto"/>
        </w:rPr>
        <w:t>For the nine months ended September 30, 2021, the Investment Funds’ positive performance was driven by net gains in long positions, offset in part by net losses in short positions. The positive performance of our Investment segment’s long positions was driven primarily by gains from two energy sector investments aggregating approximately $1.6 billion and a consumer, non-cyclical sector investment of $436 million. The aggregate performance of investments with net gains across various sectors accounted for an additional positive performance of our Investment segment’s long positions. The negative performance of our Investment segment’s short positions was driven primarily by the negative performance of an energy sector investment of $757 million, broad market hedges of $669 million and a consumer, cyclical sector investment of $216 million. The aggregate performance of investments with net losses across various sectors accounted for an additional negative performance of our Investment segment’s short positions. The negative performance of our Investment segment’s short positions was offset in part by gains from a consumer, cyclical sector investment of $199 million.</w:t>
      </w:r>
    </w:p>
    <w:p>
      <w:pPr>
        <w:spacing w:after="0" w:line="168"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For the nine months ended September 30, 2020, the Investment Funds’ negative performance was driven by net losses in long positions. The negative performance of our Investment segment’s long positions was driven by losses from an energy sector investment of $758 million, a consumer, non-cyclical sector investment of $637 million and aggregate losses from two technology sector investments of $536 million. The aggregate performance of investments with net losses across various other sectors accounted for an additional negative performance of our Investment segment’s long positions. The negative performance of our Investment segment’s long positions was partially offset by net gains from a consumer, cyclical sector investment of $284 million. The performance of our Investment segment’s short positions was driven by the positive performance of their short exposure to commercial mortgage-backed securities through credit default swap contracts of approximately $1.4 billion, offset in part primarily by the negative performance of broad market hedges of $910 million and the aggregate performance of various other short positions with net losses across various sectors.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93% and 91% of our Energy segment’s net sales for the nine months ended September 30, 2021 and 2020, respectively.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The COVID-19 pandemic, and the actions taken by governments and others, has negatively impacted the energy industry. The COVID-19 pandemic has also resulted in significant business and operational disruptions, including business closures, liquidity strains, destruction of non-essential demand, as well as supply chain challenges, travel restrictions, stay-at home orders, and limitations on the availability of the workforce. As a result, the demand for gasoline and diesel in the regions that our Energy segment operates declined beginning in the first quarter of 2020. The declines were amplified in the first quarter of 2020 by market plays between the world’s largest oil producers. The simultaneous shocks in oil supply and demand have resulted in a decline in the price of crude oil and lead to a significant decrease in the price of refined products sold by our Energy segment. However, beginning in late 2020 and into 2021, the U.S. market for refined products has improved and demand has increased as travel restrictions and stay-at-home orders have been eased.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In addition to recent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the operating companies in our Energy segment to either blend “renewable fuels” with their transportation fuels or purchase renewable identification numbers (“RINs”), to the extent available, in lieu of blending, or to seek other exemptions.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172"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color w:val="auto"/>
        </w:rPr>
        <w:t>In December 2020, our Energy segment approved a renewable diesel project at one of its refineries, which would convert the refinery’s hydrocracker to a renewable diesel unit (“RDU”) capable of producing 100 million gallons of renewable diesel per year and approximately 170 to 180 million RINs annually. As a result of conversion, the crude oil capacity of the refinery will be reduced. Further, the conversion enables our Energy segment to capture additional benefits associated with the existing blenders’ tax credit that expires at the end of 2022 and low carbon fuel standard programs in states such as California. Our Energy segment has additional plans to add pretreating capabilities for the RDU and construction of a similar facility at its other refinery. These collective renewable diesel efforts could reduce our Energy segment’s Renewable Fuels Standard (“RFS”) exposure. However, any actions taken by the Supreme Court, resulting administration efforts under the RFS, such as denial of existing or previous waiver applications, and market conditions could significantly impact the amount by which our Energy segment’s renewable diesel business mitigates our costs to comply with the RFS, if at all.</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040" w:type="dxa"/>
            <w:vAlign w:val="bottom"/>
            <w:gridSpan w:val="6"/>
          </w:tcPr>
          <w:p>
            <w:pPr>
              <w:spacing w:after="0"/>
              <w:rPr>
                <w:sz w:val="20"/>
                <w:szCs w:val="20"/>
                <w:color w:val="auto"/>
              </w:rPr>
            </w:pPr>
            <w:r>
              <w:rPr>
                <w:rFonts w:ascii="Arial" w:cs="Arial" w:eastAsia="Arial" w:hAnsi="Arial"/>
                <w:sz w:val="18"/>
                <w:szCs w:val="18"/>
                <w:b w:val="1"/>
                <w:bCs w:val="1"/>
                <w:color w:val="auto"/>
                <w:w w:val="98"/>
              </w:rPr>
              <w:t>Three Months Ended September 30,</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30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128"/>
        </w:trPr>
        <w:tc>
          <w:tcPr>
            <w:tcW w:w="3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3"/>
          </w:tcPr>
          <w:p>
            <w:pPr>
              <w:jc w:val="right"/>
              <w:ind w:right="21"/>
              <w:spacing w:after="0" w:line="129" w:lineRule="exact"/>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16"/>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r>
      <w:tr>
        <w:trPr>
          <w:trHeight w:val="21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September 30, 2021 and 2020</w:t>
      </w:r>
    </w:p>
    <w:p>
      <w:pPr>
        <w:spacing w:after="0" w:line="225"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Net sales for our Energy segment increased by $878 million (87%) for the three months ended September 30, 2021 as compared to the comparable prior year period due to an increase in our petroleum business’ net sales, which increased $813 million, as well as an increase in our nitrogen fertilizer business’ net sales, which increased $65 million over the comparable periods. The increase in the petroleum business’ net sales was primarily due to an increase in sales of gasoline and distillates attributable to an increase in volumes and more favorable pricing conditions. Volumes were lower in the comparable prior year period due to the full planned turnaround at one of the refineries while another refinery experienced reduced utilization in response to demand reductions driven by the impacts of the COVID-19 pandemic. Our nitrogen fertilizer business’ net sales increased primarily due to an increase in urea ammonium nitrate (“UAN”) sales primarily due to favorable pricing conditions.</w:t>
      </w:r>
    </w:p>
    <w:p>
      <w:pPr>
        <w:spacing w:after="0" w:line="181"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Cost of goods sold for our Energy segment increased by $646 million (62%) for the three months ended September 30, 2021 as compared to the comparable prior year period. The increase was primarily due to our petroleum business as a result of higher cost of consumed crude oil. The higher cost of consumed crude oil was due to an increase in volumes, as discussed above, as well as lower derivative performance of $17 million, offset in part by a $52 million decrease in the net cost of RINs. Gross margin for our Energy segment improved by $232 million for the three months ended September 30, 2021 as compared to the comparable prior year period. Gross margin as a percentage of net sales was 10% and (3)% for the three months ended September 30, 2021 and 2020, respectively. The improvement in the gross margin as a percentage of net sales was primarily attributable to the petroleum business, which was primarily due to higher crack spreads and a decrease in the net cost of RINs, offset in part by lower derivative performance.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2021 and 2020</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sales for our Energy segment increased by approximately $2.3 billion (82%) for the nine months ended September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30, 2021 as compared to the comparable prior year period due to an increase in our petroleum business’ net sales, which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increased approximately $2.2 billion, as well as an increase in our nitrogen fertilizer business’ net sales, which increased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$84 million over the comparable periods. The increase in the petroleum business’ net sales was primarily due to an increase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sales of gasoline and distillates attributable to an increase in volumes and more favorable pricing conditions. Volumes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were lower in the comparable prior year period due to the full planned turnaround at one of the refineries while another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refinery experienced reduced utilization in response to demand reductions driven by the impacts of the COVID-19</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pandemic. Our nitrogen fertilizer business’ net sales increased primarily due to an increase in urea ammonium nitrate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(“UAN”) sales primarily due to favorable pricing conditions.</w:t>
      </w:r>
    </w:p>
    <w:p>
      <w:pPr>
        <w:spacing w:after="0" w:line="211"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Cost of goods sold for our Energy segment increased by approximately $2.1 billion (71%) for the nine months ended September 30, 2021 as compared to the comparable prior year period. The increase was primarily due to our petroleum business as a result of higher cost of consumed crude oil. The higher cost of consumed crude oil was due to an increase in volumes, as discussed above, as well as a $264 million increase in the net cost of RINs and lower derivative performance of $116 million. Gross margin for our Energy segment improved by $230 million for the nine months ended September 30, 2021 as compared to the comparable prior year period. Gross margin as a percentage of net sales was 2% and (4)% for the nine months ended September 30, 2021 and 2020, respectively. The improvement in the gross margin as a percentage of net sales was primarily attributable to the petroleum business, which was primarily due to higher crack spreads, offset in part by an increase in the net cost of RINs and lower derivative performance.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Our Automotive segment’s results of operations are generally driven by the distribution and installation of automotive aftermarket parts and the demand for automotive service and maintenance, and is affected by the relative strength of automotive part replacement trends, among other factors.</w:t>
      </w:r>
    </w:p>
    <w:p>
      <w:pPr>
        <w:spacing w:after="0" w:line="184"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Our Automotive segment has been in the process of implementing a multi-year transformation plan, which includes the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As part of this plan, Icahn Automotive entered into an agreement to sell certain inventory assets relating to its aftermarket parts business at 109 locations and a distribution center in California and certain other inventory and fixed assets in California. Aftermarket parts sales from these locations aggregated $12 million and $77 million during the three and nine months ended September 30, 2021. Costs to implement the transformation plan include restructuring charges, which are recorded when specific plans are approved, and which may be significant.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customer experience initiatives and selective upgrades in facilities;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119" w:firstLine="324"/>
        <w:spacing w:after="0" w:line="311" w:lineRule="auto"/>
        <w:rPr>
          <w:sz w:val="20"/>
          <w:szCs w:val="20"/>
          <w:color w:val="auto"/>
        </w:rPr>
      </w:pPr>
      <w:r>
        <w:rPr>
          <w:rFonts w:ascii="Arial" w:cs="Arial" w:eastAsia="Arial" w:hAnsi="Arial"/>
          <w:sz w:val="16"/>
          <w:szCs w:val="16"/>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308" w:lineRule="auto"/>
        <w:rPr>
          <w:sz w:val="20"/>
          <w:szCs w:val="20"/>
          <w:color w:val="auto"/>
        </w:rPr>
      </w:pPr>
      <w:r>
        <w:rPr>
          <w:rFonts w:ascii="Arial" w:cs="Arial" w:eastAsia="Arial" w:hAnsi="Arial"/>
          <w:sz w:val="17"/>
          <w:szCs w:val="17"/>
          <w:color w:val="auto"/>
        </w:rPr>
        <w:t>of any installed parts or materials related to automotive services are included in net sales. Therefore, we discuss the combined results of our automotive net sales and automotive services labor revenues below.</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04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30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129"/>
        </w:trPr>
        <w:tc>
          <w:tcPr>
            <w:tcW w:w="3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ind w:left="740"/>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2"/>
        </w:trPr>
        <w:tc>
          <w:tcPr>
            <w:tcW w:w="3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sales and other revenues from</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660</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02"/>
        </w:trPr>
        <w:tc>
          <w:tcPr>
            <w:tcW w:w="3080" w:type="dxa"/>
            <w:vAlign w:val="bottom"/>
          </w:tcPr>
          <w:p>
            <w:pPr>
              <w:ind w:left="20"/>
              <w:spacing w:after="0" w:line="201" w:lineRule="exact"/>
              <w:rPr>
                <w:sz w:val="20"/>
                <w:szCs w:val="20"/>
                <w:color w:val="auto"/>
              </w:rPr>
            </w:pPr>
            <w:r>
              <w:rPr>
                <w:rFonts w:ascii="Arial" w:cs="Arial" w:eastAsia="Arial" w:hAnsi="Arial"/>
                <w:sz w:val="18"/>
                <w:szCs w:val="18"/>
                <w:color w:val="auto"/>
                <w:w w:val="97"/>
              </w:rPr>
              <w:t>Cost of goods sold and other expenses</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3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from operations</w:t>
            </w: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466</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r>
      <w:tr>
        <w:trPr>
          <w:trHeight w:val="21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9"/>
              </w:rPr>
              <w:t>194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3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2021 and 2020</w:t>
      </w:r>
    </w:p>
    <w:p>
      <w:pPr>
        <w:spacing w:after="0" w:line="22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Net sales and other revenues from operations for our Automotive segment for the three months ended September 30, 2021 decreased by $69 million (10%) as compared to the comparable prior year period. The decrease was attributable to a decrease in aftermarket parts sales of $97 million (29%), offset in part by an increase in automotive services revenue of $28 million (9%). On an organic basis, aftermarket parts sales decreased $7 million over the comparable periods due to a decrease in retail sales of $4 million (22%) and a decrease in commercial sales of $3 million (2%). Store closures related to the transformation plan accounted for a $90 million decrease in aftermarket parts sales. The increase in automotive services revenues represents an increase on a primarily organic basis as sales have improved over the comparable prior year period.</w:t>
      </w:r>
    </w:p>
    <w:p>
      <w:pPr>
        <w:spacing w:after="0" w:line="166" w:lineRule="exact"/>
        <w:rPr>
          <w:sz w:val="20"/>
          <w:szCs w:val="20"/>
          <w:color w:val="auto"/>
        </w:rPr>
      </w:pPr>
    </w:p>
    <w:p>
      <w:pPr>
        <w:ind w:left="60" w:right="259" w:firstLine="324"/>
        <w:spacing w:after="0" w:line="293" w:lineRule="auto"/>
        <w:rPr>
          <w:sz w:val="20"/>
          <w:szCs w:val="20"/>
          <w:color w:val="auto"/>
        </w:rPr>
      </w:pPr>
      <w:r>
        <w:rPr>
          <w:rFonts w:ascii="Arial" w:cs="Arial" w:eastAsia="Arial" w:hAnsi="Arial"/>
          <w:sz w:val="16"/>
          <w:szCs w:val="16"/>
          <w:color w:val="auto"/>
        </w:rPr>
        <w:t>Cost of goods sold and other expenses from operations for the three months ended September 30, 2021 decreased by $48 million (10%) as compared to the comparable prior year period. The decrease was primarily due to lower costs attributable to lower aftermarket parts sales which exceeded higher costs associated with higher services revenues. Gross margin on net sales and other revenue from operations for the three months ended September 30, 2021 decreased by $21 million (11%) as compared to the comparable prior year period. Gross margin as a percentage of net sales and other revenue from operations was 29% and 29% for the three months ended September 30, 2021 and 2020, respectively.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2021 and 2020</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sales and other revenues from operations for our Automotive segment for the nine months ended September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2021 decreased by $56 million (3%) as compared to the comparable prior year period. The decrease was attributable to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decrease in aftermarket parts sales of $167 million (17%), offset in part by an increase in automotive services revenue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$111 million (12%). On an organic basis, aftermarket parts sales decreased $4 million over the comparable periods due to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4% decrease in retail sales. Store closures related to the transformation plan accounted for a $163 million decrease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aftermarket parts sales. The increase in automotive services revenues represents an increase on a primarily organic basis 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sales have improved over the comparable prior year period. The COVID-19 pandemic, and the impacts of the actions taken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governments and others, have significantly contributed to a decline in revenues beginning in March 2020.</w:t>
      </w:r>
    </w:p>
    <w:p>
      <w:pPr>
        <w:spacing w:after="0" w:line="211" w:lineRule="exact"/>
        <w:rPr>
          <w:sz w:val="20"/>
          <w:szCs w:val="20"/>
          <w:color w:val="auto"/>
        </w:rPr>
      </w:pPr>
    </w:p>
    <w:p>
      <w:pPr>
        <w:ind w:left="60" w:right="119" w:firstLine="324"/>
        <w:spacing w:after="0" w:line="253" w:lineRule="auto"/>
        <w:rPr>
          <w:sz w:val="20"/>
          <w:szCs w:val="20"/>
          <w:color w:val="auto"/>
        </w:rPr>
      </w:pPr>
      <w:r>
        <w:rPr>
          <w:rFonts w:ascii="Arial" w:cs="Arial" w:eastAsia="Arial" w:hAnsi="Arial"/>
          <w:sz w:val="18"/>
          <w:szCs w:val="18"/>
          <w:color w:val="auto"/>
        </w:rPr>
        <w:t>Cost of goods sold and other expenses from operations for the nine months ended September 30, 2021 decreased by $71 million (5%) as compared to the comparable prior year period. The decrease was primarily due to lower costs attributable to lower aftermarket parts sales which exceeded higher costs associated with higher services revenues. Gross margin on net sales and other revenue from operations for the nine months ended September 30, 2021 increased by $15 million (3%) as compared to the comparable prior year period. Gross margin as a percentage of net sales and other revenue from operations was 29% and 27% for the nine months ended September 30, 2021 and 2020, respectively. Due to the COVID-19 pandemic, our Automotive segment accelerated planned store closures in 2020, shifting our Automotive segment’s business from a majority attributable to aftermarket parts sales to a majority attributable to higher margin automotive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2021 and 2020</w:t>
      </w:r>
    </w:p>
    <w:p>
      <w:pPr>
        <w:spacing w:after="0" w:line="22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Net sales for the three months ended September 30, 2021 decreased by $1 million (1%) as compared to the comparable prior year period due to an increase in price and product mix as well as the favorable effects of foreign exchange, offset in part by lower volumes. Cost of goods sold for the three months ended September 30, 2021 increased by $1 million (1%) as compared to the comparable prior year period due to the effects of raw material price inflation, manufacturing variances and distribution costs. Gross margin as a percentage of net sales was 18% and 20% for the three months ended September 30, 2021 and 2020,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2021 and 2020</w:t>
      </w:r>
    </w:p>
    <w:p>
      <w:pPr>
        <w:spacing w:after="0" w:line="225"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Net sales for the nine months ended September 30, 2021 increased $4 million (1%) as compared to the comparable prior year period. The increase was due to an increase in price and product mix as well as the favorable effects of foreign exchange, offset in part by lower volumes. Cost of goods sold for the nine months ended September 30, 2021 increased by $9 million (4%) as compared to the comparable prior year period due to the effects raw material price inflation, manufacturing variances and distribution costs. Gross margin as a percentage of net sales was 19% and 21% for the nine months ended September 30, 2021 and 2020,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Metals</w:t>
      </w:r>
    </w:p>
    <w:p>
      <w:pPr>
        <w:spacing w:after="0" w:line="22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2021 and 2020</w:t>
      </w:r>
    </w:p>
    <w:p>
      <w:pPr>
        <w:spacing w:after="0" w:line="225"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Net sales for the three months ended September 30, 2021 increased by $61 million (73%) compared to the comparable prior year period primarily due to higher selling prices. Cost of goods sold for the three months ended September 30, 2021 increased by $54 million (69%) compared to the comparable prior year period due to higher material costs. Gross margin as a percentage of net sales was 8% and 6% for the three months ended September 30, 2021 and 2020, respectively, with the improvement primarily due to higher material margins as the prior year period was negatively impacted by the effects of the COVID-19 pandemic.</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2021 and 2020</w:t>
      </w:r>
    </w:p>
    <w:p>
      <w:pPr>
        <w:spacing w:after="0" w:line="225" w:lineRule="exact"/>
        <w:rPr>
          <w:sz w:val="20"/>
          <w:szCs w:val="20"/>
          <w:color w:val="auto"/>
        </w:rPr>
      </w:pPr>
    </w:p>
    <w:p>
      <w:pPr>
        <w:ind w:left="60" w:right="179" w:firstLine="324"/>
        <w:spacing w:after="0" w:line="293" w:lineRule="auto"/>
        <w:rPr>
          <w:sz w:val="20"/>
          <w:szCs w:val="20"/>
          <w:color w:val="auto"/>
        </w:rPr>
      </w:pPr>
      <w:r>
        <w:rPr>
          <w:rFonts w:ascii="Arial" w:cs="Arial" w:eastAsia="Arial" w:hAnsi="Arial"/>
          <w:sz w:val="16"/>
          <w:szCs w:val="16"/>
          <w:color w:val="auto"/>
        </w:rPr>
        <w:t>Net sales for the nine months ended September 30, 2021 increased by $214 million (105%) compared to the comparable prior year period primarily due to higher volumes and higher selling prices. Cost of goods sold for the nine months ended September 30, 2021 increased by $182 million (90%) compared to the comparable prior year period due to higher volumes as well as higher material costs. Gross margin as a percentage of net sales was 8% and 1% for the nine months ended September 30, 2021 and 2020, respectively, with the improvement primarily due to higher material margins as the prior year period was negatively impacted by the effects of the COVID-19 pandemic.</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59" w:firstLine="324"/>
        <w:spacing w:after="0" w:line="301" w:lineRule="auto"/>
        <w:rPr>
          <w:sz w:val="20"/>
          <w:szCs w:val="20"/>
          <w:color w:val="auto"/>
        </w:rPr>
      </w:pPr>
      <w:r>
        <w:rPr>
          <w:rFonts w:ascii="Arial" w:cs="Arial" w:eastAsia="Arial" w:hAnsi="Arial"/>
          <w:sz w:val="16"/>
          <w:szCs w:val="16"/>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 from operations in our consolidated statements of operations. Revenue from our real estate operations for each of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nine months ended September 30, 2021 and 2020 were primarily derived from the sale of residential units and rental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2021 and 2020</w:t>
      </w:r>
    </w:p>
    <w:p>
      <w:pPr>
        <w:spacing w:after="0" w:line="22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Net sales for the three months ended September 30, 2021 decreased by $2 million (4%) compared to the comparable prior year period primarily due to a decrease in facemask sales due to the reduced impact of the COVID-19 pandemic. Cost of goods sold for the three months ended September 30, 2021 remained flat compared to the comparable prior year period due to higher material and freight costs offset by lower volumes. Gross margin as a percentage of net sales was 18% and 21% for the three months ended September 30, 2021 and 2020, respectively. The decrease is due to higher material and freight costs.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2021 and 2020</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Net sales for the nine months ended September 30, 2021 increased by $3 million (2%) compared to the comparable prior year period primarily due to the reduced impact of the COVID-19 pandemic on our Home Fashion segment’s hospitality and department store businesses, offset in part by a decline resulting from exiting lower margin business. Cost of goods sold for the nine months ended September 30, 2021 increased $6 million (5%) compared to the comparable prior year period due to higher material and freight costs. Gross margin as a percentage of net sales was 18% and 21% for the nine months ended September 30, 2021 and 2020, respectively. The decrease is due to higher material and freight costs.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w:t>
      </w:r>
    </w:p>
    <w:p>
      <w:pPr>
        <w:spacing w:after="0" w:line="225"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Our Pharma segment derives revenues primarily from the sale of its products directly to customers, wholesalers and pharmacies. To a lesser extent, our Pharma segment derives revenues through supply, licensing and royalty arrangements. We began consolidating our Pharma segment in the fourth quarter of 2020. For the three months ended September 30, 2021, our Pharma segment had $17 million of net product revenue, $1 million of supply revenue and $1 million of royalty revenue. For the nine months ended September 30, 2021, our Pharma segment had $48 million of net product revenue, $17 million of supply revenue and $3 million of royalty revenue. For our Pharma segment’s supply revenue, $13 million is attributable to the one-time sale of product to a single customer in the first quarter of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Our Holding Company’s results of operations primarily reflect investment gains and losses from equity investments and the interest expense on its senior unsecured notes for each of the three and nine months ended September 30, 2021 and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2021 and 2020</w:t>
      </w:r>
    </w:p>
    <w:p>
      <w:pPr>
        <w:spacing w:after="0" w:line="225"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7"/>
          <w:szCs w:val="17"/>
          <w:color w:val="auto"/>
        </w:rPr>
        <w:t>Our consolidated selling, general and administrative during the three months ended September 30, 2021 increased by $27 million (9%) as compared to the comparable prior year period primarily due to the addition of the results of our Pharma segment and from our Energy segment, primarily due to higher share-based compensation.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2021 and 2020</w:t>
      </w:r>
    </w:p>
    <w:p>
      <w:pPr>
        <w:spacing w:after="0" w:line="225" w:lineRule="exact"/>
        <w:rPr>
          <w:sz w:val="20"/>
          <w:szCs w:val="20"/>
          <w:color w:val="auto"/>
        </w:rPr>
      </w:pPr>
    </w:p>
    <w:p>
      <w:pPr>
        <w:ind w:left="60" w:right="259" w:firstLine="324"/>
        <w:spacing w:after="0" w:line="296" w:lineRule="auto"/>
        <w:rPr>
          <w:sz w:val="20"/>
          <w:szCs w:val="20"/>
          <w:color w:val="auto"/>
        </w:rPr>
      </w:pPr>
      <w:r>
        <w:rPr>
          <w:rFonts w:ascii="Arial" w:cs="Arial" w:eastAsia="Arial" w:hAnsi="Arial"/>
          <w:sz w:val="16"/>
          <w:szCs w:val="16"/>
          <w:color w:val="auto"/>
        </w:rPr>
        <w:t>Our consolidated selling, general and administrative during the nine months ended September 30, 2021 increased by $49 million (6%) as compared to the comparable prior year period primarily due to the addition of the results of our Pharma segment, our Energy segment, primarily due to higher share-based compensation as well as higher compensation costs for our Investment segment, offset in part by lower costs resulting from our Real Estate segment, which incurred additional costs in the second quarter of 2020 relating to the demolition of one of its properties.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2021 and 2020</w:t>
      </w:r>
    </w:p>
    <w:p>
      <w:pPr>
        <w:spacing w:after="0" w:line="225"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Our consolidated interest expense during the three months ended September 30, 2021 decreased by $13 million (8%) as compared to the comparable prior year period. The decrease was primarily due to lower interest expense from our Energy segment and our Holding Company due to lower weighted average interest rates resulting from their respective debt refinancings.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2021 and 2020</w:t>
      </w:r>
    </w:p>
    <w:p>
      <w:pPr>
        <w:spacing w:after="0" w:line="225"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Our consolidated interest expense during the nine months ended September 30, 2021 decreased by $6 million (1%) as compared to the comparable prior year period. The decrease was primarily due to lower interest expense for our Holding Company and Energy segment due to lower weighted average interest rates resulting from their respective debt refinancings.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2"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As of September 30, 2021, our Holding Company had cash and cash equivalents of approximately $1.3 billion and total debt of approximately $5.8 billion. As of September 30, 2021, our Holding Company had investments in the Investment Funds with a total fair market value of approximately $4.6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6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27"/>
        </w:trPr>
        <w:tc>
          <w:tcPr>
            <w:tcW w:w="646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unsecured notes due 2029</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84"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In January 2021, the Issuers issued $750 million in aggregate principal amount of 4.375% senior unsecured notes due 2029 (the “New 2029 Notes”). The proceeds from the New 2029 Notes were used to redeem $750 million principal amount of 6.250% senior unsecured notes due 2022, and to pay accrued interest, related fees and expenses. Interest on the New 2029 Notes is payable semi-annually.</w:t>
      </w:r>
    </w:p>
    <w:p>
      <w:pPr>
        <w:spacing w:after="0" w:line="187" w:lineRule="exact"/>
        <w:rPr>
          <w:sz w:val="20"/>
          <w:szCs w:val="20"/>
          <w:color w:val="auto"/>
        </w:rPr>
      </w:pPr>
    </w:p>
    <w:p>
      <w:pPr>
        <w:ind w:left="60" w:right="339" w:firstLine="324"/>
        <w:spacing w:after="0" w:line="311" w:lineRule="auto"/>
        <w:rPr>
          <w:sz w:val="20"/>
          <w:szCs w:val="20"/>
          <w:color w:val="auto"/>
        </w:rPr>
      </w:pPr>
      <w:r>
        <w:rPr>
          <w:rFonts w:ascii="Arial" w:cs="Arial" w:eastAsia="Arial" w:hAnsi="Arial"/>
          <w:sz w:val="16"/>
          <w:szCs w:val="16"/>
          <w:color w:val="auto"/>
        </w:rPr>
        <w:t>In April 2021, the Issuers issued $455 million in aggregate principal amount of additional 5.250% senior unsecured notes due 2027. The proceeds from this issuance were used to redeem the remaining $455 million principal amount of 6.250% senior unsecured notes due 2022, and to pay accrued interest, related fees and expenses.</w:t>
      </w:r>
    </w:p>
    <w:p>
      <w:pPr>
        <w:spacing w:after="0" w:line="149"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September 30, 2021, except for the 4.750% senior unsecured notes due 2024, the 5.250% senior unsecured notes due 2027 and 4.375% senior unsecured notes due 2029, are subject to optional redemption premiums in the event we redeem any of the notes prior to certain dates as described in the indentures.</w:t>
      </w:r>
    </w:p>
    <w:p>
      <w:pPr>
        <w:spacing w:after="0" w:line="168" w:lineRule="exact"/>
        <w:rPr>
          <w:sz w:val="20"/>
          <w:szCs w:val="20"/>
          <w:color w:val="auto"/>
        </w:rPr>
      </w:pPr>
    </w:p>
    <w:p>
      <w:pPr>
        <w:jc w:val="both"/>
        <w:ind w:left="60" w:right="99" w:firstLine="324"/>
        <w:spacing w:after="0" w:line="279" w:lineRule="auto"/>
        <w:rPr>
          <w:sz w:val="20"/>
          <w:szCs w:val="20"/>
          <w:color w:val="auto"/>
        </w:rPr>
      </w:pPr>
      <w:r>
        <w:rPr>
          <w:rFonts w:ascii="Arial" w:cs="Arial" w:eastAsia="Arial" w:hAnsi="Arial"/>
          <w:sz w:val="17"/>
          <w:szCs w:val="17"/>
          <w:color w:val="auto"/>
        </w:rPr>
        <w:t>As of September 30, 2021 and December 31, 2020, we were in compliance with all covenants, including maintaining certain minimum financial ratios, as defined in the indentures. Additionally, as of September 30, 2021, based on covenants in the indentures governing our senior unsecured notes, we are not permitted to incur additional indebtedness; however, we are permitted to issue new notes in connection with debt refinancings of existing notes.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On February 26, 2021, Icahn Enterprises entered into a new Open Market Sale Agreement, pursuant to which Icahn Enterprises was able to sell its depositary units, from time to time, for up to $400 million in aggregate sale proceeds, under its ongoing “at-the-market offering. On August 6, 2021, this agreement was terminated and replaced by a new Open Market Sale Agreement, pursuant to which Icahn Enterprises may sell its depositary units, from time to time, for up to $400 million in aggregate sale proceeds. During the nine months ended September 30, 2021, Icahn Enterprises sold 10,783,098 depositary units pursuant to this agreement, resulting in gross proceeds of $604 million. As of September 30, 2021, Icahn Enterprises may sell its depositary units for up to an additional $180 million in aggregate gross sale proceeds pursuant to its agreement entered into on August 6, 2021. No assurance can be made that any or all amounts will be sold during the term of the agreement, and we have no obligation to sell additional depositary units under the Open Market Sale Agreement. Depending on market conditions, we may continue to sell depositary units under the Open Market Sale Agreement, and, if appropriate, enter into a new Open Market Sale Agreement to continue our “at-the-market” sales program once we have sold the full amount of our existing Open Market Sale Agreement. Our ability to access remaining capital under our “at-the-market” program may be limited by market conditions at the time of any future potential sale. While we were able to sell shares during the nine months ended September 30, 2021, there can be no assurance that any future capital will be available on acceptable terms or at all under this program.</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ind w:left="60" w:right="379" w:firstLine="324"/>
        <w:spacing w:after="0" w:line="257" w:lineRule="auto"/>
        <w:rPr>
          <w:sz w:val="20"/>
          <w:szCs w:val="20"/>
          <w:color w:val="auto"/>
        </w:rPr>
      </w:pPr>
      <w:r>
        <w:rPr>
          <w:rFonts w:ascii="Arial" w:cs="Arial" w:eastAsia="Arial" w:hAnsi="Arial"/>
          <w:sz w:val="18"/>
          <w:szCs w:val="18"/>
          <w:color w:val="auto"/>
        </w:rPr>
        <w:t>During the nine months ended September 30, 2021, Icahn Enterprises declared three quarterly distributions aggregating $6.00 per depositary unit in which each depositary unitholder had the option to make an election to receive either cash or additional depositary units. In connection with these distributions, aggregate cash distributions to all depositary unitholders that made a timely election to receive cash was $91 million during the nine months ended September 30, 2021.</w:t>
      </w:r>
    </w:p>
    <w:p>
      <w:pPr>
        <w:spacing w:after="0" w:line="188"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On November 1, 2021, the Board of Directors of the general partner of Icahn Enterprises declared a quarterly distribution in the amount of $2.00 per depositary unit, which will be paid on or about December 22, 2021 to depositary unitholders of record at the close of business on November 16, 2021. Depositary unitholders will have until December 10, 2021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December 17, 2021. Icahn Enterprises will make a cash payment in lieu of issuing fractional depositary units to any unitholders electing to receive (or who are deemed to have elected to receive) depositary units.</w:t>
      </w:r>
    </w:p>
    <w:p>
      <w:pPr>
        <w:spacing w:after="0" w:line="166"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On October 27, 2021, IEP Utility, a wholly owned subsidiary of Icahn Enterprises Holdings, commenced the SWX Tender Offer. We estimate that the maximum amount of funds required to complete the SWX Tender Offer would be up to approximately $4.2 billion. IEP Utility and Icahn Enterprises Holdings intend to obtain such funds from cash, cash equivalents, and from their ability to realize cash upon sale of liquid securities.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Pending Sale of PSC Metals</w:t>
      </w:r>
    </w:p>
    <w:p>
      <w:pPr>
        <w:spacing w:after="0" w:line="22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On October 29, 2021, we announced a definitive agreement to sell PSC Metals for total consideration of approximately $290 million (including indebtedness that will be repaid at closing and subject to customary working capital adjustments). The sale is expected to close in the fourth quarter of 2021, subject to receiving applicable regulatory approvals, and to the satisfaction of other customary closing conditions.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46"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September 30, 2021, the Investment Funds’ had a net short notional exposure of 11%. The Investment Funds’ long exposure was 108% (107% long equity and 1% long credit) and its short exposure was 119% (98% short equity and 21% short credit). The notional exposure represents the ratio of the notional exposure of the Investment Funds’ invested capital to the net asset value of the Investment Funds at September 30, 2021.</w:t>
      </w:r>
    </w:p>
    <w:p>
      <w:pPr>
        <w:spacing w:after="0" w:line="176" w:lineRule="exact"/>
        <w:rPr>
          <w:sz w:val="20"/>
          <w:szCs w:val="20"/>
          <w:color w:val="auto"/>
        </w:rPr>
      </w:pPr>
    </w:p>
    <w:p>
      <w:pPr>
        <w:ind w:left="60" w:right="119" w:firstLine="324"/>
        <w:spacing w:after="0" w:line="279" w:lineRule="auto"/>
        <w:rPr>
          <w:sz w:val="20"/>
          <w:szCs w:val="20"/>
          <w:color w:val="auto"/>
        </w:rPr>
      </w:pPr>
      <w:r>
        <w:rPr>
          <w:rFonts w:ascii="Arial" w:cs="Arial" w:eastAsia="Arial" w:hAnsi="Arial"/>
          <w:sz w:val="17"/>
          <w:szCs w:val="17"/>
          <w:color w:val="auto"/>
        </w:rPr>
        <w:t>Of the Investment Funds’ 108% long exposure, 94% was comprised of the fair value of its long positions (with certain adjustments) and 14% was comprised of single name equity forward contracts and credit contracts. Of the Investment Funds’ 119% short exposure, 48% was comprised of the fair value of its short positions and 71% was comprised of short broad market index swap derivative contracts and short credit default swap contracts.</w:t>
      </w:r>
    </w:p>
    <w:p>
      <w:pPr>
        <w:spacing w:after="0" w:line="171"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(94% long exposure) and our short positions that are not notionalized (48%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(71%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129"/>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Metals</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Home Fashion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64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i w:val="1"/>
                <w:iCs w:val="1"/>
                <w:color w:val="auto"/>
              </w:rPr>
              <w:t>Segment Borrowings and Availability</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4800" w:type="dxa"/>
            <w:vAlign w:val="bottom"/>
          </w:tcPr>
          <w:p>
            <w:pPr>
              <w:ind w:left="320"/>
              <w:spacing w:after="0"/>
              <w:rPr>
                <w:sz w:val="20"/>
                <w:szCs w:val="20"/>
                <w:color w:val="auto"/>
              </w:rPr>
            </w:pPr>
            <w:r>
              <w:rPr>
                <w:rFonts w:ascii="Arial" w:cs="Arial" w:eastAsia="Arial" w:hAnsi="Arial"/>
                <w:sz w:val="18"/>
                <w:szCs w:val="18"/>
                <w:color w:val="auto"/>
              </w:rPr>
              <w:t>Segment debt consists of the following:</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7"/>
        </w:trPr>
        <w:tc>
          <w:tcPr>
            <w:tcW w:w="4800" w:type="dxa"/>
            <w:vAlign w:val="bottom"/>
          </w:tcPr>
          <w:p>
            <w:pPr>
              <w:spacing w:after="0"/>
              <w:rPr>
                <w:sz w:val="24"/>
                <w:szCs w:val="24"/>
                <w:color w:val="auto"/>
              </w:rPr>
            </w:pPr>
          </w:p>
        </w:tc>
        <w:tc>
          <w:tcPr>
            <w:tcW w:w="2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4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r>
      <w:tr>
        <w:trPr>
          <w:trHeight w:val="128"/>
        </w:trPr>
        <w:tc>
          <w:tcPr>
            <w:tcW w:w="48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19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5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Automotive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Metals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Home Fashion</w:t>
            </w:r>
          </w:p>
        </w:tc>
        <w:tc>
          <w:tcPr>
            <w:tcW w:w="1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48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0"/>
        </w:trPr>
        <w:tc>
          <w:tcPr>
            <w:tcW w:w="4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2020 for information concerning terms, restrictions and covenants pertaining to our subsidiaries’ debt. As of September 30, 2021, all of our subsidiaries were in compliance with all debt covenants.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segments have additional borrowing availability under certain revolving credit facilities as summarized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2021</w:t>
            </w:r>
          </w:p>
        </w:tc>
      </w:tr>
      <w:tr>
        <w:trPr>
          <w:trHeight w:val="142"/>
        </w:trPr>
        <w:tc>
          <w:tcPr>
            <w:tcW w:w="7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(in millions)</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9"/>
        </w:trPr>
        <w:tc>
          <w:tcPr>
            <w:tcW w:w="7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170" w:lineRule="exact"/>
        <w:rPr>
          <w:sz w:val="20"/>
          <w:szCs w:val="20"/>
          <w:color w:val="auto"/>
        </w:rPr>
      </w:pPr>
    </w:p>
    <w:p>
      <w:pPr>
        <w:ind w:left="60" w:right="359" w:firstLine="324"/>
        <w:spacing w:after="0" w:line="291" w:lineRule="auto"/>
        <w:rPr>
          <w:sz w:val="20"/>
          <w:szCs w:val="20"/>
          <w:color w:val="auto"/>
        </w:rPr>
      </w:pPr>
      <w:r>
        <w:rPr>
          <w:rFonts w:ascii="Arial" w:cs="Arial" w:eastAsia="Arial" w:hAnsi="Arial"/>
          <w:sz w:val="16"/>
          <w:szCs w:val="16"/>
          <w:color w:val="auto"/>
        </w:rPr>
        <w:t>In June 2021, CVR Partners issued $550 million in aggregate principal amount of 6.125% senior secured notes due 2028. Proceeds from these notes were used to fund a partial redemption of its existing 9.25% senior secured notes due</w:t>
      </w:r>
    </w:p>
    <w:p>
      <w:pPr>
        <w:ind w:left="60" w:right="99"/>
        <w:spacing w:after="0" w:line="287" w:lineRule="auto"/>
        <w:rPr>
          <w:sz w:val="20"/>
          <w:szCs w:val="20"/>
          <w:color w:val="auto"/>
        </w:rPr>
      </w:pPr>
      <w:r>
        <w:rPr>
          <w:rFonts w:ascii="Arial" w:cs="Arial" w:eastAsia="Arial" w:hAnsi="Arial"/>
          <w:sz w:val="16"/>
          <w:szCs w:val="16"/>
          <w:color w:val="auto"/>
        </w:rPr>
        <w:t>2023. These senior secured notes issued by CVR Partners are guaranteed on a senior secured basis by all of CVR Partners’ existing domestic subsidiaries, excluding CVR Nitrogen Finance Corporation. The indenture governing these notes contain certain covenants that restrict the ability of the issuers and their restricted subsidiaries from incurring additional debt or issuing certain disqualified equity, create liens on certain assets to secure debt, pay dividends/distributions or make other equity distributions, purchase or redeem capital stock/common units, make certain investments, transfer and sell assets, agree to certain restrictions on the ability of restricted subsidiaries to make distributions, loans, or other asset transfers to the issuers, consolidate, merge, sell, or otherwise dispose of all or substantially all of their assets, engage in transactions with affiliates and designate restricted subsidiaries as unrestricted subsidiaries.</w:t>
      </w:r>
    </w:p>
    <w:p>
      <w:pPr>
        <w:spacing w:after="0" w:line="170" w:lineRule="exact"/>
        <w:rPr>
          <w:sz w:val="20"/>
          <w:szCs w:val="20"/>
          <w:color w:val="auto"/>
        </w:rPr>
      </w:pPr>
    </w:p>
    <w:p>
      <w:pPr>
        <w:jc w:val="both"/>
        <w:ind w:left="60" w:right="279" w:firstLine="324"/>
        <w:spacing w:after="0" w:line="277" w:lineRule="auto"/>
        <w:rPr>
          <w:sz w:val="20"/>
          <w:szCs w:val="20"/>
          <w:color w:val="auto"/>
        </w:rPr>
      </w:pPr>
      <w:r>
        <w:rPr>
          <w:rFonts w:ascii="Arial" w:cs="Arial" w:eastAsia="Arial" w:hAnsi="Arial"/>
          <w:sz w:val="18"/>
          <w:szCs w:val="18"/>
          <w:color w:val="auto"/>
        </w:rPr>
        <w:t>In August 2021, all of our Automotive segment’s outstanding credit facility was repaid in full in the amount of $350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Dividends</w:t>
      </w:r>
    </w:p>
    <w:p>
      <w:pPr>
        <w:spacing w:after="0" w:line="225" w:lineRule="exact"/>
        <w:rPr>
          <w:sz w:val="20"/>
          <w:szCs w:val="20"/>
          <w:color w:val="auto"/>
        </w:rPr>
      </w:pPr>
    </w:p>
    <w:p>
      <w:pPr>
        <w:jc w:val="both"/>
        <w:ind w:left="60" w:right="299" w:firstLine="324"/>
        <w:spacing w:after="0" w:line="311" w:lineRule="auto"/>
        <w:rPr>
          <w:sz w:val="20"/>
          <w:szCs w:val="20"/>
          <w:color w:val="auto"/>
        </w:rPr>
      </w:pPr>
      <w:r>
        <w:rPr>
          <w:rFonts w:ascii="Arial" w:cs="Arial" w:eastAsia="Arial" w:hAnsi="Arial"/>
          <w:sz w:val="16"/>
          <w:szCs w:val="16"/>
          <w:color w:val="auto"/>
        </w:rPr>
        <w:t>In the second quarter of 2021, our Energy segment paid a special dividend, which was comprised of $241 million in cash as well as the common stock of an equity investment with a fair value of $251 million. Our portion of the dividend included $171 million in cash and the common stock of an equity investment with a fair value of $177 million.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addition, in the third quarter of 2021, our Energy segment had distributions to non-controlling interests of $11 million as a result of a distribution paid by CVR Partners to its common unit holders.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6"/>
          <w:szCs w:val="16"/>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w:t>
      </w:r>
    </w:p>
    <w:p>
      <w:pPr>
        <w:spacing w:after="0" w:line="1" w:lineRule="exact"/>
        <w:rPr>
          <w:sz w:val="20"/>
          <w:szCs w:val="20"/>
          <w:color w:val="auto"/>
        </w:rPr>
      </w:pPr>
    </w:p>
    <w:p>
      <w:pPr>
        <w:ind w:left="60" w:right="299"/>
        <w:spacing w:after="0" w:line="255" w:lineRule="auto"/>
        <w:rPr>
          <w:sz w:val="20"/>
          <w:szCs w:val="20"/>
          <w:color w:val="auto"/>
        </w:rPr>
      </w:pPr>
      <w:r>
        <w:rPr>
          <w:rFonts w:ascii="Arial" w:cs="Arial" w:eastAsia="Arial" w:hAnsi="Arial"/>
          <w:sz w:val="18"/>
          <w:szCs w:val="18"/>
          <w:color w:val="auto"/>
        </w:rPr>
        <w:t>Repurchases, if any, including the timing, price and amount, may be made at the discretion of CVR Energy management and CVR Energy is not obligated to make any repurchases. CVR Energy did not repurchase any shares of its common stock as of September 30, 2021.</w:t>
      </w:r>
    </w:p>
    <w:p>
      <w:pPr>
        <w:spacing w:after="0" w:line="190"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2021, CVR Partners repurchased common units on the open market at a cost of $1 million. As of September 30, 2021, CVR Partners has $12 million remaining under its unit repurchase program.</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issuances of equity by Icahn Enterprises.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165"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80" w:type="dxa"/>
            <w:vAlign w:val="bottom"/>
          </w:tcPr>
          <w:p>
            <w:pPr>
              <w:spacing w:after="0"/>
              <w:rPr>
                <w:sz w:val="14"/>
                <w:szCs w:val="14"/>
                <w:color w:val="auto"/>
              </w:rPr>
            </w:pPr>
          </w:p>
        </w:tc>
        <w:tc>
          <w:tcPr>
            <w:tcW w:w="27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2"/>
              </w:rPr>
              <w:t>Nine Months Ended September 30, 2020</w:t>
            </w: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7"/>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c>
          <w:tcPr>
            <w:tcW w:w="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Investing</w:t>
            </w:r>
          </w:p>
        </w:tc>
        <w:tc>
          <w:tcPr>
            <w:tcW w:w="1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Financing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Investing</w:t>
            </w:r>
          </w:p>
        </w:tc>
        <w:tc>
          <w:tcPr>
            <w:tcW w:w="12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Activities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Activities</w:t>
            </w:r>
          </w:p>
        </w:tc>
        <w:tc>
          <w:tcPr>
            <w:tcW w:w="2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ind w:right="415"/>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tcPr>
          <w:p>
            <w:pPr>
              <w:spacing w:after="0"/>
              <w:rPr>
                <w:sz w:val="18"/>
                <w:szCs w:val="18"/>
                <w:color w:val="auto"/>
              </w:rPr>
            </w:pPr>
          </w:p>
        </w:tc>
      </w:tr>
      <w:tr>
        <w:trPr>
          <w:trHeight w:val="216"/>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Operating Segments: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Metals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Home Fashion</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Pharma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operating segments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r>
      <w:tr>
        <w:trPr>
          <w:trHeight w:val="209"/>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before eliminations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0"/>
        </w:trPr>
        <w:tc>
          <w:tcPr>
            <w:tcW w:w="3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r>
      <w:tr>
        <w:trPr>
          <w:trHeight w:val="209"/>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Holding Company’s cash flows from operating activities for each of the nine months ended September 30, 2021 and 2020 were primarily attributable to our semi-annual interest payments on our senior unsecured notes. The decrease in interest payments over the comparable periods is primarily due to our recent debt transactions, which resulted in a lower weighted average interest rate over the comparable periods. Our Holding Company also had lower interest income and tax receipts during the nine months ended September 30, 2021 compared to the comparable prior year period.</w:t>
      </w:r>
    </w:p>
    <w:p>
      <w:pPr>
        <w:spacing w:after="0" w:line="16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Holding Company’s cash flows from investing activities for the nine months ended September 30, 2021 were primarily attributable to proceeds from the sale of equity investments and debt securities aggregating $396 million and dividends from our Energy segment of $171 million offset in part by a net investment in our Automotive segment of $405 million. Our Holding Company’s cash flows from investing activities for the nine months ended September 30, 2020 were primarily driven by an investment in the Investment Funds of $750 million (net of redemptions), our purchase of investments aggregating $177 million and net contributions and loans to our operating subsidiaries aggregating $63 million, including a net investment in our Automotive segment of $60 million. This was offset in part by net cash dividends and distributions from our Energy and Real Estate segments aggregating $124 million.</w:t>
      </w:r>
    </w:p>
    <w:p>
      <w:pPr>
        <w:spacing w:after="0" w:line="17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Holding Company’s cash flows from financing activities for the nine months ended September 30, 2021 were due to proceeds from our “at-the-market” offering offset in part by aggregate payments on our quarterly distributions. Our Holding Company’s cash flows from financing activities for the nine months ended September 30, 2020 were primarily due to aggregate payments on our quarterly distributions and the effects of certain debt refinancing transactions, which included the repayment of certain senior unsecured notes in January 2020 using proceeds from senior unsecured note issuances in December 2019. This was offset in part by proceeds from our “at-the-market” offering.</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159" w:firstLine="324"/>
        <w:spacing w:after="0" w:line="279" w:lineRule="auto"/>
        <w:rPr>
          <w:sz w:val="20"/>
          <w:szCs w:val="20"/>
          <w:color w:val="auto"/>
        </w:rPr>
      </w:pPr>
      <w:r>
        <w:rPr>
          <w:rFonts w:ascii="Arial" w:cs="Arial" w:eastAsia="Arial" w:hAnsi="Arial"/>
          <w:sz w:val="17"/>
          <w:szCs w:val="17"/>
          <w:color w:val="auto"/>
        </w:rPr>
        <w:t>Our Investment segment’s cash flows from financing activities for the nine months ended September 30, 2021 were attributable to Brett Icahn’s contribution to the Funds of $62 million. Our Investment segment’s cash flows from financing activities for the nine months ended September 30, 2020 were attributable to our investment in the Investment Funds of $750 million, net of redemptions, and $1 million from Mr. Icahn and his affiliates (excluding us).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Our other operating segments’ cash flows from operating activities included net cash flows from operating activities before changes in operating assets and liabilities of $137 million and $6 million for the nine months ended September 30, 2021 and 2020, respectively, primarily due to the results of our Energy and Automotive segments for each period. Changes in working capital for each period was $170 million and $72 million, with the improvement primarily attributable to our Energy segment. Our Energy segment’s working capital improved over the comparable periods primarily due to the increase in crude oil prices during 2021 and increases in its open RFS position.</w:t>
      </w:r>
    </w:p>
    <w:p>
      <w:pPr>
        <w:spacing w:after="0" w:line="178"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Our other operating segments’ cash flows from investing activities were primarily due to the purchase of investments of zero in 2021 compared to $140 million in 2020 and due to capital expenditures of $239 million in 2021,</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primarily for our Energy segment’s RDU project, and $153 million in 2020, primarily within our Energy and Automotive segments for both periods. In addition, our Energy segment acquired a pipeline for cash consideration of $20 million in the first quarter of 2021.</w:t>
      </w:r>
    </w:p>
    <w:p>
      <w:pPr>
        <w:spacing w:after="0" w:line="184"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Our other operating segments’ cash flows from financing activities were primarily due to net debt transactions. In 2020, our Energy segment had net proceeds from senior debt transactions of $500 million. In addition, our other operating segments also had net contributions from our Holding Company aggregating $235 million for the nine months ended September 30, 2021 compared to net distributions aggregating $61 million for the nine months ended September 30, 2020, as described above. For the nine months ended September 30, 2021 and 2020, our Energy segment had distributions to non-controlling interests of $81 million and $36 million,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739" w:firstLine="324"/>
        <w:spacing w:after="0" w:line="342" w:lineRule="auto"/>
        <w:rPr>
          <w:sz w:val="20"/>
          <w:szCs w:val="20"/>
          <w:color w:val="auto"/>
        </w:rPr>
      </w:pPr>
      <w:r>
        <w:rPr>
          <w:rFonts w:ascii="Arial" w:cs="Arial" w:eastAsia="Arial" w:hAnsi="Arial"/>
          <w:sz w:val="16"/>
          <w:szCs w:val="16"/>
          <w:color w:val="auto"/>
        </w:rPr>
        <w:t>There have been no material changes to our planned capital expenditures as compared to the estimated capital expenditures for 2021 reported in our Annual Report on Form 10-K for the year ended December 31,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2020.</w:t>
      </w:r>
    </w:p>
    <w:p>
      <w:pPr>
        <w:spacing w:after="0" w:line="188" w:lineRule="exact"/>
        <w:rPr>
          <w:sz w:val="20"/>
          <w:szCs w:val="20"/>
          <w:color w:val="auto"/>
        </w:rPr>
      </w:pPr>
    </w:p>
    <w:p>
      <w:pPr>
        <w:jc w:val="both"/>
        <w:ind w:left="60" w:right="259" w:firstLine="324"/>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during the nine months ended September 30, 2021 as compared to those reported in our Annual Report on Form 10-K for the year ended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2021, we estimate that in the event of a 10% adverse change in the fair value of these investments, the fair values of securities owned, securities sold, not yet purchased and derivatives would be negatively impacted by approximately $965 million, $496 million and $505 million, respectively. However, as of September 30, 2021, we estimate that the impact to our share of the net gain (loss) from investment activities reported in our condensed consolidated statement of operations would be less than the change in fair value since we have an interest of approximately 45% in the Investment Funds.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color w:val="auto"/>
        </w:rPr>
        <w:t>As of September 30, 2021,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16, there were no material changes to our lawsuits and proceedings as compared to those reported in our Annual Report on Form 10-K for the year ended December 31,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There were no material changes to our risk factors during the nine months ended September 30, 2021 as compared to those reported in our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or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We do not have a publicly announced repurchase plan or program in effect. The table below summarizes other repurchases of our depositary units during the quarter ended September 30, 2021, all of which represent units withheld to pay taxes on the vesting of restricted depositary units.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Number of Units</w:t>
            </w:r>
          </w:p>
        </w:tc>
        <w:tc>
          <w:tcPr>
            <w:tcW w:w="1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Average Price</w:t>
            </w:r>
          </w:p>
        </w:tc>
      </w:tr>
      <w:tr>
        <w:trPr>
          <w:trHeight w:val="210"/>
        </w:trPr>
        <w:tc>
          <w:tcPr>
            <w:tcW w:w="23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Repurchased</w:t>
            </w:r>
          </w:p>
        </w:tc>
        <w:tc>
          <w:tcPr>
            <w:tcW w:w="10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Per Unit</w:t>
            </w:r>
          </w:p>
        </w:tc>
      </w:tr>
      <w:tr>
        <w:trPr>
          <w:trHeight w:val="192"/>
        </w:trPr>
        <w:tc>
          <w:tcPr>
            <w:tcW w:w="2340" w:type="dxa"/>
            <w:vAlign w:val="bottom"/>
          </w:tcPr>
          <w:p>
            <w:pPr>
              <w:spacing w:after="0"/>
              <w:rPr>
                <w:sz w:val="20"/>
                <w:szCs w:val="20"/>
                <w:color w:val="auto"/>
              </w:rPr>
            </w:pPr>
            <w:r>
              <w:rPr>
                <w:rFonts w:ascii="Arial" w:cs="Arial" w:eastAsia="Arial" w:hAnsi="Arial"/>
                <w:sz w:val="16"/>
                <w:szCs w:val="16"/>
                <w:color w:val="auto"/>
              </w:rPr>
              <w:t>July 1 through July 31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August 1 through August 31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340" w:type="dxa"/>
            <w:vAlign w:val="bottom"/>
          </w:tcPr>
          <w:p>
            <w:pPr>
              <w:spacing w:after="0"/>
              <w:rPr>
                <w:sz w:val="20"/>
                <w:szCs w:val="20"/>
                <w:color w:val="auto"/>
              </w:rPr>
            </w:pPr>
            <w:r>
              <w:rPr>
                <w:rFonts w:ascii="Arial" w:cs="Arial" w:eastAsia="Arial" w:hAnsi="Arial"/>
                <w:sz w:val="16"/>
                <w:szCs w:val="16"/>
                <w:color w:val="auto"/>
                <w:w w:val="90"/>
              </w:rPr>
              <w:t>September 1 through September 30</w:t>
            </w:r>
          </w:p>
        </w:tc>
        <w:tc>
          <w:tcPr>
            <w:tcW w:w="1180" w:type="dxa"/>
            <w:vAlign w:val="bottom"/>
          </w:tcPr>
          <w:p>
            <w:pPr>
              <w:jc w:val="right"/>
              <w:spacing w:after="0"/>
              <w:rPr>
                <w:sz w:val="20"/>
                <w:szCs w:val="20"/>
                <w:color w:val="auto"/>
              </w:rPr>
            </w:pPr>
            <w:r>
              <w:rPr>
                <w:rFonts w:ascii="Arial" w:cs="Arial" w:eastAsia="Arial" w:hAnsi="Arial"/>
                <w:sz w:val="16"/>
                <w:szCs w:val="16"/>
                <w:color w:val="auto"/>
              </w:rPr>
              <w:t>15,688</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-389890</wp:posOffset>
            </wp:positionV>
            <wp:extent cx="56489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-124460</wp:posOffset>
            </wp:positionV>
            <wp:extent cx="564896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r>
      <w:tr>
        <w:trPr>
          <w:trHeight w:val="202"/>
        </w:trPr>
        <w:tc>
          <w:tcPr>
            <w:tcW w:w="2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Total Number of Units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4"/>
              </w:rPr>
              <w:t>(or Approximate Dollar</w:t>
            </w:r>
          </w:p>
        </w:tc>
      </w:tr>
      <w:tr>
        <w:trPr>
          <w:trHeight w:val="203"/>
        </w:trPr>
        <w:tc>
          <w:tcPr>
            <w:tcW w:w="2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Purchased as Part of</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3"/>
              </w:rPr>
              <w:t>Value) of Units that May</w:t>
            </w:r>
          </w:p>
        </w:tc>
      </w:tr>
      <w:tr>
        <w:trPr>
          <w:trHeight w:val="203"/>
        </w:trPr>
        <w:tc>
          <w:tcPr>
            <w:tcW w:w="2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Publicly Announced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be Purchased Under the</w:t>
            </w:r>
          </w:p>
        </w:tc>
      </w:tr>
      <w:tr>
        <w:trPr>
          <w:trHeight w:val="213"/>
        </w:trPr>
        <w:tc>
          <w:tcPr>
            <w:tcW w:w="2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Plans or Programs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Plans or Programs</w:t>
            </w:r>
          </w:p>
        </w:tc>
      </w:tr>
      <w:tr>
        <w:trPr>
          <w:trHeight w:val="189"/>
        </w:trPr>
        <w:tc>
          <w:tcPr>
            <w:tcW w:w="1820" w:type="dxa"/>
            <w:vAlign w:val="bottom"/>
            <w:tcBorders>
              <w:top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40" w:type="dxa"/>
            <w:vAlign w:val="bottom"/>
            <w:tcBorders>
              <w:top w:val="single" w:sz="8" w:color="auto"/>
            </w:tcBorders>
          </w:tcPr>
          <w:p>
            <w:pPr>
              <w:ind w:left="1640"/>
              <w:spacing w:after="0"/>
              <w:rPr>
                <w:sz w:val="20"/>
                <w:szCs w:val="20"/>
                <w:color w:val="auto"/>
              </w:rPr>
            </w:pPr>
            <w:r>
              <w:rPr>
                <w:rFonts w:ascii="Arial" w:cs="Arial" w:eastAsia="Arial" w:hAnsi="Arial"/>
                <w:sz w:val="16"/>
                <w:szCs w:val="16"/>
                <w:color w:val="auto"/>
              </w:rPr>
              <w:t>—</w:t>
            </w:r>
          </w:p>
        </w:tc>
      </w:tr>
      <w:tr>
        <w:trPr>
          <w:trHeight w:val="203"/>
        </w:trPr>
        <w:tc>
          <w:tcPr>
            <w:tcW w:w="200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40" w:type="dxa"/>
            <w:vAlign w:val="bottom"/>
          </w:tcPr>
          <w:p>
            <w:pPr>
              <w:ind w:left="1640"/>
              <w:spacing w:after="0"/>
              <w:rPr>
                <w:sz w:val="20"/>
                <w:szCs w:val="20"/>
                <w:color w:val="auto"/>
              </w:rPr>
            </w:pPr>
            <w:r>
              <w:rPr>
                <w:rFonts w:ascii="Arial" w:cs="Arial" w:eastAsia="Arial" w:hAnsi="Arial"/>
                <w:sz w:val="16"/>
                <w:szCs w:val="16"/>
                <w:color w:val="auto"/>
              </w:rPr>
              <w:t>—</w:t>
            </w:r>
          </w:p>
        </w:tc>
      </w:tr>
      <w:tr>
        <w:trPr>
          <w:trHeight w:val="206"/>
        </w:trPr>
        <w:tc>
          <w:tcPr>
            <w:tcW w:w="200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40" w:type="dxa"/>
            <w:vAlign w:val="bottom"/>
          </w:tcPr>
          <w:p>
            <w:pPr>
              <w:ind w:left="164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2">
            <w:col w:w="4920" w:space="180"/>
            <w:col w:w="3919"/>
          </w:cols>
          <w:pgMar w:left="1440" w:top="517"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Item 6. Exhibits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0" w:type="dxa"/>
            <w:vAlign w:val="bottom"/>
            <w:gridSpan w:val="6"/>
          </w:tcPr>
          <w:p>
            <w:pPr>
              <w:ind w:left="2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0" w:type="dxa"/>
            <w:vAlign w:val="bottom"/>
            <w:gridSpan w:val="7"/>
          </w:tcPr>
          <w:p>
            <w:pPr>
              <w:spacing w:after="0" w:line="169"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Certification of Chief Executive Officer pursuant to Section 302(a) of the Sarbanes-Oxley Act of 2002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and Rule 13a-14(a) of the Securities Exchange Act of 1934.</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Certification of Chief Financial Officer pursuant to Section 302(a) of the Sarbanes-Oxley Act of 2002</w:t>
              </w:r>
            </w:hyperlink>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and Rule 13a-14(a) of the Securities Exchange Act of 1934.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7"/>
          </w:tcPr>
          <w:p>
            <w:pP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Certification of Chief Executive Officer and Chief Financial Officer pursuant to Section 906 of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Sarbanes-Oxley Act of 2002 (18 U.S.C. 1350) and Rule 13a-14(b) of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7">
              <w:r>
                <w:rPr>
                  <w:rFonts w:ascii="Arial" w:cs="Arial" w:eastAsia="Arial" w:hAnsi="Arial"/>
                  <w:sz w:val="18"/>
                  <w:szCs w:val="18"/>
                  <w:color w:val="0000EE"/>
                  <w:w w:val="84"/>
                </w:rPr>
                <w:t>1934.</w:t>
              </w:r>
            </w:hyperlink>
          </w:p>
        </w:tc>
        <w:tc>
          <w:tcPr>
            <w:tcW w:w="390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1"/>
                <w:szCs w:val="21"/>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40" w:hanging="918"/>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Willetts,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2, 2021</w:t>
      </w: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Holdings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Willetts,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2,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Aris Kekedjian,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2021;</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/s/Aris Kekedjian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Aris Kekedjian</w:t>
      </w:r>
    </w:p>
    <w:p>
      <w:pPr>
        <w:spacing w:after="0" w:line="131" w:lineRule="exact"/>
        <w:rPr>
          <w:sz w:val="20"/>
          <w:szCs w:val="20"/>
          <w:color w:val="auto"/>
        </w:rPr>
      </w:pPr>
    </w:p>
    <w:p>
      <w:pPr>
        <w:jc w:val="both"/>
        <w:ind w:left="4120" w:right="8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Willetts,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2021;</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Willetts</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66" w:name="page67"/>
    <w:bookmarkEnd w:id="66"/>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September 30, 2021, the undersigned certify that, to the best of his knowledge, based upon a review of the Icahn Enterprises L.P. and Icahn Enterprises Holdings L.P. joint quarterly report on Form 10-Q for the period ended September 30, 2021:</w:t>
      </w:r>
    </w:p>
    <w:p>
      <w:pPr>
        <w:spacing w:after="0" w:line="187" w:lineRule="exact"/>
        <w:rPr>
          <w:sz w:val="20"/>
          <w:szCs w:val="20"/>
          <w:color w:val="auto"/>
        </w:rPr>
      </w:pPr>
    </w:p>
    <w:p>
      <w:pPr>
        <w:ind w:right="460" w:firstLine="321"/>
        <w:spacing w:after="0" w:line="277" w:lineRule="auto"/>
        <w:tabs>
          <w:tab w:leader="none" w:pos="5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registrants.</w:t>
      </w:r>
    </w:p>
    <w:p>
      <w:pPr>
        <w:spacing w:after="0" w:line="23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/s/Aris Kekedjian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6350</wp:posOffset>
            </wp:positionV>
            <wp:extent cx="34118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Aris Kekedjian</w:t>
      </w:r>
    </w:p>
    <w:p>
      <w:pPr>
        <w:spacing w:after="0" w:line="131" w:lineRule="exact"/>
        <w:rPr>
          <w:sz w:val="20"/>
          <w:szCs w:val="20"/>
          <w:color w:val="auto"/>
        </w:rPr>
      </w:pPr>
    </w:p>
    <w:p>
      <w:pPr>
        <w:jc w:val="both"/>
        <w:ind w:left="4080" w:right="12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Willetts</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Roman"/>
      <w:start w:val="3"/>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4"/>
    </w:lvl>
  </w:abstractNum>
  <w:abstractNum w:abstractNumId="8">
    <w:nsid w:val="1190CDE7"/>
    <w:multiLevelType w:val="hybridMultilevel"/>
    <w:lvl w:ilvl="0">
      <w:lvlJc w:val="left"/>
      <w:lvlText w:val="%1."/>
      <w:numFmt w:val="decimal"/>
      <w:start w:val="15"/>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2021-11-02T16:17:21Z</dcterms:created>
  <dcterms:modified xsi:type="dcterms:W3CDTF">2021-11-02T16:17:21Z</dcterms:modified>
</cp:coreProperties>
</file>