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 w:lineRule="exact"/>
        <w:rPr>
          <w:sz w:val="24"/>
          <w:szCs w:val="24"/>
          <w:color w:val="auto"/>
        </w:rPr>
      </w:pPr>
    </w:p>
    <w:p>
      <w:pPr>
        <w:ind w:left="3920" w:right="2060" w:hanging="3912"/>
        <w:spacing w:after="0" w:line="392" w:lineRule="auto"/>
        <w:tabs>
          <w:tab w:leader="none" w:pos="20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83" w:lineRule="exact"/>
        <w:rPr>
          <w:sz w:val="24"/>
          <w:szCs w:val="24"/>
          <w:color w:val="auto"/>
        </w:rPr>
      </w:pPr>
    </w:p>
    <w:p>
      <w:pPr>
        <w:ind w:left="4420" w:right="2040" w:hanging="4412"/>
        <w:spacing w:after="0" w:line="406" w:lineRule="auto"/>
        <w:tabs>
          <w:tab w:leader="none" w:pos="21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tbl>
      <w:tblPr>
        <w:tblLayout w:type="fixed"/>
        <w:tblInd w:w="0" w:type="dxa"/>
        <w:tblCellMar>
          <w:top w:w="0" w:type="dxa"/>
          <w:left w:w="0" w:type="dxa"/>
          <w:bottom w:w="0" w:type="dxa"/>
          <w:right w:w="0" w:type="dxa"/>
        </w:tblCellMar>
      </w:tblPr>
      <w:tr>
        <w:trPr>
          <w:trHeight w:val="150"/>
        </w:trPr>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tcPr>
          <w:p>
            <w:pPr>
              <w:jc w:val="center"/>
              <w:ind w:left="424"/>
              <w:spacing w:after="0" w:line="150" w:lineRule="exact"/>
              <w:rPr>
                <w:sz w:val="20"/>
                <w:szCs w:val="20"/>
                <w:color w:val="auto"/>
              </w:rPr>
            </w:pPr>
            <w:r>
              <w:rPr>
                <w:rFonts w:ascii="Arial" w:cs="Arial" w:eastAsia="Arial" w:hAnsi="Arial"/>
                <w:sz w:val="14"/>
                <w:szCs w:val="14"/>
                <w:color w:val="auto"/>
                <w:w w:val="92"/>
              </w:rPr>
              <w:t>(State or Other</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0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380" w:type="dxa"/>
            <w:vAlign w:val="bottom"/>
          </w:tcPr>
          <w:p>
            <w:pPr>
              <w:spacing w:after="0"/>
              <w:rPr>
                <w:sz w:val="12"/>
                <w:szCs w:val="12"/>
                <w:color w:val="auto"/>
              </w:rPr>
            </w:pPr>
          </w:p>
        </w:tc>
        <w:tc>
          <w:tcPr>
            <w:tcW w:w="1920" w:type="dxa"/>
            <w:vAlign w:val="bottom"/>
          </w:tcPr>
          <w:p>
            <w:pPr>
              <w:jc w:val="center"/>
              <w:ind w:left="424"/>
              <w:spacing w:after="0" w:line="149" w:lineRule="exact"/>
              <w:rPr>
                <w:sz w:val="20"/>
                <w:szCs w:val="20"/>
                <w:color w:val="auto"/>
              </w:rPr>
            </w:pPr>
            <w:r>
              <w:rPr>
                <w:rFonts w:ascii="Arial" w:cs="Arial" w:eastAsia="Arial" w:hAnsi="Arial"/>
                <w:sz w:val="14"/>
                <w:szCs w:val="14"/>
                <w:color w:val="auto"/>
                <w:w w:val="95"/>
              </w:rPr>
              <w:t>Jurisdiction of</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00" w:type="dxa"/>
            <w:vAlign w:val="bottom"/>
            <w:gridSpan w:val="5"/>
          </w:tcPr>
          <w:p>
            <w:pPr>
              <w:jc w:val="center"/>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380" w:type="dxa"/>
            <w:vAlign w:val="bottom"/>
          </w:tcPr>
          <w:p>
            <w:pPr>
              <w:spacing w:after="0"/>
              <w:rPr>
                <w:sz w:val="12"/>
                <w:szCs w:val="12"/>
                <w:color w:val="auto"/>
              </w:rPr>
            </w:pPr>
          </w:p>
        </w:tc>
        <w:tc>
          <w:tcPr>
            <w:tcW w:w="1920" w:type="dxa"/>
            <w:vAlign w:val="bottom"/>
          </w:tcPr>
          <w:p>
            <w:pPr>
              <w:jc w:val="center"/>
              <w:ind w:left="424"/>
              <w:spacing w:after="0" w:line="149" w:lineRule="exact"/>
              <w:rPr>
                <w:sz w:val="20"/>
                <w:szCs w:val="20"/>
                <w:color w:val="auto"/>
              </w:rPr>
            </w:pPr>
            <w:r>
              <w:rPr>
                <w:rFonts w:ascii="Arial" w:cs="Arial" w:eastAsia="Arial" w:hAnsi="Arial"/>
                <w:sz w:val="14"/>
                <w:szCs w:val="14"/>
                <w:color w:val="auto"/>
                <w:w w:val="95"/>
              </w:rPr>
              <w:t>Incorporation or</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6"/>
              </w:rPr>
              <w:t>(IRS Employer</w:t>
            </w:r>
          </w:p>
        </w:tc>
        <w:tc>
          <w:tcPr>
            <w:tcW w:w="0" w:type="dxa"/>
            <w:vAlign w:val="bottom"/>
          </w:tcPr>
          <w:p>
            <w:pPr>
              <w:spacing w:after="0"/>
              <w:rPr>
                <w:sz w:val="1"/>
                <w:szCs w:val="1"/>
                <w:color w:val="auto"/>
              </w:rPr>
            </w:pPr>
          </w:p>
        </w:tc>
      </w:tr>
      <w:tr>
        <w:trPr>
          <w:trHeight w:val="182"/>
        </w:trPr>
        <w:tc>
          <w:tcPr>
            <w:tcW w:w="3520" w:type="dxa"/>
            <w:vAlign w:val="bottom"/>
          </w:tcPr>
          <w:p>
            <w:pPr>
              <w:ind w:left="640"/>
              <w:spacing w:after="0"/>
              <w:rPr>
                <w:sz w:val="20"/>
                <w:szCs w:val="20"/>
                <w:color w:val="auto"/>
              </w:rPr>
            </w:pPr>
            <w:r>
              <w:rPr>
                <w:rFonts w:ascii="Arial" w:cs="Arial" w:eastAsia="Arial" w:hAnsi="Arial"/>
                <w:sz w:val="14"/>
                <w:szCs w:val="14"/>
                <w:color w:val="auto"/>
              </w:rPr>
              <w:t>(Commission File Number)</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3"/>
          </w:tcPr>
          <w:p>
            <w:pPr>
              <w:jc w:val="center"/>
              <w:ind w:right="840"/>
              <w:spacing w:after="0"/>
              <w:rPr>
                <w:sz w:val="20"/>
                <w:szCs w:val="20"/>
                <w:color w:val="auto"/>
              </w:rPr>
            </w:pPr>
            <w:r>
              <w:rPr>
                <w:rFonts w:ascii="Arial" w:cs="Arial" w:eastAsia="Arial" w:hAnsi="Arial"/>
                <w:sz w:val="14"/>
                <w:szCs w:val="14"/>
                <w:color w:val="auto"/>
                <w:w w:val="92"/>
              </w:rPr>
              <w:t>(Telephone Number)</w:t>
            </w:r>
          </w:p>
        </w:tc>
        <w:tc>
          <w:tcPr>
            <w:tcW w:w="380" w:type="dxa"/>
            <w:vAlign w:val="bottom"/>
          </w:tcPr>
          <w:p>
            <w:pPr>
              <w:spacing w:after="0"/>
              <w:rPr>
                <w:sz w:val="15"/>
                <w:szCs w:val="15"/>
                <w:color w:val="auto"/>
              </w:rPr>
            </w:pPr>
          </w:p>
        </w:tc>
        <w:tc>
          <w:tcPr>
            <w:tcW w:w="1920" w:type="dxa"/>
            <w:vAlign w:val="bottom"/>
          </w:tcPr>
          <w:p>
            <w:pPr>
              <w:jc w:val="center"/>
              <w:ind w:left="444"/>
              <w:spacing w:after="0"/>
              <w:rPr>
                <w:sz w:val="20"/>
                <w:szCs w:val="20"/>
                <w:color w:val="auto"/>
              </w:rPr>
            </w:pPr>
            <w:r>
              <w:rPr>
                <w:rFonts w:ascii="Arial" w:cs="Arial" w:eastAsia="Arial" w:hAnsi="Arial"/>
                <w:sz w:val="14"/>
                <w:szCs w:val="14"/>
                <w:color w:val="auto"/>
                <w:w w:val="95"/>
              </w:rPr>
              <w:t>Organization)</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312"/>
        </w:trPr>
        <w:tc>
          <w:tcPr>
            <w:tcW w:w="3520" w:type="dxa"/>
            <w:vAlign w:val="bottom"/>
          </w:tcPr>
          <w:p>
            <w:pPr>
              <w:jc w:val="right"/>
              <w:ind w:right="1780"/>
              <w:spacing w:after="0"/>
              <w:rPr>
                <w:sz w:val="20"/>
                <w:szCs w:val="20"/>
                <w:color w:val="auto"/>
              </w:rPr>
            </w:pPr>
            <w:r>
              <w:rPr>
                <w:rFonts w:ascii="Arial" w:cs="Arial" w:eastAsia="Arial" w:hAnsi="Arial"/>
                <w:sz w:val="16"/>
                <w:szCs w:val="16"/>
                <w:b w:val="1"/>
                <w:bCs w:val="1"/>
                <w:color w:val="auto"/>
              </w:rPr>
              <w:t>1-9516</w:t>
            </w:r>
          </w:p>
        </w:tc>
        <w:tc>
          <w:tcPr>
            <w:tcW w:w="200" w:type="dxa"/>
            <w:vAlign w:val="bottom"/>
          </w:tcPr>
          <w:p>
            <w:pPr>
              <w:spacing w:after="0"/>
              <w:rPr>
                <w:sz w:val="24"/>
                <w:szCs w:val="24"/>
                <w:color w:val="auto"/>
              </w:rPr>
            </w:pPr>
          </w:p>
        </w:tc>
        <w:tc>
          <w:tcPr>
            <w:tcW w:w="3900" w:type="dxa"/>
            <w:vAlign w:val="bottom"/>
            <w:gridSpan w:val="5"/>
          </w:tcPr>
          <w:p>
            <w:pPr>
              <w:jc w:val="center"/>
              <w:spacing w:after="0"/>
              <w:rPr>
                <w:sz w:val="20"/>
                <w:szCs w:val="20"/>
                <w:color w:val="auto"/>
              </w:rPr>
            </w:pPr>
            <w:r>
              <w:rPr>
                <w:rFonts w:ascii="Arial" w:cs="Arial" w:eastAsia="Arial" w:hAnsi="Arial"/>
                <w:sz w:val="23"/>
                <w:szCs w:val="23"/>
                <w:b w:val="1"/>
                <w:bCs w:val="1"/>
                <w:color w:val="auto"/>
              </w:rPr>
              <w:t>ICAHN ENTERPRISES L.P.</w:t>
            </w:r>
          </w:p>
        </w:tc>
        <w:tc>
          <w:tcPr>
            <w:tcW w:w="380" w:type="dxa"/>
            <w:vAlign w:val="bottom"/>
          </w:tcPr>
          <w:p>
            <w:pPr>
              <w:spacing w:after="0"/>
              <w:rPr>
                <w:sz w:val="24"/>
                <w:szCs w:val="24"/>
                <w:color w:val="auto"/>
              </w:rPr>
            </w:pPr>
          </w:p>
        </w:tc>
        <w:tc>
          <w:tcPr>
            <w:tcW w:w="1920" w:type="dxa"/>
            <w:vAlign w:val="bottom"/>
          </w:tcPr>
          <w:p>
            <w:pPr>
              <w:jc w:val="center"/>
              <w:ind w:left="424"/>
              <w:spacing w:after="0"/>
              <w:rPr>
                <w:sz w:val="20"/>
                <w:szCs w:val="20"/>
                <w:color w:val="auto"/>
              </w:rPr>
            </w:pPr>
            <w:r>
              <w:rPr>
                <w:rFonts w:ascii="Arial" w:cs="Arial" w:eastAsia="Arial" w:hAnsi="Arial"/>
                <w:sz w:val="16"/>
                <w:szCs w:val="16"/>
                <w:b w:val="1"/>
                <w:bCs w:val="1"/>
                <w:color w:val="auto"/>
                <w:w w:val="93"/>
              </w:rPr>
              <w:t>Delaware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13-3398766</w:t>
            </w: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1"/>
              </w:rPr>
              <w:t>767 Fifth Avenue, Suite 4700</w:t>
            </w: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5"/>
              </w:rPr>
              <w:t>New York, NY 10153</w:t>
            </w: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gridSpan w:val="3"/>
          </w:tcPr>
          <w:p>
            <w:pPr>
              <w:jc w:val="center"/>
              <w:ind w:left="616"/>
              <w:spacing w:after="0"/>
              <w:rPr>
                <w:sz w:val="20"/>
                <w:szCs w:val="20"/>
                <w:color w:val="auto"/>
              </w:rPr>
            </w:pPr>
            <w:r>
              <w:rPr>
                <w:rFonts w:ascii="Arial" w:cs="Arial" w:eastAsia="Arial" w:hAnsi="Arial"/>
                <w:sz w:val="16"/>
                <w:szCs w:val="16"/>
                <w:b w:val="1"/>
                <w:bCs w:val="1"/>
                <w:color w:val="auto"/>
                <w:w w:val="93"/>
              </w:rPr>
              <w:t>(212) 702-4300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1"/>
        </w:trPr>
        <w:tc>
          <w:tcPr>
            <w:tcW w:w="3520" w:type="dxa"/>
            <w:vAlign w:val="bottom"/>
          </w:tcPr>
          <w:p>
            <w:pPr>
              <w:jc w:val="right"/>
              <w:ind w:right="1500"/>
              <w:spacing w:after="0"/>
              <w:rPr>
                <w:sz w:val="20"/>
                <w:szCs w:val="20"/>
                <w:color w:val="auto"/>
              </w:rPr>
            </w:pPr>
            <w:r>
              <w:rPr>
                <w:rFonts w:ascii="Arial" w:cs="Arial" w:eastAsia="Arial" w:hAnsi="Arial"/>
                <w:sz w:val="16"/>
                <w:szCs w:val="16"/>
                <w:b w:val="1"/>
                <w:bCs w:val="1"/>
                <w:color w:val="auto"/>
              </w:rPr>
              <w:t>333-118021-01</w:t>
            </w:r>
          </w:p>
        </w:tc>
        <w:tc>
          <w:tcPr>
            <w:tcW w:w="4480" w:type="dxa"/>
            <w:vAlign w:val="bottom"/>
            <w:gridSpan w:val="7"/>
          </w:tcPr>
          <w:p>
            <w:pPr>
              <w:jc w:val="center"/>
              <w:ind w:right="79"/>
              <w:spacing w:after="0"/>
              <w:rPr>
                <w:sz w:val="20"/>
                <w:szCs w:val="20"/>
                <w:color w:val="auto"/>
              </w:rPr>
            </w:pPr>
            <w:r>
              <w:rPr>
                <w:rFonts w:ascii="Arial" w:cs="Arial" w:eastAsia="Arial" w:hAnsi="Arial"/>
                <w:sz w:val="23"/>
                <w:szCs w:val="23"/>
                <w:b w:val="1"/>
                <w:bCs w:val="1"/>
                <w:color w:val="auto"/>
              </w:rPr>
              <w:t>ICAHN ENTERPRISES HOLDINGS L.P.</w:t>
            </w:r>
          </w:p>
        </w:tc>
        <w:tc>
          <w:tcPr>
            <w:tcW w:w="1920" w:type="dxa"/>
            <w:vAlign w:val="bottom"/>
          </w:tcPr>
          <w:p>
            <w:pPr>
              <w:jc w:val="center"/>
              <w:ind w:left="424"/>
              <w:spacing w:after="0"/>
              <w:rPr>
                <w:sz w:val="20"/>
                <w:szCs w:val="20"/>
                <w:color w:val="auto"/>
              </w:rPr>
            </w:pPr>
            <w:r>
              <w:rPr>
                <w:rFonts w:ascii="Arial" w:cs="Arial" w:eastAsia="Arial" w:hAnsi="Arial"/>
                <w:sz w:val="16"/>
                <w:szCs w:val="16"/>
                <w:b w:val="1"/>
                <w:bCs w:val="1"/>
                <w:color w:val="auto"/>
                <w:w w:val="93"/>
              </w:rPr>
              <w:t>Delaware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13-3398767</w:t>
            </w: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1"/>
              </w:rPr>
              <w:t>767 Fifth Avenue, Suite 4700</w:t>
            </w: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5"/>
              </w:rPr>
              <w:t>New York, NY 10153</w:t>
            </w: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gridSpan w:val="3"/>
          </w:tcPr>
          <w:p>
            <w:pPr>
              <w:jc w:val="center"/>
              <w:ind w:left="616"/>
              <w:spacing w:after="0"/>
              <w:rPr>
                <w:sz w:val="20"/>
                <w:szCs w:val="20"/>
                <w:color w:val="auto"/>
              </w:rPr>
            </w:pPr>
            <w:r>
              <w:rPr>
                <w:rFonts w:ascii="Arial" w:cs="Arial" w:eastAsia="Arial" w:hAnsi="Arial"/>
                <w:sz w:val="16"/>
                <w:szCs w:val="16"/>
                <w:b w:val="1"/>
                <w:bCs w:val="1"/>
                <w:color w:val="auto"/>
                <w:w w:val="93"/>
              </w:rPr>
              <w:t>(212) 702-4300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0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520" w:type="dxa"/>
            <w:vAlign w:val="bottom"/>
          </w:tcPr>
          <w:p>
            <w:pPr>
              <w:jc w:val="center"/>
              <w:ind w:left="860"/>
              <w:spacing w:after="0"/>
              <w:rPr>
                <w:sz w:val="20"/>
                <w:szCs w:val="20"/>
                <w:color w:val="auto"/>
              </w:rPr>
            </w:pPr>
            <w:r>
              <w:rPr>
                <w:rFonts w:ascii="Arial" w:cs="Arial" w:eastAsia="Arial" w:hAnsi="Arial"/>
                <w:sz w:val="16"/>
                <w:szCs w:val="16"/>
                <w:b w:val="1"/>
                <w:bCs w:val="1"/>
                <w:color w:val="auto"/>
                <w:w w:val="91"/>
              </w:rPr>
              <w:t>Title of Each Class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2"/>
              </w:rPr>
              <w:t>Trading Symbol(s)</w:t>
            </w:r>
          </w:p>
        </w:tc>
        <w:tc>
          <w:tcPr>
            <w:tcW w:w="3800" w:type="dxa"/>
            <w:vAlign w:val="bottom"/>
            <w:gridSpan w:val="3"/>
          </w:tcPr>
          <w:p>
            <w:pPr>
              <w:jc w:val="center"/>
              <w:ind w:right="443"/>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jc w:val="center"/>
              <w:ind w:left="620"/>
              <w:spacing w:after="0"/>
              <w:rPr>
                <w:sz w:val="20"/>
                <w:szCs w:val="20"/>
                <w:color w:val="auto"/>
              </w:rPr>
            </w:pPr>
            <w:r>
              <w:rPr>
                <w:rFonts w:ascii="Arial" w:cs="Arial" w:eastAsia="Arial" w:hAnsi="Arial"/>
                <w:sz w:val="16"/>
                <w:szCs w:val="16"/>
                <w:color w:val="auto"/>
                <w:w w:val="92"/>
              </w:rPr>
              <w:t>Depositary Units of Icahn Enterprises L.P.</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3"/>
            <w:vMerge w:val="restart"/>
          </w:tcPr>
          <w:p>
            <w:pPr>
              <w:jc w:val="center"/>
              <w:ind w:right="640"/>
              <w:spacing w:after="0"/>
              <w:rPr>
                <w:sz w:val="20"/>
                <w:szCs w:val="20"/>
                <w:color w:val="auto"/>
              </w:rPr>
            </w:pPr>
            <w:r>
              <w:rPr>
                <w:rFonts w:ascii="Arial" w:cs="Arial" w:eastAsia="Arial" w:hAnsi="Arial"/>
                <w:sz w:val="16"/>
                <w:szCs w:val="16"/>
                <w:color w:val="auto"/>
                <w:w w:val="92"/>
              </w:rPr>
              <w:t>IEP</w:t>
            </w:r>
          </w:p>
        </w:tc>
        <w:tc>
          <w:tcPr>
            <w:tcW w:w="380" w:type="dxa"/>
            <w:vAlign w:val="bottom"/>
          </w:tcPr>
          <w:p>
            <w:pPr>
              <w:spacing w:after="0"/>
              <w:rPr>
                <w:sz w:val="18"/>
                <w:szCs w:val="18"/>
                <w:color w:val="auto"/>
              </w:rPr>
            </w:pPr>
          </w:p>
        </w:tc>
        <w:tc>
          <w:tcPr>
            <w:tcW w:w="3420" w:type="dxa"/>
            <w:vAlign w:val="bottom"/>
            <w:gridSpan w:val="2"/>
            <w:vMerge w:val="restart"/>
          </w:tcPr>
          <w:p>
            <w:pPr>
              <w:jc w:val="center"/>
              <w:ind w:right="783"/>
              <w:spacing w:after="0"/>
              <w:rPr>
                <w:sz w:val="20"/>
                <w:szCs w:val="20"/>
                <w:color w:val="auto"/>
              </w:rPr>
            </w:pPr>
            <w:r>
              <w:rPr>
                <w:rFonts w:ascii="Arial" w:cs="Arial" w:eastAsia="Arial" w:hAnsi="Arial"/>
                <w:sz w:val="16"/>
                <w:szCs w:val="16"/>
                <w:color w:val="auto"/>
                <w:w w:val="96"/>
              </w:rPr>
              <w:t>NASDAQ Global Select Market</w:t>
            </w:r>
          </w:p>
        </w:tc>
        <w:tc>
          <w:tcPr>
            <w:tcW w:w="0" w:type="dxa"/>
            <w:vAlign w:val="bottom"/>
          </w:tcPr>
          <w:p>
            <w:pPr>
              <w:spacing w:after="0"/>
              <w:rPr>
                <w:sz w:val="1"/>
                <w:szCs w:val="1"/>
                <w:color w:val="auto"/>
              </w:rPr>
            </w:pPr>
          </w:p>
        </w:tc>
      </w:tr>
      <w:tr>
        <w:trPr>
          <w:trHeight w:val="98"/>
        </w:trPr>
        <w:tc>
          <w:tcPr>
            <w:tcW w:w="3520" w:type="dxa"/>
            <w:vAlign w:val="bottom"/>
            <w:vMerge w:val="restart"/>
          </w:tcPr>
          <w:p>
            <w:pPr>
              <w:jc w:val="center"/>
              <w:ind w:left="880"/>
              <w:spacing w:after="0"/>
              <w:rPr>
                <w:sz w:val="20"/>
                <w:szCs w:val="20"/>
                <w:color w:val="auto"/>
              </w:rPr>
            </w:pPr>
            <w:r>
              <w:rPr>
                <w:rFonts w:ascii="Arial" w:cs="Arial" w:eastAsia="Arial" w:hAnsi="Arial"/>
                <w:sz w:val="16"/>
                <w:szCs w:val="16"/>
                <w:color w:val="auto"/>
                <w:w w:val="91"/>
              </w:rPr>
              <w:t>Representing Limited Partner Interests</w:t>
            </w: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3"/>
            <w:vMerge w:val="continue"/>
          </w:tcPr>
          <w:p>
            <w:pPr>
              <w:spacing w:after="0"/>
              <w:rPr>
                <w:sz w:val="8"/>
                <w:szCs w:val="8"/>
                <w:color w:val="auto"/>
              </w:rPr>
            </w:pPr>
          </w:p>
        </w:tc>
        <w:tc>
          <w:tcPr>
            <w:tcW w:w="380" w:type="dxa"/>
            <w:vAlign w:val="bottom"/>
          </w:tcPr>
          <w:p>
            <w:pPr>
              <w:spacing w:after="0"/>
              <w:rPr>
                <w:sz w:val="8"/>
                <w:szCs w:val="8"/>
                <w:color w:val="auto"/>
              </w:rPr>
            </w:pPr>
          </w:p>
        </w:tc>
        <w:tc>
          <w:tcPr>
            <w:tcW w:w="3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right="180"/>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3120"/>
        <w:spacing w:after="0" w:line="184" w:lineRule="exact"/>
        <w:tabs>
          <w:tab w:leader="none" w:pos="6000" w:val="left"/>
        </w:tabs>
        <w:rPr>
          <w:sz w:val="20"/>
          <w:szCs w:val="20"/>
          <w:color w:val="auto"/>
        </w:rPr>
      </w:pPr>
      <w:r>
        <w:rPr>
          <w:rFonts w:ascii="Arial" w:cs="Arial" w:eastAsia="Arial" w:hAnsi="Arial"/>
          <w:sz w:val="16"/>
          <w:szCs w:val="16"/>
          <w:color w:val="auto"/>
        </w:rPr>
        <w:t xml:space="preserve">Icahn Enterprises L.P.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Icahn Enterprises Holdings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7" w:lineRule="exact"/>
        <w:rPr>
          <w:sz w:val="24"/>
          <w:szCs w:val="24"/>
          <w:color w:val="auto"/>
        </w:rPr>
      </w:pPr>
    </w:p>
    <w:p>
      <w:pPr>
        <w:ind w:right="580"/>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4" w:lineRule="exact"/>
        <w:rPr>
          <w:sz w:val="24"/>
          <w:szCs w:val="24"/>
          <w:color w:val="auto"/>
        </w:rPr>
      </w:pPr>
    </w:p>
    <w:p>
      <w:pPr>
        <w:ind w:left="3120"/>
        <w:spacing w:after="0" w:line="184" w:lineRule="exact"/>
        <w:tabs>
          <w:tab w:leader="none" w:pos="6000" w:val="left"/>
        </w:tabs>
        <w:rPr>
          <w:sz w:val="20"/>
          <w:szCs w:val="20"/>
          <w:color w:val="auto"/>
        </w:rPr>
      </w:pPr>
      <w:r>
        <w:rPr>
          <w:rFonts w:ascii="Arial" w:cs="Arial" w:eastAsia="Arial" w:hAnsi="Arial"/>
          <w:sz w:val="16"/>
          <w:szCs w:val="16"/>
          <w:color w:val="auto"/>
        </w:rPr>
        <w:t xml:space="preserve">Icahn Enterprises L.P.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Icahn Enterprises Holdings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0" w:lineRule="exact"/>
        <w:rPr>
          <w:sz w:val="24"/>
          <w:szCs w:val="24"/>
          <w:color w:val="auto"/>
        </w:rPr>
      </w:pPr>
    </w:p>
    <w:p>
      <w:pPr>
        <w:ind w:right="6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104" w:lineRule="exact"/>
        <w:rPr>
          <w:sz w:val="24"/>
          <w:szCs w:val="24"/>
          <w:color w:val="auto"/>
        </w:rPr>
      </w:pPr>
    </w:p>
    <w:tbl>
      <w:tblPr>
        <w:tblLayout w:type="fixed"/>
        <w:tblInd w:w="86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8"/>
              </w:rPr>
              <w:t>Icahn Enterprises L.P.</w:t>
            </w: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1"/>
              </w:rPr>
              <w:t>Icahn Enterprises Holdings L.P.</w:t>
            </w:r>
          </w:p>
        </w:tc>
        <w:tc>
          <w:tcPr>
            <w:tcW w:w="1660" w:type="dxa"/>
            <w:vAlign w:val="bottom"/>
          </w:tcPr>
          <w:p>
            <w:pPr>
              <w:spacing w:after="0"/>
              <w:rPr>
                <w:sz w:val="16"/>
                <w:szCs w:val="16"/>
                <w:color w:val="auto"/>
              </w:rPr>
            </w:pPr>
          </w:p>
        </w:tc>
      </w:tr>
      <w:tr>
        <w:trPr>
          <w:trHeight w:val="473"/>
        </w:trPr>
        <w:tc>
          <w:tcPr>
            <w:tcW w:w="2160" w:type="dxa"/>
            <w:vAlign w:val="bottom"/>
            <w:gridSpan w:val="2"/>
          </w:tcPr>
          <w:p>
            <w:pPr>
              <w:jc w:val="right"/>
              <w:ind w:right="319"/>
              <w:spacing w:after="0" w:line="414" w:lineRule="exact"/>
              <w:rPr>
                <w:sz w:val="20"/>
                <w:szCs w:val="20"/>
                <w:color w:val="auto"/>
              </w:rPr>
            </w:pPr>
            <w:r>
              <w:rPr>
                <w:rFonts w:ascii="Arial" w:cs="Arial" w:eastAsia="Arial" w:hAnsi="Arial"/>
                <w:sz w:val="16"/>
                <w:szCs w:val="16"/>
                <w:color w:val="auto"/>
                <w:w w:val="89"/>
              </w:rPr>
              <w:t xml:space="preserve">Large Accelerated Filer </w:t>
            </w:r>
            <w:r>
              <w:rPr>
                <w:rFonts w:ascii="MS PGothic" w:cs="MS PGothic" w:eastAsia="MS PGothic" w:hAnsi="MS PGothic"/>
                <w:sz w:val="36"/>
                <w:szCs w:val="36"/>
                <w:color w:val="auto"/>
                <w:w w:val="89"/>
                <w:vertAlign w:val="subscript"/>
              </w:rPr>
              <w:t>☒</w:t>
            </w:r>
          </w:p>
        </w:tc>
        <w:tc>
          <w:tcPr>
            <w:tcW w:w="520" w:type="dxa"/>
            <w:vAlign w:val="bottom"/>
          </w:tcPr>
          <w:p>
            <w:pPr>
              <w:spacing w:after="0"/>
              <w:rPr>
                <w:sz w:val="24"/>
                <w:szCs w:val="24"/>
                <w:color w:val="auto"/>
              </w:rPr>
            </w:pPr>
          </w:p>
        </w:tc>
        <w:tc>
          <w:tcPr>
            <w:tcW w:w="2540" w:type="dxa"/>
            <w:vAlign w:val="bottom"/>
          </w:tcPr>
          <w:p>
            <w:pPr>
              <w:ind w:left="280"/>
              <w:spacing w:after="0" w:line="41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36"/>
                <w:szCs w:val="36"/>
                <w:color w:val="auto"/>
                <w:vertAlign w:val="subscript"/>
              </w:rPr>
              <w:t>☐</w:t>
            </w:r>
          </w:p>
        </w:tc>
        <w:tc>
          <w:tcPr>
            <w:tcW w:w="2740" w:type="dxa"/>
            <w:vAlign w:val="bottom"/>
            <w:gridSpan w:val="2"/>
          </w:tcPr>
          <w:p>
            <w:pPr>
              <w:jc w:val="right"/>
              <w:ind w:right="299"/>
              <w:spacing w:after="0" w:line="41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6"/>
                <w:szCs w:val="36"/>
                <w:color w:val="auto"/>
                <w:vertAlign w:val="subscript"/>
              </w:rPr>
              <w:t>☐</w:t>
            </w:r>
          </w:p>
        </w:tc>
        <w:tc>
          <w:tcPr>
            <w:tcW w:w="2460" w:type="dxa"/>
            <w:vAlign w:val="bottom"/>
            <w:gridSpan w:val="2"/>
          </w:tcPr>
          <w:p>
            <w:pPr>
              <w:ind w:left="780"/>
              <w:spacing w:after="0" w:line="41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36"/>
                <w:szCs w:val="36"/>
                <w:color w:val="auto"/>
                <w:vertAlign w:val="subscript"/>
              </w:rPr>
              <w:t>☐</w:t>
            </w:r>
          </w:p>
        </w:tc>
      </w:tr>
      <w:tr>
        <w:trPr>
          <w:trHeight w:val="415"/>
        </w:trPr>
        <w:tc>
          <w:tcPr>
            <w:tcW w:w="2160" w:type="dxa"/>
            <w:vAlign w:val="bottom"/>
            <w:gridSpan w:val="2"/>
          </w:tcPr>
          <w:p>
            <w:pPr>
              <w:jc w:val="right"/>
              <w:ind w:right="319"/>
              <w:spacing w:after="0" w:line="414" w:lineRule="exact"/>
              <w:rPr>
                <w:sz w:val="20"/>
                <w:szCs w:val="20"/>
                <w:color w:val="auto"/>
              </w:rPr>
            </w:pPr>
            <w:r>
              <w:rPr>
                <w:rFonts w:ascii="Arial" w:cs="Arial" w:eastAsia="Arial" w:hAnsi="Arial"/>
                <w:sz w:val="16"/>
                <w:szCs w:val="16"/>
                <w:color w:val="auto"/>
                <w:w w:val="95"/>
              </w:rPr>
              <w:t xml:space="preserve">Non-accelerated Filer </w:t>
            </w:r>
            <w:r>
              <w:rPr>
                <w:rFonts w:ascii="MS PGothic" w:cs="MS PGothic" w:eastAsia="MS PGothic" w:hAnsi="MS PGothic"/>
                <w:sz w:val="36"/>
                <w:szCs w:val="36"/>
                <w:color w:val="auto"/>
                <w:w w:val="95"/>
                <w:vertAlign w:val="subscript"/>
              </w:rPr>
              <w:t>☐</w:t>
            </w:r>
          </w:p>
        </w:tc>
        <w:tc>
          <w:tcPr>
            <w:tcW w:w="3060" w:type="dxa"/>
            <w:vAlign w:val="bottom"/>
            <w:gridSpan w:val="2"/>
          </w:tcPr>
          <w:p>
            <w:pPr>
              <w:ind w:left="400"/>
              <w:spacing w:after="0" w:line="41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36"/>
                <w:szCs w:val="36"/>
                <w:color w:val="auto"/>
                <w:vertAlign w:val="subscript"/>
              </w:rPr>
              <w:t>☐</w:t>
            </w:r>
          </w:p>
        </w:tc>
        <w:tc>
          <w:tcPr>
            <w:tcW w:w="2740" w:type="dxa"/>
            <w:vAlign w:val="bottom"/>
            <w:gridSpan w:val="2"/>
          </w:tcPr>
          <w:p>
            <w:pPr>
              <w:jc w:val="right"/>
              <w:ind w:right="299"/>
              <w:spacing w:after="0" w:line="207"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8"/>
                <w:szCs w:val="18"/>
                <w:color w:val="auto"/>
              </w:rPr>
              <w:t>☒</w:t>
            </w:r>
          </w:p>
        </w:tc>
        <w:tc>
          <w:tcPr>
            <w:tcW w:w="2460" w:type="dxa"/>
            <w:vAlign w:val="bottom"/>
            <w:gridSpan w:val="2"/>
          </w:tcPr>
          <w:p>
            <w:pPr>
              <w:ind w:left="380"/>
              <w:spacing w:after="0" w:line="414" w:lineRule="exact"/>
              <w:rPr>
                <w:sz w:val="20"/>
                <w:szCs w:val="20"/>
                <w:color w:val="auto"/>
              </w:rPr>
            </w:pPr>
            <w:r>
              <w:rPr>
                <w:rFonts w:ascii="Arial" w:cs="Arial" w:eastAsia="Arial" w:hAnsi="Arial"/>
                <w:sz w:val="16"/>
                <w:szCs w:val="16"/>
                <w:color w:val="auto"/>
                <w:w w:val="89"/>
              </w:rPr>
              <w:t xml:space="preserve">Smaller Reporting Company </w:t>
            </w:r>
            <w:r>
              <w:rPr>
                <w:rFonts w:ascii="MS PGothic" w:cs="MS PGothic" w:eastAsia="MS PGothic" w:hAnsi="MS PGothic"/>
                <w:sz w:val="36"/>
                <w:szCs w:val="36"/>
                <w:color w:val="auto"/>
                <w:w w:val="89"/>
                <w:vertAlign w:val="subscript"/>
              </w:rPr>
              <w:t>☐</w:t>
            </w:r>
          </w:p>
        </w:tc>
      </w:tr>
      <w:tr>
        <w:trPr>
          <w:trHeight w:val="419"/>
        </w:trPr>
        <w:tc>
          <w:tcPr>
            <w:tcW w:w="5220" w:type="dxa"/>
            <w:vAlign w:val="bottom"/>
            <w:gridSpan w:val="4"/>
          </w:tcPr>
          <w:p>
            <w:pPr>
              <w:ind w:left="1080"/>
              <w:spacing w:after="0" w:line="41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36"/>
                <w:szCs w:val="36"/>
                <w:color w:val="auto"/>
                <w:vertAlign w:val="subscript"/>
              </w:rPr>
              <w:t>☐</w:t>
            </w:r>
          </w:p>
        </w:tc>
        <w:tc>
          <w:tcPr>
            <w:tcW w:w="1480" w:type="dxa"/>
            <w:vAlign w:val="bottom"/>
          </w:tcPr>
          <w:p>
            <w:pPr>
              <w:spacing w:after="0"/>
              <w:rPr>
                <w:sz w:val="24"/>
                <w:szCs w:val="24"/>
                <w:color w:val="auto"/>
              </w:rPr>
            </w:pPr>
          </w:p>
        </w:tc>
        <w:tc>
          <w:tcPr>
            <w:tcW w:w="3720" w:type="dxa"/>
            <w:vAlign w:val="bottom"/>
            <w:gridSpan w:val="3"/>
          </w:tcPr>
          <w:p>
            <w:pPr>
              <w:ind w:left="180"/>
              <w:spacing w:after="0" w:line="41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36"/>
                <w:szCs w:val="36"/>
                <w:color w:val="auto"/>
                <w:vertAlign w:val="subscript"/>
              </w:rPr>
              <w:t>☐</w:t>
            </w:r>
          </w:p>
        </w:tc>
      </w:tr>
    </w:tbl>
    <w:p>
      <w:pPr>
        <w:jc w:val="both"/>
        <w:ind w:right="16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83" w:lineRule="exact"/>
        <w:rPr>
          <w:sz w:val="24"/>
          <w:szCs w:val="24"/>
          <w:color w:val="auto"/>
        </w:rPr>
      </w:pPr>
    </w:p>
    <w:p>
      <w:pPr>
        <w:ind w:left="3080"/>
        <w:spacing w:after="0" w:line="184" w:lineRule="exact"/>
        <w:tabs>
          <w:tab w:leader="none" w:pos="6020" w:val="left"/>
        </w:tabs>
        <w:rPr>
          <w:sz w:val="20"/>
          <w:szCs w:val="20"/>
          <w:color w:val="auto"/>
        </w:rPr>
      </w:pPr>
      <w:r>
        <w:rPr>
          <w:rFonts w:ascii="Arial" w:cs="Arial" w:eastAsia="Arial" w:hAnsi="Arial"/>
          <w:sz w:val="16"/>
          <w:szCs w:val="16"/>
          <w:color w:val="auto"/>
        </w:rPr>
        <w:t xml:space="preserve">Icahn Enterprises L.P.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Icahn Enterprises Holdings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As of August 6, 2019, there were 201,551,298 of Icahn Enterprises' depositary units outstanding.</w:t>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27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Explanatory Note and Forward-Looking Statements</w:t>
              </w:r>
            </w:hyperlink>
          </w:p>
        </w:tc>
        <w:tc>
          <w:tcPr>
            <w:tcW w:w="540" w:type="dxa"/>
            <w:vAlign w:val="bottom"/>
            <w:tcBorders>
              <w:right w:val="single" w:sz="8" w:color="CCEEFF"/>
            </w:tcBorders>
            <w:gridSpan w:val="2"/>
            <w:shd w:val="clear" w:color="auto" w:fill="CCEEFF"/>
          </w:tcPr>
          <w:p>
            <w:pPr>
              <w:jc w:val="center"/>
              <w:ind w:left="275"/>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21"/>
                <w:szCs w:val="21"/>
                <w:color w:val="auto"/>
              </w:rPr>
            </w:pPr>
          </w:p>
        </w:tc>
      </w:tr>
      <w:tr>
        <w:trPr>
          <w:trHeight w:val="33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4"/>
            <w:shd w:val="clear" w:color="auto" w:fill="CCEEFF"/>
          </w:tcPr>
          <w:p>
            <w:pPr>
              <w:jc w:val="center"/>
              <w:ind w:right="2480"/>
              <w:spacing w:after="0"/>
              <w:rPr>
                <w:sz w:val="20"/>
                <w:szCs w:val="20"/>
                <w:color w:val="auto"/>
              </w:rPr>
            </w:pPr>
            <w:r>
              <w:rPr>
                <w:rFonts w:ascii="Arial" w:cs="Arial" w:eastAsia="Arial" w:hAnsi="Arial"/>
                <w:sz w:val="18"/>
                <w:szCs w:val="18"/>
                <w:b w:val="1"/>
                <w:bCs w:val="1"/>
                <w:color w:val="auto"/>
              </w:rPr>
              <w:t>PART I. FINANCIAL INFORMATION</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200" w:type="dxa"/>
            <w:vAlign w:val="bottom"/>
            <w:gridSpan w:val="9"/>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540" w:type="dxa"/>
            <w:vAlign w:val="bottom"/>
            <w:gridSpan w:val="2"/>
          </w:tcPr>
          <w:p>
            <w:pPr>
              <w:jc w:val="center"/>
              <w:ind w:left="275"/>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3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2.</w:t>
              </w:r>
            </w:hyperlink>
          </w:p>
        </w:tc>
        <w:tc>
          <w:tcPr>
            <w:tcW w:w="740" w:type="dxa"/>
            <w:vAlign w:val="bottom"/>
            <w:gridSpan w:val="2"/>
            <w:shd w:val="clear" w:color="auto" w:fill="CCEEFF"/>
          </w:tcPr>
          <w:p>
            <w:pPr>
              <w:spacing w:after="0"/>
              <w:rPr>
                <w:sz w:val="17"/>
                <w:szCs w:val="17"/>
                <w:color w:val="auto"/>
              </w:rPr>
            </w:pPr>
          </w:p>
        </w:tc>
        <w:tc>
          <w:tcPr>
            <w:tcW w:w="6500" w:type="dxa"/>
            <w:vAlign w:val="bottom"/>
            <w:gridSpan w:val="8"/>
            <w:shd w:val="clear" w:color="auto" w:fill="CCEEFF"/>
          </w:tcPr>
          <w:p>
            <w:pPr>
              <w:spacing w:after="0" w:line="202"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Management's Discussion and Analysis of Financial Condition and Results of Operations.</w:t>
              </w:r>
            </w:hyperlink>
          </w:p>
        </w:tc>
        <w:tc>
          <w:tcPr>
            <w:tcW w:w="270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center"/>
              <w:ind w:right="360"/>
              <w:spacing w:after="0"/>
              <w:rPr>
                <w:rFonts w:ascii="Arial" w:cs="Arial" w:eastAsia="Arial" w:hAnsi="Arial"/>
                <w:sz w:val="17"/>
                <w:szCs w:val="17"/>
                <w:color w:val="0000EE"/>
                <w:w w:val="73"/>
              </w:rPr>
            </w:pPr>
            <w:hyperlink w:anchor="page46">
              <w:r>
                <w:rPr>
                  <w:rFonts w:ascii="Arial" w:cs="Arial" w:eastAsia="Arial" w:hAnsi="Arial"/>
                  <w:sz w:val="17"/>
                  <w:szCs w:val="17"/>
                  <w:color w:val="0000EE"/>
                  <w:w w:val="73"/>
                </w:rPr>
                <w:t>42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28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Item 3.</w:t>
              </w:r>
            </w:hyperlink>
          </w:p>
        </w:tc>
        <w:tc>
          <w:tcPr>
            <w:tcW w:w="740" w:type="dxa"/>
            <w:vAlign w:val="bottom"/>
            <w:gridSpan w:val="2"/>
          </w:tcPr>
          <w:p>
            <w:pPr>
              <w:spacing w:after="0"/>
              <w:rPr>
                <w:sz w:val="17"/>
                <w:szCs w:val="17"/>
                <w:color w:val="auto"/>
              </w:rPr>
            </w:pPr>
          </w:p>
        </w:tc>
        <w:tc>
          <w:tcPr>
            <w:tcW w:w="6500" w:type="dxa"/>
            <w:vAlign w:val="bottom"/>
            <w:gridSpan w:val="8"/>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2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gridSpan w:val="2"/>
          </w:tcPr>
          <w:p>
            <w:pPr>
              <w:jc w:val="center"/>
              <w:ind w:right="360"/>
              <w:spacing w:after="0"/>
              <w:rPr>
                <w:rFonts w:ascii="Arial" w:cs="Arial" w:eastAsia="Arial" w:hAnsi="Arial"/>
                <w:sz w:val="17"/>
                <w:szCs w:val="17"/>
                <w:color w:val="0000EE"/>
                <w:w w:val="73"/>
              </w:rPr>
            </w:pPr>
            <w:hyperlink w:anchor="page62">
              <w:r>
                <w:rPr>
                  <w:rFonts w:ascii="Arial" w:cs="Arial" w:eastAsia="Arial" w:hAnsi="Arial"/>
                  <w:sz w:val="17"/>
                  <w:szCs w:val="17"/>
                  <w:color w:val="0000EE"/>
                  <w:w w:val="73"/>
                </w:rPr>
                <w:t>58</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4.</w:t>
              </w:r>
            </w:hyperlink>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90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58</w:t>
              </w:r>
            </w:hyperlink>
          </w:p>
        </w:tc>
      </w:tr>
      <w:tr>
        <w:trPr>
          <w:trHeight w:val="33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4"/>
            <w:shd w:val="clear" w:color="auto" w:fill="CCEEFF"/>
          </w:tcPr>
          <w:p>
            <w:pPr>
              <w:jc w:val="center"/>
              <w:ind w:right="2480"/>
              <w:spacing w:after="0"/>
              <w:rPr>
                <w:sz w:val="20"/>
                <w:szCs w:val="20"/>
                <w:color w:val="auto"/>
              </w:rPr>
            </w:pPr>
            <w:r>
              <w:rPr>
                <w:rFonts w:ascii="Arial" w:cs="Arial" w:eastAsia="Arial" w:hAnsi="Arial"/>
                <w:sz w:val="18"/>
                <w:szCs w:val="18"/>
                <w:b w:val="1"/>
                <w:bCs w:val="1"/>
                <w:color w:val="auto"/>
              </w:rPr>
              <w:t>PART II. OTHER INFORMATION</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w:t>
              </w:r>
            </w:hyperlink>
          </w:p>
        </w:tc>
        <w:tc>
          <w:tcPr>
            <w:tcW w:w="9200" w:type="dxa"/>
            <w:vAlign w:val="bottom"/>
            <w:gridSpan w:val="9"/>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900" w:type="dxa"/>
            <w:vAlign w:val="bottom"/>
            <w:gridSpan w:val="3"/>
          </w:tcPr>
          <w:p>
            <w:pPr>
              <w:jc w:val="center"/>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59</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1A.</w:t>
              </w:r>
            </w:hyperlink>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Risk Factors.</w:t>
              </w:r>
            </w:hyperlink>
          </w:p>
        </w:tc>
        <w:tc>
          <w:tcPr>
            <w:tcW w:w="90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6.</w:t>
              </w:r>
            </w:hyperlink>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2"/>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824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gridSpan w:val="2"/>
          </w:tcPr>
          <w:p>
            <w:pPr>
              <w:jc w:val="center"/>
              <w:ind w:right="360"/>
              <w:spacing w:after="0"/>
              <w:rPr>
                <w:rFonts w:ascii="Arial" w:cs="Arial" w:eastAsia="Arial" w:hAnsi="Arial"/>
                <w:sz w:val="17"/>
                <w:szCs w:val="17"/>
                <w:color w:val="0000EE"/>
                <w:w w:val="73"/>
              </w:rPr>
            </w:pPr>
            <w:hyperlink w:anchor="page64">
              <w:r>
                <w:rPr>
                  <w:rFonts w:ascii="Arial" w:cs="Arial" w:eastAsia="Arial" w:hAnsi="Arial"/>
                  <w:sz w:val="17"/>
                  <w:szCs w:val="17"/>
                  <w:color w:val="0000EE"/>
                  <w:w w:val="73"/>
                </w:rPr>
                <w:t>60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60" w:top="36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74"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risks and uncertainties may include the risks and uncertainties described in our Annual Report on Form 10-K for the year ended December 31, 2018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0"/>
              </w:rPr>
              <w:t>(In millions, except unit amounts)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3"/>
          </w:tcPr>
          <w:p>
            <w:pPr>
              <w:jc w:val="right"/>
              <w:ind w:right="250"/>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4,008</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24,348</w:t>
            </w:r>
          </w:p>
        </w:tc>
        <w:tc>
          <w:tcPr>
            <w:tcW w:w="12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to brokers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Liabilities held for sale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8,658</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12,902</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 Depositary units: 201,551,298 units issued and outstanding at June 30, 2019 and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191,366,097 units issued and outstanding at December 31, 2018</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6,498</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5,691</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5,755</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11,446</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24,348</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0" w:type="dxa"/>
            <w:vAlign w:val="bottom"/>
            <w:gridSpan w:val="4"/>
          </w:tcPr>
          <w:p>
            <w:pPr>
              <w:ind w:left="640"/>
              <w:spacing w:after="0"/>
              <w:rPr>
                <w:sz w:val="20"/>
                <w:szCs w:val="20"/>
                <w:color w:val="auto"/>
              </w:rPr>
            </w:pPr>
            <w:r>
              <w:rPr>
                <w:rFonts w:ascii="Arial" w:cs="Arial" w:eastAsia="Arial" w:hAnsi="Arial"/>
                <w:sz w:val="16"/>
                <w:szCs w:val="16"/>
                <w:b w:val="1"/>
                <w:bCs w:val="1"/>
                <w:color w:val="auto"/>
                <w:w w:val="94"/>
              </w:rPr>
              <w:t>Three Months Ended June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2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040" w:type="dxa"/>
            <w:vAlign w:val="bottom"/>
          </w:tcPr>
          <w:p>
            <w:pPr>
              <w:ind w:left="640"/>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gridSpan w:val="3"/>
          </w:tcPr>
          <w:p>
            <w:pPr>
              <w:jc w:val="right"/>
              <w:ind w:right="99"/>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2,588</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5,183</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(loss) gain from investment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Interest and dividend income</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income (loss), net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4,051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6,406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Cost of goods sold</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2,129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2,427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4,414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expenses from operations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Restructuring, net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2,761</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5,274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5,628</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(Loss) income from continuing operations before income tax (expense)</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benefit</w:t>
            </w:r>
          </w:p>
        </w:tc>
        <w:tc>
          <w:tcPr>
            <w:tcW w:w="10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continuing operations</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(Loss) income from discontinued operations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Less: net (loss) income attributable to non-controlling interests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Icahn Enterprises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Icahn Enterprises from:</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20"/>
                <w:szCs w:val="20"/>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Icahn Enterprises allocated to:</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Limited partners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0"/>
                <w:szCs w:val="20"/>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General partner</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(loss) income per LP unit:</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weighted average LP units outstanding</w:t>
            </w:r>
          </w:p>
        </w:tc>
        <w:tc>
          <w:tcPr>
            <w:tcW w:w="10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Cash distributions declared per LP unit</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20" w:type="dxa"/>
            <w:vAlign w:val="bottom"/>
            <w:gridSpan w:val="7"/>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9820" w:type="dxa"/>
            <w:vAlign w:val="bottom"/>
            <w:gridSpan w:val="10"/>
          </w:tcPr>
          <w:p>
            <w:pPr>
              <w:jc w:val="center"/>
              <w:ind w:left="15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Post-retirement benefits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Comprehensive (loss) income attributable to non-</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3"/>
              </w:rPr>
              <w:t>Comprehensive (loss) income attributable to Icahn Enterprises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380</w:t>
            </w:r>
          </w:p>
        </w:tc>
      </w:tr>
      <w:tr>
        <w:trPr>
          <w:trHeight w:val="311"/>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3"/>
              </w:rPr>
              <w:t>Comprehensive (loss) income attributable to Icahn Enterprises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allocated to:</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ind w:left="372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7"/>
          </w:tcPr>
          <w:p>
            <w:pPr>
              <w:jc w:val="right"/>
              <w:ind w:right="1188"/>
              <w:spacing w:after="0"/>
              <w:rPr>
                <w:sz w:val="20"/>
                <w:szCs w:val="20"/>
                <w:color w:val="auto"/>
              </w:rPr>
            </w:pPr>
            <w:r>
              <w:rPr>
                <w:rFonts w:ascii="Arial" w:cs="Arial" w:eastAsia="Arial" w:hAnsi="Arial"/>
                <w:sz w:val="14"/>
                <w:szCs w:val="14"/>
                <w:b w:val="1"/>
                <w:bCs w:val="1"/>
                <w:color w:val="auto"/>
              </w:rPr>
              <w:t>Equity Attributable to Icahn Enterprises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General Partner's</w:t>
            </w:r>
          </w:p>
        </w:tc>
        <w:tc>
          <w:tcPr>
            <w:tcW w:w="1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Limited Partners' Equity</w:t>
            </w:r>
          </w:p>
        </w:tc>
        <w:tc>
          <w:tcPr>
            <w:tcW w:w="100" w:type="dxa"/>
            <w:vAlign w:val="bottom"/>
          </w:tcPr>
          <w:p>
            <w:pPr>
              <w:spacing w:after="0"/>
              <w:rPr>
                <w:sz w:val="13"/>
                <w:szCs w:val="13"/>
                <w:color w:val="auto"/>
              </w:rPr>
            </w:pPr>
          </w:p>
        </w:tc>
        <w:tc>
          <w:tcPr>
            <w:tcW w:w="1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Partners' Equity</w:t>
            </w: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Non-controlling</w:t>
            </w:r>
          </w:p>
        </w:tc>
        <w:tc>
          <w:tcPr>
            <w:tcW w:w="260" w:type="dxa"/>
            <w:vAlign w:val="bottom"/>
          </w:tcPr>
          <w:p>
            <w:pPr>
              <w:spacing w:after="0"/>
              <w:rPr>
                <w:sz w:val="13"/>
                <w:szCs w:val="13"/>
                <w:color w:val="auto"/>
              </w:rPr>
            </w:pPr>
          </w:p>
        </w:tc>
        <w:tc>
          <w:tcPr>
            <w:tcW w:w="13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(Deficit) Equity</w:t>
            </w:r>
          </w:p>
        </w:tc>
        <w:tc>
          <w:tcPr>
            <w:tcW w:w="17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Interests</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(790)</w:t>
            </w:r>
          </w:p>
        </w:tc>
        <w:tc>
          <w:tcPr>
            <w:tcW w:w="1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7,350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12,980</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22"/>
                <w:szCs w:val="22"/>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payable</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57"/>
        </w:trPr>
        <w:tc>
          <w:tcPr>
            <w:tcW w:w="2980" w:type="dxa"/>
            <w:vAlign w:val="bottom"/>
          </w:tcPr>
          <w:p>
            <w:pPr>
              <w:ind w:left="40"/>
              <w:spacing w:after="0" w:line="157" w:lineRule="exact"/>
              <w:rPr>
                <w:sz w:val="20"/>
                <w:szCs w:val="20"/>
                <w:color w:val="auto"/>
              </w:rPr>
            </w:pPr>
            <w:r>
              <w:rPr>
                <w:rFonts w:ascii="Arial" w:cs="Arial" w:eastAsia="Arial" w:hAnsi="Arial"/>
                <w:sz w:val="14"/>
                <w:szCs w:val="14"/>
                <w:color w:val="auto"/>
              </w:rPr>
              <w:t>Dividends and distributions to non-controlling</w:t>
            </w: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0"/>
              <w:spacing w:after="0"/>
              <w:rPr>
                <w:sz w:val="20"/>
                <w:szCs w:val="20"/>
                <w:color w:val="auto"/>
              </w:rPr>
            </w:pPr>
            <w:r>
              <w:rPr>
                <w:rFonts w:ascii="Arial" w:cs="Arial" w:eastAsia="Arial" w:hAnsi="Arial"/>
                <w:sz w:val="14"/>
                <w:szCs w:val="14"/>
                <w:color w:val="auto"/>
              </w:rPr>
              <w:t>interests in subsidiaries</w:t>
            </w:r>
          </w:p>
        </w:tc>
        <w:tc>
          <w:tcPr>
            <w:tcW w:w="180" w:type="dxa"/>
            <w:vAlign w:val="bottom"/>
          </w:tcPr>
          <w:p>
            <w:pPr>
              <w:spacing w:after="0"/>
              <w:rPr>
                <w:sz w:val="16"/>
                <w:szCs w:val="16"/>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subsidiary equity and other</w:t>
            </w:r>
          </w:p>
        </w:tc>
        <w:tc>
          <w:tcPr>
            <w:tcW w:w="1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(804)</w:t>
            </w:r>
          </w:p>
        </w:tc>
        <w:tc>
          <w:tcPr>
            <w:tcW w:w="1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6,643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5,813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11,652</w:t>
            </w:r>
          </w:p>
        </w:tc>
        <w:tc>
          <w:tcPr>
            <w:tcW w:w="0" w:type="dxa"/>
            <w:vAlign w:val="bottom"/>
          </w:tcPr>
          <w:p>
            <w:pPr>
              <w:spacing w:after="0"/>
              <w:rPr>
                <w:sz w:val="1"/>
                <w:szCs w:val="1"/>
                <w:color w:val="auto"/>
              </w:rPr>
            </w:pPr>
          </w:p>
        </w:tc>
      </w:tr>
      <w:tr>
        <w:trPr>
          <w:trHeight w:val="25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18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payable reversal</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Partnership distributions</w:t>
            </w:r>
          </w:p>
        </w:tc>
        <w:tc>
          <w:tcPr>
            <w:tcW w:w="180" w:type="dxa"/>
            <w:vAlign w:val="bottom"/>
          </w:tcPr>
          <w:p>
            <w:pPr>
              <w:spacing w:after="0"/>
              <w:rPr>
                <w:sz w:val="22"/>
                <w:szCs w:val="22"/>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contributions</w:t>
            </w:r>
          </w:p>
        </w:tc>
        <w:tc>
          <w:tcPr>
            <w:tcW w:w="1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Investment segment contributions</w:t>
            </w:r>
          </w:p>
        </w:tc>
        <w:tc>
          <w:tcPr>
            <w:tcW w:w="18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and distributions to non-controlling</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interests in subsidiaries</w:t>
            </w:r>
          </w:p>
        </w:tc>
        <w:tc>
          <w:tcPr>
            <w:tcW w:w="1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Changes in subsidiary equity and other</w:t>
            </w:r>
          </w:p>
        </w:tc>
        <w:tc>
          <w:tcPr>
            <w:tcW w:w="18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11,446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gridSpan w:val="7"/>
          </w:tcPr>
          <w:p>
            <w:pPr>
              <w:jc w:val="right"/>
              <w:ind w:right="1188"/>
              <w:spacing w:after="0"/>
              <w:rPr>
                <w:sz w:val="20"/>
                <w:szCs w:val="20"/>
                <w:color w:val="auto"/>
              </w:rPr>
            </w:pPr>
            <w:r>
              <w:rPr>
                <w:rFonts w:ascii="Arial" w:cs="Arial" w:eastAsia="Arial" w:hAnsi="Arial"/>
                <w:sz w:val="14"/>
                <w:szCs w:val="14"/>
                <w:b w:val="1"/>
                <w:bCs w:val="1"/>
                <w:color w:val="auto"/>
              </w:rPr>
              <w:t>Equity Attributable to Icahn Enterprises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General Partner's</w:t>
            </w:r>
          </w:p>
        </w:tc>
        <w:tc>
          <w:tcPr>
            <w:tcW w:w="1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Limited Partners' Equity</w:t>
            </w:r>
          </w:p>
        </w:tc>
        <w:tc>
          <w:tcPr>
            <w:tcW w:w="100" w:type="dxa"/>
            <w:vAlign w:val="bottom"/>
          </w:tcPr>
          <w:p>
            <w:pPr>
              <w:spacing w:after="0"/>
              <w:rPr>
                <w:sz w:val="13"/>
                <w:szCs w:val="13"/>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Partners' Equity</w:t>
            </w:r>
          </w:p>
        </w:tc>
        <w:tc>
          <w:tcPr>
            <w:tcW w:w="200" w:type="dxa"/>
            <w:vAlign w:val="bottom"/>
          </w:tcPr>
          <w:p>
            <w:pPr>
              <w:spacing w:after="0"/>
              <w:rPr>
                <w:sz w:val="13"/>
                <w:szCs w:val="13"/>
                <w:color w:val="auto"/>
              </w:rPr>
            </w:pPr>
          </w:p>
        </w:tc>
        <w:tc>
          <w:tcPr>
            <w:tcW w:w="14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Non-controlling</w:t>
            </w:r>
          </w:p>
        </w:tc>
        <w:tc>
          <w:tcPr>
            <w:tcW w:w="260" w:type="dxa"/>
            <w:vAlign w:val="bottom"/>
          </w:tcPr>
          <w:p>
            <w:pPr>
              <w:spacing w:after="0"/>
              <w:rPr>
                <w:sz w:val="13"/>
                <w:szCs w:val="13"/>
                <w:color w:val="auto"/>
              </w:rPr>
            </w:pPr>
          </w:p>
        </w:tc>
        <w:tc>
          <w:tcPr>
            <w:tcW w:w="13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(Deficit) Equity</w:t>
            </w:r>
          </w:p>
        </w:tc>
        <w:tc>
          <w:tcPr>
            <w:tcW w:w="17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2017</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w:t>
            </w:r>
          </w:p>
        </w:tc>
        <w:tc>
          <w:tcPr>
            <w:tcW w:w="1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5,402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5,168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6,318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11,486</w:t>
            </w:r>
          </w:p>
        </w:tc>
        <w:tc>
          <w:tcPr>
            <w:tcW w:w="0" w:type="dxa"/>
            <w:vAlign w:val="bottom"/>
          </w:tcPr>
          <w:p>
            <w:pPr>
              <w:spacing w:after="0"/>
              <w:rPr>
                <w:sz w:val="1"/>
                <w:szCs w:val="1"/>
                <w:color w:val="auto"/>
              </w:rPr>
            </w:pPr>
          </w:p>
        </w:tc>
      </w:tr>
      <w:tr>
        <w:trPr>
          <w:trHeight w:val="264"/>
        </w:trPr>
        <w:tc>
          <w:tcPr>
            <w:tcW w:w="29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22"/>
                <w:szCs w:val="22"/>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2980" w:type="dxa"/>
            <w:vAlign w:val="bottom"/>
          </w:tcPr>
          <w:p>
            <w:pPr>
              <w:ind w:left="20"/>
              <w:spacing w:after="0"/>
              <w:rPr>
                <w:sz w:val="20"/>
                <w:szCs w:val="20"/>
                <w:color w:val="auto"/>
              </w:rPr>
            </w:pPr>
            <w:r>
              <w:rPr>
                <w:rFonts w:ascii="Arial" w:cs="Arial" w:eastAsia="Arial" w:hAnsi="Arial"/>
                <w:sz w:val="14"/>
                <w:szCs w:val="14"/>
                <w:color w:val="auto"/>
              </w:rPr>
              <w:t>Distribution payable</w:t>
            </w:r>
          </w:p>
        </w:tc>
        <w:tc>
          <w:tcPr>
            <w:tcW w:w="180" w:type="dxa"/>
            <w:vAlign w:val="bottom"/>
          </w:tcPr>
          <w:p>
            <w:pPr>
              <w:spacing w:after="0"/>
              <w:rPr>
                <w:sz w:val="22"/>
                <w:szCs w:val="22"/>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segment contributions</w:t>
            </w:r>
          </w:p>
        </w:tc>
        <w:tc>
          <w:tcPr>
            <w:tcW w:w="1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57"/>
        </w:trPr>
        <w:tc>
          <w:tcPr>
            <w:tcW w:w="2980" w:type="dxa"/>
            <w:vAlign w:val="bottom"/>
          </w:tcPr>
          <w:p>
            <w:pPr>
              <w:ind w:left="20"/>
              <w:spacing w:after="0" w:line="157" w:lineRule="exact"/>
              <w:rPr>
                <w:sz w:val="20"/>
                <w:szCs w:val="20"/>
                <w:color w:val="auto"/>
              </w:rPr>
            </w:pPr>
            <w:r>
              <w:rPr>
                <w:rFonts w:ascii="Arial" w:cs="Arial" w:eastAsia="Arial" w:hAnsi="Arial"/>
                <w:sz w:val="14"/>
                <w:szCs w:val="14"/>
                <w:color w:val="auto"/>
              </w:rPr>
              <w:t>Dividends and distributions to non-controlling</w:t>
            </w: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0"/>
              <w:spacing w:after="0"/>
              <w:rPr>
                <w:sz w:val="20"/>
                <w:szCs w:val="20"/>
                <w:color w:val="auto"/>
              </w:rPr>
            </w:pPr>
            <w:r>
              <w:rPr>
                <w:rFonts w:ascii="Arial" w:cs="Arial" w:eastAsia="Arial" w:hAnsi="Arial"/>
                <w:sz w:val="14"/>
                <w:szCs w:val="14"/>
                <w:color w:val="auto"/>
              </w:rPr>
              <w:t>interests in subsidiaries</w:t>
            </w:r>
          </w:p>
        </w:tc>
        <w:tc>
          <w:tcPr>
            <w:tcW w:w="180" w:type="dxa"/>
            <w:vAlign w:val="bottom"/>
          </w:tcPr>
          <w:p>
            <w:pPr>
              <w:spacing w:after="0"/>
              <w:rPr>
                <w:sz w:val="16"/>
                <w:szCs w:val="16"/>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adjustment from adoption of</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accounting principle</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4"/>
        </w:trPr>
        <w:tc>
          <w:tcPr>
            <w:tcW w:w="2980" w:type="dxa"/>
            <w:vAlign w:val="bottom"/>
          </w:tcPr>
          <w:p>
            <w:pPr>
              <w:ind w:left="20"/>
              <w:spacing w:after="0"/>
              <w:rPr>
                <w:sz w:val="20"/>
                <w:szCs w:val="20"/>
                <w:color w:val="auto"/>
              </w:rPr>
            </w:pPr>
            <w:r>
              <w:rPr>
                <w:rFonts w:ascii="Arial" w:cs="Arial" w:eastAsia="Arial" w:hAnsi="Arial"/>
                <w:sz w:val="14"/>
                <w:szCs w:val="14"/>
                <w:color w:val="auto"/>
              </w:rPr>
              <w:t>Changes in subsidiary equity and other</w:t>
            </w:r>
          </w:p>
        </w:tc>
        <w:tc>
          <w:tcPr>
            <w:tcW w:w="180" w:type="dxa"/>
            <w:vAlign w:val="bottom"/>
          </w:tcPr>
          <w:p>
            <w:pPr>
              <w:spacing w:after="0"/>
              <w:rPr>
                <w:sz w:val="22"/>
                <w:szCs w:val="22"/>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2018</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5,239</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6,860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11,862</w:t>
            </w:r>
          </w:p>
        </w:tc>
        <w:tc>
          <w:tcPr>
            <w:tcW w:w="0" w:type="dxa"/>
            <w:vAlign w:val="bottom"/>
          </w:tcPr>
          <w:p>
            <w:pPr>
              <w:spacing w:after="0"/>
              <w:rPr>
                <w:sz w:val="1"/>
                <w:szCs w:val="1"/>
                <w:color w:val="auto"/>
              </w:rPr>
            </w:pPr>
          </w:p>
        </w:tc>
      </w:tr>
      <w:tr>
        <w:trPr>
          <w:trHeight w:val="250"/>
        </w:trPr>
        <w:tc>
          <w:tcPr>
            <w:tcW w:w="29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21"/>
                <w:szCs w:val="21"/>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64"/>
        </w:trPr>
        <w:tc>
          <w:tcPr>
            <w:tcW w:w="2980" w:type="dxa"/>
            <w:vAlign w:val="bottom"/>
          </w:tcPr>
          <w:p>
            <w:pPr>
              <w:ind w:left="20"/>
              <w:spacing w:after="0"/>
              <w:rPr>
                <w:sz w:val="20"/>
                <w:szCs w:val="20"/>
                <w:color w:val="auto"/>
              </w:rPr>
            </w:pPr>
            <w:r>
              <w:rPr>
                <w:rFonts w:ascii="Arial" w:cs="Arial" w:eastAsia="Arial" w:hAnsi="Arial"/>
                <w:sz w:val="14"/>
                <w:szCs w:val="14"/>
                <w:color w:val="auto"/>
              </w:rPr>
              <w:t>Distribution payable reversal</w:t>
            </w:r>
          </w:p>
        </w:tc>
        <w:tc>
          <w:tcPr>
            <w:tcW w:w="180" w:type="dxa"/>
            <w:vAlign w:val="bottom"/>
          </w:tcPr>
          <w:p>
            <w:pPr>
              <w:spacing w:after="0"/>
              <w:rPr>
                <w:sz w:val="22"/>
                <w:szCs w:val="22"/>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Partnership distributions</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57"/>
        </w:trPr>
        <w:tc>
          <w:tcPr>
            <w:tcW w:w="2980" w:type="dxa"/>
            <w:vAlign w:val="bottom"/>
          </w:tcPr>
          <w:p>
            <w:pPr>
              <w:ind w:left="20"/>
              <w:spacing w:after="0" w:line="157" w:lineRule="exact"/>
              <w:rPr>
                <w:sz w:val="20"/>
                <w:szCs w:val="20"/>
                <w:color w:val="auto"/>
              </w:rPr>
            </w:pPr>
            <w:r>
              <w:rPr>
                <w:rFonts w:ascii="Arial" w:cs="Arial" w:eastAsia="Arial" w:hAnsi="Arial"/>
                <w:sz w:val="14"/>
                <w:szCs w:val="14"/>
                <w:color w:val="auto"/>
              </w:rPr>
              <w:t>Dividends and distributions to non-controlling</w:t>
            </w: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0"/>
              <w:spacing w:after="0"/>
              <w:rPr>
                <w:sz w:val="20"/>
                <w:szCs w:val="20"/>
                <w:color w:val="auto"/>
              </w:rPr>
            </w:pPr>
            <w:r>
              <w:rPr>
                <w:rFonts w:ascii="Arial" w:cs="Arial" w:eastAsia="Arial" w:hAnsi="Arial"/>
                <w:sz w:val="14"/>
                <w:szCs w:val="14"/>
                <w:color w:val="auto"/>
              </w:rPr>
              <w:t>interests in subsidiaries</w:t>
            </w:r>
          </w:p>
        </w:tc>
        <w:tc>
          <w:tcPr>
            <w:tcW w:w="180" w:type="dxa"/>
            <w:vAlign w:val="bottom"/>
          </w:tcPr>
          <w:p>
            <w:pPr>
              <w:spacing w:after="0"/>
              <w:rPr>
                <w:sz w:val="16"/>
                <w:szCs w:val="16"/>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subsidiary equity and other</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Balance, June 30, 2018</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1"/>
                <w:szCs w:val="21"/>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5,694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5,466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7,078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12,544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3"/>
          </w:tcPr>
          <w:p>
            <w:pPr>
              <w:jc w:val="right"/>
              <w:ind w:right="668"/>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21"/>
                <w:szCs w:val="21"/>
                <w:color w:val="auto"/>
              </w:rPr>
            </w:pPr>
          </w:p>
        </w:tc>
      </w:tr>
      <w:tr>
        <w:trPr>
          <w:trHeight w:val="27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989</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Adjustments to reconcile net (loss) income to net cash used in operating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(income) from discontinued operations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Net gain from securities transactions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(834)</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securities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sales of securities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1,481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5,217</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485</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258</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70"/>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operating activities from continuing operations</w:t>
            </w:r>
          </w:p>
        </w:tc>
        <w:tc>
          <w:tcPr>
            <w:tcW w:w="10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(1,812)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(758)</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operating activities</w:t>
            </w:r>
          </w:p>
        </w:tc>
        <w:tc>
          <w:tcPr>
            <w:tcW w:w="10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(1,812)</w:t>
            </w:r>
          </w:p>
        </w:tc>
        <w:tc>
          <w:tcPr>
            <w:tcW w:w="1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businesses, net of cash acquired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 from continuing operations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investing activities from discontinued operations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4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 from non-controlling interests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Partnership contributions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distributions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 of additional interests in consolidated subsidiaries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and distributions to non-controlling interests in subsidiaries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Holding Company senior unsecured notes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subsidiary borrowings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Repayments of subsidiary borrowings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(704)</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cash provided by financing activities from continuing operations</w:t>
            </w:r>
          </w:p>
        </w:tc>
        <w:tc>
          <w:tcPr>
            <w:tcW w:w="104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financing activities from discontinued operations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10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971</w:t>
            </w:r>
          </w:p>
        </w:tc>
        <w:tc>
          <w:tcPr>
            <w:tcW w:w="1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 and restricted cash and restricted cash equivalents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Add back change in cash and restricted cash of assets held for sale</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 cash and cash equivalents and restricted cash and restricted cash equivalents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beginning of period</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5,338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1,911</w:t>
            </w: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end of period</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4,672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3"/>
              </w:rPr>
              <w:t>(In millions)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3"/>
          </w:tcPr>
          <w:p>
            <w:pPr>
              <w:jc w:val="right"/>
              <w:ind w:right="250"/>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4,008</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9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24,382</w:t>
            </w:r>
          </w:p>
        </w:tc>
        <w:tc>
          <w:tcPr>
            <w:tcW w:w="12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to brokers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Liabilities held for sale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8,663</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7,330</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12,907</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5,720</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5,755</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13,008</w:t>
            </w:r>
          </w:p>
        </w:tc>
        <w:tc>
          <w:tcPr>
            <w:tcW w:w="0" w:type="dxa"/>
            <w:vAlign w:val="bottom"/>
          </w:tcPr>
          <w:p>
            <w:pPr>
              <w:spacing w:after="0"/>
              <w:rPr>
                <w:sz w:val="1"/>
                <w:szCs w:val="1"/>
                <w:color w:val="auto"/>
              </w:rPr>
            </w:pP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24,382</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580"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gain from investment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(loss), net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 net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(Loss) income from continuing operations before income tax</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 benefit</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income from discontinued operations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Less: net (loss) income attributable to non-controlling interests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(loss) income attributable to Icahn Enterprises Holdings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 from:</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7"/>
              </w:rPr>
              <w:t>Net (loss) income attributable to Icahn Enterprises Holdings</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allocated to:</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440" w:type="dxa"/>
            <w:vAlign w:val="bottom"/>
            <w:gridSpan w:val="8"/>
          </w:tcPr>
          <w:p>
            <w:pPr>
              <w:jc w:val="center"/>
              <w:ind w:left="289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720" w:type="dxa"/>
            <w:vAlign w:val="bottom"/>
            <w:gridSpan w:val="10"/>
          </w:tcPr>
          <w:p>
            <w:pPr>
              <w:jc w:val="center"/>
              <w:ind w:left="16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3"/>
              </w:rPr>
              <w:t>(In millions)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Pr>
          <w:p>
            <w:pPr>
              <w:spacing w:after="0"/>
              <w:rPr>
                <w:sz w:val="24"/>
                <w:szCs w:val="24"/>
                <w:color w:val="auto"/>
              </w:rPr>
            </w:pPr>
          </w:p>
        </w:tc>
        <w:tc>
          <w:tcPr>
            <w:tcW w:w="29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gridSpan w:val="3"/>
          </w:tcPr>
          <w:p>
            <w:pPr>
              <w:jc w:val="center"/>
              <w:ind w:left="791"/>
              <w:spacing w:after="0"/>
              <w:rPr>
                <w:sz w:val="20"/>
                <w:szCs w:val="20"/>
                <w:color w:val="auto"/>
              </w:rPr>
            </w:pPr>
            <w:r>
              <w:rPr>
                <w:rFonts w:ascii="Arial" w:cs="Arial" w:eastAsia="Arial" w:hAnsi="Arial"/>
                <w:sz w:val="14"/>
                <w:szCs w:val="14"/>
                <w:color w:val="auto"/>
                <w:w w:val="95"/>
              </w:rPr>
              <w:t>(Unaudited)</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Post-retirement benefits</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Less: Comprehensive (loss) income attributable to non-</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9"/>
        </w:trPr>
        <w:tc>
          <w:tcPr>
            <w:tcW w:w="446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Icahn</w:t>
            </w: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540" w:type="dxa"/>
            <w:vAlign w:val="bottom"/>
            <w:tcBorders>
              <w:top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Enterprises Holdings</w:t>
            </w:r>
          </w:p>
        </w:tc>
        <w:tc>
          <w:tcPr>
            <w:tcW w:w="32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Icahn</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rPr>
              <w:t>Enterprises Holdings allocated to:</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64" w:right="239" w:bottom="1440" w:gutter="0" w:footer="0" w:header="0"/>
          <w:type w:val="continuous"/>
        </w:sectPr>
      </w:pPr>
    </w:p>
    <w:bookmarkStart w:id="11" w:name="page12"/>
    <w:bookmarkEnd w:id="11"/>
    <w:p>
      <w:pPr>
        <w:ind w:left="318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7"/>
          </w:tcPr>
          <w:p>
            <w:pPr>
              <w:jc w:val="center"/>
              <w:ind w:right="228"/>
              <w:spacing w:after="0"/>
              <w:rPr>
                <w:sz w:val="20"/>
                <w:szCs w:val="20"/>
                <w:color w:val="auto"/>
              </w:rPr>
            </w:pPr>
            <w:r>
              <w:rPr>
                <w:rFonts w:ascii="Arial" w:cs="Arial" w:eastAsia="Arial" w:hAnsi="Arial"/>
                <w:sz w:val="14"/>
                <w:szCs w:val="14"/>
                <w:b w:val="1"/>
                <w:bCs w:val="1"/>
                <w:color w:val="auto"/>
                <w:w w:val="94"/>
              </w:rPr>
              <w:t>Equity Attributable to Icahn Enterprises Holdings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17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General Partner's Equity</w:t>
            </w:r>
          </w:p>
        </w:tc>
        <w:tc>
          <w:tcPr>
            <w:tcW w:w="180" w:type="dxa"/>
            <w:vAlign w:val="bottom"/>
          </w:tcPr>
          <w:p>
            <w:pPr>
              <w:spacing w:after="0"/>
              <w:rPr>
                <w:sz w:val="13"/>
                <w:szCs w:val="13"/>
                <w:color w:val="auto"/>
              </w:rPr>
            </w:pPr>
          </w:p>
        </w:tc>
        <w:tc>
          <w:tcPr>
            <w:tcW w:w="15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6"/>
              </w:rPr>
              <w:t>Limited</w:t>
            </w:r>
          </w:p>
        </w:tc>
        <w:tc>
          <w:tcPr>
            <w:tcW w:w="100" w:type="dxa"/>
            <w:vAlign w:val="bottom"/>
          </w:tcPr>
          <w:p>
            <w:pPr>
              <w:spacing w:after="0"/>
              <w:rPr>
                <w:sz w:val="13"/>
                <w:szCs w:val="13"/>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Partners' Equity</w:t>
            </w:r>
          </w:p>
        </w:tc>
        <w:tc>
          <w:tcPr>
            <w:tcW w:w="200" w:type="dxa"/>
            <w:vAlign w:val="bottom"/>
          </w:tcPr>
          <w:p>
            <w:pPr>
              <w:spacing w:after="0"/>
              <w:rPr>
                <w:sz w:val="13"/>
                <w:szCs w:val="13"/>
                <w:color w:val="auto"/>
              </w:rPr>
            </w:pPr>
          </w:p>
        </w:tc>
        <w:tc>
          <w:tcPr>
            <w:tcW w:w="14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Non-controlling</w:t>
            </w:r>
          </w:p>
        </w:tc>
        <w:tc>
          <w:tcPr>
            <w:tcW w:w="260" w:type="dxa"/>
            <w:vAlign w:val="bottom"/>
          </w:tcPr>
          <w:p>
            <w:pPr>
              <w:spacing w:after="0"/>
              <w:rPr>
                <w:sz w:val="13"/>
                <w:szCs w:val="13"/>
                <w:color w:val="auto"/>
              </w:rPr>
            </w:pPr>
          </w:p>
        </w:tc>
        <w:tc>
          <w:tcPr>
            <w:tcW w:w="13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Partner's Equity</w:t>
            </w: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7,452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6,588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6,420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13,008</w:t>
            </w:r>
          </w:p>
        </w:tc>
        <w:tc>
          <w:tcPr>
            <w:tcW w:w="0" w:type="dxa"/>
            <w:vAlign w:val="bottom"/>
          </w:tcPr>
          <w:p>
            <w:pPr>
              <w:spacing w:after="0"/>
              <w:rPr>
                <w:sz w:val="1"/>
                <w:szCs w:val="1"/>
                <w:color w:val="auto"/>
              </w:rPr>
            </w:pPr>
          </w:p>
        </w:tc>
      </w:tr>
      <w:tr>
        <w:trPr>
          <w:trHeight w:val="264"/>
        </w:trPr>
        <w:tc>
          <w:tcPr>
            <w:tcW w:w="2980" w:type="dxa"/>
            <w:vAlign w:val="bottom"/>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 payable</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57"/>
        </w:trPr>
        <w:tc>
          <w:tcPr>
            <w:tcW w:w="2980" w:type="dxa"/>
            <w:vAlign w:val="bottom"/>
          </w:tcPr>
          <w:p>
            <w:pPr>
              <w:ind w:left="20"/>
              <w:spacing w:after="0" w:line="157" w:lineRule="exact"/>
              <w:rPr>
                <w:sz w:val="20"/>
                <w:szCs w:val="20"/>
                <w:color w:val="auto"/>
              </w:rPr>
            </w:pPr>
            <w:r>
              <w:rPr>
                <w:rFonts w:ascii="Arial" w:cs="Arial" w:eastAsia="Arial" w:hAnsi="Arial"/>
                <w:sz w:val="14"/>
                <w:szCs w:val="14"/>
                <w:color w:val="auto"/>
              </w:rPr>
              <w:t>Dividends and distributions to non-controlling</w:t>
            </w: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0"/>
              <w:spacing w:after="0"/>
              <w:rPr>
                <w:sz w:val="20"/>
                <w:szCs w:val="20"/>
                <w:color w:val="auto"/>
              </w:rPr>
            </w:pPr>
            <w:r>
              <w:rPr>
                <w:rFonts w:ascii="Arial" w:cs="Arial" w:eastAsia="Arial" w:hAnsi="Arial"/>
                <w:sz w:val="14"/>
                <w:szCs w:val="14"/>
                <w:color w:val="auto"/>
              </w:rPr>
              <w:t>interests in subsidiaries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subsidiary equity and other</w:t>
            </w:r>
          </w:p>
        </w:tc>
        <w:tc>
          <w:tcPr>
            <w:tcW w:w="3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March 31, 2019</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6,738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5,867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5,813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11,680</w:t>
            </w:r>
          </w:p>
        </w:tc>
        <w:tc>
          <w:tcPr>
            <w:tcW w:w="0" w:type="dxa"/>
            <w:vAlign w:val="bottom"/>
          </w:tcPr>
          <w:p>
            <w:pPr>
              <w:spacing w:after="0"/>
              <w:rPr>
                <w:sz w:val="1"/>
                <w:szCs w:val="1"/>
                <w:color w:val="auto"/>
              </w:rPr>
            </w:pPr>
          </w:p>
        </w:tc>
      </w:tr>
      <w:tr>
        <w:trPr>
          <w:trHeight w:val="25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264"/>
        </w:trPr>
        <w:tc>
          <w:tcPr>
            <w:tcW w:w="298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 payable reversal</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64"/>
        </w:trPr>
        <w:tc>
          <w:tcPr>
            <w:tcW w:w="2980" w:type="dxa"/>
            <w:vAlign w:val="bottom"/>
          </w:tcPr>
          <w:p>
            <w:pPr>
              <w:ind w:left="20"/>
              <w:spacing w:after="0"/>
              <w:rPr>
                <w:sz w:val="20"/>
                <w:szCs w:val="20"/>
                <w:color w:val="auto"/>
              </w:rPr>
            </w:pPr>
            <w:r>
              <w:rPr>
                <w:rFonts w:ascii="Arial" w:cs="Arial" w:eastAsia="Arial" w:hAnsi="Arial"/>
                <w:sz w:val="14"/>
                <w:szCs w:val="14"/>
                <w:color w:val="auto"/>
              </w:rPr>
              <w:t>Partnership distributions</w:t>
            </w: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Partnership contribution</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2980" w:type="dxa"/>
            <w:vAlign w:val="bottom"/>
          </w:tcPr>
          <w:p>
            <w:pPr>
              <w:ind w:left="20"/>
              <w:spacing w:after="0"/>
              <w:rPr>
                <w:sz w:val="20"/>
                <w:szCs w:val="20"/>
                <w:color w:val="auto"/>
              </w:rPr>
            </w:pPr>
            <w:r>
              <w:rPr>
                <w:rFonts w:ascii="Arial" w:cs="Arial" w:eastAsia="Arial" w:hAnsi="Arial"/>
                <w:sz w:val="14"/>
                <w:szCs w:val="14"/>
                <w:color w:val="auto"/>
              </w:rPr>
              <w:t>Investment segment contributions</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and distributions to non-controlling</w:t>
            </w: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interests in subsidiaries</w:t>
            </w:r>
          </w:p>
        </w:tc>
        <w:tc>
          <w:tcPr>
            <w:tcW w:w="3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Changes in subsidiary equity and other</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11,475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7"/>
          </w:tcPr>
          <w:p>
            <w:pPr>
              <w:jc w:val="center"/>
              <w:ind w:right="228"/>
              <w:spacing w:after="0"/>
              <w:rPr>
                <w:sz w:val="20"/>
                <w:szCs w:val="20"/>
                <w:color w:val="auto"/>
              </w:rPr>
            </w:pPr>
            <w:r>
              <w:rPr>
                <w:rFonts w:ascii="Arial" w:cs="Arial" w:eastAsia="Arial" w:hAnsi="Arial"/>
                <w:sz w:val="14"/>
                <w:szCs w:val="14"/>
                <w:b w:val="1"/>
                <w:bCs w:val="1"/>
                <w:color w:val="auto"/>
                <w:w w:val="94"/>
              </w:rPr>
              <w:t>Equity Attributable to Icahn Enterprises Holdings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17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General Partner's Equity</w:t>
            </w:r>
          </w:p>
        </w:tc>
        <w:tc>
          <w:tcPr>
            <w:tcW w:w="180" w:type="dxa"/>
            <w:vAlign w:val="bottom"/>
          </w:tcPr>
          <w:p>
            <w:pPr>
              <w:spacing w:after="0"/>
              <w:rPr>
                <w:sz w:val="13"/>
                <w:szCs w:val="13"/>
                <w:color w:val="auto"/>
              </w:rPr>
            </w:pPr>
          </w:p>
        </w:tc>
        <w:tc>
          <w:tcPr>
            <w:tcW w:w="15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6"/>
              </w:rPr>
              <w:t>Limited</w:t>
            </w:r>
          </w:p>
        </w:tc>
        <w:tc>
          <w:tcPr>
            <w:tcW w:w="100" w:type="dxa"/>
            <w:vAlign w:val="bottom"/>
          </w:tcPr>
          <w:p>
            <w:pPr>
              <w:spacing w:after="0"/>
              <w:rPr>
                <w:sz w:val="13"/>
                <w:szCs w:val="13"/>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Partners' Equity</w:t>
            </w:r>
          </w:p>
        </w:tc>
        <w:tc>
          <w:tcPr>
            <w:tcW w:w="200" w:type="dxa"/>
            <w:vAlign w:val="bottom"/>
          </w:tcPr>
          <w:p>
            <w:pPr>
              <w:spacing w:after="0"/>
              <w:rPr>
                <w:sz w:val="13"/>
                <w:szCs w:val="13"/>
                <w:color w:val="auto"/>
              </w:rPr>
            </w:pPr>
          </w:p>
        </w:tc>
        <w:tc>
          <w:tcPr>
            <w:tcW w:w="14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Non-controlling</w:t>
            </w:r>
          </w:p>
        </w:tc>
        <w:tc>
          <w:tcPr>
            <w:tcW w:w="260" w:type="dxa"/>
            <w:vAlign w:val="bottom"/>
          </w:tcPr>
          <w:p>
            <w:pPr>
              <w:spacing w:after="0"/>
              <w:rPr>
                <w:sz w:val="13"/>
                <w:szCs w:val="13"/>
                <w:color w:val="auto"/>
              </w:rPr>
            </w:pPr>
          </w:p>
        </w:tc>
        <w:tc>
          <w:tcPr>
            <w:tcW w:w="13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Partner's Equity</w:t>
            </w: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2017</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5,481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5,195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6,318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11,513</w:t>
            </w:r>
          </w:p>
        </w:tc>
        <w:tc>
          <w:tcPr>
            <w:tcW w:w="0" w:type="dxa"/>
            <w:vAlign w:val="bottom"/>
          </w:tcPr>
          <w:p>
            <w:pPr>
              <w:spacing w:after="0"/>
              <w:rPr>
                <w:sz w:val="1"/>
                <w:szCs w:val="1"/>
                <w:color w:val="auto"/>
              </w:rPr>
            </w:pPr>
          </w:p>
        </w:tc>
      </w:tr>
      <w:tr>
        <w:trPr>
          <w:trHeight w:val="264"/>
        </w:trPr>
        <w:tc>
          <w:tcPr>
            <w:tcW w:w="29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2980" w:type="dxa"/>
            <w:vAlign w:val="bottom"/>
          </w:tcPr>
          <w:p>
            <w:pPr>
              <w:ind w:left="20"/>
              <w:spacing w:after="0"/>
              <w:rPr>
                <w:sz w:val="20"/>
                <w:szCs w:val="20"/>
                <w:color w:val="auto"/>
              </w:rPr>
            </w:pPr>
            <w:r>
              <w:rPr>
                <w:rFonts w:ascii="Arial" w:cs="Arial" w:eastAsia="Arial" w:hAnsi="Arial"/>
                <w:sz w:val="14"/>
                <w:szCs w:val="14"/>
                <w:color w:val="auto"/>
              </w:rPr>
              <w:t>Distribution payable</w:t>
            </w: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segment contributions</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57"/>
        </w:trPr>
        <w:tc>
          <w:tcPr>
            <w:tcW w:w="2980" w:type="dxa"/>
            <w:vAlign w:val="bottom"/>
          </w:tcPr>
          <w:p>
            <w:pPr>
              <w:ind w:left="20"/>
              <w:spacing w:after="0" w:line="157" w:lineRule="exact"/>
              <w:rPr>
                <w:sz w:val="20"/>
                <w:szCs w:val="20"/>
                <w:color w:val="auto"/>
              </w:rPr>
            </w:pPr>
            <w:r>
              <w:rPr>
                <w:rFonts w:ascii="Arial" w:cs="Arial" w:eastAsia="Arial" w:hAnsi="Arial"/>
                <w:sz w:val="14"/>
                <w:szCs w:val="14"/>
                <w:color w:val="auto"/>
              </w:rPr>
              <w:t>Dividends and distributions to non-controlling</w:t>
            </w: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0"/>
              <w:spacing w:after="0"/>
              <w:rPr>
                <w:sz w:val="20"/>
                <w:szCs w:val="20"/>
                <w:color w:val="auto"/>
              </w:rPr>
            </w:pPr>
            <w:r>
              <w:rPr>
                <w:rFonts w:ascii="Arial" w:cs="Arial" w:eastAsia="Arial" w:hAnsi="Arial"/>
                <w:sz w:val="14"/>
                <w:szCs w:val="14"/>
                <w:color w:val="auto"/>
              </w:rPr>
              <w:t>interests in subsidiaries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adjustment from adoption of</w:t>
            </w: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accounting principle</w:t>
            </w:r>
          </w:p>
        </w:tc>
        <w:tc>
          <w:tcPr>
            <w:tcW w:w="3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4"/>
        </w:trPr>
        <w:tc>
          <w:tcPr>
            <w:tcW w:w="2980" w:type="dxa"/>
            <w:vAlign w:val="bottom"/>
          </w:tcPr>
          <w:p>
            <w:pPr>
              <w:ind w:left="20"/>
              <w:spacing w:after="0"/>
              <w:rPr>
                <w:sz w:val="20"/>
                <w:szCs w:val="20"/>
                <w:color w:val="auto"/>
              </w:rPr>
            </w:pPr>
            <w:r>
              <w:rPr>
                <w:rFonts w:ascii="Arial" w:cs="Arial" w:eastAsia="Arial" w:hAnsi="Arial"/>
                <w:sz w:val="14"/>
                <w:szCs w:val="14"/>
                <w:color w:val="auto"/>
              </w:rPr>
              <w:t>Changes in subsidiary equity and other</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2018</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5,316</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5,029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6,860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11,889</w:t>
            </w:r>
          </w:p>
        </w:tc>
        <w:tc>
          <w:tcPr>
            <w:tcW w:w="0" w:type="dxa"/>
            <w:vAlign w:val="bottom"/>
          </w:tcPr>
          <w:p>
            <w:pPr>
              <w:spacing w:after="0"/>
              <w:rPr>
                <w:sz w:val="1"/>
                <w:szCs w:val="1"/>
                <w:color w:val="auto"/>
              </w:rPr>
            </w:pPr>
          </w:p>
        </w:tc>
      </w:tr>
      <w:tr>
        <w:trPr>
          <w:trHeight w:val="250"/>
        </w:trPr>
        <w:tc>
          <w:tcPr>
            <w:tcW w:w="2980" w:type="dxa"/>
            <w:vAlign w:val="bottom"/>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64"/>
        </w:trPr>
        <w:tc>
          <w:tcPr>
            <w:tcW w:w="2980" w:type="dxa"/>
            <w:vAlign w:val="bottom"/>
          </w:tcPr>
          <w:p>
            <w:pPr>
              <w:ind w:left="20"/>
              <w:spacing w:after="0"/>
              <w:rPr>
                <w:sz w:val="20"/>
                <w:szCs w:val="20"/>
                <w:color w:val="auto"/>
              </w:rPr>
            </w:pPr>
            <w:r>
              <w:rPr>
                <w:rFonts w:ascii="Arial" w:cs="Arial" w:eastAsia="Arial" w:hAnsi="Arial"/>
                <w:sz w:val="14"/>
                <w:szCs w:val="14"/>
                <w:color w:val="auto"/>
              </w:rPr>
              <w:t>Distribution payable reversal</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Partnership distributions</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57"/>
        </w:trPr>
        <w:tc>
          <w:tcPr>
            <w:tcW w:w="2980" w:type="dxa"/>
            <w:vAlign w:val="bottom"/>
          </w:tcPr>
          <w:p>
            <w:pPr>
              <w:ind w:left="20"/>
              <w:spacing w:after="0" w:line="157" w:lineRule="exact"/>
              <w:rPr>
                <w:sz w:val="20"/>
                <w:szCs w:val="20"/>
                <w:color w:val="auto"/>
              </w:rPr>
            </w:pPr>
            <w:r>
              <w:rPr>
                <w:rFonts w:ascii="Arial" w:cs="Arial" w:eastAsia="Arial" w:hAnsi="Arial"/>
                <w:sz w:val="14"/>
                <w:szCs w:val="14"/>
                <w:color w:val="auto"/>
              </w:rPr>
              <w:t>Dividends and distributions to non-controlling</w:t>
            </w: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0"/>
              <w:spacing w:after="0"/>
              <w:rPr>
                <w:sz w:val="20"/>
                <w:szCs w:val="20"/>
                <w:color w:val="auto"/>
              </w:rPr>
            </w:pPr>
            <w:r>
              <w:rPr>
                <w:rFonts w:ascii="Arial" w:cs="Arial" w:eastAsia="Arial" w:hAnsi="Arial"/>
                <w:sz w:val="14"/>
                <w:szCs w:val="14"/>
                <w:color w:val="auto"/>
              </w:rPr>
              <w:t>interests in subsidiaries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subsidiary equity and other</w:t>
            </w:r>
          </w:p>
        </w:tc>
        <w:tc>
          <w:tcPr>
            <w:tcW w:w="3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Balance, June 30, 2018</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5,777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5,494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7,078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12,572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380"/>
          </w:cols>
          <w:pgMar w:left="260" w:top="36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60" w:top="364" w:right="25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3"/>
          </w:tcPr>
          <w:p>
            <w:pPr>
              <w:jc w:val="right"/>
              <w:ind w:right="668"/>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21"/>
                <w:szCs w:val="21"/>
                <w:color w:val="auto"/>
              </w:rPr>
            </w:pPr>
          </w:p>
        </w:tc>
      </w:tr>
      <w:tr>
        <w:trPr>
          <w:trHeight w:val="27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Adjustments to reconcile net (loss) income to net cash used in operating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(income) from discontinued operations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Net gain from securities transactions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(834)</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securities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sales of securities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1,481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5,217</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485</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258</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25</w:t>
            </w:r>
          </w:p>
        </w:tc>
      </w:tr>
      <w:tr>
        <w:trPr>
          <w:trHeight w:val="270"/>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1,150</w:t>
            </w: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operating activities from continuing operations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(1,812)</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(758)</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operating activities</w:t>
            </w:r>
          </w:p>
        </w:tc>
        <w:tc>
          <w:tcPr>
            <w:tcW w:w="10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(1,812)</w:t>
            </w:r>
          </w:p>
        </w:tc>
        <w:tc>
          <w:tcPr>
            <w:tcW w:w="1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businesses, net of cash acquired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 from continuing operations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investing activities from discontinued operations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4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 from non-controlling interests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Partnership contributions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distributions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 of additional interests in consolidated subsidiaries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and distributions to non-controlling interests in subsidiaries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Holding Company senior unsecured notes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subsidiary borrowings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Repayments of subsidiary borrowings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(704)</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cash provided by financing activities from continuing operations</w:t>
            </w:r>
          </w:p>
        </w:tc>
        <w:tc>
          <w:tcPr>
            <w:tcW w:w="104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financing activities from discontinued operations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10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971</w:t>
            </w:r>
          </w:p>
        </w:tc>
        <w:tc>
          <w:tcPr>
            <w:tcW w:w="1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 and restricted cash and restricted cash equivalents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Add back change in cash and restricted cash of assets held for sale</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 cash and cash equivalents and restricted cash and restricted cash equivalents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beginning of period</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5,338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1,911</w:t>
            </w: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end of period</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4,672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4"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jc w:val="both"/>
        <w:ind w:right="320" w:firstLine="405"/>
        <w:spacing w:after="0" w:line="288"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June 30, 2019. Icahn Enterprises Holdings and its subsidiaries own substantially all of our assets and liabilities and conduct substantially all of our operations.</w:t>
      </w:r>
    </w:p>
    <w:p>
      <w:pPr>
        <w:ind w:right="120"/>
        <w:spacing w:after="0" w:line="302" w:lineRule="auto"/>
        <w:rPr>
          <w:sz w:val="20"/>
          <w:szCs w:val="20"/>
          <w:color w:val="auto"/>
        </w:rPr>
      </w:pPr>
      <w:r>
        <w:rPr>
          <w:rFonts w:ascii="Arial" w:cs="Arial" w:eastAsia="Arial" w:hAnsi="Arial"/>
          <w:sz w:val="16"/>
          <w:szCs w:val="16"/>
          <w:color w:val="auto"/>
        </w:rPr>
        <w:t>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In addition to the above, Mr. Icahn and his affiliates owned approximately 92.0% of Icahn Enterprises' outstanding depositary units as of June 30, 2019.</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We are a diversified holding company owning subsidiaries currently engaged in the following continuing operating businesses: </w:t>
      </w:r>
      <w:r>
        <w:rPr>
          <w:rFonts w:ascii="Arial" w:cs="Arial" w:eastAsia="Arial" w:hAnsi="Arial"/>
          <w:sz w:val="17"/>
          <w:szCs w:val="17"/>
          <w:color w:val="231F20"/>
        </w:rPr>
        <w:t>Investment, Energy,</w:t>
      </w:r>
      <w:r>
        <w:rPr>
          <w:rFonts w:ascii="Arial" w:cs="Arial" w:eastAsia="Arial" w:hAnsi="Arial"/>
          <w:sz w:val="17"/>
          <w:szCs w:val="17"/>
          <w:color w:val="auto"/>
        </w:rPr>
        <w:t xml:space="preserve"> </w:t>
      </w:r>
      <w:r>
        <w:rPr>
          <w:rFonts w:ascii="Arial" w:cs="Arial" w:eastAsia="Arial" w:hAnsi="Arial"/>
          <w:sz w:val="17"/>
          <w:szCs w:val="17"/>
          <w:color w:val="231F20"/>
        </w:rPr>
        <w:t>Automotive, Food Packaging, Metals, Real Estate, Home Fashion and Mining</w:t>
      </w:r>
      <w:r>
        <w:rPr>
          <w:rFonts w:ascii="Arial" w:cs="Arial" w:eastAsia="Arial" w:hAnsi="Arial"/>
          <w:sz w:val="17"/>
          <w:szCs w:val="17"/>
          <w:color w:val="000000"/>
        </w:rPr>
        <w:t>. We also report the results of our Holding Company, which includes the results</w:t>
      </w:r>
      <w:r>
        <w:rPr>
          <w:rFonts w:ascii="Arial" w:cs="Arial" w:eastAsia="Arial" w:hAnsi="Arial"/>
          <w:sz w:val="17"/>
          <w:szCs w:val="17"/>
          <w:color w:val="231F20"/>
        </w:rPr>
        <w:t xml:space="preserve"> </w:t>
      </w:r>
      <w:r>
        <w:rPr>
          <w:rFonts w:ascii="Arial" w:cs="Arial" w:eastAsia="Arial" w:hAnsi="Arial"/>
          <w:sz w:val="17"/>
          <w:szCs w:val="17"/>
          <w:color w:val="000000"/>
        </w:rPr>
        <w:t>of certain subsidiaries of Icahn Enterprises and Icahn Enterprises Holdings (unless otherwise noted), and investment activity and expenses associated with our Holding Company. Our historical results also report the results of our Railcar segment through the date we sold our last remaining railcars on lease, which occurred in the third quarter of 2018. See Note 12, "Segment Reporting," for a reconciliation of each of our reporting segment's results of operations to our consolidated results. Certain additional information with respect to our segments is discussed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 office services to the Investment Funds but do not provide such services to any other entities, individuals or accounts. We and certain of Mr. Icahn's wholly-owned affiliates are the only investors in the Investment Funds. Interests in the Investment Funds are not offered to outside investors. We had interests in the Investment Funds with a fair value of approximately $4.6 billion and $5.1 billion as of June 30, 2019 and December 31, 2018,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280" w:firstLine="405"/>
        <w:spacing w:after="0" w:line="276" w:lineRule="auto"/>
        <w:rPr>
          <w:sz w:val="20"/>
          <w:szCs w:val="20"/>
          <w:color w:val="auto"/>
        </w:rPr>
      </w:pPr>
      <w:r>
        <w:rPr>
          <w:rFonts w:ascii="Arial" w:cs="Arial" w:eastAsia="Arial" w:hAnsi="Arial"/>
          <w:sz w:val="17"/>
          <w:szCs w:val="17"/>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As of June 30, 2019, we owned approximately 70.8% of the total outstanding common stock of CVR Energy.</w:t>
      </w:r>
    </w:p>
    <w:p>
      <w:pPr>
        <w:spacing w:after="0" w:line="64"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On January 29, 2019, CVR Energy, pursuant to the exercise of its right to purchase all of the issued and outstanding common units in CVR Refining, purchased the remaining common units of CVR Refining not already owned by CVR Energy, including the purchase of CVR Refining common units owned directly by us. Prior to this, CVR Energy owned approximately 80.6% of the common units of CVR Refining and we directly owned approximately 3.9% of the common units of CVR Refining. As a result of exercising its purchase right, as of January 29, 2019, CVR Energy owns all of the common units of CVR Refining and we no longer have any direct ownership in CVR Refining. In addition, the common units of CVR Refining have subsequently ceased to be publicly traded or listed on the New York Stock Exchange or any other national securities exchange. The remaining common units of CVR Refining acquired in this transaction were purchased for $241 million, excluding the amount paid by CVR Energy to us for the common units of CVR Refining directly owned by us.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37"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We conduct our Automotive segment through our wholly-owned subsidiary, Icahn Automotive Group LLC ("Icahn Automotive"). Icahn Automotive is engaged in the retail and wholesale distribution of automotive parts in the 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As a result, the board of directors of Icahn Automotive has approved the separation of its aftermarket parts and automotive services businesses into two independent operating companies, each with its own Chief Executive Officer and management teams, and both of which are supported by a central shared service group. Our Automotive segment also includes our investment in 767 Auto Leasing LLC ("767 Leasing"), a joint venture created to purchase vehicles for lease, as described further in Note 3, "Related Party Transactions."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We conduct our Food Packaging segment through our majority owned subsidiary, Viskase Companies, Inc. ("Viskase"). Viskase is a producer of cellulosic, fibrous and plastic casings used to prepare and package processed meat products.</w:t>
      </w:r>
    </w:p>
    <w:p>
      <w:pPr>
        <w:spacing w:after="0" w:line="6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During January 2018, Viskase received $50 million in connection with its common stock rights offering. In connection with this rights offering, we fully exercised our subscription rights under our basic and over subscription privileges to purchase additional shares of Viskase common stock, thereby increasing our ownership of Viskase from 74.6% to 78.6%, for an aggregate additional investment of $44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conduct our Metals segment through our wholly-owned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7"/>
          <w:szCs w:val="17"/>
          <w:i w:val="1"/>
          <w:iCs w:val="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Real Estate operations consist primarily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 In addition, our Real Estate operations also includes a hotel, timeshare and casino resort property in Aruba as well as a casino property in Atlantic City, New Jersey, which ceased operations in 2014 prior to our obtaining control of the property.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880" w:firstLine="405"/>
        <w:spacing w:after="0" w:line="277" w:lineRule="auto"/>
        <w:rPr>
          <w:sz w:val="20"/>
          <w:szCs w:val="20"/>
          <w:color w:val="auto"/>
        </w:rPr>
      </w:pPr>
      <w:r>
        <w:rPr>
          <w:rFonts w:ascii="Arial" w:cs="Arial" w:eastAsia="Arial" w:hAnsi="Arial"/>
          <w:sz w:val="18"/>
          <w:szCs w:val="18"/>
          <w:color w:val="auto"/>
        </w:rPr>
        <w:t>We conduct our Home Fashion segment through our wholly-owned subsidiary, WestPoint Home LLC (“WPH”). WPH's business consists of manufacturing, sourcing, marketing, distributing and selling home fashion consumer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We conduct our Mining segment through our majority owned subsidiary, Ferrous Resources Ltd. ("Ferrous Resources"). As of June 30, 2019, we owned approximately 77.2% of the total outstanding common stock of Ferrous Resources. Ferrous Resources acquired certain rights to iron ore mineral resources in Brazil and develops mining operations and related infrastructure to produce and sell iron ore products to the global steel industry.</w:t>
      </w:r>
    </w:p>
    <w:p>
      <w:pPr>
        <w:spacing w:after="0" w:line="57" w:lineRule="exact"/>
        <w:rPr>
          <w:sz w:val="20"/>
          <w:szCs w:val="20"/>
          <w:color w:val="auto"/>
        </w:rPr>
      </w:pPr>
    </w:p>
    <w:p>
      <w:pPr>
        <w:ind w:right="500" w:firstLine="378"/>
        <w:spacing w:after="0" w:line="312" w:lineRule="auto"/>
        <w:rPr>
          <w:sz w:val="20"/>
          <w:szCs w:val="20"/>
          <w:color w:val="auto"/>
        </w:rPr>
      </w:pPr>
      <w:r>
        <w:rPr>
          <w:rFonts w:ascii="Arial" w:cs="Arial" w:eastAsia="Arial" w:hAnsi="Arial"/>
          <w:sz w:val="16"/>
          <w:szCs w:val="16"/>
          <w:color w:val="auto"/>
        </w:rPr>
        <w:t>On December 5, 2018, we announced a definitive agreement to sell Ferrous Resources for total consideration of $550 million (including repaid indebtedness). This transaction met all the criteria to be classified as held for sale on December 5, 2018 upon execution of the definitive agreement. On August 1, 2019, we closed on the sale of Ferrous Resources. Subsequent to the sale, we will no longer operate an active Mining segment.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firstLine="378"/>
        <w:spacing w:after="0" w:line="302" w:lineRule="auto"/>
        <w:rPr>
          <w:sz w:val="20"/>
          <w:szCs w:val="20"/>
          <w:color w:val="auto"/>
        </w:rPr>
      </w:pPr>
      <w:r>
        <w:rPr>
          <w:rFonts w:ascii="Arial" w:cs="Arial" w:eastAsia="Arial" w:hAnsi="Arial"/>
          <w:sz w:val="16"/>
          <w:szCs w:val="16"/>
          <w:color w:val="auto"/>
        </w:rPr>
        <w:t>We conducted our Railcar segment through our wholly-owned subsidiary, American Railcar Leasing, LLC ("ARL"). ARL operated a leasing business consisting of purchased railcars leased to third parties under operating leases. During 2018, we sold all remaining railcars of ARL not previously sold and as a result, our business no longer includes an active Railcar segment. For the three and six months ended June 30, 2018, we had proceeds of $2 million and $17 million, respectively, in connection with the sale of railcars and we recorded a pretax gain on disposition of assets of $1 million and $5 million,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Discontinued Operating Businesses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also report discontinued operations previously reported in our Automotive and Railcar segments and former Gaming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discontinued Automotive operations consists of our previously wholly-owned subsidiary, Federal-Mogul LLC ("Federal-Mogul").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discontinued Gaming operations consists of our previous majority ownership in Tropicana Entertainment Inc. ("Tropicana").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discontinued Railcar operations consists of our previous majority ownership in American Railcar Industries, Inc. ("ARI").</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Each of these businesses were sold in the fourth quarter of 2018 and are reflected in discontinued operations for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See Note 13, "Discontinued Operations," for additional information with respect to our discontinued operating businesses.</w:t>
      </w:r>
    </w:p>
    <w:p>
      <w:pPr>
        <w:spacing w:after="0" w:line="31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8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recent sales of Federal-Mogul, Tropicana and ARI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70"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2018.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June 30, 2019, our condensed consolidated financial statements include the accounts of (i) Icahn Enterprises and Icahn Enterprises Holdings and</w:t>
      </w:r>
    </w:p>
    <w:p>
      <w:pPr>
        <w:spacing w:after="0" w:line="46" w:lineRule="exact"/>
        <w:rPr>
          <w:sz w:val="20"/>
          <w:szCs w:val="20"/>
          <w:color w:val="auto"/>
        </w:rPr>
      </w:pPr>
    </w:p>
    <w:p>
      <w:pPr>
        <w:ind w:firstLine="8"/>
        <w:spacing w:after="0" w:line="290"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56"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Except for our Investment segment, for equity investments in which we own 50% or less but greater than 20%, we generally account for such investments using the equity method. All other equity investments are accounted for at fair value.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337" w:right="27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Effective January 1, 2019, CVR Energy revised its accounting policy method for the costs of planned major maintenance activities ("turnarounds") specific to its petroleum business from being expensed as incurred (the direct expensing method) to the deferral method. Turnarounds are planned shutdowns of refinery processing units for significant overhaul and refurbishment. Under the deferral method, the costs of turnarounds are deferred and amortized on a straight-line basis over a four-year period, which represents the estimated time until the next turnaround occurs. The new method of accounting for turnarounds is considered preferable as it is more consistent with the accounting policy of CVR Energy's peer companies and better reflects the economic substance of the benefits earned from turnaround expenditures. The comparative condensed consolidated balance sheet as of December 31, 2018, the condensed consolidated statements of operations for the three and six months ended June 30, 2018 and the condensed consolidated statements of cash flows for the six months ended June 30, 2018 have been retrospectively adjusted to apply the new accounting method. These turnaround costs, and related accumulated amortization, are included within other assets in the condensed consolidated balance sheets. The amortization expense related to turnaround costs is included in cost of goods sold in the condensed consolidated statement of operations. CVR Partners will continue to follow the direct expensing method, therefore this change had no impact on its current or comparative condensed consolidated financial statements.</w:t>
      </w:r>
    </w:p>
    <w:p>
      <w:pPr>
        <w:spacing w:after="0" w:line="6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As a result of this accounting change, our Energy segment increased other assets by $108 million and decreased property, plant and equipment, net by $15 million as of December 31, 2018. In addition, our Energy segment increased deferred tax liability by $18 million and total equity by $75 million, including $31 million attributable to Icahn Enterprises and Icahn Enterprises Holdings as of December 31, 2018. As of December 31, 2017, our Energy segment increased total equity by $118 million, including $62 million attributable to Icahn Enterprises and Icahn Enterprises Holdings. For the three and six months ended June 30, 2018, the effect on net income for our Energy segment as a result of this accounting change was a reduction to net income of $11 million and $22 million, respectively, including a reduction of $7 million and $12 million, respectively, attributable to Icahn Enterprises and Icahn Enterprises Holdings. The impact on net income was comprised of a $13 million increase to cost of goods sold and a $2 million decrease to income tax expense for the three months ended June 30, 2018. For the six months ended June 30, 2018, the impact on net income was comprised of a $27 million increase to cost of goods sold and a $5 million decrease to 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Certain other reclassifications have been made within the condensed consolidated statements of operations to include gains and losses on derivatives within cost of goods sold for our Energy segment. Prior year balances have been reclassified to conform to the current year presentation. The reclassification of gain on derivatives from other income, net to costs of goods sold was $11 million and $70 million for the three and six months ended June 30, 2018, respectively. These reclassifications did not have an impact on previously reported net income.</w:t>
      </w:r>
    </w:p>
    <w:p>
      <w:pPr>
        <w:spacing w:after="0" w:line="7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have also recast certain historical results for discontinued operations, which we disclose in Note 13, "Discontinued Operations." In addition, certain other reclassifications from the prior year presentation have been made to conform to the current year presentation, which did not have an impact on previously reported net income and equity and are not deemed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described above, we operated businesses classified as discontinued operations, each of which were sold in the fourth quarter of 2018, and which are reported in our condensed consolidated statements of operations for the three and six months ended June 30, 2018 as discontinued operations. During the second quarter of 2019, certain pending adjustments relating to the sale of Federal-Mogul were finalized, resulting in an adjustment to income tax expense from discontinued operations of $24 million with an offsetting adjustment to deferred liability. In accordance with U.S. GAAP, such adjustment is recorded as discontinued operations in the second quarter of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following is a discussion of variable interest entities in which we are deemed to be the primary beneficiary and in which we therefore consolidate. In addition, as discussed in Note 3, "Related Party Transactions," we have a variable interest in an entity in which we are not the primary beneficiary and therefore we do not consolidate.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determined that Icahn Enterprises Holdings is a VIE because it is a limited partnership that lacks both substantive kick-out and participating rights. Although Icahn Enterprises is not the general partner of Icahn Enterprises Holdings, Icahn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7"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The condensed consolidated financial statements of Icahn Enterprises Holdings are included in this Report. The balances with respect to Icahn Enterprises Holdings' consolidated VIEs are discussed below, comprising the Investment Funds, CVR Refining (prior to January 2019), CVR Partners and Viskase.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CVR Refining (prior to January 2019) and CVR Partners are each considered VIEs because each of these limited partnerships lack both substantive kick-out and participating rights. In addition, CVR Energy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it is the primary beneficiary of both CVR Refining (prior to January 2019) and CVR Partners. Beginning in January 2019, CVR Refining is no longer considered a VIE as it is a wholly-owned subsidiary of CVR Energy.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includes balances of assets and liabilities of VIE's included in Icahn Enterprises Holdings' condensed consolidated balance sheets.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1"/>
              <w:spacing w:after="0"/>
              <w:rPr>
                <w:sz w:val="20"/>
                <w:szCs w:val="20"/>
                <w:color w:val="auto"/>
              </w:rPr>
            </w:pPr>
            <w:r>
              <w:rPr>
                <w:rFonts w:ascii="Arial" w:cs="Arial" w:eastAsia="Arial" w:hAnsi="Arial"/>
                <w:sz w:val="18"/>
                <w:szCs w:val="18"/>
                <w:b w:val="1"/>
                <w:bCs w:val="1"/>
                <w:color w:val="auto"/>
                <w:w w:val="93"/>
              </w:rPr>
              <w:t>June 30, 2019</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December 31, 2018</w:t>
            </w:r>
          </w:p>
        </w:tc>
      </w:tr>
      <w:tr>
        <w:trPr>
          <w:trHeight w:val="27"/>
        </w:trPr>
        <w:tc>
          <w:tcPr>
            <w:tcW w:w="8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2"/>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651</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2,648</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8,273</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6,951</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Due from brokers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1,280</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664</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3,012</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380</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971</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468</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631</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1,170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Related Matters,” and Note 5, “Fair Value Measurements,” for a detailed discussion of our investments and other non-financial assets and/or liabilities.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June 30, 2019 was approximately $8.7 billion and $8.8 billion, respectively. The carrying value and estimated fair value of our long-term debt as of December 31, 2018 was approximately $7.3 billion and $7.3 billion,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117"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Our cash held at consolidated affiliated partnerships balance was $133 million and $2,648 million as of June 30, 2019 and December 31, 2018, respectively. Cash held at consolidated affiliated partnerships relates to our Investment segment and consists of cash and cash equivalents held by the Investment Funds that, although not legally restricted, are not available to fund the general liquidity needs of the Investment segment or Icahn Enterprises.</w:t>
      </w:r>
    </w:p>
    <w:p>
      <w:pPr>
        <w:spacing w:after="0" w:line="3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restricted cash balance was $531 million and $34 million as of June 30, 2019 and December 31, 2018, respectively. Restricted cash primarily relates to our Investment segment's cash pledged and held for margin requirements on derivative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 xml:space="preserve">As discussed below, on January 1, 2019, we adopted Financial Accounting Standards Board ("FASB") Accounting Standards Codification ("ASC") Topic 842, </w:t>
      </w:r>
      <w:r>
        <w:rPr>
          <w:rFonts w:ascii="Arial" w:cs="Arial" w:eastAsia="Arial" w:hAnsi="Arial"/>
          <w:sz w:val="16"/>
          <w:szCs w:val="16"/>
          <w:i w:val="1"/>
          <w:iCs w:val="1"/>
          <w:color w:val="auto"/>
        </w:rPr>
        <w:t>Leases</w:t>
      </w:r>
      <w:r>
        <w:rPr>
          <w:rFonts w:ascii="Arial" w:cs="Arial" w:eastAsia="Arial" w:hAnsi="Arial"/>
          <w:sz w:val="16"/>
          <w:szCs w:val="16"/>
          <w:color w:val="auto"/>
        </w:rPr>
        <w:t>, using the modified retrospective approach, which does not require the application of this Topic to periods prior to January 1, 2019. With the exception of the requirement to recognize right-of-use assets on the balance sheet for operating leases in which we are the lessee beginning in 2019, our accounting policy with respect to leases is not significantly different from prior periods and therefore, our prior period accounting policy is not separately disclosed. Financing leases under current U.S. GAAP are classified and accounted for in substantially the same manner as capital leases under prior U.S. GAAP and therefore, we do not distinguish between financing leases and capital leases unless the context requires.</w:t>
      </w:r>
    </w:p>
    <w:p>
      <w:pPr>
        <w:spacing w:after="0" w:line="57" w:lineRule="exact"/>
        <w:rPr>
          <w:sz w:val="20"/>
          <w:szCs w:val="20"/>
          <w:color w:val="auto"/>
        </w:rPr>
      </w:pPr>
    </w:p>
    <w:p>
      <w:pPr>
        <w:jc w:val="both"/>
        <w:ind w:right="180" w:firstLine="405"/>
        <w:spacing w:after="0" w:line="279" w:lineRule="auto"/>
        <w:rPr>
          <w:sz w:val="20"/>
          <w:szCs w:val="20"/>
          <w:color w:val="auto"/>
        </w:rPr>
      </w:pPr>
      <w:r>
        <w:rPr>
          <w:rFonts w:ascii="Arial" w:cs="Arial" w:eastAsia="Arial" w:hAnsi="Arial"/>
          <w:sz w:val="17"/>
          <w:szCs w:val="17"/>
          <w:color w:val="auto"/>
        </w:rPr>
        <w:t>The determination of whether an arrangement is or contains a lease occurs at inception. We account for arrangements that contain lease and non-lease components as a single lease component for all classes of underlying assets. Leases in which we are the lessor are primarily within our Real Estate segment. Refer to Real Estate below for further discussion. In addition, all of our businesses, including our Real Estate segment, enter into lease arrangements as the lessee. The following is our accounting policy for leases in which we are the lessee.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Segments and Holding Company</w:t>
      </w:r>
    </w:p>
    <w:p>
      <w:pPr>
        <w:spacing w:after="0" w:line="117" w:lineRule="exact"/>
        <w:rPr>
          <w:sz w:val="20"/>
          <w:szCs w:val="20"/>
          <w:color w:val="auto"/>
        </w:rPr>
      </w:pPr>
    </w:p>
    <w:p>
      <w:pPr>
        <w:ind w:right="120" w:firstLine="405"/>
        <w:spacing w:after="0" w:line="287" w:lineRule="auto"/>
        <w:rPr>
          <w:sz w:val="20"/>
          <w:szCs w:val="20"/>
          <w:color w:val="auto"/>
        </w:rPr>
      </w:pPr>
      <w:r>
        <w:rPr>
          <w:rFonts w:ascii="Arial" w:cs="Arial" w:eastAsia="Arial" w:hAnsi="Arial"/>
          <w:sz w:val="16"/>
          <w:szCs w:val="16"/>
          <w:color w:val="auto"/>
        </w:rPr>
        <w:t>Leases are classified as either operating or financing by the lessee depending on whether or not the lease terms provide for control of the underlying asset to be transferred to the lessee. When control transfers to the lessee, we classify the lease as a financing lease. All other leases are recorded as operating leases. Effective January 1, 2019, for all leases with an initial lease term in excess of twelve months, we record a right-of-use asset with a corresponding liability in the condensed consolidated balance sheet. Right-of-use assets represent our right to use an underlying asset for the lease term and lease liabilities represent our obligation to make lease payments arising from the lease. Right-of-use assets and lease liabilities are recognized at commencement of the lease based on the present value of lease payments over the lease term. Right-of-use assets are adjusted for any lease payments made on or before commencement of the lease, less any lease incentives received. As most of our leases do not provide an implicit rate, we use the incremental borrowing rate with respect to each of our businesses based on the information available at commencement of the lease in determining the present value of lease payments. We use the implicit rate when readily determinable. The lease terms used in the determination of our right-of-use assets and liabilities reflect any options to extend or terminate the lease when it is reasonably certain that we will exercise such option. We and our subsidiaries, independently of each other, apply a portfolio approach to account for the right-of-use assets and lease liabilities when we or our subsidiaries do not believe that applying the portfolio approach would be materially different from accounting for right-of-use assets and lease liabilities individually.</w:t>
      </w:r>
    </w:p>
    <w:p>
      <w:pPr>
        <w:spacing w:after="0" w:line="6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Operating lease expense is recorded as a single expense recognized on a straight-line basis over the lease term and is net of sub-lease income. Operating lease right-of-use assets are amortized for the difference between the straight-line expense less the accretion of interest of the related lease liability. Financing lease expense consists of interest expense on the financing lease liability as well as amortization of the right-of-use financing lease assets on a straight-line basis over the lease term.</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260" w:firstLine="405"/>
        <w:spacing w:after="0" w:line="272" w:lineRule="auto"/>
        <w:rPr>
          <w:sz w:val="20"/>
          <w:szCs w:val="20"/>
          <w:color w:val="auto"/>
        </w:rPr>
      </w:pPr>
      <w:r>
        <w:rPr>
          <w:rFonts w:ascii="Arial" w:cs="Arial" w:eastAsia="Arial" w:hAnsi="Arial"/>
          <w:sz w:val="17"/>
          <w:szCs w:val="17"/>
          <w:color w:val="auto"/>
        </w:rPr>
        <w:t>Leases are classified as either operating, sales-type or direct financing by the lessor. Our Real Estate segment's net lease portfolio consists of commercial real estate leased to others under long-term operating leases and we account for these leases in accordance with FASB ASC Topic 842. These assets leased to others are recorded at cost, net of accumulated depreciation, and are included in property, plant and equipment, net on our condensed consolidated balance sheets. Assets leased to others are depreciated on a straight-line basis over the useful lives of the assets, ranging from 5 years to 39 years. Lease revenue is recognized on a straight-line basis over the lease term. Cash receipts for all lease payments received are included in net cash flows from operating activities in the condensed consolidated statements of cash flows. Our Real Estate segment's accounting policy for assets leased to others is not significantly different from prior periods.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 all of our Investment segment's and our Holding Company's revenues, and our Real Estate segment's leasing revenue, our revenue is generally derived from contracts with customers in accordance with U.S. GAAP. Such revenue from contracts with customers are included in net sales and other revenues from operations in the condensed consolidated statements of operations, however, our Real Estate segment's leasing revenue, as disclosed in Note 9,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12, "Segment Reporting," for our complete disaggregation of revenue information. In addition, we disclose additional information with respect to revenue from contracts with customers and contract balances for our Energy and Automotive segments below.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$9 million and $69 million as of June 30, 2019 and December 31, 2018, respectively. For the six months ended June 30, 2019 and 2018, our Energy segment recorded revenue of $68 million and $32 million, respectively, with respect to deferred revenue outstanding as of the beginning of each respective year, and which includes $56 million and $20 million recognized during the three months ended June 30, 2019 and 2018, respectively.</w:t>
      </w:r>
    </w:p>
    <w:p>
      <w:pPr>
        <w:spacing w:after="0" w:line="7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As of June 30, 2019, our Energy segment had $8 million of remaining performance obligations for contracts with an original expected duration of more than one year. Our Energy segment expects to recognize approximately $2 million of these performance obligations as revenue by the end of 2019 and the remaining balance thereafter.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420" w:firstLine="405"/>
        <w:spacing w:after="0" w:line="257" w:lineRule="auto"/>
        <w:rPr>
          <w:sz w:val="20"/>
          <w:szCs w:val="20"/>
          <w:color w:val="auto"/>
        </w:rPr>
      </w:pPr>
      <w:r>
        <w:rPr>
          <w:rFonts w:ascii="Arial" w:cs="Arial" w:eastAsia="Arial" w:hAnsi="Arial"/>
          <w:sz w:val="18"/>
          <w:szCs w:val="18"/>
          <w:color w:val="auto"/>
        </w:rPr>
        <w:t>Our Automotive segment has deferred revenue with respect to extended warranty plans of $42 million and $42 million as of June 30, 2019 and December 31, 2018, respectively, which are included in accrued expenses and other liabilities on the condensed consolidated balance sheets. For the six months ended June 30, 2019 and 2018, our Automotive segment recorded revenue of $12 million and $12 million, respectively, with respect to deferred revenue outstanding as of the beginning of each respective year, and which includes $6 million and $6 million recognized during the three months ended June 30, 2019 and 2018,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 Standards Updates</w:t>
      </w:r>
    </w:p>
    <w:p>
      <w:pPr>
        <w:spacing w:after="0" w:line="117"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FASB ASC Topic 840, </w:t>
      </w:r>
      <w:r>
        <w:rPr>
          <w:rFonts w:ascii="Arial" w:cs="Arial" w:eastAsia="Arial" w:hAnsi="Arial"/>
          <w:sz w:val="16"/>
          <w:szCs w:val="16"/>
          <w:i w:val="1"/>
          <w:iCs w:val="1"/>
          <w:color w:val="auto"/>
        </w:rPr>
        <w:t>Leases</w:t>
      </w:r>
      <w:r>
        <w:rPr>
          <w:rFonts w:ascii="Arial" w:cs="Arial" w:eastAsia="Arial" w:hAnsi="Arial"/>
          <w:sz w:val="16"/>
          <w:szCs w:val="16"/>
          <w:color w:val="auto"/>
        </w:rPr>
        <w:t>. This ASU requires the recognition of right-of-use assets and lease liabilities by lessees for those leases classified as operating leases under previous</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In addition, among other changes to the accounting for leases, this ASU retains the distinction between finance leases and operating leases. The classification criteria for distinguishing between financing leases and operating leases are substantially similar to the classification criteria for distinguishing between capital leases and operating leases under previous guidance. Furthermore, quantitative and qualitative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disclosures, including disclosures regarding significant judgments made by management, will be required. This ASU is effective for fiscal years beginning after December 15, 2018, including interim periods within those fiscal years. The amendments in this ASU should be applied using a modified retrospective approach. In addition, in July 2018, the FASB issued ASU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provides an additional (and optional) transition method to adopt the new leases standard. We adopted the new leases standards using the new transition method option effective January 1, 2019, which required a cumulative-effect adjustment recognized in equity at such date. No adjustment to prior period presentation and disclosure were required. The most significant impact related to the recognition of right-of-use assets and lease liabilities in the condensed consolidated balance sheets for long-term operating leases with the significant majority of the impact within our Automotive segment, and to a lesser extent, our Energy and Food Packaging segments. Our Automotive segment has identified approximately 2,300 leases, primarily for real estate (operating leases) and vehicles (financing leases) and recognized operating lease right-of-use assets of $589 million (which reflects the impact of above market leases, net of below market leases) and related liabilities of $621 million as of January 1, 2019 as well as financing lease right-of-use assets and obligations of $24 million and $27 million, respectively. Our Energy segment recognized operating lease right-of-use assets and liabilities of $56 million and financing lease right-of-use assets and obligations of $26 million and $23 million, respectively, as of January 1, 2019. Our Food Packaging segment recognized operating lease right-of-use assets and liabilities of $35 million and $39 million, respectively, as of January 1, 2019 and financing lease right-of-use assets and obligations of $1 million. The aggregate impact for all other segments was the recognition of operating lease right-of-use assets and liabilities of $28 million as of January 1, 2019.</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Accounting Standards Updates</w:t>
      </w:r>
    </w:p>
    <w:p>
      <w:pPr>
        <w:spacing w:after="0" w:line="117" w:lineRule="exact"/>
        <w:rPr>
          <w:sz w:val="20"/>
          <w:szCs w:val="20"/>
          <w:color w:val="auto"/>
        </w:rPr>
      </w:pPr>
    </w:p>
    <w:p>
      <w:pPr>
        <w:jc w:val="both"/>
        <w:ind w:right="160" w:firstLine="405"/>
        <w:spacing w:after="0" w:line="297" w:lineRule="auto"/>
        <w:rPr>
          <w:sz w:val="20"/>
          <w:szCs w:val="20"/>
          <w:color w:val="auto"/>
        </w:rPr>
      </w:pPr>
      <w:r>
        <w:rPr>
          <w:rFonts w:ascii="Arial" w:cs="Arial" w:eastAsia="Arial" w:hAnsi="Arial"/>
          <w:sz w:val="16"/>
          <w:szCs w:val="16"/>
          <w:color w:val="auto"/>
        </w:rPr>
        <w:t xml:space="preserve">In March 2017, the FASB issued ASU 2017-08, </w:t>
      </w:r>
      <w:r>
        <w:rPr>
          <w:rFonts w:ascii="Arial" w:cs="Arial" w:eastAsia="Arial" w:hAnsi="Arial"/>
          <w:sz w:val="16"/>
          <w:szCs w:val="16"/>
          <w:i w:val="1"/>
          <w:iCs w:val="1"/>
          <w:color w:val="auto"/>
        </w:rPr>
        <w:t>Premium Amortization on Purchased Callable Debt Securities</w:t>
      </w:r>
      <w:r>
        <w:rPr>
          <w:rFonts w:ascii="Arial" w:cs="Arial" w:eastAsia="Arial" w:hAnsi="Arial"/>
          <w:sz w:val="16"/>
          <w:szCs w:val="16"/>
          <w:color w:val="auto"/>
        </w:rPr>
        <w:t xml:space="preserve">, which amends FASB ASC Sub-Topic 310-20, </w:t>
      </w:r>
      <w:r>
        <w:rPr>
          <w:rFonts w:ascii="Arial" w:cs="Arial" w:eastAsia="Arial" w:hAnsi="Arial"/>
          <w:sz w:val="16"/>
          <w:szCs w:val="16"/>
          <w:i w:val="1"/>
          <w:iCs w:val="1"/>
          <w:color w:val="auto"/>
        </w:rPr>
        <w:t>Receivables-Nonrefundable Fees and Other Costs</w:t>
      </w:r>
      <w:r>
        <w:rPr>
          <w:rFonts w:ascii="Arial" w:cs="Arial" w:eastAsia="Arial" w:hAnsi="Arial"/>
          <w:sz w:val="16"/>
          <w:szCs w:val="16"/>
          <w:color w:val="auto"/>
        </w:rPr>
        <w:t>. This ASU amends the amortization period for certain purchased callable debt securities held at a premium by shortening the amortization period for the premium to the earliest call date. This ASU is effective for fiscal years beginning after December 15, 2018, and interim periods within those fiscal years. We have adopted this standard on January 1, 2019 using the modified retrospective application method. The adoption of this standard did not have a significant impact on our condensed consolidated financial statements.</w:t>
      </w:r>
    </w:p>
    <w:p>
      <w:pPr>
        <w:spacing w:after="0" w:line="50"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xml:space="preserve">, which amends FASB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This ASU includes amendments to existing guidance to better align an entity’s risk management activities and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hedging relationships through changes to both the designation and measurement guidance for qualifying hedging relationships and the presentation of hedge results. This ASU is effective for fiscal years beginning after December 15, 2018, and interim periods within those fiscal years. We have adopted this standard on January 1, 2019. The adoption of this standard did not have a significant impact on our condensed consolidated financial statements.</w:t>
      </w:r>
    </w:p>
    <w:p>
      <w:pPr>
        <w:spacing w:after="0" w:line="5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xml:space="preserve">, which amends FASB ASC Topic 220, </w:t>
      </w:r>
      <w:r>
        <w:rPr>
          <w:rFonts w:ascii="Arial" w:cs="Arial" w:eastAsia="Arial" w:hAnsi="Arial"/>
          <w:sz w:val="17"/>
          <w:szCs w:val="17"/>
          <w:i w:val="1"/>
          <w:iCs w:val="1"/>
          <w:color w:val="auto"/>
        </w:rPr>
        <w:t>Income Statement - Reporting Comprehensive Income</w:t>
      </w:r>
      <w:r>
        <w:rPr>
          <w:rFonts w:ascii="Arial" w:cs="Arial" w:eastAsia="Arial" w:hAnsi="Arial"/>
          <w:sz w:val="17"/>
          <w:szCs w:val="17"/>
          <w:color w:val="auto"/>
        </w:rPr>
        <w:t>. This ASU allows a reclassification out of accumulated other comprehensive loss within equity for standard tax effects resulting from the Tax Cuts and Jobs Act and consequently, eliminates the stranded tax effects resulting from the Tax Cuts and Jobs Act. This ASU is effective for fiscal years beginning after December 15, 2018, and interim periods within those fiscal years. We have adopted this standard effective on January 1, 2019. See Note 15, "Changes in Accumulated Other Comprehensive Loss," for the impact on our accumulated other comprehensive loss, which is attributable to our Food Packaging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which amends FASB ASC Topic 326,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 Credit Losses. </w:t>
      </w:r>
      <w:r>
        <w:rPr>
          <w:rFonts w:ascii="Arial" w:cs="Arial" w:eastAsia="Arial" w:hAnsi="Arial"/>
          <w:sz w:val="16"/>
          <w:szCs w:val="16"/>
          <w:color w:val="auto"/>
        </w:rPr>
        <w:t>In addition, in May 2019, the FASB issued ASU 2019-05,</w:t>
      </w:r>
      <w:r>
        <w:rPr>
          <w:rFonts w:ascii="Arial" w:cs="Arial" w:eastAsia="Arial" w:hAnsi="Arial"/>
          <w:sz w:val="16"/>
          <w:szCs w:val="16"/>
          <w:i w:val="1"/>
          <w:iCs w:val="1"/>
          <w:color w:val="auto"/>
        </w:rPr>
        <w:t xml:space="preserve"> Targeted Transition Relief</w:t>
      </w:r>
      <w:r>
        <w:rPr>
          <w:rFonts w:ascii="Arial" w:cs="Arial" w:eastAsia="Arial" w:hAnsi="Arial"/>
          <w:sz w:val="16"/>
          <w:szCs w:val="16"/>
          <w:color w:val="auto"/>
        </w:rPr>
        <w:t>, which updates FASB ASU 2016-13. These</w:t>
      </w:r>
      <w:r>
        <w:rPr>
          <w:rFonts w:ascii="Arial" w:cs="Arial" w:eastAsia="Arial" w:hAnsi="Arial"/>
          <w:sz w:val="16"/>
          <w:szCs w:val="16"/>
          <w:i w:val="1"/>
          <w:iCs w:val="1"/>
          <w:color w:val="auto"/>
        </w:rPr>
        <w:t xml:space="preserve"> </w:t>
      </w:r>
      <w:r>
        <w:rPr>
          <w:rFonts w:ascii="Arial" w:cs="Arial" w:eastAsia="Arial" w:hAnsi="Arial"/>
          <w:sz w:val="16"/>
          <w:szCs w:val="16"/>
          <w:color w:val="auto"/>
        </w:rPr>
        <w:t>ASU's require financial assets measured at amortized cost to be presented at the net amount to be collected and broadens the information, including forecasted information incorporating more timely information, that an entity must consider in developing its expected credit loss estimate for assets measured. These ASU's are effective for fiscal years beginning after December 15, 2019, including interim periods within those fiscal years. Early application is permitted for fiscal years beginning after December 15, 2018. We are currently evaluating the impact of this standard on our consolidated financial statements.</w:t>
      </w:r>
    </w:p>
    <w:p>
      <w:pPr>
        <w:spacing w:after="0" w:line="5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Framework-Changes to the Disclosure Requirements for Fair Value Measurements</w:t>
      </w:r>
      <w:r>
        <w:rPr>
          <w:rFonts w:ascii="Arial" w:cs="Arial" w:eastAsia="Arial" w:hAnsi="Arial"/>
          <w:sz w:val="18"/>
          <w:szCs w:val="18"/>
          <w:color w:val="auto"/>
        </w:rPr>
        <w:t xml:space="preserve">, which amends FASB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ASU eliminates, modifies and adds various disclosure requirements on fair value measurements. This ASU is effective for fiscal years beginning after December 15, 2019, and interim periods within those fiscal years. Certain disclosures are required to be applied using a retrospective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approach and others using a prospective approach. Early adoption is permitted. We are currently evaluating the impact of this standard on our consolidated financial statements.</w:t>
      </w:r>
    </w:p>
    <w:p>
      <w:pPr>
        <w:spacing w:after="0" w:line="62"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 That is</w:t>
      </w:r>
      <w:r>
        <w:rPr>
          <w:rFonts w:ascii="Arial" w:cs="Arial" w:eastAsia="Arial" w:hAnsi="Arial"/>
          <w:sz w:val="18"/>
          <w:szCs w:val="18"/>
          <w:color w:val="auto"/>
        </w:rPr>
        <w:t xml:space="preserve"> </w:t>
      </w:r>
      <w:r>
        <w:rPr>
          <w:rFonts w:ascii="Arial" w:cs="Arial" w:eastAsia="Arial" w:hAnsi="Arial"/>
          <w:sz w:val="18"/>
          <w:szCs w:val="18"/>
          <w:i w:val="1"/>
          <w:iCs w:val="1"/>
          <w:color w:val="auto"/>
        </w:rPr>
        <w:t>a Service Contract</w:t>
      </w:r>
      <w:r>
        <w:rPr>
          <w:rFonts w:ascii="Arial" w:cs="Arial" w:eastAsia="Arial" w:hAnsi="Arial"/>
          <w:sz w:val="18"/>
          <w:szCs w:val="18"/>
          <w:color w:val="auto"/>
        </w:rPr>
        <w:t>, which amends FASB ASC Subtopic 350-40,</w:t>
      </w:r>
      <w:r>
        <w:rPr>
          <w:rFonts w:ascii="Arial" w:cs="Arial" w:eastAsia="Arial" w:hAnsi="Arial"/>
          <w:sz w:val="18"/>
          <w:szCs w:val="18"/>
          <w:i w:val="1"/>
          <w:iCs w:val="1"/>
          <w:color w:val="auto"/>
        </w:rPr>
        <w:t xml:space="preserve"> Intangibles-Goodwill and Other-Internal-Use Software</w:t>
      </w:r>
      <w:r>
        <w:rPr>
          <w:rFonts w:ascii="Arial" w:cs="Arial" w:eastAsia="Arial" w:hAnsi="Arial"/>
          <w:sz w:val="18"/>
          <w:szCs w:val="18"/>
          <w:color w:val="auto"/>
        </w:rPr>
        <w:t>. This ASU adds certain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related to implementation costs incurred for internal-use software and cloud computing arrangements. The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fiscal years beginning after December 15, 2019, and interim periods within those fiscal years. The amendments in this ASU should be applied either using a retrospective or prospective approach. Early adoption is permitted. We are currently evaluating the impact of this standard on our consolidated financial statements.</w:t>
      </w:r>
    </w:p>
    <w:p>
      <w:pPr>
        <w:spacing w:after="0" w:line="29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Funds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the six months ended June 30, 2019 and 2018, Mr. Icahn and his affiliates (excluding us) invested $70 million and $280 million, respectively, in the Investment Funds, net of redemptions. As of June 30, 2019 and December 31, 2018, the total fair market value of investments in the Investment Funds made by Mr. Icahn and his affiliates (excluding us) was approximately $4.7 billion and $5.0 billion, respectively, representing approximately 50% and 50% of the Investment Funds' assets under management as of each respective date.</w:t>
      </w:r>
    </w:p>
    <w:p>
      <w:pPr>
        <w:spacing w:after="0" w:line="7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three months ended June 30, 2019 and 2018, $2 million and $2 million, respectively, was allocated to the Investment Funds based on this expense-sharing arrangement and for the six months ended June 30, 2019 and 2018, such allocation was $5 million and $2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Hertz Global Holdings, Inc.</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As discussed in Note 4, "Investments and Related Matters," the Investment Funds have an investment in the common stock of Hertz Global Holdings, Inc. ("Hertz") measured at fair value that would have otherwise been subject to the equity method of accounting. Icahn Automotive provides services to Hertz in the ordinary course of business. For the three months ended June 30, 2019 and 2018, revenue from Hertz was $13 million and $12 million, respectively, and $25 million and $18 million for the six months ended June 30, 2019 and 2018, respectively. Additionally, Federal-Mogul had payments to Hertz in the ordinary course of business of $1 million and $1 million for the three and six months ended June 30, 2018, respectively.</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six months ended June 30, 2018, the Investment Funds purchased shares of a certain investment from Hertz in the amount of $36 million.</w:t>
      </w:r>
    </w:p>
    <w:p>
      <w:pPr>
        <w:spacing w:after="0" w:line="129"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addition to our transactions with Hertz disclosed above, 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has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37" w:right="25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economic performance. Therefore, we do not consolidate the results of 767 Leasing. Our exposure to loss with respect to 767 Leasing is primarily limited to our direct investment in 767 Leasing as well as any payment obligations of 767 Leasing that we guarantee, which are not material as of June 30, 2019 and December 31, 2018. As of June 30, 2019 and December 31, 2018, 767 Leasing had total assets of $105 million and $60 million, respectively (primarily vehicles for lease) and total liabilities of $0 million and $1 million, respectively. For the three months ended June 30, 2019 and 2018, our Automotive segment invested $20 million and $5 million, respectively, in 767 Leasing and for the six months ended June 30, 2019 and 2018, our Automotive segment invested $45 million and $10 million, respectively, in 767 Leasing. As of June 30, 2019 and December 31, 2018, our Automotive segment had an equity method investment in 767 Leasing of $107 million and $59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ACF Industries LLC</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Railcar operations, prior to December 5, 2018 (the date we closed on the sale of ARI), had certain transactions with ACF Industries LLC ("ACF"), an affiliate of Mr. Icahn, under various agreements, as well as on a purchase order basis. ACF is a manufacturer and fabricator of specialty railcar parts and miscellaneous steel products. Agreements and transactions with ACF include (i) railcar component purchases from ACF, (ii) railcar parts purchases from and sales to ACF, (iii) railcar purchasing and engineering services agreements with ACF, (iv) lease of certain intellectual property to ACF and (v) railcar repair services and support for ACF</w:t>
      </w:r>
    </w:p>
    <w:p>
      <w:pPr>
        <w:spacing w:after="0" w:line="8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Purchases from ACF were $1 million and $2 million for the three and six months ended June 30, 2018, respectively. For the three and six months ended June 30, 2018, revenues from ACF were not material.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CVR Energy, Viskase, PSC Metals, WPH, Federal-Mogul (prior to October 1, 2018), ARI (prior to December 5, 2018) and Tropicana (prior to October 1, 2018)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 expenses. For the three months ended June 30, 2019 and 2018, we and certain of our subsidiaries paid certain of Insight Portfolio Group's operating expenses of $0 million and $1 million, and for the six months ended June 30, 2019 and 2018, such expenses paid were $1 million and $2 million, respectively.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337" w:right="29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3560" w:type="dxa"/>
            <w:vAlign w:val="bottom"/>
          </w:tcPr>
          <w:p>
            <w:pPr>
              <w:spacing w:after="0"/>
              <w:rPr>
                <w:sz w:val="2"/>
                <w:szCs w:val="2"/>
                <w:color w:val="auto"/>
              </w:rPr>
            </w:pPr>
          </w:p>
        </w:tc>
        <w:tc>
          <w:tcPr>
            <w:tcW w:w="4720" w:type="dxa"/>
            <w:vAlign w:val="bottom"/>
            <w:gridSpan w:val="2"/>
          </w:tcPr>
          <w:p>
            <w:pPr>
              <w:spacing w:after="0"/>
              <w:rPr>
                <w:sz w:val="2"/>
                <w:szCs w:val="2"/>
                <w:color w:val="auto"/>
              </w:rPr>
            </w:pPr>
          </w:p>
        </w:tc>
        <w:tc>
          <w:tcPr>
            <w:tcW w:w="222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238"/>
        </w:trPr>
        <w:tc>
          <w:tcPr>
            <w:tcW w:w="3560" w:type="dxa"/>
            <w:vAlign w:val="bottom"/>
          </w:tcPr>
          <w:p>
            <w:pPr>
              <w:spacing w:after="0"/>
              <w:rPr>
                <w:sz w:val="20"/>
                <w:szCs w:val="20"/>
                <w:color w:val="auto"/>
              </w:rPr>
            </w:pPr>
          </w:p>
        </w:tc>
        <w:tc>
          <w:tcPr>
            <w:tcW w:w="4540" w:type="dxa"/>
            <w:vAlign w:val="bottom"/>
          </w:tcPr>
          <w:p>
            <w:pPr>
              <w:jc w:val="right"/>
              <w:ind w:right="373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Borders>
              <w:top w:val="single" w:sz="8" w:color="auto"/>
            </w:tcBorders>
          </w:tcPr>
          <w:p>
            <w:pPr>
              <w:spacing w:after="0"/>
              <w:rPr>
                <w:sz w:val="20"/>
                <w:szCs w:val="20"/>
                <w:color w:val="auto"/>
              </w:rPr>
            </w:pPr>
          </w:p>
        </w:tc>
      </w:tr>
      <w:tr>
        <w:trPr>
          <w:trHeight w:val="255"/>
        </w:trPr>
        <w:tc>
          <w:tcPr>
            <w:tcW w:w="35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4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3560" w:type="dxa"/>
            <w:vAlign w:val="bottom"/>
          </w:tcPr>
          <w:p>
            <w:pPr>
              <w:ind w:left="160"/>
              <w:spacing w:after="0"/>
              <w:rPr>
                <w:sz w:val="20"/>
                <w:szCs w:val="20"/>
                <w:color w:val="auto"/>
              </w:rPr>
            </w:pPr>
            <w:r>
              <w:rPr>
                <w:rFonts w:ascii="Arial" w:cs="Arial" w:eastAsia="Arial" w:hAnsi="Arial"/>
                <w:sz w:val="18"/>
                <w:szCs w:val="18"/>
                <w:color w:val="auto"/>
              </w:rPr>
              <w:t>Equity securities:</w:t>
            </w:r>
          </w:p>
        </w:tc>
        <w:tc>
          <w:tcPr>
            <w:tcW w:w="4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 materials</w:t>
            </w:r>
          </w:p>
        </w:tc>
        <w:tc>
          <w:tcPr>
            <w:tcW w:w="4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2,161</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Energy</w:t>
            </w:r>
          </w:p>
        </w:tc>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1,598</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Financial</w:t>
            </w:r>
          </w:p>
        </w:tc>
        <w:tc>
          <w:tcPr>
            <w:tcW w:w="4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Technology</w:t>
            </w:r>
          </w:p>
        </w:tc>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1,040</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6,686</w:t>
            </w: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4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8,191</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6,867</w:t>
            </w:r>
          </w:p>
        </w:tc>
      </w:tr>
      <w:tr>
        <w:trPr>
          <w:trHeight w:val="67"/>
        </w:trPr>
        <w:tc>
          <w:tcPr>
            <w:tcW w:w="3560" w:type="dxa"/>
            <w:vAlign w:val="bottom"/>
            <w:tcBorders>
              <w:bottom w:val="single" w:sz="8" w:color="CCEEFF"/>
            </w:tcBorders>
          </w:tcPr>
          <w:p>
            <w:pPr>
              <w:spacing w:after="0"/>
              <w:rPr>
                <w:sz w:val="5"/>
                <w:szCs w:val="5"/>
                <w:color w:val="auto"/>
              </w:rPr>
            </w:pPr>
          </w:p>
        </w:tc>
        <w:tc>
          <w:tcPr>
            <w:tcW w:w="45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356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gridSpan w:val="2"/>
            <w:shd w:val="clear" w:color="auto" w:fill="CCEEFF"/>
          </w:tcPr>
          <w:p>
            <w:pPr>
              <w:jc w:val="right"/>
              <w:ind w:right="375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w w:val="93"/>
              </w:rPr>
              <w:t>Securities sold, not yet purchased, at fair value:</w:t>
            </w:r>
          </w:p>
        </w:tc>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4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Energy</w:t>
            </w:r>
          </w:p>
        </w:tc>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37"/>
        </w:trPr>
        <w:tc>
          <w:tcPr>
            <w:tcW w:w="3560" w:type="dxa"/>
            <w:vAlign w:val="bottom"/>
          </w:tcPr>
          <w:p>
            <w:pPr>
              <w:ind w:left="160"/>
              <w:spacing w:after="0"/>
              <w:rPr>
                <w:sz w:val="20"/>
                <w:szCs w:val="20"/>
                <w:color w:val="auto"/>
              </w:rPr>
            </w:pPr>
            <w:r>
              <w:rPr>
                <w:rFonts w:ascii="Arial" w:cs="Arial" w:eastAsia="Arial" w:hAnsi="Arial"/>
                <w:sz w:val="18"/>
                <w:szCs w:val="18"/>
                <w:color w:val="auto"/>
              </w:rPr>
              <w:t>Corporate debt securities</w:t>
            </w:r>
          </w:p>
        </w:tc>
        <w:tc>
          <w:tcPr>
            <w:tcW w:w="4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56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portion of unrealized (losses) gains that relates to securities still held by our Investment segment, primarily equity securities, was $(118) million and $345 million for the three months ended June 30, 2019 and 2018, respectively, and $434 million and $397 million for six months ended June 30, 2019 and 2018, respectively.</w:t>
      </w:r>
    </w:p>
    <w:p>
      <w:pPr>
        <w:spacing w:after="0" w:line="73"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Our Investment segment is deemed to have significant influence with respect to its investments in Hertz, Herbalife Ltd. ("Herbalife") and Caesars Entertainment Corporation ("Caesars") after considering the collective ownership in such entities by the Investment Funds and affiliates of Mr. Icahn, as well as their collective representation on each of the boards of directors. Our Investment segment has elected the fair value option with respect to each of these investments as such investments would have otherwise been subject to the equity method of accounting. Hertz, Herbalife and Caesars each file annual, quarterly and current reports, and proxy and information statements with the SEC, which are publicly available.</w:t>
      </w:r>
    </w:p>
    <w:p>
      <w:pPr>
        <w:spacing w:after="0" w:line="64" w:lineRule="exact"/>
        <w:rPr>
          <w:sz w:val="20"/>
          <w:szCs w:val="20"/>
          <w:color w:val="auto"/>
        </w:rPr>
      </w:pPr>
    </w:p>
    <w:p>
      <w:pPr>
        <w:ind w:right="200" w:firstLine="378"/>
        <w:spacing w:after="0" w:line="302" w:lineRule="auto"/>
        <w:rPr>
          <w:sz w:val="20"/>
          <w:szCs w:val="20"/>
          <w:color w:val="auto"/>
        </w:rPr>
      </w:pPr>
      <w:r>
        <w:rPr>
          <w:rFonts w:ascii="Arial" w:cs="Arial" w:eastAsia="Arial" w:hAnsi="Arial"/>
          <w:sz w:val="16"/>
          <w:szCs w:val="16"/>
          <w:color w:val="auto"/>
        </w:rPr>
        <w:t>As of June 30, 2019, the Investment Funds owned approximately 23.1% of the outstanding common stock of Hertz. Our Investment segment recorded net (losses) gains of $(27) million and $(106) million for the three months ended June 30, 2019 and 2018, respectively, and net gains (losses) of $68 million and $(158) million for the six months ended June 30, 2019 and 2018, respectively, with respect to its investment in Hertz. As of June 30, 2019 and December 31, 2018, the aggregate fair value of our Investment segment's investment in Hertz was $310 million and $320 million,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80" w:firstLine="378"/>
        <w:spacing w:after="0" w:line="257" w:lineRule="auto"/>
        <w:rPr>
          <w:sz w:val="20"/>
          <w:szCs w:val="20"/>
          <w:color w:val="auto"/>
        </w:rPr>
      </w:pPr>
      <w:r>
        <w:rPr>
          <w:rFonts w:ascii="Arial" w:cs="Arial" w:eastAsia="Arial" w:hAnsi="Arial"/>
          <w:sz w:val="18"/>
          <w:szCs w:val="18"/>
          <w:color w:val="auto"/>
        </w:rPr>
        <w:t>As of June 30, 2019, the Investment Funds owned approximately 18.6% of the outstanding common stock of Herbalife. Our Investment segment recorded net (losses) gains of $(288) million and $173 million for the three months ended June 30, 2019 and 2018, respectively, and net (losses) gains of $(456) million and $717 million for the six months ended June 30, 2019 and 2018, respectively, with respect to its investment in Herbalife. As of June 30, 2019 and December 31, 2018, the aggregate fair value of our Investment segment's investment in Herbalife was approximately $1.2 billion and $1.7 billion, respectively.</w:t>
      </w:r>
    </w:p>
    <w:p>
      <w:pPr>
        <w:spacing w:after="0" w:line="80" w:lineRule="exact"/>
        <w:rPr>
          <w:sz w:val="20"/>
          <w:szCs w:val="20"/>
          <w:color w:val="auto"/>
        </w:rPr>
      </w:pPr>
    </w:p>
    <w:p>
      <w:pPr>
        <w:ind w:right="80" w:firstLine="378"/>
        <w:spacing w:after="0" w:line="288" w:lineRule="auto"/>
        <w:rPr>
          <w:sz w:val="20"/>
          <w:szCs w:val="20"/>
          <w:color w:val="auto"/>
        </w:rPr>
      </w:pPr>
      <w:r>
        <w:rPr>
          <w:rFonts w:ascii="Arial" w:cs="Arial" w:eastAsia="Arial" w:hAnsi="Arial"/>
          <w:sz w:val="16"/>
          <w:szCs w:val="16"/>
          <w:color w:val="auto"/>
        </w:rPr>
        <w:t>As of June 30, 2019, the Investment Funds owned approximately 11.8% of the outstanding common stock of Caesars. We obtained significant influence over Caesars, and elected the fair value option with respect to our investment in Caesars, beginning in the first quarter of 2019. Our Investment segment recorded net gains of $249 million and $275 million for the three and six months ended June 30, 2019 with respect to its investment in Caesars. As of</w:t>
      </w:r>
    </w:p>
    <w:p>
      <w:pPr>
        <w:jc w:val="both"/>
        <w:spacing w:after="0" w:line="255" w:lineRule="auto"/>
        <w:rPr>
          <w:sz w:val="20"/>
          <w:szCs w:val="20"/>
          <w:color w:val="auto"/>
        </w:rPr>
      </w:pPr>
      <w:r>
        <w:rPr>
          <w:rFonts w:ascii="Arial" w:cs="Arial" w:eastAsia="Arial" w:hAnsi="Arial"/>
          <w:sz w:val="18"/>
          <w:szCs w:val="18"/>
          <w:color w:val="auto"/>
        </w:rPr>
        <w:t>June 30, 2019, the aggregate fair value of our Investment segment's investment in Caesars was $939 million. During the second quarter of 2019, we agreed to sell our interest in Caesars to Eldorado Resorts, Inc. ("Eldorado") in a transaction comprised of cash and shares of common stock of Eldorado. The transaction has not yet been consummated as of June 30,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1,327</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The portion of unrealized (losses) gains that relates to equity securities still held by our Other segments and Holding Company was $(326) million and $32 million for the three months ended June 30, 2019 and 2018, respectively, and $(480) million and $55 million for the six months ended June 30, 2019 and 2018, respectively.</w:t>
      </w:r>
    </w:p>
    <w:p>
      <w:pPr>
        <w:spacing w:after="0" w:line="28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1 - Quoted prices are available in active markets for identical investments and non-financial assets and/or liabilities as of the reporting date.</w:t>
      </w:r>
    </w:p>
    <w:p>
      <w:pPr>
        <w:spacing w:after="0" w:line="129" w:lineRule="exact"/>
        <w:rPr>
          <w:sz w:val="20"/>
          <w:szCs w:val="20"/>
          <w:color w:val="auto"/>
        </w:rPr>
      </w:pPr>
    </w:p>
    <w:p>
      <w:pPr>
        <w:jc w:val="both"/>
        <w:ind w:left="420" w:right="40"/>
        <w:spacing w:after="0" w:line="31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39"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valuation of our assets and liabilities by the above fair value hierarchy levels measured on a recurring basis: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ind w:left="30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2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38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70"/>
        </w:trPr>
        <w:tc>
          <w:tcPr>
            <w:tcW w:w="3320" w:type="dxa"/>
            <w:vAlign w:val="bottom"/>
          </w:tcPr>
          <w:p>
            <w:pPr>
              <w:ind w:left="20"/>
              <w:spacing w:after="0" w:line="270" w:lineRule="exact"/>
              <w:rPr>
                <w:sz w:val="20"/>
                <w:szCs w:val="20"/>
                <w:color w:val="auto"/>
              </w:rPr>
            </w:pPr>
            <w:r>
              <w:rPr>
                <w:rFonts w:ascii="Arial" w:cs="Arial" w:eastAsia="Arial" w:hAnsi="Arial"/>
                <w:sz w:val="18"/>
                <w:szCs w:val="18"/>
                <w:color w:val="auto"/>
                <w:w w:val="93"/>
              </w:rPr>
              <w:t>Derivative contracts, at fair value (Note 6)</w:t>
            </w:r>
            <w:r>
              <w:rPr>
                <w:rFonts w:ascii="Arial" w:cs="Arial" w:eastAsia="Arial" w:hAnsi="Arial"/>
                <w:sz w:val="25"/>
                <w:szCs w:val="25"/>
                <w:color w:val="auto"/>
                <w:w w:val="93"/>
                <w:vertAlign w:val="superscript"/>
              </w:rPr>
              <w:t>(1)</w:t>
            </w:r>
          </w:p>
        </w:tc>
        <w:tc>
          <w:tcPr>
            <w:tcW w:w="1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69"/>
        </w:trPr>
        <w:tc>
          <w:tcPr>
            <w:tcW w:w="33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Securities sold, not yet purchased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Derivative contracts, at fair value (Note 6)</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282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28260" cy="26035"/>
                    </a:xfrm>
                    <a:prstGeom prst="rect">
                      <a:avLst/>
                    </a:prstGeom>
                    <a:noFill/>
                  </pic:spPr>
                </pic:pic>
              </a:graphicData>
            </a:graphic>
          </wp:anchor>
        </w:drawing>
      </w: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condensed consolidated balance sheets.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 for Which We Use Level 3 Inputs to Determine Fair Value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investments measured at fair value on a recurring basis for which we use Level 3 inputs to determine fair value are as follows: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8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48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40" w:type="dxa"/>
            <w:vAlign w:val="bottom"/>
            <w:gridSpan w:val="3"/>
          </w:tcPr>
          <w:p>
            <w:pPr>
              <w:jc w:val="right"/>
              <w:ind w:right="69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Net gains recognized in income</w:t>
            </w:r>
          </w:p>
        </w:tc>
        <w:tc>
          <w:tcPr>
            <w:tcW w:w="106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8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color w:val="auto"/>
              </w:rPr>
              <w:t>Balance at June 30</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333</w:t>
            </w:r>
          </w:p>
        </w:tc>
      </w:tr>
      <w:tr>
        <w:trPr>
          <w:trHeight w:val="20"/>
        </w:trPr>
        <w:tc>
          <w:tcPr>
            <w:tcW w:w="8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As of December 31, 2018, we had a certain equity investment which was considered a Level 3 investment due to unobservable market data and was measured at fair value on a recurring basis. We determined the fair value of this investment based on recent market transactions. During the first quarter of 2019, we sold this investment in its entirety.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 for Which We Use Level 3 Inputs to Determine Fair Value</w:t>
      </w:r>
    </w:p>
    <w:p>
      <w:pPr>
        <w:spacing w:after="0" w:line="11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Certain assets measured at fair value using Level 3 inputs on a non-recurring basis have been impaired. During each of the three and six months ended June 30, 2019, we recorded impairment charges of $1 million and during each of the three and six months ended June 30, 2018, we recorded impairment charges of $3 million relating to property, plant and equipment. We determined the fair value of property, plant and equipment by applying probability weighted, expected present value techniques to the estimated future cash flows using assumptions a market participant would utilize. Refer to Note 12, "Segment Reporting," for total impairment recorded by each of our segments.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37"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46"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5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79"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46"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contingent features that are in a liability position as of June 30, 2019 and December 31, 2018 was $56 million and zero, respectively.</w:t>
      </w:r>
    </w:p>
    <w:p>
      <w:pPr>
        <w:spacing w:after="0" w:line="11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 2019</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3"/>
          </w:tcPr>
          <w:p>
            <w:pPr>
              <w:jc w:val="right"/>
              <w:ind w:right="894"/>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4"/>
              <w:spacing w:after="0"/>
              <w:rPr>
                <w:sz w:val="20"/>
                <w:szCs w:val="20"/>
                <w:color w:val="auto"/>
              </w:rPr>
            </w:pPr>
            <w:r>
              <w:rPr>
                <w:rFonts w:ascii="Arial" w:cs="Arial" w:eastAsia="Arial" w:hAnsi="Arial"/>
                <w:sz w:val="16"/>
                <w:szCs w:val="16"/>
                <w:b w:val="1"/>
                <w:bCs w:val="1"/>
                <w:color w:val="auto"/>
              </w:rPr>
              <w:t>Long Notional</w:t>
            </w:r>
          </w:p>
        </w:tc>
        <w:tc>
          <w:tcPr>
            <w:tcW w:w="18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2"/>
              </w:rPr>
              <w:t>Short Notional</w:t>
            </w:r>
          </w:p>
        </w:tc>
        <w:tc>
          <w:tcPr>
            <w:tcW w:w="200" w:type="dxa"/>
            <w:vAlign w:val="bottom"/>
          </w:tcPr>
          <w:p>
            <w:pPr>
              <w:spacing w:after="0"/>
              <w:rPr>
                <w:sz w:val="18"/>
                <w:szCs w:val="18"/>
                <w:color w:val="auto"/>
              </w:rPr>
            </w:pPr>
          </w:p>
        </w:tc>
        <w:tc>
          <w:tcPr>
            <w:tcW w:w="1400" w:type="dxa"/>
            <w:vAlign w:val="bottom"/>
          </w:tcPr>
          <w:p>
            <w:pPr>
              <w:jc w:val="right"/>
              <w:ind w:right="234"/>
              <w:spacing w:after="0"/>
              <w:rPr>
                <w:sz w:val="20"/>
                <w:szCs w:val="20"/>
                <w:color w:val="auto"/>
              </w:rPr>
            </w:pPr>
            <w:r>
              <w:rPr>
                <w:rFonts w:ascii="Arial" w:cs="Arial" w:eastAsia="Arial" w:hAnsi="Arial"/>
                <w:sz w:val="16"/>
                <w:szCs w:val="16"/>
                <w:b w:val="1"/>
                <w:bCs w:val="1"/>
                <w:color w:val="auto"/>
                <w:w w:val="98"/>
              </w:rPr>
              <w:t>Long Notional</w:t>
            </w:r>
          </w:p>
        </w:tc>
        <w:tc>
          <w:tcPr>
            <w:tcW w:w="30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Short Notional</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4"/>
              <w:spacing w:after="0"/>
              <w:rPr>
                <w:sz w:val="20"/>
                <w:szCs w:val="20"/>
                <w:color w:val="auto"/>
              </w:rPr>
            </w:pPr>
            <w:r>
              <w:rPr>
                <w:rFonts w:ascii="Arial" w:cs="Arial" w:eastAsia="Arial" w:hAnsi="Arial"/>
                <w:sz w:val="16"/>
                <w:szCs w:val="16"/>
                <w:b w:val="1"/>
                <w:bCs w:val="1"/>
                <w:color w:val="auto"/>
              </w:rPr>
              <w:t>Exposure</w:t>
            </w:r>
          </w:p>
        </w:tc>
        <w:tc>
          <w:tcPr>
            <w:tcW w:w="540" w:type="dxa"/>
            <w:vAlign w:val="bottom"/>
          </w:tcPr>
          <w:p>
            <w:pPr>
              <w:spacing w:after="0"/>
              <w:rPr>
                <w:sz w:val="18"/>
                <w:szCs w:val="18"/>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0"/>
              </w:rPr>
              <w:t>Exposure</w:t>
            </w:r>
          </w:p>
        </w:tc>
        <w:tc>
          <w:tcPr>
            <w:tcW w:w="200" w:type="dxa"/>
            <w:vAlign w:val="bottom"/>
          </w:tcPr>
          <w:p>
            <w:pPr>
              <w:spacing w:after="0"/>
              <w:rPr>
                <w:sz w:val="18"/>
                <w:szCs w:val="18"/>
                <w:color w:val="auto"/>
              </w:rPr>
            </w:pPr>
          </w:p>
        </w:tc>
        <w:tc>
          <w:tcPr>
            <w:tcW w:w="1400" w:type="dxa"/>
            <w:vAlign w:val="bottom"/>
          </w:tcPr>
          <w:p>
            <w:pPr>
              <w:jc w:val="right"/>
              <w:ind w:right="394"/>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380" w:type="dxa"/>
            <w:vAlign w:val="bottom"/>
          </w:tcPr>
          <w:p>
            <w:pPr>
              <w:jc w:val="right"/>
              <w:ind w:right="374"/>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60" w:type="dxa"/>
            <w:vAlign w:val="bottom"/>
            <w:gridSpan w:val="4"/>
          </w:tcPr>
          <w:p>
            <w:pPr>
              <w:jc w:val="right"/>
              <w:ind w:right="1214"/>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1,392</w:t>
            </w:r>
          </w:p>
        </w:tc>
        <w:tc>
          <w:tcPr>
            <w:tcW w:w="5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8,368</w:t>
            </w:r>
          </w:p>
        </w:tc>
        <w:tc>
          <w:tcPr>
            <w:tcW w:w="0" w:type="dxa"/>
            <w:vAlign w:val="bottom"/>
          </w:tcPr>
          <w:p>
            <w:pPr>
              <w:spacing w:after="0"/>
              <w:rPr>
                <w:sz w:val="1"/>
                <w:szCs w:val="1"/>
                <w:color w:val="auto"/>
              </w:rPr>
            </w:pPr>
          </w:p>
        </w:tc>
      </w:tr>
      <w:tr>
        <w:trPr>
          <w:trHeight w:val="283"/>
        </w:trPr>
        <w:tc>
          <w:tcPr>
            <w:tcW w:w="4680" w:type="dxa"/>
            <w:vAlign w:val="bottom"/>
          </w:tcPr>
          <w:p>
            <w:pPr>
              <w:ind w:left="280"/>
              <w:spacing w:after="0" w:line="283" w:lineRule="exact"/>
              <w:rPr>
                <w:sz w:val="20"/>
                <w:szCs w:val="20"/>
                <w:color w:val="auto"/>
              </w:rPr>
            </w:pPr>
            <w:r>
              <w:rPr>
                <w:rFonts w:ascii="Arial" w:cs="Arial" w:eastAsia="Arial" w:hAnsi="Arial"/>
                <w:sz w:val="18"/>
                <w:szCs w:val="18"/>
                <w:color w:val="auto"/>
              </w:rPr>
              <w:t>Credit contracts</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468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jc w:val="both"/>
        <w:ind w:left="180" w:right="20" w:hanging="172"/>
        <w:spacing w:after="0" w:line="257" w:lineRule="auto"/>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The short notional amount on our credit default swap positions was approximately $2.9 billion at June 30, 2019. However, because credit spreads cannot compress below zero, our downside short notional exposure is $558 million as of June 30, 2019. The short notional amount on our credit default swap positions was approximately $1.8 billion as of December 31, 2018. However, because credit spreads cannot compress below zero, our downside short notional exposure to loss is $479 million as of December 31, 2018.</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CVR Refining is subject to price fluctuations caused by supply conditions, weather, economic conditions, interest rate fluctuations and other factors. To manage price risk on crude oil and other inventories and to fix margins on certain future production, CVR Refining from time to time enters into various commodity derivative transactions. CVR Refining holds derivative instruments, such as exchange-traded crude oil futures and certain over-the-counter forward swap agreements, which it believes provide an economic hedge on future transactions, but such instruments are not designated as hedges under U.S. GAAP. There are no premiums paid or received at inception of the derivative contracts and upon settlement.</w:t>
      </w:r>
    </w:p>
    <w:p>
      <w:pPr>
        <w:spacing w:after="0" w:line="64"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As of June 30, 2019 and December 31, 2018, CVR Refining had open forward purchase and sale commitments for 4 million barrels and 2 million barrels, respectively, of Canadian crude oil priced at fixed differentials that are not considered probable of physical settlement and are accounted for as derivatives.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Certain derivative contracts executed by the Investment Funds with a single counterparty or by our Energy segment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condensed consolidated balance sheets.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the consolidated fair values of our derivatives that are not designated as hedging instruments in accordance with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Liability Derivatives</w:t>
            </w:r>
          </w:p>
        </w:tc>
        <w:tc>
          <w:tcPr>
            <w:tcW w:w="640" w:type="dxa"/>
            <w:vAlign w:val="bottom"/>
            <w:tcBorders>
              <w:bottom w:val="single" w:sz="8" w:color="auto"/>
            </w:tcBorders>
          </w:tcPr>
          <w:p>
            <w:pPr>
              <w:spacing w:after="0"/>
              <w:rPr>
                <w:sz w:val="24"/>
                <w:szCs w:val="24"/>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2018</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Credit contracts</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9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4"/>
                <w:szCs w:val="24"/>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4"/>
                <w:szCs w:val="24"/>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-20955</wp:posOffset>
            </wp:positionV>
            <wp:extent cx="42710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1010" cy="26035"/>
                    </a:xfrm>
                    <a:prstGeom prst="rect">
                      <a:avLst/>
                    </a:prstGeom>
                    <a:noFill/>
                  </pic:spPr>
                </pic:pic>
              </a:graphicData>
            </a:graphic>
          </wp:anchor>
        </w:drawing>
      </w: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Net asset derivatives are classified within other assets in our condensed consolidated balance sheets.</w:t>
      </w:r>
    </w:p>
    <w:p>
      <w:pPr>
        <w:spacing w:after="0" w:line="1" w:lineRule="exact"/>
        <w:rPr>
          <w:rFonts w:ascii="Arial" w:cs="Arial" w:eastAsia="Arial" w:hAnsi="Arial"/>
          <w:sz w:val="9"/>
          <w:szCs w:val="9"/>
          <w:color w:val="auto"/>
        </w:rPr>
      </w:pPr>
    </w:p>
    <w:p>
      <w:pPr>
        <w:ind w:left="180" w:right="860" w:hanging="172"/>
        <w:spacing w:after="0" w:line="293" w:lineRule="auto"/>
        <w:tabs>
          <w:tab w:leader="none" w:pos="180" w:val="left"/>
        </w:tabs>
        <w:numPr>
          <w:ilvl w:val="0"/>
          <w:numId w:val="12"/>
        </w:numPr>
        <w:rPr>
          <w:rFonts w:ascii="Arial" w:cs="Arial" w:eastAsia="Arial" w:hAnsi="Arial"/>
          <w:sz w:val="8"/>
          <w:szCs w:val="8"/>
          <w:color w:val="auto"/>
        </w:rPr>
      </w:pPr>
      <w:r>
        <w:rPr>
          <w:rFonts w:ascii="Arial" w:cs="Arial" w:eastAsia="Arial" w:hAnsi="Arial"/>
          <w:sz w:val="13"/>
          <w:szCs w:val="13"/>
          <w:color w:val="auto"/>
        </w:rPr>
        <w:t>Excludes netting of cash collateral received and posted. The total collateral posted at June 30, 2019 and December 31, 2018 was $518 million and $0 million, respectively, across all counterparties, which are included in cash held at consolidated affiliated partnerships and restricted cash in the condensed consolidated balance sheets.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following table presents the amount of gain (loss) recognized in the condensed consolidated statements of operations for our derivatives not designated as hedging instruments: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7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b w:val="1"/>
                <w:bCs w:val="1"/>
                <w:color w:val="auto"/>
                <w:w w:val="99"/>
              </w:rPr>
              <w:t>Gain (Loss) Recognized in Income</w:t>
            </w:r>
            <w:r>
              <w:rPr>
                <w:rFonts w:ascii="Arial" w:cs="Arial" w:eastAsia="Arial" w:hAnsi="Arial"/>
                <w:sz w:val="25"/>
                <w:szCs w:val="25"/>
                <w:b w:val="1"/>
                <w:bCs w:val="1"/>
                <w:color w:val="auto"/>
                <w:w w:val="99"/>
                <w:vertAlign w:val="superscript"/>
              </w:rPr>
              <w:t>(1)</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37"/>
        </w:trPr>
        <w:tc>
          <w:tcPr>
            <w:tcW w:w="470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Credit contracts</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37"/>
        </w:trPr>
        <w:tc>
          <w:tcPr>
            <w:tcW w:w="47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40" w:hanging="172"/>
        <w:spacing w:after="0" w:line="277" w:lineRule="auto"/>
        <w:tabs>
          <w:tab w:leader="none" w:pos="180" w:val="left"/>
        </w:tabs>
        <w:numPr>
          <w:ilvl w:val="0"/>
          <w:numId w:val="13"/>
        </w:numPr>
        <w:rPr>
          <w:rFonts w:ascii="Arial" w:cs="Arial" w:eastAsia="Arial" w:hAnsi="Arial"/>
          <w:sz w:val="8"/>
          <w:szCs w:val="8"/>
          <w:color w:val="auto"/>
        </w:rPr>
      </w:pPr>
      <w:r>
        <w:rPr>
          <w:rFonts w:ascii="Arial" w:cs="Arial" w:eastAsia="Arial" w:hAnsi="Arial"/>
          <w:sz w:val="13"/>
          <w:szCs w:val="13"/>
          <w:color w:val="auto"/>
        </w:rPr>
        <w:t>Gains (losses) recognized on derivatives are classified in net gain (loss) from investment activities in our condensed consolidated statements of operations for our Investment segment and are included in cost of goods sold for our Energy segment. (Losses) gains recognized on derivatives for our Investment segment were $(213) million and $(139) million for the three months ended June 30, 2019 and 2018, respectively, and $(1,392) million and $8 million for the six months ended June 30, 2019 and 2018, respectively. Gains recognized on derivatives for our Energy segment were $4 million and $11 million for the three months ended June 30, 2019 and 2018, respectively, and $20 million and $70 million for the six months ended June 30, 2019 and 2018, respectively.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Inventories, net consists of the following: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w:t>
            </w: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1,779</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420" w:right="8280" w:hanging="412"/>
        <w:spacing w:after="0" w:line="469" w:lineRule="auto"/>
        <w:tabs>
          <w:tab w:leader="none" w:pos="339"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2019</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December 31, 2018</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299"/>
              <w:spacing w:after="0"/>
              <w:rPr>
                <w:sz w:val="20"/>
                <w:szCs w:val="20"/>
                <w:color w:val="auto"/>
              </w:rPr>
            </w:pPr>
            <w:r>
              <w:rPr>
                <w:rFonts w:ascii="Arial" w:cs="Arial" w:eastAsia="Arial" w:hAnsi="Arial"/>
                <w:sz w:val="16"/>
                <w:szCs w:val="16"/>
                <w:b w:val="1"/>
                <w:bCs w:val="1"/>
                <w:color w:val="auto"/>
                <w:w w:val="92"/>
              </w:rPr>
              <w:t>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259"/>
              <w:spacing w:after="0"/>
              <w:rPr>
                <w:sz w:val="20"/>
                <w:szCs w:val="20"/>
                <w:color w:val="auto"/>
              </w:rPr>
            </w:pPr>
            <w:r>
              <w:rPr>
                <w:rFonts w:ascii="Arial" w:cs="Arial" w:eastAsia="Arial" w:hAnsi="Arial"/>
                <w:sz w:val="16"/>
                <w:szCs w:val="16"/>
                <w:b w:val="1"/>
                <w:bCs w:val="1"/>
                <w:color w:val="auto"/>
                <w:w w:val="86"/>
              </w:rPr>
              <w:t>Gross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1020" w:type="dxa"/>
            <w:vAlign w:val="bottom"/>
          </w:tcPr>
          <w:p>
            <w:pPr>
              <w:jc w:val="center"/>
              <w:ind w:left="299"/>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left="259"/>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Impairment</w:t>
            </w:r>
          </w:p>
        </w:tc>
        <w:tc>
          <w:tcPr>
            <w:tcW w:w="1020" w:type="dxa"/>
            <w:vAlign w:val="bottom"/>
          </w:tcPr>
          <w:p>
            <w:pPr>
              <w:jc w:val="center"/>
              <w:ind w:left="299"/>
              <w:spacing w:after="0"/>
              <w:rPr>
                <w:sz w:val="20"/>
                <w:szCs w:val="20"/>
                <w:color w:val="auto"/>
              </w:rPr>
            </w:pPr>
            <w:r>
              <w:rPr>
                <w:rFonts w:ascii="Arial" w:cs="Arial" w:eastAsia="Arial" w:hAnsi="Arial"/>
                <w:sz w:val="16"/>
                <w:szCs w:val="16"/>
                <w:b w:val="1"/>
                <w:bCs w:val="1"/>
                <w:color w:val="auto"/>
                <w:w w:val="93"/>
              </w:rPr>
              <w:t>Value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279"/>
              <w:spacing w:after="0"/>
              <w:rPr>
                <w:sz w:val="20"/>
                <w:szCs w:val="20"/>
                <w:color w:val="auto"/>
              </w:rPr>
            </w:pPr>
            <w:r>
              <w:rPr>
                <w:rFonts w:ascii="Arial" w:cs="Arial" w:eastAsia="Arial" w:hAnsi="Arial"/>
                <w:sz w:val="16"/>
                <w:szCs w:val="16"/>
                <w:b w:val="1"/>
                <w:bCs w:val="1"/>
                <w:color w:val="auto"/>
                <w:w w:val="95"/>
              </w:rPr>
              <w:t>Amount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Impairment</w:t>
            </w: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60" w:type="dxa"/>
            <w:vAlign w:val="bottom"/>
            <w:gridSpan w:val="3"/>
          </w:tcPr>
          <w:p>
            <w:pPr>
              <w:jc w:val="right"/>
              <w:ind w:right="659"/>
              <w:spacing w:after="0"/>
              <w:rPr>
                <w:sz w:val="20"/>
                <w:szCs w:val="20"/>
                <w:color w:val="auto"/>
              </w:rPr>
            </w:pPr>
            <w:r>
              <w:rPr>
                <w:rFonts w:ascii="Arial" w:cs="Arial" w:eastAsia="Arial" w:hAnsi="Arial"/>
                <w:sz w:val="14"/>
                <w:szCs w:val="14"/>
                <w:color w:val="auto"/>
                <w:w w:val="98"/>
              </w:rPr>
              <w:t>(in millions)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Fashion</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26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277</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334</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247</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2018</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rPr>
              <w:t>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86"/>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rPr>
              <w:t>Net</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020" w:type="dxa"/>
            <w:vAlign w:val="bottom"/>
          </w:tcPr>
          <w:p>
            <w:pPr>
              <w:jc w:val="center"/>
              <w:ind w:left="259"/>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w w:val="88"/>
              </w:rPr>
              <w:t>Value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gridSpan w:val="3"/>
          </w:tcPr>
          <w:p>
            <w:pPr>
              <w:jc w:val="right"/>
              <w:ind w:right="659"/>
              <w:spacing w:after="0"/>
              <w:rPr>
                <w:sz w:val="20"/>
                <w:szCs w:val="20"/>
                <w:color w:val="auto"/>
              </w:rPr>
            </w:pPr>
            <w:r>
              <w:rPr>
                <w:rFonts w:ascii="Arial" w:cs="Arial" w:eastAsia="Arial" w:hAnsi="Arial"/>
                <w:sz w:val="14"/>
                <w:szCs w:val="14"/>
                <w:color w:val="auto"/>
                <w:w w:val="98"/>
              </w:rPr>
              <w:t>(in millions)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2620" w:type="dxa"/>
            <w:vAlign w:val="bottom"/>
          </w:tcPr>
          <w:p>
            <w:pPr>
              <w:ind w:left="20"/>
              <w:spacing w:after="0"/>
              <w:rPr>
                <w:sz w:val="20"/>
                <w:szCs w:val="20"/>
                <w:color w:val="auto"/>
              </w:rPr>
            </w:pPr>
            <w:r>
              <w:rPr>
                <w:rFonts w:ascii="Arial" w:cs="Arial" w:eastAsia="Arial" w:hAnsi="Arial"/>
                <w:sz w:val="16"/>
                <w:szCs w:val="16"/>
                <w:color w:val="auto"/>
              </w:rPr>
              <w:t>Definite-lived intangible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255</w:t>
            </w:r>
          </w:p>
        </w:tc>
        <w:tc>
          <w:tcPr>
            <w:tcW w:w="110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jc w:val="right"/>
              <w:ind w:right="40"/>
              <w:spacing w:after="0"/>
              <w:rPr>
                <w:sz w:val="20"/>
                <w:szCs w:val="20"/>
                <w:color w:val="auto"/>
              </w:rPr>
            </w:pPr>
            <w:r>
              <w:rPr>
                <w:rFonts w:ascii="Arial" w:cs="Arial" w:eastAsia="Arial" w:hAnsi="Arial"/>
                <w:sz w:val="16"/>
                <w:szCs w:val="16"/>
                <w:color w:val="auto"/>
                <w:w w:val="82"/>
              </w:rPr>
              <w:t>148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w w:val="82"/>
              </w:rPr>
              <w:t>316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33"/>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2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403</w:t>
            </w:r>
          </w:p>
        </w:tc>
        <w:tc>
          <w:tcPr>
            <w:tcW w:w="110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44"/>
        </w:trPr>
        <w:tc>
          <w:tcPr>
            <w:tcW w:w="26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2"/>
              </w:rPr>
              <w:t>465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501</w:t>
            </w: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Amortization expense associated with definite-lived intangible assets was $11 million and $12 million for the three months ended June 30, 2019 and 2018, respectively, and $21 million and $24 million for the six months ended June 30, 2019 and 2018, respectively. We utilize the straight-line method of amortization, recognized over the estimated useful lives of the assets.</w:t>
      </w:r>
    </w:p>
    <w:p>
      <w:pPr>
        <w:spacing w:after="0" w:line="7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Acquisitions during the three and six months ended June 30, 2019 were not material individually or in the aggregate. As a result of certain acquisitions, our Automotive segment allocated $8 million to goodwill and $1 million to definite-lived intangible assets in the first quarter of 2019. In addition, as a result of certain acquisitions, our Home Fashion segment allocated $22 million to goodwill in the second quarter of 2019 and our Metals segment allocated $12 million to definite-lived intangible assets, also in the second quarter of 2019.</w:t>
      </w:r>
    </w:p>
    <w:p>
      <w:pPr>
        <w:spacing w:after="0" w:line="29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Segments and Holding Company</w:t>
      </w:r>
    </w:p>
    <w:p>
      <w:pPr>
        <w:spacing w:after="0" w:line="117" w:lineRule="exact"/>
        <w:rPr>
          <w:sz w:val="20"/>
          <w:szCs w:val="20"/>
          <w:color w:val="auto"/>
        </w:rPr>
      </w:pPr>
    </w:p>
    <w:p>
      <w:pPr>
        <w:jc w:val="both"/>
        <w:ind w:right="20" w:firstLine="405"/>
        <w:spacing w:after="0" w:line="273" w:lineRule="auto"/>
        <w:rPr>
          <w:sz w:val="20"/>
          <w:szCs w:val="20"/>
          <w:color w:val="auto"/>
        </w:rPr>
      </w:pPr>
      <w:r>
        <w:rPr>
          <w:rFonts w:ascii="Arial" w:cs="Arial" w:eastAsia="Arial" w:hAnsi="Arial"/>
          <w:sz w:val="17"/>
          <w:szCs w:val="17"/>
          <w:color w:val="auto"/>
        </w:rPr>
        <w:t>We have operating and finance leases primarily within our Automotive, Energy and Food Packaging segments. Our Automotive segment leases assets, primarily real estate (operating) and vehicles (financing) and which primarily consist of leases that expire within 14 years. Our Energy segment leases certain pipelines, storage tanks, railcars, office space, land and equipment (operating and financing). Our Food Packaging segment leases assets, primarily real estate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420"/>
              <w:spacing w:after="0"/>
              <w:rPr>
                <w:sz w:val="20"/>
                <w:szCs w:val="20"/>
                <w:color w:val="auto"/>
              </w:rPr>
            </w:pPr>
            <w:r>
              <w:rPr>
                <w:rFonts w:ascii="Arial" w:cs="Arial" w:eastAsia="Arial" w:hAnsi="Arial"/>
                <w:sz w:val="18"/>
                <w:szCs w:val="18"/>
                <w:color w:val="auto"/>
              </w:rPr>
              <w:t>Right-of-use assets and lease liabilities are as follows:</w:t>
            </w: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78"/>
        </w:trPr>
        <w:tc>
          <w:tcPr>
            <w:tcW w:w="49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213"/>
              <w:spacing w:after="0"/>
              <w:rPr>
                <w:sz w:val="20"/>
                <w:szCs w:val="20"/>
                <w:color w:val="auto"/>
              </w:rPr>
            </w:pPr>
            <w:r>
              <w:rPr>
                <w:rFonts w:ascii="Arial" w:cs="Arial" w:eastAsia="Arial" w:hAnsi="Arial"/>
                <w:sz w:val="18"/>
                <w:szCs w:val="18"/>
                <w:b w:val="1"/>
                <w:bCs w:val="1"/>
                <w:color w:val="auto"/>
                <w:w w:val="93"/>
              </w:rPr>
              <w:t>June 30, 2019</w:t>
            </w: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4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8"/>
        </w:trPr>
        <w:tc>
          <w:tcPr>
            <w:tcW w:w="49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2"/>
          </w:tcPr>
          <w:p>
            <w:pPr>
              <w:jc w:val="right"/>
              <w:ind w:right="410"/>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20"/>
                <w:szCs w:val="20"/>
                <w:color w:val="auto"/>
              </w:rPr>
            </w:pPr>
          </w:p>
        </w:tc>
      </w:tr>
      <w:tr>
        <w:trPr>
          <w:trHeight w:val="255"/>
        </w:trPr>
        <w:tc>
          <w:tcPr>
            <w:tcW w:w="49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
        </w:trPr>
        <w:tc>
          <w:tcPr>
            <w:tcW w:w="4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assets (other assets)</w:t>
            </w:r>
          </w:p>
        </w:tc>
        <w:tc>
          <w:tcPr>
            <w:tcW w:w="3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654</w:t>
            </w:r>
          </w:p>
        </w:tc>
        <w:tc>
          <w:tcPr>
            <w:tcW w:w="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Lease liabilities (accrued expenses and other liabilities)</w:t>
            </w:r>
          </w:p>
        </w:tc>
        <w:tc>
          <w:tcPr>
            <w:tcW w:w="3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685</w:t>
            </w:r>
          </w:p>
        </w:tc>
        <w:tc>
          <w:tcPr>
            <w:tcW w:w="900" w:type="dxa"/>
            <w:vAlign w:val="bottom"/>
          </w:tcPr>
          <w:p>
            <w:pPr>
              <w:spacing w:after="0"/>
              <w:rPr>
                <w:sz w:val="21"/>
                <w:szCs w:val="21"/>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24"/>
        </w:trPr>
        <w:tc>
          <w:tcPr>
            <w:tcW w:w="496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Financing Leases:</w:t>
            </w:r>
          </w:p>
        </w:tc>
        <w:tc>
          <w:tcPr>
            <w:tcW w:w="3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assets (property, plant and equipment, net)</w:t>
            </w:r>
          </w:p>
        </w:tc>
        <w:tc>
          <w:tcPr>
            <w:tcW w:w="3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51</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Lease liabilities (debt)</w:t>
            </w:r>
          </w:p>
        </w:tc>
        <w:tc>
          <w:tcPr>
            <w:tcW w:w="3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93</w:t>
            </w:r>
          </w:p>
        </w:tc>
        <w:tc>
          <w:tcPr>
            <w:tcW w:w="900" w:type="dxa"/>
            <w:vAlign w:val="bottom"/>
          </w:tcPr>
          <w:p>
            <w:pPr>
              <w:spacing w:after="0"/>
              <w:rPr>
                <w:sz w:val="21"/>
                <w:szCs w:val="21"/>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51</w:t>
            </w:r>
          </w:p>
        </w:tc>
      </w:tr>
      <w:tr>
        <w:trPr>
          <w:trHeight w:val="918"/>
        </w:trPr>
        <w:tc>
          <w:tcPr>
            <w:tcW w:w="4960" w:type="dxa"/>
            <w:vAlign w:val="bottom"/>
          </w:tcPr>
          <w:p>
            <w:pPr>
              <w:spacing w:after="0"/>
              <w:rPr>
                <w:sz w:val="24"/>
                <w:szCs w:val="24"/>
                <w:color w:val="auto"/>
              </w:rPr>
            </w:pPr>
          </w:p>
        </w:tc>
        <w:tc>
          <w:tcPr>
            <w:tcW w:w="3160" w:type="dxa"/>
            <w:vAlign w:val="bottom"/>
          </w:tcPr>
          <w:p>
            <w:pPr>
              <w:jc w:val="right"/>
              <w:ind w:right="223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Additional information with respect to our operating leases as of June 30, 2019 is presented below. The lease terms and discount rates for our Energy, Automotive and Food Packaging segments represent weighted averages based on their respective lease liability balances.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Right-Of-Use</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Lease Liabilities</w:t>
            </w:r>
          </w:p>
        </w:tc>
        <w:tc>
          <w:tcPr>
            <w:tcW w:w="100" w:type="dxa"/>
            <w:vAlign w:val="bottom"/>
          </w:tcPr>
          <w:p>
            <w:pPr>
              <w:spacing w:after="0"/>
              <w:rPr>
                <w:sz w:val="20"/>
                <w:szCs w:val="20"/>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Lease Term</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Discount Rate</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8"/>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100" w:type="dxa"/>
            <w:vAlign w:val="bottom"/>
            <w:gridSpan w:val="4"/>
          </w:tcPr>
          <w:p>
            <w:pPr>
              <w:jc w:val="right"/>
              <w:ind w:right="119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4.2 years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5.9%</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5.5 years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5.6%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13.0 years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segments and Holding Company</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lease expense are presented in the following table. Operating lease expense is net of immaterial amounts for sublease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31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220" w:type="dxa"/>
            <w:vAlign w:val="bottom"/>
          </w:tcPr>
          <w:p>
            <w:pPr>
              <w:jc w:val="right"/>
              <w:ind w:right="514"/>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40" w:type="dxa"/>
            <w:vAlign w:val="bottom"/>
            <w:gridSpan w:val="6"/>
          </w:tcPr>
          <w:p>
            <w:pPr>
              <w:ind w:left="9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324"/>
        </w:trPr>
        <w:tc>
          <w:tcPr>
            <w:tcW w:w="4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financing lease right-of-use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on financing lease liabilities</w:t>
            </w:r>
          </w:p>
        </w:tc>
        <w:tc>
          <w:tcPr>
            <w:tcW w:w="4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567"/>
        </w:trPr>
        <w:tc>
          <w:tcPr>
            <w:tcW w:w="5100" w:type="dxa"/>
            <w:vAlign w:val="bottom"/>
            <w:gridSpan w:val="2"/>
          </w:tcPr>
          <w:p>
            <w:pPr>
              <w:ind w:left="420"/>
              <w:spacing w:after="0"/>
              <w:rPr>
                <w:sz w:val="20"/>
                <w:szCs w:val="20"/>
                <w:color w:val="auto"/>
              </w:rPr>
            </w:pPr>
            <w:r>
              <w:rPr>
                <w:rFonts w:ascii="Arial" w:cs="Arial" w:eastAsia="Arial" w:hAnsi="Arial"/>
                <w:sz w:val="18"/>
                <w:szCs w:val="18"/>
                <w:color w:val="auto"/>
                <w:w w:val="92"/>
              </w:rPr>
              <w:t>Maturities of lease liabilities as of June 30, 2019 are as follows:</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8"/>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Year</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tcPr>
          <w:p>
            <w:pPr>
              <w:spacing w:after="0"/>
              <w:rPr>
                <w:sz w:val="24"/>
                <w:szCs w:val="24"/>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Financing Leases</w:t>
            </w:r>
          </w:p>
        </w:tc>
      </w:tr>
      <w:tr>
        <w:trPr>
          <w:trHeight w:val="27"/>
        </w:trPr>
        <w:tc>
          <w:tcPr>
            <w:tcW w:w="4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r>
      <w:tr>
        <w:trPr>
          <w:trHeight w:val="258"/>
        </w:trPr>
        <w:tc>
          <w:tcPr>
            <w:tcW w:w="4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gridSpan w:val="4"/>
          </w:tcPr>
          <w:p>
            <w:pPr>
              <w:jc w:val="right"/>
              <w:ind w:right="1190"/>
              <w:spacing w:after="0"/>
              <w:rPr>
                <w:sz w:val="20"/>
                <w:szCs w:val="20"/>
                <w:color w:val="auto"/>
              </w:rPr>
            </w:pPr>
            <w:r>
              <w:rPr>
                <w:rFonts w:ascii="Arial" w:cs="Arial" w:eastAsia="Arial" w:hAnsi="Arial"/>
                <w:sz w:val="14"/>
                <w:szCs w:val="14"/>
                <w:color w:val="auto"/>
              </w:rPr>
              <w:t>(in millions)</w:t>
            </w: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Our Real Estate segment leases real estate, primarily commercial properties under long-term operating leases. As of June 30, 2019 and December 31, 2018, our Real Estate segment has assets leased to others included in property, plant and equipment of $220 million and $217 million, respectively, net of accumulated depreciation. Our Real Estate segment's revenue from operating leases were $8 million and $11 million for the three months ended June 30, 2019 and 2018, respectively, and $16 million and $21 million for the six months ended June 30, 2019 and 2018, respectively, and are included in other revenue from operations in the condensed consolidated statements of operations. Our Real Estate segment's anticipated future receipts of minimum operating lease payments receivable are $17 million for the remainder of 2019, $33 million in 2020 and $10 million in 2021 and thereafter.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812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0"/>
                <w:szCs w:val="20"/>
                <w:color w:val="auto"/>
              </w:rPr>
            </w:pPr>
          </w:p>
        </w:tc>
      </w:tr>
      <w:tr>
        <w:trPr>
          <w:trHeight w:val="255"/>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Holding Company:</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6.000% senior unsecured notes due 2020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5.875% senior unsecured notes due 2022</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6.250% senior unsecured notes due 2022</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6.750% senior unsecured notes due 2024</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6.375% senior unsecured notes due 2025</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6.250% senior unsecured notes due 2026</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Reporting Segments: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Metals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7,326</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121"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During the second quarter of 2019, Icahn Enterprises and Icahn Enterprises Finance Corp. (together the "Issuers") issued $1.250 billion in aggregate principal amount of 6.250% senior unsecured notes due 2026 (the "New Notes"). The New Notes are guaranteed by Icahn Enterprises Holdings (the "Guarantor"). Interest on the New Notes is payable semi-annually. Subsequent to June 30, 2019, the proceeds from the New Notes, plus cash on hand, were used to repay in full our 6.000% senior unsecured notes due 2020 and to pay accrued interest, related fees and expenses.</w:t>
      </w:r>
    </w:p>
    <w:p>
      <w:pPr>
        <w:spacing w:after="0" w:line="6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New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New Notes and the related guarantee are effectively subordinated to the Issuers’ and the Guarantor’s existing and future secured indebtedness to the extent of the collateral securing such indebtedness. The New Notes and the related guarantee are also effectively subordinated to all indebtedness and other liabilities of the Issuers’ subsidiaries other than the Guarantor.</w:t>
      </w:r>
    </w:p>
    <w:p>
      <w:pPr>
        <w:spacing w:after="0" w:line="80"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indenture governing the New Notes restricts the payment of cash distributions, the purchase of equity interests or the purchase, redemption, defeasance or acquisition of debt subordinated to the senior unsecured notes. The indenture also restricts the incurrence of debt or the issuance of disqualified stock, as defined in the indentures, with certain exceptions. In addition, the indenture requires that on each quarterly determination date we and the Guarantor of the New Notes (currently only Icahn Enterprises Holdings) maintain certain minimum financial ratios, as defined therein. The indenture also restricts the creation of liens, mergers, consolidations and sales of substantially all of our assets, and transactions with affiliates.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Charges to Interest Expense</w:t>
      </w:r>
    </w:p>
    <w:p>
      <w:pPr>
        <w:spacing w:after="0" w:line="121"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amortization of deferred financing costs and debt discounts and premiums included in interest expense in the condensed consolidated statements of operations were $3 million and $1 million for the three months ended June 30, 2019 and 2018, respectively, and $4 million and $2 million for the six months ended June 30, 2019 and 2018,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LP Unit.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the computation of basic and diluted income (loss) per LP unit from continuing and discontinued operations of Icahn Enterprises 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as follows: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700" w:type="dxa"/>
            <w:vAlign w:val="bottom"/>
          </w:tcPr>
          <w:p>
            <w:pPr>
              <w:spacing w:after="0"/>
              <w:rPr>
                <w:sz w:val="24"/>
                <w:szCs w:val="24"/>
                <w:color w:val="auto"/>
              </w:rPr>
            </w:pPr>
          </w:p>
        </w:tc>
        <w:tc>
          <w:tcPr>
            <w:tcW w:w="342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2"/>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5"/>
          </w:tcPr>
          <w:p>
            <w:pPr>
              <w:ind w:left="220"/>
              <w:spacing w:after="0"/>
              <w:rPr>
                <w:sz w:val="20"/>
                <w:szCs w:val="20"/>
                <w:color w:val="auto"/>
              </w:rPr>
            </w:pPr>
            <w:r>
              <w:rPr>
                <w:rFonts w:ascii="Arial" w:cs="Arial" w:eastAsia="Arial" w:hAnsi="Arial"/>
                <w:sz w:val="14"/>
                <w:szCs w:val="14"/>
                <w:color w:val="auto"/>
              </w:rPr>
              <w:t>(in millions, except per unit amounts)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 from</w:t>
            </w:r>
          </w:p>
        </w:tc>
        <w:tc>
          <w:tcPr>
            <w:tcW w:w="1060" w:type="dxa"/>
            <w:vAlign w:val="bottom"/>
            <w:vMerge w:val="restart"/>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0"/>
                <w:szCs w:val="20"/>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20"/>
                <w:szCs w:val="20"/>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Net (loss) income attributable to Icahn Enterprises from</w:t>
            </w: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w w:val="95"/>
              </w:rPr>
              <w:t>continuing operations allocated to limited partners (98.01%</w:t>
            </w:r>
          </w:p>
        </w:tc>
        <w:tc>
          <w:tcPr>
            <w:tcW w:w="1060" w:type="dxa"/>
            <w:vAlign w:val="bottom"/>
            <w:vMerge w:val="restart"/>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8"/>
                <w:szCs w:val="18"/>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allocation)</w:t>
            </w:r>
          </w:p>
        </w:tc>
        <w:tc>
          <w:tcPr>
            <w:tcW w:w="106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Net income attributable to Icahn Enterprises from discontinued</w:t>
            </w:r>
          </w:p>
        </w:tc>
        <w:tc>
          <w:tcPr>
            <w:tcW w:w="1060" w:type="dxa"/>
            <w:vAlign w:val="bottom"/>
            <w:vMerge w:val="restart"/>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operations allocated to limited partners (98.01% allocation)</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income per LP unit:</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LP units outstanding</w:t>
            </w:r>
          </w:p>
        </w:tc>
        <w:tc>
          <w:tcPr>
            <w:tcW w:w="10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 Distributions</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February 26, 2019, Icahn Enterprises declared a quarterly distribution in the amount of $2.00 per depositary unit in which each depositary unitholder had the option to make an election to receive either cash or additional depositary units.</w:t>
      </w:r>
    </w:p>
    <w:p>
      <w:pPr>
        <w:spacing w:after="0" w:line="62"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On April 30, 2019, Icahn Enterprises declared a quarterly distribution in the amount of $2.00 per depositary unit in which each depositary unitholder had the option to make an election to receive either cash or additional depositary units.</w:t>
      </w:r>
    </w:p>
    <w:p>
      <w:pPr>
        <w:spacing w:after="0" w:line="62"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As a result of the above distributions declared, during the six months ended June 30, 2019, Icahn Enterprises distributed an aggregate 10,034,190 depositary units to unitholders electing to receive depositary units, of which an aggregate of 9,892,032 depositary units were distributed to Mr. Icahn and his affiliates. In connection with these distributions, aggregate cash distributions to all depositary unitholders was $54 million during the three and six months ended June 30,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At-The-Market Offering</w:t>
      </w:r>
    </w:p>
    <w:p>
      <w:pPr>
        <w:spacing w:after="0" w:line="11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On May 2, 2019, Icahn Enterprises announced the commencement of its "at-the-market" offering pursuant to its Open Market Sale Agreement, pursuant to which Icahn Enterprises may sell its depositary units, from time to time, for up to $400 million in aggregate sale proceeds. During the three months ended June 30, 2019, Icahn Enterprises distributed 137,524 depositary units pursuant to this agreement, resulting in proceeds of $10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Incentive Plan</w:t>
      </w:r>
    </w:p>
    <w:p>
      <w:pPr>
        <w:spacing w:after="0" w:line="117" w:lineRule="exact"/>
        <w:rPr>
          <w:sz w:val="20"/>
          <w:szCs w:val="20"/>
          <w:color w:val="auto"/>
        </w:rPr>
      </w:pPr>
    </w:p>
    <w:p>
      <w:pPr>
        <w:ind w:right="320" w:firstLine="405"/>
        <w:spacing w:after="0" w:line="276" w:lineRule="auto"/>
        <w:rPr>
          <w:sz w:val="20"/>
          <w:szCs w:val="20"/>
          <w:color w:val="auto"/>
        </w:rPr>
      </w:pPr>
      <w:r>
        <w:rPr>
          <w:rFonts w:ascii="Arial" w:cs="Arial" w:eastAsia="Arial" w:hAnsi="Arial"/>
          <w:sz w:val="17"/>
          <w:szCs w:val="17"/>
          <w:color w:val="auto"/>
        </w:rPr>
        <w:t>During the three months ended June 30, 2019 and 2018, Icahn Enterprises distributed 2,831 and 3,087 depositary units, respectively, and 13,487 and 18,158 depositary units during the six months ended June 30, 2019 and 2018, respectively, net of payroll withholdings, with respect to certain restricted depositary units and deferred unit awards that vested during the period in connection with the Icahn Enterprises L.P. 2017 Long Term Incentive Plan (the "2017 Incentive Plan"). The aggregate impact of the 2017 Incentive Plan is not material with respect to our condensed consolidated financial statements, including the calculation of potentially dilutive units and diluted income per LP unit.</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37" w:right="2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12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w:t>
      </w:r>
    </w:p>
    <w:p>
      <w:pPr>
        <w:spacing w:after="0" w:line="121"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8"/>
          </w:tcPr>
          <w:p>
            <w:pPr>
              <w:ind w:left="360"/>
              <w:spacing w:after="0"/>
              <w:rPr>
                <w:sz w:val="20"/>
                <w:szCs w:val="20"/>
                <w:color w:val="auto"/>
              </w:rPr>
            </w:pPr>
            <w:r>
              <w:rPr>
                <w:rFonts w:ascii="Arial" w:cs="Arial" w:eastAsia="Arial" w:hAnsi="Arial"/>
                <w:sz w:val="11"/>
                <w:szCs w:val="11"/>
                <w:b w:val="1"/>
                <w:bCs w:val="1"/>
                <w:color w:val="auto"/>
                <w:w w:val="91"/>
              </w:rPr>
              <w:t>Three Months Ended June 30, 2019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
              <w:spacing w:after="0"/>
              <w:rPr>
                <w:sz w:val="20"/>
                <w:szCs w:val="20"/>
                <w:color w:val="auto"/>
              </w:rPr>
            </w:pPr>
            <w:r>
              <w:rPr>
                <w:rFonts w:ascii="Arial" w:cs="Arial" w:eastAsia="Arial" w:hAnsi="Arial"/>
                <w:sz w:val="11"/>
                <w:szCs w:val="11"/>
                <w:color w:val="auto"/>
              </w:rPr>
              <w:t>(in millions)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2,588</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172</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(637)</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58</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r>
      <w:tr>
        <w:trPr>
          <w:trHeight w:val="228"/>
        </w:trPr>
        <w:tc>
          <w:tcPr>
            <w:tcW w:w="3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1,700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(309)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2,196</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2,129</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137</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339</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Restructuring,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151</w:t>
            </w:r>
          </w:p>
        </w:tc>
      </w:tr>
      <w:tr>
        <w:trPr>
          <w:trHeight w:val="228"/>
        </w:trPr>
        <w:tc>
          <w:tcPr>
            <w:tcW w:w="3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1,547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793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2,761</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4"/>
              </w:rPr>
              <w:t>(Loss) income from continuing operations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(565)</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(8)</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 from continuing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(573)</w:t>
            </w:r>
          </w:p>
        </w:tc>
      </w:tr>
      <w:tr>
        <w:trPr>
          <w:trHeight w:val="139"/>
        </w:trPr>
        <w:tc>
          <w:tcPr>
            <w:tcW w:w="3660" w:type="dxa"/>
            <w:vAlign w:val="bottom"/>
          </w:tcPr>
          <w:p>
            <w:pPr>
              <w:ind w:left="40"/>
              <w:spacing w:after="0"/>
              <w:rPr>
                <w:sz w:val="20"/>
                <w:szCs w:val="20"/>
                <w:color w:val="auto"/>
              </w:rPr>
            </w:pPr>
            <w:r>
              <w:rPr>
                <w:rFonts w:ascii="Arial" w:cs="Arial" w:eastAsia="Arial" w:hAnsi="Arial"/>
                <w:sz w:val="11"/>
                <w:szCs w:val="11"/>
                <w:color w:val="auto"/>
                <w:w w:val="92"/>
              </w:rPr>
              <w:t>Less: net (loss) income from continuing operations attributable to non-controlling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3660" w:type="dxa"/>
            <w:vAlign w:val="bottom"/>
          </w:tcPr>
          <w:p>
            <w:pPr>
              <w:ind w:left="200"/>
              <w:spacing w:after="0"/>
              <w:rPr>
                <w:sz w:val="20"/>
                <w:szCs w:val="20"/>
                <w:color w:val="auto"/>
              </w:rPr>
            </w:pPr>
            <w:r>
              <w:rPr>
                <w:rFonts w:ascii="Arial" w:cs="Arial" w:eastAsia="Arial" w:hAnsi="Arial"/>
                <w:sz w:val="11"/>
                <w:szCs w:val="11"/>
                <w:color w:val="auto"/>
              </w:rPr>
              <w:t>interests</w:t>
            </w: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(147)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(99)</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5"/>
              </w:rPr>
              <w:t>Net (loss) income from continuing operations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(474)</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66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67</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36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137</w:t>
            </w:r>
          </w:p>
        </w:tc>
      </w:tr>
      <w:tr>
        <w:trPr>
          <w:trHeight w:val="22"/>
        </w:trPr>
        <w:tc>
          <w:tcPr>
            <w:tcW w:w="3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2324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-779780</wp:posOffset>
            </wp:positionV>
            <wp:extent cx="2324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2324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-1482725</wp:posOffset>
            </wp:positionV>
            <wp:extent cx="2324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-2863850</wp:posOffset>
            </wp:positionV>
            <wp:extent cx="2324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13"/>
          </w:tcPr>
          <w:p>
            <w:pPr>
              <w:jc w:val="center"/>
              <w:ind w:right="380"/>
              <w:spacing w:after="0"/>
              <w:rPr>
                <w:sz w:val="20"/>
                <w:szCs w:val="20"/>
                <w:color w:val="auto"/>
              </w:rPr>
            </w:pPr>
            <w:r>
              <w:rPr>
                <w:rFonts w:ascii="Arial" w:cs="Arial" w:eastAsia="Arial" w:hAnsi="Arial"/>
                <w:sz w:val="11"/>
                <w:szCs w:val="11"/>
                <w:b w:val="1"/>
                <w:bCs w:val="1"/>
                <w:color w:val="auto"/>
                <w:w w:val="89"/>
              </w:rPr>
              <w:t>Three Months Ended June 30, 2018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center"/>
              <w:ind w:left="86"/>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Home</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4"/>
          </w:tcPr>
          <w:p>
            <w:pPr>
              <w:ind w:left="4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7"/>
              </w:rPr>
              <w:t>Packaging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b w:val="1"/>
                <w:bCs w:val="1"/>
                <w:color w:val="auto"/>
                <w:w w:val="99"/>
              </w:rPr>
              <w:t>Metals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Mining</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7"/>
          </w:tcPr>
          <w:p>
            <w:pPr>
              <w:jc w:val="center"/>
              <w:ind w:right="300"/>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sales</w:t>
            </w:r>
          </w:p>
        </w:tc>
        <w:tc>
          <w:tcPr>
            <w:tcW w:w="500" w:type="dxa"/>
            <w:vAlign w:val="bottom"/>
            <w:tcBorders>
              <w:bottom w:val="single" w:sz="8" w:color="CCEEFF"/>
            </w:tcBorders>
            <w:shd w:val="clear" w:color="auto" w:fill="CCEEFF"/>
          </w:tcPr>
          <w:p>
            <w:pPr>
              <w:jc w:val="right"/>
              <w:ind w:right="366"/>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w w:val="86"/>
              </w:rPr>
              <w:t>592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104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132</w:t>
            </w:r>
          </w:p>
        </w:tc>
        <w:tc>
          <w:tcPr>
            <w:tcW w:w="2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2,819</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Other revenues from operations</w:t>
            </w:r>
          </w:p>
        </w:tc>
        <w:tc>
          <w:tcPr>
            <w:tcW w:w="50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w w:val="86"/>
              </w:rPr>
              <w:t>145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167</w:t>
            </w: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gain from investment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7"/>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410</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Interest and dividend income</w:t>
            </w:r>
          </w:p>
        </w:tc>
        <w:tc>
          <w:tcPr>
            <w:tcW w:w="50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w:t>
            </w: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(loss) income, net</w:t>
            </w:r>
          </w:p>
        </w:tc>
        <w:tc>
          <w:tcPr>
            <w:tcW w:w="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88"/>
              </w:rPr>
              <w:t>(7)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r>
      <w:tr>
        <w:trPr>
          <w:trHeight w:val="228"/>
        </w:trPr>
        <w:tc>
          <w:tcPr>
            <w:tcW w:w="29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1"/>
                <w:szCs w:val="11"/>
                <w:color w:val="auto"/>
                <w:w w:val="97"/>
              </w:rPr>
              <w:t>399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1,911</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color w:val="auto"/>
                <w:w w:val="86"/>
              </w:rPr>
              <w:t>737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0"/>
                <w:szCs w:val="10"/>
                <w:color w:val="auto"/>
                <w:w w:val="71"/>
              </w:rPr>
              <w:t>97</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131</w:t>
            </w: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3,423</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Cost of goods sold</w:t>
            </w:r>
          </w:p>
        </w:tc>
        <w:tc>
          <w:tcPr>
            <w:tcW w:w="50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1,778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w w:val="86"/>
              </w:rPr>
              <w:t>383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124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2,427</w:t>
            </w: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expenses from operations</w:t>
            </w: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w w:val="86"/>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134</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Selling, general and administrative</w:t>
            </w:r>
          </w:p>
        </w:tc>
        <w:tc>
          <w:tcPr>
            <w:tcW w:w="50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w w:val="86"/>
              </w:rPr>
              <w:t>258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345</w:t>
            </w: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Restructuring, net</w:t>
            </w: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Impairment</w:t>
            </w:r>
          </w:p>
        </w:tc>
        <w:tc>
          <w:tcPr>
            <w:tcW w:w="50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w:t>
            </w: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Interest expense</w:t>
            </w:r>
          </w:p>
        </w:tc>
        <w:tc>
          <w:tcPr>
            <w:tcW w:w="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119</w:t>
            </w:r>
          </w:p>
        </w:tc>
      </w:tr>
      <w:tr>
        <w:trPr>
          <w:trHeight w:val="228"/>
        </w:trPr>
        <w:tc>
          <w:tcPr>
            <w:tcW w:w="29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1,844</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color w:val="auto"/>
                <w:w w:val="86"/>
              </w:rPr>
              <w:t>767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0"/>
                <w:szCs w:val="10"/>
                <w:color w:val="auto"/>
                <w:w w:val="71"/>
              </w:rPr>
              <w:t>98</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128</w:t>
            </w: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3,029</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2"/>
        </w:trPr>
        <w:tc>
          <w:tcPr>
            <w:tcW w:w="2980" w:type="dxa"/>
            <w:vAlign w:val="bottom"/>
            <w:shd w:val="clear" w:color="auto" w:fill="CCEEFF"/>
          </w:tcPr>
          <w:p>
            <w:pPr>
              <w:ind w:left="40"/>
              <w:spacing w:after="0"/>
              <w:rPr>
                <w:sz w:val="20"/>
                <w:szCs w:val="20"/>
                <w:color w:val="auto"/>
              </w:rPr>
            </w:pPr>
            <w:r>
              <w:rPr>
                <w:rFonts w:ascii="Arial" w:cs="Arial" w:eastAsia="Arial" w:hAnsi="Arial"/>
                <w:sz w:val="11"/>
                <w:szCs w:val="11"/>
                <w:color w:val="auto"/>
              </w:rPr>
              <w:t>Income (loss) from continuing operations before income tax</w:t>
            </w: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8"/>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 benefit</w:t>
            </w:r>
          </w:p>
        </w:tc>
        <w:tc>
          <w:tcPr>
            <w:tcW w:w="5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7"/>
              </w:rPr>
              <w:t>397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88"/>
              </w:rPr>
              <w:t>(1)</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394</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50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from continuing operations</w:t>
            </w:r>
          </w:p>
        </w:tc>
        <w:tc>
          <w:tcPr>
            <w:tcW w:w="5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7"/>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88"/>
              </w:rPr>
              <w:t>(1)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410</w:t>
            </w:r>
          </w:p>
        </w:tc>
      </w:tr>
      <w:tr>
        <w:trPr>
          <w:trHeight w:val="139"/>
        </w:trPr>
        <w:tc>
          <w:tcPr>
            <w:tcW w:w="2980" w:type="dxa"/>
            <w:vAlign w:val="bottom"/>
          </w:tcPr>
          <w:p>
            <w:pPr>
              <w:ind w:left="40"/>
              <w:spacing w:after="0"/>
              <w:rPr>
                <w:sz w:val="20"/>
                <w:szCs w:val="20"/>
                <w:color w:val="auto"/>
              </w:rPr>
            </w:pPr>
            <w:r>
              <w:rPr>
                <w:rFonts w:ascii="Arial" w:cs="Arial" w:eastAsia="Arial" w:hAnsi="Arial"/>
                <w:sz w:val="11"/>
                <w:szCs w:val="11"/>
                <w:color w:val="auto"/>
                <w:w w:val="92"/>
              </w:rPr>
              <w:t>Less: net income (loss) from continuing operations attributable to</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980" w:type="dxa"/>
            <w:vAlign w:val="bottom"/>
          </w:tcPr>
          <w:p>
            <w:pPr>
              <w:ind w:left="200"/>
              <w:spacing w:after="0"/>
              <w:rPr>
                <w:sz w:val="20"/>
                <w:szCs w:val="20"/>
                <w:color w:val="auto"/>
              </w:rPr>
            </w:pPr>
            <w:r>
              <w:rPr>
                <w:rFonts w:ascii="Arial" w:cs="Arial" w:eastAsia="Arial" w:hAnsi="Arial"/>
                <w:sz w:val="11"/>
                <w:szCs w:val="11"/>
                <w:color w:val="auto"/>
              </w:rPr>
              <w:t>non-controlling interests</w:t>
            </w:r>
          </w:p>
        </w:tc>
        <w:tc>
          <w:tcPr>
            <w:tcW w:w="50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240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1"/>
                <w:szCs w:val="11"/>
                <w:color w:val="auto"/>
                <w:w w:val="88"/>
              </w:rPr>
              <w:t>(1)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262</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2"/>
        </w:trPr>
        <w:tc>
          <w:tcPr>
            <w:tcW w:w="2980" w:type="dxa"/>
            <w:vAlign w:val="bottom"/>
            <w:shd w:val="clear" w:color="auto" w:fill="CCEEFF"/>
          </w:tcPr>
          <w:p>
            <w:pPr>
              <w:ind w:left="40"/>
              <w:spacing w:after="0"/>
              <w:rPr>
                <w:sz w:val="20"/>
                <w:szCs w:val="20"/>
                <w:color w:val="auto"/>
              </w:rPr>
            </w:pPr>
            <w:r>
              <w:rPr>
                <w:rFonts w:ascii="Arial" w:cs="Arial" w:eastAsia="Arial" w:hAnsi="Arial"/>
                <w:sz w:val="11"/>
                <w:szCs w:val="11"/>
                <w:color w:val="auto"/>
                <w:w w:val="91"/>
              </w:rPr>
              <w:t>Net (loss) income from continuing operations attributable to Icahn</w:t>
            </w: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Enterprises</w:t>
            </w:r>
          </w:p>
        </w:tc>
        <w:tc>
          <w:tcPr>
            <w:tcW w:w="500" w:type="dxa"/>
            <w:vAlign w:val="bottom"/>
            <w:tcBorders>
              <w:bottom w:val="single" w:sz="8" w:color="CCEEFF"/>
            </w:tcBorders>
            <w:shd w:val="clear" w:color="auto" w:fill="CCEEFF"/>
          </w:tcPr>
          <w:p>
            <w:pPr>
              <w:jc w:val="right"/>
              <w:ind w:right="366"/>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7"/>
              </w:rPr>
              <w:t>157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1"/>
                <w:szCs w:val="11"/>
                <w:color w:val="auto"/>
                <w:w w:val="72"/>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2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148</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2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500" w:type="dxa"/>
            <w:vAlign w:val="bottom"/>
          </w:tcPr>
          <w:p>
            <w:pPr>
              <w:jc w:val="right"/>
              <w:ind w:right="366"/>
              <w:spacing w:after="0"/>
              <w:rPr>
                <w:sz w:val="20"/>
                <w:szCs w:val="20"/>
                <w:color w:val="auto"/>
              </w:rPr>
            </w:pPr>
            <w:r>
              <w:rPr>
                <w:rFonts w:ascii="Arial" w:cs="Arial" w:eastAsia="Arial" w:hAnsi="Arial"/>
                <w:sz w:val="11"/>
                <w:szCs w:val="11"/>
                <w:color w:val="auto"/>
                <w:w w:val="97"/>
              </w:rPr>
              <w:t>$</w:t>
            </w: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rPr>
              <w:t>18</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60" w:type="dxa"/>
            <w:vAlign w:val="bottom"/>
            <w:gridSpan w:val="5"/>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64</w:t>
            </w: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p>
        </w:tc>
        <w:tc>
          <w:tcPr>
            <w:tcW w:w="500" w:type="dxa"/>
            <w:vAlign w:val="bottom"/>
            <w:tcBorders>
              <w:bottom w:val="single" w:sz="8" w:color="CCEEFF"/>
            </w:tcBorders>
            <w:shd w:val="clear" w:color="auto" w:fill="CCEEFF"/>
          </w:tcPr>
          <w:p>
            <w:pPr>
              <w:jc w:val="right"/>
              <w:ind w:right="366"/>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25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2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130</w:t>
            </w:r>
          </w:p>
        </w:tc>
      </w:tr>
      <w:tr>
        <w:trPr>
          <w:trHeight w:val="383"/>
        </w:trPr>
        <w:tc>
          <w:tcPr>
            <w:tcW w:w="2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11"/>
          </w:tcPr>
          <w:p>
            <w:pPr>
              <w:ind w:left="300"/>
              <w:spacing w:after="0"/>
              <w:rPr>
                <w:sz w:val="20"/>
                <w:szCs w:val="20"/>
                <w:color w:val="auto"/>
              </w:rPr>
            </w:pPr>
            <w:r>
              <w:rPr>
                <w:rFonts w:ascii="Arial" w:cs="Arial" w:eastAsia="Arial" w:hAnsi="Arial"/>
                <w:sz w:val="11"/>
                <w:szCs w:val="11"/>
                <w:b w:val="1"/>
                <w:bCs w:val="1"/>
                <w:color w:val="auto"/>
                <w:w w:val="95"/>
              </w:rPr>
              <w:t>Six Months Ended June 30, 2019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b w:val="1"/>
                <w:bCs w:val="1"/>
                <w:color w:val="auto"/>
                <w:w w:val="81"/>
              </w:rPr>
              <w:t>Food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6"/>
          </w:tcPr>
          <w:p>
            <w:pPr>
              <w:ind w:left="2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b w:val="1"/>
                <w:bCs w:val="1"/>
                <w:color w:val="auto"/>
                <w:w w:val="85"/>
              </w:rPr>
              <w:t>Energy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1"/>
                <w:szCs w:val="11"/>
                <w:b w:val="1"/>
                <w:bCs w:val="1"/>
                <w:color w:val="auto"/>
                <w:w w:val="89"/>
              </w:rPr>
              <w:t>Automotive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right"/>
              <w:ind w:right="26"/>
              <w:spacing w:after="0"/>
              <w:rPr>
                <w:sz w:val="20"/>
                <w:szCs w:val="20"/>
                <w:color w:val="auto"/>
              </w:rPr>
            </w:pPr>
            <w:r>
              <w:rPr>
                <w:rFonts w:ascii="Arial" w:cs="Arial" w:eastAsia="Arial" w:hAnsi="Arial"/>
                <w:sz w:val="11"/>
                <w:szCs w:val="11"/>
                <w:b w:val="1"/>
                <w:bCs w:val="1"/>
                <w:color w:val="auto"/>
                <w:w w:val="83"/>
              </w:rPr>
              <w:t>Packaging</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Metals</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(in millions)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sales</w:t>
            </w: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3,173</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192</w:t>
            </w:r>
          </w:p>
        </w:tc>
        <w:tc>
          <w:tcPr>
            <w:tcW w:w="2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4,888</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Other revenues from operations</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334</w:t>
            </w: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loss from investment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(1,311)</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Interest and dividend income</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122</w:t>
            </w: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(loss) income, net</w:t>
            </w:r>
          </w:p>
        </w:tc>
        <w:tc>
          <w:tcPr>
            <w:tcW w:w="5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r>
      <w:tr>
        <w:trPr>
          <w:trHeight w:val="228"/>
        </w:trPr>
        <w:tc>
          <w:tcPr>
            <w:tcW w:w="2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3,187</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1,442</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190</w:t>
            </w:r>
          </w:p>
        </w:tc>
        <w:tc>
          <w:tcPr>
            <w:tcW w:w="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(353)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4,051</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Cost of goods sold</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color w:val="auto"/>
              </w:rPr>
              <w:t>2,789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781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150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4,029</w:t>
            </w: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expenses from operations</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268</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Selling, general and administrative</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color w:val="auto"/>
              </w:rPr>
              <w:t>71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508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29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675</w:t>
            </w: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Restructuring, net</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Impairment</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Interest expense</w:t>
            </w:r>
          </w:p>
        </w:tc>
        <w:tc>
          <w:tcPr>
            <w:tcW w:w="5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290</w:t>
            </w:r>
          </w:p>
        </w:tc>
      </w:tr>
      <w:tr>
        <w:trPr>
          <w:trHeight w:val="228"/>
        </w:trPr>
        <w:tc>
          <w:tcPr>
            <w:tcW w:w="2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2,913</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1,544</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196</w:t>
            </w:r>
          </w:p>
        </w:tc>
        <w:tc>
          <w:tcPr>
            <w:tcW w:w="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195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5,274</w:t>
            </w:r>
          </w:p>
        </w:tc>
      </w:tr>
      <w:tr>
        <w:trPr>
          <w:trHeight w:val="22"/>
        </w:trPr>
        <w:tc>
          <w:tcPr>
            <w:tcW w:w="3480" w:type="dxa"/>
            <w:vAlign w:val="bottom"/>
            <w:tcBorders>
              <w:bottom w:val="single" w:sz="8" w:color="CCEEFF"/>
            </w:tcBorders>
            <w:gridSpan w:val="2"/>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w w:val="89"/>
              </w:rPr>
              <w:t>(Loss) income from continuing operations before income tax (expense) benefit</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1"/>
                <w:szCs w:val="11"/>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(1,223)</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(14)</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 from continuing operations</w:t>
            </w: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(1,237)</w:t>
            </w:r>
          </w:p>
        </w:tc>
      </w:tr>
      <w:tr>
        <w:trPr>
          <w:trHeight w:val="139"/>
        </w:trPr>
        <w:tc>
          <w:tcPr>
            <w:tcW w:w="3800" w:type="dxa"/>
            <w:vAlign w:val="bottom"/>
            <w:gridSpan w:val="4"/>
          </w:tcPr>
          <w:p>
            <w:pPr>
              <w:ind w:left="40"/>
              <w:spacing w:after="0"/>
              <w:rPr>
                <w:sz w:val="20"/>
                <w:szCs w:val="20"/>
                <w:color w:val="auto"/>
              </w:rPr>
            </w:pPr>
            <w:r>
              <w:rPr>
                <w:rFonts w:ascii="Arial" w:cs="Arial" w:eastAsia="Arial" w:hAnsi="Arial"/>
                <w:sz w:val="11"/>
                <w:szCs w:val="11"/>
                <w:color w:val="auto"/>
                <w:w w:val="95"/>
              </w:rPr>
              <w:t>Less: net (loss) income from continuing operations attributable to non-controlling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980" w:type="dxa"/>
            <w:vAlign w:val="bottom"/>
          </w:tcPr>
          <w:p>
            <w:pPr>
              <w:ind w:left="200"/>
              <w:spacing w:after="0"/>
              <w:rPr>
                <w:sz w:val="20"/>
                <w:szCs w:val="20"/>
                <w:color w:val="auto"/>
              </w:rPr>
            </w:pPr>
            <w:r>
              <w:rPr>
                <w:rFonts w:ascii="Arial" w:cs="Arial" w:eastAsia="Arial" w:hAnsi="Arial"/>
                <w:sz w:val="11"/>
                <w:szCs w:val="11"/>
                <w:color w:val="auto"/>
              </w:rPr>
              <w:t>interests</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(440)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color w:val="auto"/>
              </w:rPr>
              <w:t>64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(369)</w:t>
            </w:r>
          </w:p>
        </w:tc>
      </w:tr>
      <w:tr>
        <w:trPr>
          <w:trHeight w:val="22"/>
        </w:trPr>
        <w:tc>
          <w:tcPr>
            <w:tcW w:w="3480" w:type="dxa"/>
            <w:vAlign w:val="bottom"/>
            <w:tcBorders>
              <w:bottom w:val="single" w:sz="8" w:color="CCEEFF"/>
            </w:tcBorders>
            <w:gridSpan w:val="2"/>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w w:val="90"/>
              </w:rPr>
              <w:t>Net (loss) income from continuing operations attributable to Icahn Enterprises</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142</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2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(868)</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2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500" w:type="dxa"/>
            <w:vAlign w:val="bottom"/>
          </w:tcPr>
          <w:p>
            <w:pPr>
              <w:spacing w:after="0"/>
              <w:rPr>
                <w:sz w:val="21"/>
                <w:szCs w:val="21"/>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26"/>
              <w:spacing w:after="0"/>
              <w:rPr>
                <w:sz w:val="20"/>
                <w:szCs w:val="20"/>
                <w:color w:val="auto"/>
              </w:rPr>
            </w:pPr>
            <w:r>
              <w:rPr>
                <w:rFonts w:ascii="Arial" w:cs="Arial" w:eastAsia="Arial" w:hAnsi="Arial"/>
                <w:sz w:val="11"/>
                <w:szCs w:val="11"/>
                <w:color w:val="auto"/>
              </w:rPr>
              <w:t>55</w:t>
            </w:r>
          </w:p>
        </w:tc>
        <w:tc>
          <w:tcPr>
            <w:tcW w:w="30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260" w:type="dxa"/>
            <w:vAlign w:val="bottom"/>
            <w:gridSpan w:val="5"/>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132</w:t>
            </w:r>
          </w:p>
        </w:tc>
      </w:tr>
      <w:tr>
        <w:trPr>
          <w:trHeight w:val="22"/>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9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p>
        </w:tc>
        <w:tc>
          <w:tcPr>
            <w:tcW w:w="5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177</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14</w:t>
            </w:r>
          </w:p>
        </w:tc>
        <w:tc>
          <w:tcPr>
            <w:tcW w:w="26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260</w:t>
            </w:r>
          </w:p>
        </w:tc>
      </w:tr>
      <w:tr>
        <w:trPr>
          <w:trHeight w:val="22"/>
        </w:trPr>
        <w:tc>
          <w:tcPr>
            <w:tcW w:w="29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-5316220</wp:posOffset>
            </wp:positionV>
            <wp:extent cx="1886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-5513705</wp:posOffset>
            </wp:positionV>
            <wp:extent cx="1886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-5873750</wp:posOffset>
            </wp:positionV>
            <wp:extent cx="1886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-6242685</wp:posOffset>
            </wp:positionV>
            <wp:extent cx="1886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-7623175</wp:posOffset>
            </wp:positionV>
            <wp:extent cx="1886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2324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-779780</wp:posOffset>
            </wp:positionV>
            <wp:extent cx="23241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23241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-1482725</wp:posOffset>
            </wp:positionV>
            <wp:extent cx="23241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-2863850</wp:posOffset>
            </wp:positionV>
            <wp:extent cx="23241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20"/>
          </w:cols>
          <w:pgMar w:left="240" w:top="337" w:right="239" w:bottom="36"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019"/>
          </w:cols>
          <w:pgMar w:left="1440" w:top="125"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10"/>
          </w:tcPr>
          <w:p>
            <w:pPr>
              <w:jc w:val="center"/>
              <w:ind w:right="420"/>
              <w:spacing w:after="0"/>
              <w:rPr>
                <w:sz w:val="20"/>
                <w:szCs w:val="20"/>
                <w:color w:val="auto"/>
              </w:rPr>
            </w:pPr>
            <w:r>
              <w:rPr>
                <w:rFonts w:ascii="Arial" w:cs="Arial" w:eastAsia="Arial" w:hAnsi="Arial"/>
                <w:sz w:val="11"/>
                <w:szCs w:val="11"/>
                <w:b w:val="1"/>
                <w:bCs w:val="1"/>
                <w:color w:val="auto"/>
                <w:w w:val="88"/>
              </w:rPr>
              <w:t>Six Months Ended June 30, 2018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Home</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12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Metals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5"/>
          </w:tcPr>
          <w:p>
            <w:pPr>
              <w:jc w:val="center"/>
              <w:ind w:right="280"/>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250</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5,183</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842</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r>
      <w:tr>
        <w:trPr>
          <w:trHeight w:val="228"/>
        </w:trPr>
        <w:tc>
          <w:tcPr>
            <w:tcW w:w="2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827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3,450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1,423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250</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6,406</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3,163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4,414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259</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683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Restructuring,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266</w:t>
            </w:r>
          </w:p>
        </w:tc>
      </w:tr>
      <w:tr>
        <w:trPr>
          <w:trHeight w:val="228"/>
        </w:trPr>
        <w:tc>
          <w:tcPr>
            <w:tcW w:w="2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3,288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1,502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243</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5,628</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2"/>
        </w:trPr>
        <w:tc>
          <w:tcPr>
            <w:tcW w:w="2980" w:type="dxa"/>
            <w:vAlign w:val="bottom"/>
            <w:shd w:val="clear" w:color="auto" w:fill="CCEEFF"/>
          </w:tcPr>
          <w:p>
            <w:pPr>
              <w:ind w:left="40"/>
              <w:spacing w:after="0"/>
              <w:rPr>
                <w:sz w:val="20"/>
                <w:szCs w:val="20"/>
                <w:color w:val="auto"/>
              </w:rPr>
            </w:pPr>
            <w:r>
              <w:rPr>
                <w:rFonts w:ascii="Arial" w:cs="Arial" w:eastAsia="Arial" w:hAnsi="Arial"/>
                <w:sz w:val="11"/>
                <w:szCs w:val="11"/>
                <w:color w:val="auto"/>
              </w:rPr>
              <w:t>Income (loss) from continuing operations before income tax</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8"/>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(expense) benefit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778</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from continuing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777</w:t>
            </w:r>
          </w:p>
        </w:tc>
      </w:tr>
      <w:tr>
        <w:trPr>
          <w:trHeight w:val="139"/>
        </w:trPr>
        <w:tc>
          <w:tcPr>
            <w:tcW w:w="2980" w:type="dxa"/>
            <w:vAlign w:val="bottom"/>
          </w:tcPr>
          <w:p>
            <w:pPr>
              <w:ind w:left="40"/>
              <w:spacing w:after="0"/>
              <w:rPr>
                <w:sz w:val="20"/>
                <w:szCs w:val="20"/>
                <w:color w:val="auto"/>
              </w:rPr>
            </w:pPr>
            <w:r>
              <w:rPr>
                <w:rFonts w:ascii="Arial" w:cs="Arial" w:eastAsia="Arial" w:hAnsi="Arial"/>
                <w:sz w:val="11"/>
                <w:szCs w:val="11"/>
                <w:color w:val="auto"/>
                <w:w w:val="92"/>
              </w:rPr>
              <w:t>Less: net income (loss) from continuing operations attributable to</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980" w:type="dxa"/>
            <w:vAlign w:val="bottom"/>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480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531</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2"/>
        </w:trPr>
        <w:tc>
          <w:tcPr>
            <w:tcW w:w="2980" w:type="dxa"/>
            <w:vAlign w:val="bottom"/>
            <w:shd w:val="clear" w:color="auto" w:fill="CCEEFF"/>
          </w:tcPr>
          <w:p>
            <w:pPr>
              <w:ind w:left="40"/>
              <w:spacing w:after="0"/>
              <w:rPr>
                <w:sz w:val="20"/>
                <w:szCs w:val="20"/>
                <w:color w:val="auto"/>
              </w:rPr>
            </w:pPr>
            <w:r>
              <w:rPr>
                <w:rFonts w:ascii="Arial" w:cs="Arial" w:eastAsia="Arial" w:hAnsi="Arial"/>
                <w:sz w:val="11"/>
                <w:szCs w:val="11"/>
                <w:color w:val="auto"/>
                <w:w w:val="91"/>
              </w:rPr>
              <w:t>Net income (loss) from continuing operations attributable to Icahn</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318</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246</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w:t>
            </w:r>
          </w:p>
        </w:tc>
        <w:tc>
          <w:tcPr>
            <w:tcW w:w="3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9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258</w:t>
            </w:r>
          </w:p>
        </w:tc>
      </w:tr>
      <w:tr>
        <w:trPr>
          <w:trHeight w:val="22"/>
        </w:trPr>
        <w:tc>
          <w:tcPr>
            <w:tcW w:w="2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1886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-822960</wp:posOffset>
            </wp:positionV>
            <wp:extent cx="1886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-1183005</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-1551305</wp:posOffset>
            </wp:positionV>
            <wp:extent cx="1886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1886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and Energy and Automotive segments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Energy segment net sales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160" w:type="dxa"/>
            <w:vAlign w:val="bottom"/>
            <w:gridSpan w:val="4"/>
          </w:tcPr>
          <w:p>
            <w:pPr>
              <w:ind w:left="740"/>
              <w:spacing w:after="0"/>
              <w:rPr>
                <w:sz w:val="20"/>
                <w:szCs w:val="20"/>
                <w:color w:val="auto"/>
              </w:rPr>
            </w:pPr>
            <w:r>
              <w:rPr>
                <w:rFonts w:ascii="Arial" w:cs="Arial" w:eastAsia="Arial" w:hAnsi="Arial"/>
                <w:sz w:val="18"/>
                <w:szCs w:val="18"/>
                <w:b w:val="1"/>
                <w:bCs w:val="1"/>
                <w:color w:val="auto"/>
                <w:w w:val="94"/>
              </w:rPr>
              <w:t>Three Months Ended June 30,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20" w:type="dxa"/>
            <w:vAlign w:val="bottom"/>
          </w:tcPr>
          <w:p>
            <w:pPr>
              <w:ind w:left="74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4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 products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Nitrogen fertilizer products</w:t>
            </w: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3,451</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Automotive segment net sales and other revenues from operations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240" w:type="dxa"/>
            <w:vAlign w:val="bottom"/>
            <w:gridSpan w:val="4"/>
          </w:tcPr>
          <w:p>
            <w:pPr>
              <w:ind w:left="740"/>
              <w:spacing w:after="0"/>
              <w:rPr>
                <w:sz w:val="20"/>
                <w:szCs w:val="20"/>
                <w:color w:val="auto"/>
              </w:rPr>
            </w:pPr>
            <w:r>
              <w:rPr>
                <w:rFonts w:ascii="Arial" w:cs="Arial" w:eastAsia="Arial" w:hAnsi="Arial"/>
                <w:sz w:val="18"/>
                <w:szCs w:val="18"/>
                <w:b w:val="1"/>
                <w:bCs w:val="1"/>
                <w:color w:val="auto"/>
                <w:w w:val="97"/>
              </w:rPr>
              <w:t>Three Months Ended June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80" w:type="dxa"/>
            <w:vAlign w:val="bottom"/>
          </w:tcPr>
          <w:p>
            <w:pPr>
              <w:ind w:left="74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3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6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services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Aftermarket parts sales</w:t>
            </w:r>
          </w:p>
        </w:tc>
        <w:tc>
          <w:tcPr>
            <w:tcW w:w="12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772</w:t>
            </w:r>
          </w:p>
        </w:tc>
      </w:tr>
      <w:tr>
        <w:trPr>
          <w:trHeight w:val="27"/>
        </w:trPr>
        <w:tc>
          <w:tcPr>
            <w:tcW w:w="37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69"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37" w:right="239" w:bottom="69"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121"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Icahn Enterprises' condensed balance sheets by reporting segment are presented below. Icahn Enterprises Holdings' condensed balance sheets are substantially the same, with immaterial differences relating to our Holding Company's other assets, debt and equity attributable to Icahn Enterprises Holdings.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Arial" w:cs="Arial" w:eastAsia="Arial" w:hAnsi="Arial"/>
                <w:sz w:val="11"/>
                <w:szCs w:val="11"/>
                <w:b w:val="1"/>
                <w:bCs w:val="1"/>
                <w:color w:val="auto"/>
                <w:w w:val="92"/>
              </w:rPr>
              <w:t>June 30, 2019</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
              <w:spacing w:after="0"/>
              <w:rPr>
                <w:sz w:val="20"/>
                <w:szCs w:val="20"/>
                <w:color w:val="auto"/>
              </w:rPr>
            </w:pPr>
            <w:r>
              <w:rPr>
                <w:rFonts w:ascii="Arial" w:cs="Arial" w:eastAsia="Arial" w:hAnsi="Arial"/>
                <w:sz w:val="11"/>
                <w:szCs w:val="11"/>
                <w:color w:val="auto"/>
              </w:rPr>
              <w:t>(in millions)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660" w:type="dxa"/>
            <w:vAlign w:val="bottom"/>
          </w:tcPr>
          <w:p>
            <w:pPr>
              <w:ind w:left="164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4,008</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Cash held at consolidated affiliated partnerships and restricted cash</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664</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8,858</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508</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1,851</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2,950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382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4,630</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742</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Assets held for sale</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400</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1,508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2,687</w:t>
            </w:r>
          </w:p>
        </w:tc>
      </w:tr>
      <w:tr>
        <w:trPr>
          <w:trHeight w:val="272"/>
        </w:trPr>
        <w:tc>
          <w:tcPr>
            <w:tcW w:w="36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10,358</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4,631</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3,624</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547</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246</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495</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237</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393</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3,817</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24,348</w:t>
            </w:r>
          </w:p>
        </w:tc>
      </w:tr>
      <w:tr>
        <w:trPr>
          <w:trHeight w:val="235"/>
        </w:trPr>
        <w:tc>
          <w:tcPr>
            <w:tcW w:w="36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923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1,076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1,374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206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3,934</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146</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Liabilities held for sale</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164</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8,658</w:t>
            </w:r>
          </w:p>
        </w:tc>
      </w:tr>
      <w:tr>
        <w:trPr>
          <w:trHeight w:val="228"/>
        </w:trPr>
        <w:tc>
          <w:tcPr>
            <w:tcW w:w="366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1,069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2,271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1,780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476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6,941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12,902</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4,624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1,844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452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(3,124)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5,691</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5,755</w:t>
            </w:r>
          </w:p>
        </w:tc>
      </w:tr>
      <w:tr>
        <w:trPr>
          <w:trHeight w:val="228"/>
        </w:trPr>
        <w:tc>
          <w:tcPr>
            <w:tcW w:w="366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9,289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2,360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1,844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(3,124)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11,446</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2"/>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10,358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4,631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3,624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246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495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393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3,817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24,348</w:t>
            </w: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ind w:left="20"/>
              <w:spacing w:after="0"/>
              <w:rPr>
                <w:sz w:val="20"/>
                <w:szCs w:val="20"/>
                <w:color w:val="auto"/>
              </w:rPr>
            </w:pPr>
            <w:r>
              <w:rPr>
                <w:rFonts w:ascii="Arial" w:cs="Arial" w:eastAsia="Arial" w:hAnsi="Arial"/>
                <w:sz w:val="11"/>
                <w:szCs w:val="11"/>
                <w:b w:val="1"/>
                <w:bCs w:val="1"/>
                <w:color w:val="auto"/>
              </w:rPr>
              <w:t>December 31, 2018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
              <w:spacing w:after="0"/>
              <w:rPr>
                <w:sz w:val="20"/>
                <w:szCs w:val="20"/>
                <w:color w:val="auto"/>
              </w:rPr>
            </w:pPr>
            <w:r>
              <w:rPr>
                <w:rFonts w:ascii="Arial" w:cs="Arial" w:eastAsia="Arial" w:hAnsi="Arial"/>
                <w:sz w:val="11"/>
                <w:szCs w:val="11"/>
                <w:color w:val="auto"/>
              </w:rPr>
              <w:t>(in millions)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660" w:type="dxa"/>
            <w:vAlign w:val="bottom"/>
          </w:tcPr>
          <w:p>
            <w:pPr>
              <w:ind w:left="164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2,656</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Cash held at consolidated affiliated partnerships and restricted cash</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2,648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2,682</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8,337</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474</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1,779</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3,027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4,688</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748</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Assets held for sale</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333</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1,792</w:t>
            </w:r>
          </w:p>
        </w:tc>
      </w:tr>
      <w:tr>
        <w:trPr>
          <w:trHeight w:val="272"/>
        </w:trPr>
        <w:tc>
          <w:tcPr>
            <w:tcW w:w="36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10,750</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4,831</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3,024</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511</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233</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508</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172</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3,161</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23,489</w:t>
            </w:r>
          </w:p>
        </w:tc>
      </w:tr>
      <w:tr>
        <w:trPr>
          <w:trHeight w:val="235"/>
        </w:trPr>
        <w:tc>
          <w:tcPr>
            <w:tcW w:w="36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181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1,043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905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164</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2,603</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468</w:t>
            </w: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Liabilities held for sale</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112</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7,326</w:t>
            </w:r>
          </w:p>
        </w:tc>
      </w:tr>
      <w:tr>
        <w:trPr>
          <w:trHeight w:val="228"/>
        </w:trPr>
        <w:tc>
          <w:tcPr>
            <w:tcW w:w="366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649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2,213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1,277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5,683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10,509</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48"/>
        </w:trPr>
        <w:tc>
          <w:tcPr>
            <w:tcW w:w="366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5,066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1,747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465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(2,522)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6,560</w:t>
            </w:r>
          </w:p>
        </w:tc>
      </w:tr>
      <w:tr>
        <w:trPr>
          <w:trHeight w:val="22"/>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5,035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6,420</w:t>
            </w:r>
          </w:p>
        </w:tc>
      </w:tr>
      <w:tr>
        <w:trPr>
          <w:trHeight w:val="228"/>
        </w:trPr>
        <w:tc>
          <w:tcPr>
            <w:tcW w:w="366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10,101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2,618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1,747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(2,522)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12,980</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2"/>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10,750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3,024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508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3,161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23,489</w:t>
            </w: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37" w:right="239" w:bottom="9"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019"/>
          </w:cols>
          <w:pgMar w:left="1440" w:top="908"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Discontinued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from discontinued operations is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June 30, 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Federal-Mogul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Tropicana</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439"/>
              <w:spacing w:after="0"/>
              <w:rPr>
                <w:sz w:val="20"/>
                <w:szCs w:val="20"/>
                <w:color w:val="auto"/>
              </w:rPr>
            </w:pPr>
            <w:r>
              <w:rPr>
                <w:rFonts w:ascii="Arial" w:cs="Arial" w:eastAsia="Arial" w:hAnsi="Arial"/>
                <w:sz w:val="16"/>
                <w:szCs w:val="16"/>
                <w:b w:val="1"/>
                <w:bCs w:val="1"/>
                <w:color w:val="auto"/>
              </w:rPr>
              <w:t>ARI</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3"/>
          </w:tcPr>
          <w:p>
            <w:pPr>
              <w:jc w:val="right"/>
              <w:ind w:right="59"/>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loss on investment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Interest and dividend income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income (loss), net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2,048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2,422</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1,756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expenses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Restructuring,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before income tax expense</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w w:val="95"/>
              </w:rPr>
              <w:t>Less: income from discontinued operations attributable to non-controlling interests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attributable to Icahn Enterprises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3"/>
              </w:rPr>
              <w:t>Six Months Ended June 30, 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Federal-Mogul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b w:val="1"/>
                <w:bCs w:val="1"/>
                <w:color w:val="auto"/>
              </w:rPr>
              <w:t>Tropicana</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439"/>
              <w:spacing w:after="0"/>
              <w:rPr>
                <w:sz w:val="20"/>
                <w:szCs w:val="20"/>
                <w:color w:val="auto"/>
              </w:rPr>
            </w:pPr>
            <w:r>
              <w:rPr>
                <w:rFonts w:ascii="Arial" w:cs="Arial" w:eastAsia="Arial" w:hAnsi="Arial"/>
                <w:sz w:val="16"/>
                <w:szCs w:val="16"/>
                <w:b w:val="1"/>
                <w:bCs w:val="1"/>
                <w:color w:val="auto"/>
              </w:rPr>
              <w:t>ARI</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jc w:val="right"/>
              <w:ind w:right="59"/>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4,103</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4,257</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gain on investment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Interest and dividend income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income (loss), net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4,113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4,825</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3,579</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expenses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Restructuring,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3,945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4,550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before income tax expense</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w w:val="95"/>
              </w:rPr>
              <w:t>Less: income from discontinued operations attributable to non-controlling interests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attributable to Icahn Enterprises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5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For the three months ended June 30, 2019, we recorded an income tax expense of $8 million on pre-tax loss from continuing operations of $565 million compared to an income tax benefit of $16 million on pre-tax income from continuing operations of $394 million for the three months ended June 30, 2018. Our effective income tax rate was (1.4)% and (4.1)% for the three months ended June 30, 2019 and 2018, respectively.</w:t>
      </w:r>
    </w:p>
    <w:p>
      <w:pPr>
        <w:spacing w:after="0" w:line="5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For the three months ended June 30, 2019, the effective tax rate was lower than the statutory federal rate of 21%, primarily due to partnership loss for which there was no tax benefit, as such loss is allocated to the partners.</w:t>
      </w:r>
    </w:p>
    <w:p>
      <w:pPr>
        <w:spacing w:after="0" w:line="62"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For the three months ended June 30, 2018, the effective tax rate was lower than the statutory federal rate of 21%, primarily due to partnership income for which there was no tax expense, as such income is allocated to the partners, and favorable permanent tax adjustment, including estimated deductions related to internal reorganization of certain corporate entities within the American Entertainment Properties Corp. consolidated group.</w:t>
      </w:r>
    </w:p>
    <w:p>
      <w:pPr>
        <w:spacing w:after="0" w:line="39"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For the six months ended June 30, 2019, we recorded an income tax expense of $14 million on pre-tax loss from continuing operations of $1,223 million compared to an income tax expense of $1 million on pre-tax income from continuing operations of $778 million for the six months ended June 30, 2018. Our effective income tax rate was (1.1)% and 0.1% for the six months ended June 30, 2019 and 2018, respectively.</w:t>
      </w:r>
    </w:p>
    <w:p>
      <w:pPr>
        <w:spacing w:after="0" w:line="5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For the six months ended June 30, 2019, the effective tax rate was lower than the statutory federal rate of 21%, primarily due to partnership loss for which there was no tax benefit, as such loss is allocated to the partners.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For the six months ended June 30, 2018, the effective tax rate was lower than the statutory federal rate of 21%, primarily due to partnership income for which there was no tax expense, as such income is allocated to the partners, and favorable permanent tax adjustments, including estimated deductions related to internal reorganization of certain corporate entities within the American Entertainment Properties Corp. consolidated group.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Translation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Adjustments, Net of</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Post-Retirement</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Tax</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Benefits,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6"/>
              </w:rPr>
              <w:t>Other comprehensive loss before reclassifications, net of tax</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3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4"/>
              </w:rPr>
              <w:t>Reclassifications from accumulated other comprehensive loss to earnings, net of tax</w:t>
            </w:r>
          </w:p>
        </w:tc>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Elimination of stranded tax effects resulting from tax legislation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June 30, 2019</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16. Other Income, Net.</w:t>
            </w: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ind w:left="420"/>
              <w:spacing w:after="0"/>
              <w:rPr>
                <w:sz w:val="20"/>
                <w:szCs w:val="20"/>
                <w:color w:val="auto"/>
              </w:rPr>
            </w:pPr>
            <w:r>
              <w:rPr>
                <w:rFonts w:ascii="Arial" w:cs="Arial" w:eastAsia="Arial" w:hAnsi="Arial"/>
                <w:sz w:val="18"/>
                <w:szCs w:val="18"/>
                <w:color w:val="auto"/>
              </w:rPr>
              <w:t>Other income, net consists of the following:</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4"/>
          </w:tcPr>
          <w:p>
            <w:pPr>
              <w:ind w:left="200"/>
              <w:spacing w:after="0"/>
              <w:rPr>
                <w:sz w:val="20"/>
                <w:szCs w:val="20"/>
                <w:color w:val="auto"/>
              </w:rPr>
            </w:pPr>
            <w:r>
              <w:rPr>
                <w:rFonts w:ascii="Arial" w:cs="Arial" w:eastAsia="Arial" w:hAnsi="Arial"/>
                <w:sz w:val="18"/>
                <w:szCs w:val="18"/>
                <w:b w:val="1"/>
                <w:bCs w:val="1"/>
                <w:color w:val="auto"/>
                <w:w w:val="95"/>
              </w:rPr>
              <w:t>Three Months Ended June 30,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26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9"/>
              </w:rPr>
              <w:t>2018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160" w:type="dxa"/>
            <w:vAlign w:val="bottom"/>
            <w:gridSpan w:val="5"/>
          </w:tcPr>
          <w:p>
            <w:pPr>
              <w:ind w:left="6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(loss) on disposition of assets, net</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0"/>
              </w:rPr>
              <w:t>Non-service pension and other post-retirement benefits expense</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$36 million and $37 million as of June 30, 2019 and December 31, 2018, respectively, primarily within our Metals and Energy segments and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6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August 21, 2018, CVR Refining received a letter from the United States Department of Justice (the “DOJ”) on behalf of the Environmental Protection Agency (the "EPA") and Kansas Department of Health and Environment (“KDHE”) alleging violations of the Clean Air Act and a 2012 Consent Decree between CVR Refining, the United States (on behalf of the EPA) and KDHE at CVR Energy's Coffeyville refinery. In September 2018, CVR Refining executed a tolling agreement with the DOJ and KDHE extending time for negotiation regarding the agencies’ allegations through March 2019, which was extended in</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37" w:right="23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March 2019 through November 30, 2019. At this time CVR Energy cannot reasonably estimate the potential penalties, costs, fines or other expenditures that may result from this matter or any subsequent enforcement or litigation relating thereto and, therefore, CVR Energy cannot determine if the ultimate outcome of this matter will have a material impact on its financial position, results of operations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CVR Refining is subject to the Renewable Fuel Standard ("RFS") of the EPA which requires refiners to either blend "renewable fuels" in with their transportation fuels or purchase renewable fuel credits, known as renewable identification numbers (“RINs”), in lieu of blending. CVR Refining is not able to blend the substantial majority of its transportation fuels and has to purchase RINs on the open market, as well as waiver credits for cellulosic biofuels from the EPA, in order to comply with the RFS.</w:t>
      </w:r>
    </w:p>
    <w:p>
      <w:pPr>
        <w:spacing w:after="0" w:line="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net cost of RINs for the three months ended June 30, 2019 and 2018 was $21 million and $50 million, respectively and $33 million and $27 million for the six months ended June 30, 2019 and 2018, respectively, which is included in cost of goods sold in the condensed consolidated statements of operations. Our Energy segment's cost to comply with the RFS includes the purchased cost of RINs, the impact of recognizing CVR Refining's uncommitted biofuel blending obligation at fair value based on market prices at each reporting date and is reduced by the valuation change of RINs purchases in excess of CVR Refining's RFS obligation as of the reporting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CVR Energy, CVR Refining and its general partner, Icahn Enterprises and certain other affiliates and individuals have each been named in nine lawsuits filed in the Court of Chancery of the State of Delaware by purported former unitholders of CVR Refining, on behalf of themselves and an alleged class of similarly situated unitholders (the “Call Option Lawsuits”). The Call Option Lawsuits primarily allege breach of contract, tortious interference and breach of the implied covenant of good faith and fair dealing and seek monetary damages and attorneys’ fees, among other remedies, relating to CVR Energy's exercise of the call option under the CVR Refining Amended and Restated Agreement of Limited Partnership assigned to it by CVR Refining’s general partner. The Call Option Lawsuits have been consolidated in the Chancery Court and are in the earliest stages of litigation. CVR Energy believes the Call Option Lawsuits are without merit and intends to vigorously defend against them.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Obligations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92.0% of Icahn Enterprises' outstanding depositary units as of June 30, 2019.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70"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ACF. All the minimum funding requirements of the Internal Revenue Code, as amended, and the Employee Retirement Income Security Act of 1974, as amended, for the ACF plans have been met as of June 30, 2019. If the plans were voluntarily terminated, they would be underfunded by approximately $61 million as of June 30, 2019. These results are based on the most recent information provided by the plans’ actuary. These liabilities could increase or decrease, depending on a number of factors, including future changes in benefits, investment returns, and the assumptions used to calculate the liability. As members of the controlled group, we would be liable for any failure of ACF to make ongoing pension contributions or to pay the unfunded liabilities upon a termination of the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The current underfunded status of the ACF pension plans requires them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President.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 us or Mr. Icahn with respect to either of the foregoing inquiries. We maintain a strong compliance program and, while no assurances can be made, we do not believe these inquiries will have a material impact on our business, financial condition, results of operations or cash flows.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18. Supplemental Cash Flow Information.</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Arial" w:cs="Arial" w:eastAsia="Arial" w:hAnsi="Arial"/>
                <w:sz w:val="18"/>
                <w:szCs w:val="18"/>
                <w:color w:val="auto"/>
              </w:rPr>
              <w:t>Supplemental cash flow information from continuing operations consists of the following:</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820" w:type="dxa"/>
            <w:vAlign w:val="bottom"/>
            <w:gridSpan w:val="3"/>
          </w:tcPr>
          <w:p>
            <w:pPr>
              <w:ind w:left="600"/>
              <w:spacing w:after="0"/>
              <w:rPr>
                <w:sz w:val="20"/>
                <w:szCs w:val="20"/>
                <w:color w:val="auto"/>
              </w:rPr>
            </w:pPr>
            <w:r>
              <w:rPr>
                <w:rFonts w:ascii="Arial" w:cs="Arial" w:eastAsia="Arial" w:hAnsi="Arial"/>
                <w:sz w:val="18"/>
                <w:szCs w:val="18"/>
                <w:b w:val="1"/>
                <w:bCs w:val="1"/>
                <w:color w:val="auto"/>
                <w:w w:val="94"/>
              </w:rPr>
              <w:t>Six Months Ended June 30,</w:t>
            </w:r>
          </w:p>
        </w:tc>
        <w:tc>
          <w:tcPr>
            <w:tcW w:w="48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00" w:type="dxa"/>
            <w:vAlign w:val="bottom"/>
          </w:tcPr>
          <w:p>
            <w:pPr>
              <w:ind w:left="62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20" w:type="dxa"/>
            <w:vAlign w:val="bottom"/>
            <w:gridSpan w:val="2"/>
          </w:tcPr>
          <w:p>
            <w:pPr>
              <w:jc w:val="right"/>
              <w:ind w:right="71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interest, net of amounts capitalized</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w:t>
            </w:r>
          </w:p>
        </w:tc>
        <w:tc>
          <w:tcPr>
            <w:tcW w:w="12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payments (receipts) for income taxes, net of refunds</w:t>
            </w:r>
          </w:p>
        </w:tc>
        <w:tc>
          <w:tcPr>
            <w:tcW w:w="1100" w:type="dxa"/>
            <w:vAlign w:val="bottom"/>
          </w:tcPr>
          <w:p>
            <w:pPr>
              <w:spacing w:after="0"/>
              <w:rPr>
                <w:sz w:val="21"/>
                <w:szCs w:val="21"/>
                <w:color w:val="auto"/>
              </w:rPr>
            </w:pP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dividends and distributions to non-controlling interests in subsidiaries</w:t>
            </w: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LP Unit Distribution</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July 31, 2019, the Board of Directors of the general partner of Icahn Enterprises declared a quarterly distribution in the amount of $2.00 per depositary unit, which will be paid on or about September 18, 2019 to depositary unitholders of record at the close of business on August 13, 2019. Depositary unitholders will have until September 6, 2019 to make an election to receive either cash or additional depositary units; if a unitholder does not make an election, it will automatically be deemed to have elected to receive the distribution in cash. Depositary unitholders who elect to receive additional depositary units will receive units valued at the volume weighted average trading price of the units on NASDAQ during the 5 consecutive trading days ending September 13, 2019. No fractional depositary units will be issued pursuant to the distribution payment. Icahn Enterprises will make a cash payment in lieu of issuing fractional depositary units to any unitholders electing to receive depositary units. Any unitholders that would only be eligible to receive a fraction of a depositary unit based on the above calculation will receive a cash payment.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Senior Unsecured Notes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August 1, 2019, we repaid in full our 6.000% senior unsecured notes due 2020. See Note 10, “Debt,” for further discussion.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4" w:name="page45"/>
    <w:bookmarkEnd w:id="44"/>
    <w:p>
      <w:pPr>
        <w:jc w:val="center"/>
        <w:ind w:right="-29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August 1, 2019, we closed on the previously announced sale of Ferrous Resources. See Note 1, “Description of Business,”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240" w:top="337" w:right="5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June 30, 2019 (this "Report"), as well as our Annual Report on Form 10-K for the year ended December 31, 2018 filed with the Securities and Exchange Commission on March 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4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We are a diversified holding company owning subsidiaries currently engaged in the following continuing operating businesses: </w:t>
      </w:r>
      <w:r>
        <w:rPr>
          <w:rFonts w:ascii="Arial" w:cs="Arial" w:eastAsia="Arial" w:hAnsi="Arial"/>
          <w:sz w:val="18"/>
          <w:szCs w:val="18"/>
          <w:color w:val="231F20"/>
        </w:rPr>
        <w:t>Investment, Energy,</w:t>
      </w:r>
      <w:r>
        <w:rPr>
          <w:rFonts w:ascii="Arial" w:cs="Arial" w:eastAsia="Arial" w:hAnsi="Arial"/>
          <w:sz w:val="18"/>
          <w:szCs w:val="18"/>
          <w:color w:val="auto"/>
        </w:rPr>
        <w:t xml:space="preserve"> </w:t>
      </w:r>
      <w:r>
        <w:rPr>
          <w:rFonts w:ascii="Arial" w:cs="Arial" w:eastAsia="Arial" w:hAnsi="Arial"/>
          <w:sz w:val="18"/>
          <w:szCs w:val="18"/>
          <w:color w:val="231F20"/>
        </w:rPr>
        <w:t>Automotive, Food Packaging, Metals, Real Estate, Home Fashion and Mining</w:t>
      </w:r>
      <w:r>
        <w:rPr>
          <w:rFonts w:ascii="Arial" w:cs="Arial" w:eastAsia="Arial" w:hAnsi="Arial"/>
          <w:sz w:val="18"/>
          <w:szCs w:val="18"/>
          <w:color w:val="000000"/>
        </w:rPr>
        <w:t>. We also report the results of our Holding Company, which includes the results</w:t>
      </w:r>
      <w:r>
        <w:rPr>
          <w:rFonts w:ascii="Arial" w:cs="Arial" w:eastAsia="Arial" w:hAnsi="Arial"/>
          <w:sz w:val="18"/>
          <w:szCs w:val="18"/>
          <w:color w:val="231F20"/>
        </w:rPr>
        <w:t xml:space="preserve"> </w:t>
      </w:r>
      <w:r>
        <w:rPr>
          <w:rFonts w:ascii="Arial" w:cs="Arial" w:eastAsia="Arial" w:hAnsi="Arial"/>
          <w:sz w:val="18"/>
          <w:szCs w:val="18"/>
          <w:color w:val="000000"/>
        </w:rPr>
        <w:t>of certain subsidiaries of Icahn Enterprises and Icahn Enterprises Holdings (unless otherwise noted), and investment activity and expenses associated with our Holding Company. Our historical results also report the results of our Railcar segment through the date we sold our last remaining railcars on lease, which occurred in the third quarter of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117"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During the second quarter of 2019, we issued $1.250 billion in aggregate principal amount of 6.250% senior unsecured notes due 2026. Subsequent to June 30, 2019, the proceeds from these notes, plus cash on hand, were used to repay in full our 6.000% senior unsecured notes due 2020 and to pay accrued interest, related fees and expenses. In addition, during the second quarter of 2019, Icahn Enterprises announced the commencement of its "at-the-market" offering pursuant to its Open Market Sale Agreement, pursuant to which Icahn Enterprises may sell its depositary units, from time to time, for up to $400 million in aggregate sale proceeds. Refer to "Liquidity and Capital Resources," below for further discussion.</w:t>
      </w:r>
    </w:p>
    <w:p>
      <w:pPr>
        <w:spacing w:after="0" w:line="5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August 1, 2019, we closed on the previously announced sale of Ferrous Resources Ltd. (“Ferrous Resources”) for total consideration of $550 million (including repaid indebtedness).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364"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continuing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other revenues and expenses included in continuing operations as well as our results from discontinued operations. In addition to the summarized financial results below, refer to Note 12, "Segment Reporting," to the condensed consolidated financial statements for a reconciliation of each of our reporting segment's results of continuing operations to our consolidated results.</w:t>
      </w:r>
    </w:p>
    <w:p>
      <w:pPr>
        <w:spacing w:after="0" w:line="59"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comparability of our summarized consolidated financial results presented below is affected primarily by the performance of the Investment Funds (as defined below) and our Holding Company's realized and unrealized equity investment gains and losses. Refer to our respective segment discussions and "Other Consolidated Results of Operations," below for further discussion.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Net Income (Loss) From Continuing</w:t>
            </w: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Net Income (Loss) From Continuing</w:t>
            </w:r>
          </w:p>
        </w:tc>
        <w:tc>
          <w:tcPr>
            <w:tcW w:w="140" w:type="dxa"/>
            <w:vAlign w:val="bottom"/>
          </w:tcPr>
          <w:p>
            <w:pPr>
              <w:spacing w:after="0"/>
              <w:rPr>
                <w:sz w:val="18"/>
                <w:szCs w:val="18"/>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2"/>
              </w:rPr>
              <w:t>Operations Attributable to Icahn</w:t>
            </w:r>
          </w:p>
        </w:tc>
      </w:t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Revenues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3"/>
          </w:tcPr>
          <w:p>
            <w:pPr>
              <w:jc w:val="center"/>
              <w:ind w:left="811"/>
              <w:spacing w:after="0"/>
              <w:rPr>
                <w:sz w:val="20"/>
                <w:szCs w:val="20"/>
                <w:color w:val="auto"/>
              </w:rPr>
            </w:pPr>
            <w:r>
              <w:rPr>
                <w:rFonts w:ascii="Arial" w:cs="Arial" w:eastAsia="Arial" w:hAnsi="Arial"/>
                <w:sz w:val="18"/>
                <w:szCs w:val="18"/>
                <w:b w:val="1"/>
                <w:bCs w:val="1"/>
                <w:color w:val="auto"/>
                <w:w w:val="90"/>
              </w:rPr>
              <w:t>Operations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Enterprises</w:t>
            </w:r>
          </w:p>
        </w:tc>
        <w:tc>
          <w:tcPr>
            <w:tcW w:w="10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4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0"/>
                <w:szCs w:val="20"/>
                <w:color w:val="auto"/>
              </w:rPr>
            </w:pPr>
          </w:p>
        </w:tc>
        <w:tc>
          <w:tcPr>
            <w:tcW w:w="30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29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Three Months Ended June 30,</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1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1960" w:type="dxa"/>
            <w:vAlign w:val="bottom"/>
            <w:gridSpan w:val="5"/>
          </w:tcPr>
          <w:p>
            <w:pPr>
              <w:ind w:left="40"/>
              <w:spacing w:after="0"/>
              <w:rPr>
                <w:sz w:val="20"/>
                <w:szCs w:val="20"/>
                <w:color w:val="auto"/>
              </w:rPr>
            </w:pPr>
            <w:r>
              <w:rPr>
                <w:rFonts w:ascii="Arial" w:cs="Arial" w:eastAsia="Arial" w:hAnsi="Arial"/>
                <w:sz w:val="18"/>
                <w:szCs w:val="18"/>
                <w:color w:val="auto"/>
              </w:rPr>
              <w:t>Holding Company</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3"/>
        </w:trPr>
        <w:tc>
          <w:tcPr>
            <w:tcW w:w="196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Other Operating</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Segments:</w:t>
            </w: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1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1960" w:type="dxa"/>
            <w:vAlign w:val="bottom"/>
            <w:gridSpan w:val="5"/>
          </w:tcPr>
          <w:p>
            <w:pPr>
              <w:ind w:left="40"/>
              <w:spacing w:after="0"/>
              <w:rPr>
                <w:sz w:val="20"/>
                <w:szCs w:val="20"/>
                <w:color w:val="auto"/>
              </w:rPr>
            </w:pPr>
            <w:r>
              <w:rPr>
                <w:rFonts w:ascii="Arial" w:cs="Arial" w:eastAsia="Arial" w:hAnsi="Arial"/>
                <w:sz w:val="18"/>
                <w:szCs w:val="18"/>
                <w:color w:val="auto"/>
              </w:rPr>
              <w:t>Automotive</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960" w:type="dxa"/>
            <w:vAlign w:val="bottom"/>
            <w:gridSpan w:val="5"/>
          </w:tcPr>
          <w:p>
            <w:pPr>
              <w:ind w:left="40"/>
              <w:spacing w:after="0"/>
              <w:rPr>
                <w:sz w:val="20"/>
                <w:szCs w:val="20"/>
                <w:color w:val="auto"/>
              </w:rPr>
            </w:pPr>
            <w:r>
              <w:rPr>
                <w:rFonts w:ascii="Arial" w:cs="Arial" w:eastAsia="Arial" w:hAnsi="Arial"/>
                <w:sz w:val="18"/>
                <w:szCs w:val="18"/>
                <w:color w:val="auto"/>
              </w:rPr>
              <w:t>Metals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1960" w:type="dxa"/>
            <w:vAlign w:val="bottom"/>
            <w:gridSpan w:val="5"/>
          </w:tcPr>
          <w:p>
            <w:pPr>
              <w:ind w:left="40"/>
              <w:spacing w:after="0"/>
              <w:rPr>
                <w:sz w:val="20"/>
                <w:szCs w:val="20"/>
                <w:color w:val="auto"/>
              </w:rPr>
            </w:pPr>
            <w:r>
              <w:rPr>
                <w:rFonts w:ascii="Arial" w:cs="Arial" w:eastAsia="Arial" w:hAnsi="Arial"/>
                <w:sz w:val="18"/>
                <w:szCs w:val="18"/>
                <w:color w:val="auto"/>
              </w:rPr>
              <w:t>Home Fashion</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1960" w:type="dxa"/>
            <w:vAlign w:val="bottom"/>
            <w:gridSpan w:val="5"/>
          </w:tcPr>
          <w:p>
            <w:pPr>
              <w:ind w:left="40"/>
              <w:spacing w:after="0"/>
              <w:rPr>
                <w:sz w:val="20"/>
                <w:szCs w:val="20"/>
                <w:color w:val="auto"/>
              </w:rPr>
            </w:pPr>
            <w:r>
              <w:rPr>
                <w:rFonts w:ascii="Arial" w:cs="Arial" w:eastAsia="Arial" w:hAnsi="Arial"/>
                <w:sz w:val="18"/>
                <w:szCs w:val="18"/>
                <w:color w:val="auto"/>
              </w:rPr>
              <w:t>Railcar</w:t>
            </w:r>
          </w:p>
        </w:tc>
        <w:tc>
          <w:tcPr>
            <w:tcW w:w="96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1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1"/>
              </w:rPr>
              <w:t>Other operating segments</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2,776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1960" w:type="dxa"/>
            <w:vAlign w:val="bottom"/>
            <w:gridSpan w:val="5"/>
          </w:tcPr>
          <w:p>
            <w:pPr>
              <w:ind w:left="40"/>
              <w:spacing w:after="0"/>
              <w:rPr>
                <w:sz w:val="20"/>
                <w:szCs w:val="20"/>
                <w:color w:val="auto"/>
              </w:rPr>
            </w:pPr>
            <w:r>
              <w:rPr>
                <w:rFonts w:ascii="Arial" w:cs="Arial" w:eastAsia="Arial" w:hAnsi="Arial"/>
                <w:sz w:val="18"/>
                <w:szCs w:val="18"/>
                <w:color w:val="auto"/>
              </w:rPr>
              <w:t>Consolidated</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2,196</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79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Net Income (Loss) From Continuing</w:t>
            </w: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Net Income (Loss) From Continuing</w:t>
            </w:r>
          </w:p>
        </w:tc>
        <w:tc>
          <w:tcPr>
            <w:tcW w:w="140" w:type="dxa"/>
            <w:vAlign w:val="bottom"/>
          </w:tcPr>
          <w:p>
            <w:pPr>
              <w:spacing w:after="0"/>
              <w:rPr>
                <w:sz w:val="18"/>
                <w:szCs w:val="18"/>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2"/>
              </w:rPr>
              <w:t>Operations Attributable to Icahn</w:t>
            </w:r>
          </w:p>
        </w:tc>
      </w:t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Revenues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3"/>
          </w:tcPr>
          <w:p>
            <w:pPr>
              <w:jc w:val="center"/>
              <w:ind w:left="811"/>
              <w:spacing w:after="0"/>
              <w:rPr>
                <w:sz w:val="20"/>
                <w:szCs w:val="20"/>
                <w:color w:val="auto"/>
              </w:rPr>
            </w:pPr>
            <w:r>
              <w:rPr>
                <w:rFonts w:ascii="Arial" w:cs="Arial" w:eastAsia="Arial" w:hAnsi="Arial"/>
                <w:sz w:val="18"/>
                <w:szCs w:val="18"/>
                <w:b w:val="1"/>
                <w:bCs w:val="1"/>
                <w:color w:val="auto"/>
                <w:w w:val="90"/>
              </w:rPr>
              <w:t>Operations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Enterprises</w:t>
            </w:r>
          </w:p>
        </w:tc>
        <w:tc>
          <w:tcPr>
            <w:tcW w:w="10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40" w:type="dxa"/>
            <w:vAlign w:val="bottom"/>
            <w:gridSpan w:val="6"/>
          </w:tcPr>
          <w:p>
            <w:pPr>
              <w:ind w:left="52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Pr>
          <w:p>
            <w:pPr>
              <w:spacing w:after="0"/>
              <w:rPr>
                <w:sz w:val="20"/>
                <w:szCs w:val="20"/>
                <w:color w:val="auto"/>
              </w:rPr>
            </w:pPr>
          </w:p>
        </w:tc>
        <w:tc>
          <w:tcPr>
            <w:tcW w:w="30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Six Months Ended June 30,</w:t>
            </w:r>
          </w:p>
        </w:tc>
        <w:tc>
          <w:tcPr>
            <w:tcW w:w="140" w:type="dxa"/>
            <w:vAlign w:val="bottom"/>
          </w:tcPr>
          <w:p>
            <w:pPr>
              <w:spacing w:after="0"/>
              <w:rPr>
                <w:sz w:val="20"/>
                <w:szCs w:val="20"/>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1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43"/>
        </w:trPr>
        <w:tc>
          <w:tcPr>
            <w:tcW w:w="1960" w:type="dxa"/>
            <w:vAlign w:val="bottom"/>
            <w:gridSpan w:val="5"/>
          </w:tcPr>
          <w:p>
            <w:pPr>
              <w:ind w:left="40"/>
              <w:spacing w:after="0"/>
              <w:rPr>
                <w:sz w:val="20"/>
                <w:szCs w:val="20"/>
                <w:color w:val="auto"/>
              </w:rPr>
            </w:pPr>
            <w:r>
              <w:rPr>
                <w:rFonts w:ascii="Arial" w:cs="Arial" w:eastAsia="Arial" w:hAnsi="Arial"/>
                <w:sz w:val="18"/>
                <w:szCs w:val="18"/>
                <w:color w:val="auto"/>
              </w:rPr>
              <w:t>Holding Company</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3"/>
        </w:trPr>
        <w:tc>
          <w:tcPr>
            <w:tcW w:w="196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Other Operating</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Segments:</w:t>
            </w: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1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3,187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1960" w:type="dxa"/>
            <w:vAlign w:val="bottom"/>
            <w:gridSpan w:val="5"/>
          </w:tcPr>
          <w:p>
            <w:pPr>
              <w:ind w:left="40"/>
              <w:spacing w:after="0"/>
              <w:rPr>
                <w:sz w:val="20"/>
                <w:szCs w:val="20"/>
                <w:color w:val="auto"/>
              </w:rPr>
            </w:pPr>
            <w:r>
              <w:rPr>
                <w:rFonts w:ascii="Arial" w:cs="Arial" w:eastAsia="Arial" w:hAnsi="Arial"/>
                <w:sz w:val="18"/>
                <w:szCs w:val="18"/>
                <w:color w:val="auto"/>
              </w:rPr>
              <w:t>Automotive</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1,442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960" w:type="dxa"/>
            <w:vAlign w:val="bottom"/>
            <w:gridSpan w:val="5"/>
          </w:tcPr>
          <w:p>
            <w:pPr>
              <w:ind w:left="40"/>
              <w:spacing w:after="0"/>
              <w:rPr>
                <w:sz w:val="20"/>
                <w:szCs w:val="20"/>
                <w:color w:val="auto"/>
              </w:rPr>
            </w:pPr>
            <w:r>
              <w:rPr>
                <w:rFonts w:ascii="Arial" w:cs="Arial" w:eastAsia="Arial" w:hAnsi="Arial"/>
                <w:sz w:val="18"/>
                <w:szCs w:val="18"/>
                <w:color w:val="auto"/>
              </w:rPr>
              <w:t>Metals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1960" w:type="dxa"/>
            <w:vAlign w:val="bottom"/>
            <w:gridSpan w:val="5"/>
          </w:tcPr>
          <w:p>
            <w:pPr>
              <w:ind w:left="40"/>
              <w:spacing w:after="0"/>
              <w:rPr>
                <w:sz w:val="20"/>
                <w:szCs w:val="20"/>
                <w:color w:val="auto"/>
              </w:rPr>
            </w:pPr>
            <w:r>
              <w:rPr>
                <w:rFonts w:ascii="Arial" w:cs="Arial" w:eastAsia="Arial" w:hAnsi="Arial"/>
                <w:sz w:val="18"/>
                <w:szCs w:val="18"/>
                <w:color w:val="auto"/>
              </w:rPr>
              <w:t>Home Fashion</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960" w:type="dxa"/>
            <w:vAlign w:val="bottom"/>
            <w:gridSpan w:val="5"/>
          </w:tcPr>
          <w:p>
            <w:pPr>
              <w:ind w:left="40"/>
              <w:spacing w:after="0"/>
              <w:rPr>
                <w:sz w:val="20"/>
                <w:szCs w:val="20"/>
                <w:color w:val="auto"/>
              </w:rPr>
            </w:pPr>
            <w:r>
              <w:rPr>
                <w:rFonts w:ascii="Arial" w:cs="Arial" w:eastAsia="Arial" w:hAnsi="Arial"/>
                <w:sz w:val="18"/>
                <w:szCs w:val="18"/>
                <w:color w:val="auto"/>
              </w:rPr>
              <w:t>Railcar</w:t>
            </w:r>
          </w:p>
        </w:tc>
        <w:tc>
          <w:tcPr>
            <w:tcW w:w="96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1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1"/>
              </w:rPr>
              <w:t>Other operating segments</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5,243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57"/>
        </w:trPr>
        <w:tc>
          <w:tcPr>
            <w:tcW w:w="1960" w:type="dxa"/>
            <w:vAlign w:val="bottom"/>
            <w:gridSpan w:val="5"/>
          </w:tcPr>
          <w:p>
            <w:pPr>
              <w:ind w:left="40"/>
              <w:spacing w:after="0"/>
              <w:rPr>
                <w:sz w:val="20"/>
                <w:szCs w:val="20"/>
                <w:color w:val="auto"/>
              </w:rPr>
            </w:pPr>
            <w:r>
              <w:rPr>
                <w:rFonts w:ascii="Arial" w:cs="Arial" w:eastAsia="Arial" w:hAnsi="Arial"/>
                <w:sz w:val="18"/>
                <w:szCs w:val="18"/>
                <w:color w:val="auto"/>
              </w:rPr>
              <w:t>Consolidated</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4,051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6,406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invest our proprietary capital through various private investment funds ("Investment Funds"). As of June 30, 2019 and December 31, 2018, we had investments with a fair market value of approximately $4.6 billion and $5.1 billion, respectively, in the Investment Funds. As of June 30, 2019 and December 31, 2018, the total fair market value of investments in the Investment Funds made by Mr. Icahn and his affiliates (excluding us) was approximately $4.7 billion and $5.0 billion, respectively.</w:t>
      </w:r>
    </w:p>
    <w:p>
      <w:pPr>
        <w:spacing w:after="0" w:line="79"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Our Investment segment's results of operations are reflected in net income (loss)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June 30, 2019.</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26" w:right="239" w:bottom="1440" w:gutter="0" w:footer="0" w:header="0"/>
        </w:sectPr>
      </w:pPr>
    </w:p>
    <w:bookmarkStart w:id="48" w:name="page49"/>
    <w:bookmarkEnd w:id="48"/>
    <w:p>
      <w:pPr>
        <w:jc w:val="both"/>
        <w:ind w:right="280" w:firstLine="378"/>
        <w:spacing w:after="0" w:line="312" w:lineRule="auto"/>
        <w:rPr>
          <w:sz w:val="20"/>
          <w:szCs w:val="20"/>
          <w:color w:val="auto"/>
        </w:rPr>
      </w:pPr>
      <w:r>
        <w:rPr>
          <w:rFonts w:ascii="Arial" w:cs="Arial" w:eastAsia="Arial" w:hAnsi="Arial"/>
          <w:sz w:val="16"/>
          <w:szCs w:val="16"/>
          <w:color w:val="auto"/>
        </w:rPr>
        <w:t>For the three months ended June 30, 2019 and 2018, our Investment Funds' returns were (3.1)% and 4.9%, respectively, and for the six months ended June 30, 2019 and 2018, our Investment Funds' returns were (8.8)% and 10.5%, respectively. Our Investment Funds' returns represent a weighted-average composite of the average returns, net of expenses. The following table sets forth the performance attribution for the Investment Funds' returns.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9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Three Months Ended June 30,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8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7"/>
        </w:trPr>
        <w:tc>
          <w:tcPr>
            <w:tcW w:w="44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6.5 %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Short positions</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0.1 %</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44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4.9 %</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4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net (loss) income for our Investment segment for the three and six months ended June 30, 2019 and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37"/>
        </w:trPr>
        <w:tc>
          <w:tcPr>
            <w:tcW w:w="47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798</w:t>
            </w: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2019 and 2018</w:t>
      </w:r>
    </w:p>
    <w:p>
      <w:pPr>
        <w:spacing w:after="0" w:line="117" w:lineRule="exact"/>
        <w:rPr>
          <w:sz w:val="20"/>
          <w:szCs w:val="20"/>
          <w:color w:val="auto"/>
        </w:rPr>
      </w:pPr>
    </w:p>
    <w:p>
      <w:pPr>
        <w:ind w:right="100" w:firstLine="378"/>
        <w:spacing w:after="0" w:line="255" w:lineRule="auto"/>
        <w:rPr>
          <w:sz w:val="20"/>
          <w:szCs w:val="20"/>
          <w:color w:val="auto"/>
        </w:rPr>
      </w:pPr>
      <w:r>
        <w:rPr>
          <w:rFonts w:ascii="Arial" w:cs="Arial" w:eastAsia="Arial" w:hAnsi="Arial"/>
          <w:sz w:val="18"/>
          <w:szCs w:val="18"/>
          <w:color w:val="auto"/>
        </w:rPr>
        <w:t>For the three months ended June 30, 2019, the Investment Funds' negative performance was driven by net losses in their short positions offset in part by net gains in their long positions. The negative performance of our Investment segment's short positions was driven by the negative performance of broad market hedges of $476 million and the aggregate performance of short positions with net losses across various sectors. The positive performance of our Investment segment's long positions was driven by gains from a consumer, cyclical sector investment of $472 million offset in part by losses from a consumer, non-cyclical sector investment with a loss of $288 million and the aggregate performance of investments with net losses across various other sectors.</w:t>
      </w:r>
    </w:p>
    <w:p>
      <w:pPr>
        <w:spacing w:after="0" w:line="85"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For the three months ended June 30, 2018, the Investment Funds' positive performance was driven by net gains in their long positions, offset in part by net losses in their short positions. The positive performance of our Investment segment's long positions was driven by gains from an energy sector investment and a consumer, non-cyclical sector investment of $478 million offset in part by losses from a consumer non-cyclical sector investment of $106 million. The aggregate performance of investments with net gains across various other sectors accounted for the additional positive performance of our Investment segment's long positions. Losses in short positions were attributable to the negative performance of broad market hedges of $167 million offset in part by the performance of short positions with net gains across various other sectors.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2019 and 2018</w:t>
      </w:r>
    </w:p>
    <w:p>
      <w:pPr>
        <w:spacing w:after="0" w:line="117" w:lineRule="exact"/>
        <w:rPr>
          <w:sz w:val="20"/>
          <w:szCs w:val="20"/>
          <w:color w:val="auto"/>
        </w:rPr>
      </w:pPr>
    </w:p>
    <w:p>
      <w:pPr>
        <w:ind w:right="80" w:firstLine="378"/>
        <w:spacing w:after="0" w:line="272" w:lineRule="auto"/>
        <w:rPr>
          <w:sz w:val="20"/>
          <w:szCs w:val="20"/>
          <w:color w:val="auto"/>
        </w:rPr>
      </w:pPr>
      <w:r>
        <w:rPr>
          <w:rFonts w:ascii="Arial" w:cs="Arial" w:eastAsia="Arial" w:hAnsi="Arial"/>
          <w:sz w:val="17"/>
          <w:szCs w:val="17"/>
          <w:color w:val="auto"/>
        </w:rPr>
        <w:t>For the six months ended June 30, 2019, the Investment Funds' negative performance was driven by net losses in their short positions offset in part by net gains in their long positions. The negative performance of our Investment segment's short positions was driven by the negative performance of broad market hedges of approximately $1.7 billion and the aggregate performance of short positions with net losses across various sectors. The positive performance of our Investment segment's long positions was driven by gains from two consumer, cyclical sector investments, a technology sector investment and an energy sector investment with gains aggregating approximately $1.1 billion. The aggregate performance of investments with net gains across various other sectors accounted for an additional positive performance of our Investment segment's long positions. The positive performance of long positions was offset in part by losses from a consumer, non-cyclical sector investment with a loss of $456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76" w:right="239" w:bottom="1440" w:gutter="0" w:footer="0" w:header="0"/>
        </w:sectPr>
      </w:pPr>
    </w:p>
    <w:bookmarkStart w:id="49" w:name="page50"/>
    <w:bookmarkEnd w:id="49"/>
    <w:p>
      <w:pPr>
        <w:ind w:right="40" w:firstLine="378"/>
        <w:spacing w:after="0" w:line="259" w:lineRule="auto"/>
        <w:rPr>
          <w:sz w:val="20"/>
          <w:szCs w:val="20"/>
          <w:color w:val="auto"/>
        </w:rPr>
      </w:pPr>
      <w:r>
        <w:rPr>
          <w:rFonts w:ascii="Arial" w:cs="Arial" w:eastAsia="Arial" w:hAnsi="Arial"/>
          <w:sz w:val="18"/>
          <w:szCs w:val="18"/>
          <w:color w:val="auto"/>
        </w:rPr>
        <w:t>For the six months ended June 30, 2018, the Investment Funds' positive performance was driven by net gains in their long positions. The positive performance of our Investment segment's long positions was driven by gains from an energy sector investment and a consumer, non-cyclical sector investment aggregating approximately $1.0 billion, offset in part by losses from a consumer, non-cyclical sector investment of $158 million and the aggregate performance of investments with net losses across various other sectors.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71"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Our Energy segment is primarily engaged in the petroleum refining and nitrogen fertilizer manufacturing businesses. The petroleum business accounted for approximately 93% and 95% of our Energy segment's net sales for the six months ended June 30, 2019 and 2018, respectively.</w:t>
      </w:r>
    </w:p>
    <w:p>
      <w:pPr>
        <w:spacing w:after="0" w:line="38" w:lineRule="exact"/>
        <w:rPr>
          <w:sz w:val="20"/>
          <w:szCs w:val="20"/>
          <w:color w:val="auto"/>
        </w:rPr>
      </w:pPr>
    </w:p>
    <w:p>
      <w:pPr>
        <w:ind w:right="60" w:firstLine="378"/>
        <w:spacing w:after="0" w:line="253" w:lineRule="auto"/>
        <w:rPr>
          <w:sz w:val="20"/>
          <w:szCs w:val="20"/>
          <w:color w:val="auto"/>
        </w:rPr>
      </w:pPr>
      <w:r>
        <w:rPr>
          <w:rFonts w:ascii="Arial" w:cs="Arial" w:eastAsia="Arial" w:hAnsi="Arial"/>
          <w:sz w:val="18"/>
          <w:szCs w:val="18"/>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89" w:lineRule="exact"/>
        <w:rPr>
          <w:sz w:val="20"/>
          <w:szCs w:val="20"/>
          <w:color w:val="auto"/>
        </w:rPr>
      </w:pPr>
    </w:p>
    <w:p>
      <w:pPr>
        <w:ind w:right="60" w:firstLine="378"/>
        <w:spacing w:after="0" w:line="253" w:lineRule="auto"/>
        <w:rPr>
          <w:sz w:val="20"/>
          <w:szCs w:val="20"/>
          <w:color w:val="auto"/>
        </w:rPr>
      </w:pPr>
      <w:r>
        <w:rPr>
          <w:rFonts w:ascii="Arial" w:cs="Arial" w:eastAsia="Arial" w:hAnsi="Arial"/>
          <w:sz w:val="18"/>
          <w:szCs w:val="18"/>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it to either blend “renewable fuels” in with its transportation fuels or purchase renewable fuel credits, known as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17, "Commitments and Contingencies," to the condensed consolidated financial statements for further discussion of RINs.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2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1,687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1,486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3,163</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2019 and 2018</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Net sales for our Energy segment decreased by $227 million (12%) for the three months ended June 30, 2019 as compared to the comparable prior year period, primarily due to a decrease in our petroleum business' net sales offset in part by an increase in our nitrogen fertilizer business' net sales. Our petroleum business' net sales decreased $272 million due to a decrease in sales of distillates as well as a decrease in gasoline sales, with higher volumes more than offset by unfavorable pricing conditions. Our nitrogen fertilizer business' net sales increased $45 million primarily due to an increase in UAN and ammonia sales due to favorable volume and pricing conditions.</w:t>
      </w:r>
    </w:p>
    <w:p>
      <w:pPr>
        <w:spacing w:after="0" w:line="80" w:lineRule="exact"/>
        <w:rPr>
          <w:sz w:val="20"/>
          <w:szCs w:val="20"/>
          <w:color w:val="auto"/>
        </w:rPr>
      </w:pPr>
    </w:p>
    <w:p>
      <w:pPr>
        <w:ind w:right="140" w:firstLine="378"/>
        <w:spacing w:after="0" w:line="297" w:lineRule="auto"/>
        <w:rPr>
          <w:sz w:val="20"/>
          <w:szCs w:val="20"/>
          <w:color w:val="auto"/>
        </w:rPr>
      </w:pPr>
      <w:r>
        <w:rPr>
          <w:rFonts w:ascii="Arial" w:cs="Arial" w:eastAsia="Arial" w:hAnsi="Arial"/>
          <w:sz w:val="16"/>
          <w:szCs w:val="16"/>
          <w:color w:val="auto"/>
        </w:rPr>
        <w:t>Cost of goods sold for our Energy segment decreased by $292 million (16%) for the three months ended June 30, 2019 as compared to the comparable prior year period. The decrease was primarily due to our petroleum business as a result of lower cost of consumed crude oil due to a decrease in crude oil prices and a decrease in the net cost of RINs, offset in part by lower derivative gains. Gross margin for our Energy segment increased by $65 million for the three months ended June 30, 2019 as compared to the comparable prior year period. Gross margin as a percentage of net sales was 12% and 7% for the three months ended June 30, 2019 and 2018, respectively. The increase in the gross margin as a percentage of net sales for our petroleum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76" w:right="239" w:bottom="1440" w:gutter="0" w:footer="0" w:header="0"/>
        </w:sectPr>
      </w:pPr>
    </w:p>
    <w:bookmarkStart w:id="50" w:name="page51"/>
    <w:bookmarkEnd w:id="50"/>
    <w:p>
      <w:pPr>
        <w:jc w:val="both"/>
        <w:ind w:right="40"/>
        <w:spacing w:after="0" w:line="264" w:lineRule="auto"/>
        <w:rPr>
          <w:sz w:val="20"/>
          <w:szCs w:val="20"/>
          <w:color w:val="auto"/>
        </w:rPr>
      </w:pPr>
      <w:r>
        <w:rPr>
          <w:rFonts w:ascii="Arial" w:cs="Arial" w:eastAsia="Arial" w:hAnsi="Arial"/>
          <w:sz w:val="18"/>
          <w:szCs w:val="18"/>
          <w:color w:val="auto"/>
        </w:rPr>
        <w:t>business was primarily due to an increase in volumes with higher crack spreads and a decrease in the net cost of RINs, offset in part by lower derivative gains over the comparable periods. The increase in the gross margin as a percentage of net sales for our nitrogen fertilizer business was due to improved pricing for UAN and ammonia.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2019 and 2018</w:t>
      </w:r>
    </w:p>
    <w:p>
      <w:pPr>
        <w:spacing w:after="0" w:line="117"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Net sales for our Energy segment decreased by $278 million (8%) for the six months ended June 30, 2019 as compared to the comparable prior year period, primarily due to a decrease in our petroleum business' net sales offset in part by an increase in our nitrogen fertilizer business' net sales. Our petroleum business' net sales decreased $335 million due to a decrease in sales of distillates as well as a decrease in gasoline sales, with higher volumes more than offset by unfavorable pricing conditions. Our nitrogen fertilizer business' net sales increased $57 million primarily due to an increase in UAN and ammonia sales due to an increase in UAN and ammonia sales due to favorable pricing and volume conditions.</w:t>
      </w:r>
    </w:p>
    <w:p>
      <w:pPr>
        <w:spacing w:after="0" w:line="64" w:lineRule="exact"/>
        <w:rPr>
          <w:sz w:val="20"/>
          <w:szCs w:val="20"/>
          <w:color w:val="auto"/>
        </w:rPr>
      </w:pPr>
    </w:p>
    <w:p>
      <w:pPr>
        <w:ind w:right="100" w:firstLine="378"/>
        <w:spacing w:after="0" w:line="254" w:lineRule="auto"/>
        <w:rPr>
          <w:sz w:val="20"/>
          <w:szCs w:val="20"/>
          <w:color w:val="auto"/>
        </w:rPr>
      </w:pPr>
      <w:r>
        <w:rPr>
          <w:rFonts w:ascii="Arial" w:cs="Arial" w:eastAsia="Arial" w:hAnsi="Arial"/>
          <w:sz w:val="18"/>
          <w:szCs w:val="18"/>
          <w:color w:val="auto"/>
        </w:rPr>
        <w:t>Cost of goods sold for our Energy segment decreased by $374 million (12%) for the six months ended June 30, 2019 as compared to the comparable prior year period. The decrease was primarily due to our petroleum business as a result of lower cost of consumed crude oil due to a decrease in crude oil prices, offset in part by an increase in the net cost of RINs and lower derivative gains. Gross margin for our Energy segment increased by $96 million for the six months ended June 30, 2019 as compared to the comparable prior year period. Gross margin as a percentage of net sales was 12% and 8% for the six months ended June 30, 2019 and 2018, respectively. The increase in the gross margin as a percentage of net sales for our petroleum business was primarily due to due to an increase in volumes with higher crack spreads offset in part by an increase in the net cost of RINs and lower derivative gains over the comparable periods. The increase in the gross margin as a percentage of net sales for our nitrogen fertilizer business was due to improved pricing for UAN and ammonia.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Our Automotive segment's results of operations are generally driven by the distribution and installation of automotive aftermarket parts and are affected by the relative strength of automotive part replacement trends, among other factors. Acquisitions in recent years within our Automotive segment provided operating synergies, expanded our market presence, strengthened our parts distribution channel and enhanced our Automotive segment's ability to better service its customers. However, our automotive aftermarket parts business is in a highly competitive industry and is smaller than several of its competitors, who have greater financial resources and operational capabilities.</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Automotive segment is in the process of implementing a multi-year transformation plan, which includes the integration and restructuring of the operations of its businesses. The transformation plan includes streamlining Icahn Automotive's corporate and field support teams; facility closures, consolidations and conversions; inventory optimization actions; and the re-focusing of its automotive parts business on certain core markets. Costs to implement the transformation plan will include restructuring charges, which will be recorded when specific plans are approved and which may be significant. Our Automotive segment's priorities include:</w:t>
      </w:r>
    </w:p>
    <w:p>
      <w:pPr>
        <w:spacing w:after="0" w:line="26" w:lineRule="exact"/>
        <w:rPr>
          <w:sz w:val="20"/>
          <w:szCs w:val="20"/>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Positioning the service business to take advantage of opportunities in the do-it-for-me market and vehicle fleets;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certain high-volume core markets;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Exiting the automotive parts distribution business in certain low volume, non-core markets;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 digital initiatives that support revenue growth;</w:t>
      </w:r>
    </w:p>
    <w:p>
      <w:pPr>
        <w:spacing w:after="0" w:line="15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in customer experience initiatives such as enhanced customer loyalty programs and selective upgrades in facilities;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76" w:right="259" w:bottom="1440" w:gutter="0" w:footer="0" w:header="0"/>
        </w:sectPr>
      </w:pPr>
    </w:p>
    <w:bookmarkStart w:id="51" w:name="page52"/>
    <w:bookmarkEnd w:id="51"/>
    <w:p>
      <w:pPr>
        <w:ind w:right="100" w:firstLine="378"/>
        <w:spacing w:after="0" w:line="279" w:lineRule="auto"/>
        <w:rPr>
          <w:sz w:val="20"/>
          <w:szCs w:val="20"/>
          <w:color w:val="auto"/>
        </w:rPr>
      </w:pPr>
      <w:r>
        <w:rPr>
          <w:rFonts w:ascii="Arial" w:cs="Arial" w:eastAsia="Arial" w:hAnsi="Arial"/>
          <w:sz w:val="17"/>
          <w:szCs w:val="17"/>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and other revenue from operations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 and other expenses from operations</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w w:val="99"/>
              </w:rPr>
              <w:t>501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975</w:t>
            </w: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r>
      <w:tr>
        <w:trPr>
          <w:trHeight w:val="20"/>
        </w:trPr>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2019 and 2018</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Net sales and other revenue from operations for our Automotive segment for the three months ended June 30, 2019 increased by $7 million (1%) as compared to the comparable prior year period. The increase was attributable to an increase in automotive services revenues of $11 million (3%), including $7 million (2%) on an organic basis, due to growing do-it-for-me and fleet businesses, offset in part by a decrease in aftermarket parts sales of $4 million, primarily from store closures. On an organic basis, aftermarket parts sales increased $1 million over the comparable period as an increase in commercial sales of $13 million, driven by increases in Pep Boys commercial programs, was offset in part by a decrease in retail sales of $12 million.</w:t>
      </w:r>
    </w:p>
    <w:p>
      <w:pPr>
        <w:spacing w:after="0" w:line="50" w:lineRule="exact"/>
        <w:rPr>
          <w:sz w:val="20"/>
          <w:szCs w:val="20"/>
          <w:color w:val="auto"/>
        </w:rPr>
      </w:pPr>
    </w:p>
    <w:p>
      <w:pPr>
        <w:ind w:right="340" w:firstLine="405"/>
        <w:spacing w:after="0" w:line="293" w:lineRule="auto"/>
        <w:rPr>
          <w:sz w:val="20"/>
          <w:szCs w:val="20"/>
          <w:color w:val="auto"/>
        </w:rPr>
      </w:pPr>
      <w:r>
        <w:rPr>
          <w:rFonts w:ascii="Arial" w:cs="Arial" w:eastAsia="Arial" w:hAnsi="Arial"/>
          <w:sz w:val="16"/>
          <w:szCs w:val="16"/>
          <w:color w:val="auto"/>
        </w:rPr>
        <w:t>Cost of goods sold and other expenses from operations for the three months ended June 30, 2019 increased by $29 million (6%) as compared to the comparable prior year period. The increase was due to higher sales volumes as well as a reduction in vendor support funds. Gross margin on net sales and other revenue from operations for the three months ended June 30, 2019 decreased by $22 million (9%) as compared to the comparable prior year period. Gross margin as a percentage of net sales and other revenue from operations was 29% and 32% for the three months ended June 30, 2019 and 2018, respectively. Our Automotive segment has experienced some margin rate contraction for its services and parts businesses due to the reduction in vendor support funds and other unfavorable margin adjustments, including from a shift in aftermarket parts sales from retail to commercial, as described above.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2019 and 2018</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Net sales and other revenue from operations for our Automotive segment for the six months ended June 30, 2019 increased by $14 million (1%) as compared to the comparable prior year period. The increase was attributable to an increase in automotive services revenues of $21 million (3%), including $14 million (2%) on an organic basis, due to growing do-it-for-me and fleet businesses, offset in part by a decrease in aftermarket parts sales of $7 million, primarily from store closures. On an organic basis, aftermarket parts sales increased $2 million over the comparable period as an increase in commercial sales of $27 million, driven by increases in Pep Boys commercial programs, was offset in part by a decrease in retail sales of $25 million.</w:t>
      </w:r>
    </w:p>
    <w:p>
      <w:pPr>
        <w:spacing w:after="0" w:line="50"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Cost of goods sold and other expenses from operations for the six months ended June 30, 2019 increased by $49 million (5%) as compared to the comparable prior year period. The increase was due to higher sales volumes as well as a reduction in vendor support funds. Gross margin on net sales and other revenue from operations for the six months ended June 30, 2019 decreased by $35 million (8%) as compared to the comparable prior year period. Gross margin as a percentage of net sales and automotive services labor revenues was 29% and 31% for the six months ended June 30, 2019 and 2018, respectively. Our Automotive segment has experienced some margin rate contraction for its services and parts businesses due to the reduction in vendor support funds and other unfavorable margin adjustments, including from a shift in aftermarket parts sales from retail to commercial, as described above.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2019 and 2018</w:t>
      </w:r>
    </w:p>
    <w:p>
      <w:pPr>
        <w:spacing w:after="0" w:line="11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Net sales for the three months ended June 30, 2019 decreased by $7 million (7%) as compared to the comparable prior year period. The decrease was primarily due to the unfavorable effects of foreign exchange and lower sales volumes. Cost of goods sold for the three months ended June 30, 2019 decreased by $5 million (6%) as compared to the comparable prior year period due to favorable effects of foreign exchange offset in part by higher raw material costs. Gross margin as a percentage of net sales was flat at 23% for the three months ended June 30, 2019 and 2018.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2019 and 2018</w:t>
      </w:r>
    </w:p>
    <w:p>
      <w:pPr>
        <w:spacing w:after="0" w:line="11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Net sales for the six months ended June 30, 2019 decreased by $9 million (4%) as compared to the comparable prior year period. The decrease was primarily due to the unfavorable effects of foreign exchange and lower sales volumes. Cost of goods sold for the six months ended June 30, 2019 decreased by $7 million (4%) as compared to the comparable prior year period due to lower sales volume and the favorable effects of foreign exchange. Gross margin as a percentage of net sales was flat at 22% for the six months ended June 30, 2019 and 2018.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jc w:val="both"/>
        <w:ind w:right="16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2019 and 2018</w:t>
      </w:r>
    </w:p>
    <w:p>
      <w:pPr>
        <w:spacing w:after="0" w:line="117"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Net sales for the three months ended June 30, 2019 decreased by $37 million (28%) compared to the comparable prior year period due to lower shipment volumes and lower average selling prices for most grades of metal, particularly non-ferrous residue material, which was lower due to the trade dispute with China.</w:t>
      </w:r>
    </w:p>
    <w:p>
      <w:pPr>
        <w:spacing w:after="0" w:line="73" w:lineRule="exact"/>
        <w:rPr>
          <w:sz w:val="20"/>
          <w:szCs w:val="20"/>
          <w:color w:val="auto"/>
        </w:rPr>
      </w:pPr>
    </w:p>
    <w:p>
      <w:pPr>
        <w:ind w:right="360" w:firstLine="378"/>
        <w:spacing w:after="0" w:line="259" w:lineRule="auto"/>
        <w:rPr>
          <w:sz w:val="20"/>
          <w:szCs w:val="20"/>
          <w:color w:val="auto"/>
        </w:rPr>
      </w:pPr>
      <w:r>
        <w:rPr>
          <w:rFonts w:ascii="Arial" w:cs="Arial" w:eastAsia="Arial" w:hAnsi="Arial"/>
          <w:sz w:val="18"/>
          <w:szCs w:val="18"/>
          <w:color w:val="auto"/>
        </w:rPr>
        <w:t>Cost of goods sold for the three months ended June 30, 2019 decreased by $31 million (25%) compared to the comparable prior year period. The decrease was primarily due to lower shipment volumes, as discussed above, and lower material costs due to lower market prices. Gross margin as a percentage of net sales was 2% and 6% for the three months ended June 30, 2019 and 2018, respectively. The decrease was primarily due to lower selling prices.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2019 and 2018</w:t>
      </w:r>
    </w:p>
    <w:p>
      <w:pPr>
        <w:spacing w:after="0" w:line="117" w:lineRule="exact"/>
        <w:rPr>
          <w:sz w:val="20"/>
          <w:szCs w:val="20"/>
          <w:color w:val="auto"/>
        </w:rPr>
      </w:pPr>
    </w:p>
    <w:p>
      <w:pPr>
        <w:jc w:val="both"/>
        <w:ind w:right="160" w:firstLine="378"/>
        <w:spacing w:after="0" w:line="264" w:lineRule="auto"/>
        <w:rPr>
          <w:sz w:val="20"/>
          <w:szCs w:val="20"/>
          <w:color w:val="auto"/>
        </w:rPr>
      </w:pPr>
      <w:r>
        <w:rPr>
          <w:rFonts w:ascii="Arial" w:cs="Arial" w:eastAsia="Arial" w:hAnsi="Arial"/>
          <w:sz w:val="18"/>
          <w:szCs w:val="18"/>
          <w:color w:val="auto"/>
        </w:rPr>
        <w:t>Net sales for the six months ended June 30, 2019 decreased by $62 million (25%) compared to the comparable prior year period due to lower shipment volumes of ferrous and non-ferrous material and lower average selling prices for most grades of metal, particularly non-ferrous residue material, which was lower due to the trade dispute with China.</w:t>
      </w:r>
    </w:p>
    <w:p>
      <w:pPr>
        <w:spacing w:after="0" w:line="73"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Cost of goods sold for the six months ended June 30, 2019 decreased by $49 million (21%) compared to the comparable prior year period. The decrease was primarily due to lower shipment volumes of ferrous and non-ferrous material, as discussed above, and lower material costs due to lower market prices. Gross margin as a percentage of net sales was 2% and 6% for the six months ended June 30, 2019 and 2018, respectively. The decrease was primarily due to lower selling prices.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Real Estate revenues and expenses primarily include sales of residential units, results from club operations, rental income and expenses, including income from financing leases, and hotel, timeshare and casino operations. Sales of residential units are included in net sales in our condensed consolidated statements of operations. Results from club and rental operations, including financing lease income, and hotel, timeshare and casino operations are included in other revenues from operations in our condensed consolidated statements of operations. Revenue from our real estate operations for each of the three and six months ended June 30, 2019 and 2018 were substantially derived from income from club and rental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2019 and 2018</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Net sales for the three months ended June 30, 2019 decreased by $1 million (2%) compared to the comparable prior year period due to lower sales volume. Cost of goods sold for the three months ended June 30, 2019 was flat compared to the comparable prior year period. Gross margin as a percentage of net sales was 11% and 13% for the three months ended June 30, 2019 and 2018,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2019 and 2018</w:t>
      </w:r>
    </w:p>
    <w:p>
      <w:pPr>
        <w:spacing w:after="0" w:line="11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Net sales for the six months ended June 30, 2019 decreased by $4 million (5%) compared to the comparable prior year period due to lower sales volume. Cost of goods sold for the six months ended June 30, 2019 decreased by $3 million (4%) compared to the comparable prior year period due to lower sales volume. Gross margin as a percentage of net sales was 13% and 14% for the six months ended June 30, 2019 and 2018,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Mining segment's performance is driven by global iron ore prices and demand for raw materials from Chinese steelmakers. Since acquiring Ferrous Resources Ltd. in 2015, our Mining segment has been concentrating on sales in its domestic market, Brazil.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2019 and 2018</w:t>
      </w:r>
    </w:p>
    <w:p>
      <w:pPr>
        <w:spacing w:after="0" w:line="117"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Net sales for the three months ended June 30, 2019 increased $40 million as compared to the comparable prior year period primarily due to iron ore price increases and an increase in volumes. Cost of goods sold for the three months ended June 30, 2019 increased $4 million (21%) compared to the comparable prior year period due to an increase in volumes.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2019 and 2018</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Net sales for the six months ended June 30, 2019 increased $55 million as compared to the comparable prior year period primarily due to iron ore price increases and an increase in volumes. Cost of goods sold for the six months ended June 30, 2019 increased $7 million (19%) compared to the comparable prior year period due to an increase in volumes and also due to a certain plant operation resuming in 2018, increasing the cost of production to produce a higher quality of iron ore.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Our Holding Company's results of operations primarily reflect the interest expense on its senior unsecured notes for each of the three and six months ended June 30, 2019 and 2018. In addition, our Holding Company has investment gains and losses from debt and equity investments. During the three and six months ended June 30, 2019, net losses from investment activities were primarily attributable to unrealized losses from an equity investment offset in part by realized gains from an equity investment. During the three and six months ended June 30, 2018, net gains from investment activities were primarily attributable to unrealized gains from an equity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2019 and 2018</w:t>
      </w:r>
    </w:p>
    <w:p>
      <w:pPr>
        <w:spacing w:after="0" w:line="117" w:lineRule="exact"/>
        <w:rPr>
          <w:sz w:val="20"/>
          <w:szCs w:val="20"/>
          <w:color w:val="auto"/>
        </w:rPr>
      </w:pPr>
    </w:p>
    <w:p>
      <w:pPr>
        <w:jc w:val="both"/>
        <w:ind w:right="520" w:firstLine="405"/>
        <w:spacing w:after="0" w:line="342" w:lineRule="auto"/>
        <w:rPr>
          <w:sz w:val="20"/>
          <w:szCs w:val="20"/>
          <w:color w:val="auto"/>
        </w:rPr>
      </w:pPr>
      <w:r>
        <w:rPr>
          <w:rFonts w:ascii="Arial" w:cs="Arial" w:eastAsia="Arial" w:hAnsi="Arial"/>
          <w:sz w:val="16"/>
          <w:szCs w:val="16"/>
          <w:color w:val="auto"/>
        </w:rPr>
        <w:t>Our consolidated selling, general and administrative during the three months ended June 30, 2019 decreased by $6 million (2%) as compared the comparable prior year period primarily due to our Energy segment which decreased $5 million (13%) due to lower share-based compensation expense.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2019 and 2018</w:t>
      </w:r>
    </w:p>
    <w:p>
      <w:pPr>
        <w:spacing w:after="0" w:line="117"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Our consolidated selling, general and administrative during the six months ended June 30, 2019 decreased by $8 million (1%) as compared the comparable prior year period primarily due to our Automotive segment, which decreased $8 million (2%) as a result of certain shared service center cost reductions as well as other cost reduction initiatives implemented after the second quarter of 2018.</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76"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2019 and 2018</w:t>
      </w:r>
    </w:p>
    <w:p>
      <w:pPr>
        <w:spacing w:after="0" w:line="117"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Our consolidated interest expense during the three months ended June 30, 2019 increased by $32 million (27%) as compared the comparable prior year period. The increase was primarily due to higher interest expense from our Investment segment attributable to an increase in average due to broker balances over the respective periods as well as higher interest expense at our Holding Company as a result of certain debt offerings in the second quarter of 2019.</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2019 and 2018</w:t>
      </w:r>
    </w:p>
    <w:p>
      <w:pPr>
        <w:spacing w:after="0" w:line="117"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Our consolidated interest expense during the six months ended June 30, 2019 increased by $24 million (9%) as compared the comparable prior year period. The increase was primarily due to higher interest expense from our Investment segment attributable to an increase in average due to broker balances over the respective periods as well as higher interest expense at our Holding Company as a result of certain debt offerings in the second quarter of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Refer to Note 14, "Income Taxes," to the condensed consolidated financial statements for a discussion of income taxes.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As discussed in Note 1, "Description of Business," we operated discontinued operations previously included in our Automotive and Railcar segments and our former Gaming segment effective in 2018. The sales of each of these businesses closed in the fourth quarter of 2018. See Note 13, "Discontinued Operations," for financial information with respect to each of our discontinued operating businesses.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117"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8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As of June 30, 2019, our Holding Company had cash and cash equivalents of approximately $3.3 billion and total debt of approximately $6.8 billion. As of June 30, 2019, our Holding Company had investments in the Investment Funds with a total fair market value of approximately $4.6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17"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On August 1, 2019, we closed on the previously announced sale of Ferrous Resources for total consideration of $550 million (including repaid indebtedness).</w:t>
      </w:r>
    </w:p>
    <w:p>
      <w:pPr>
        <w:spacing w:after="0" w:line="6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Subsequent to June 30, 2019, we used the proceeds from the issuance of senior unsecured notes and cash on hand to repay in full our senior unsecured notes due 2020, as discussed further below.</w:t>
      </w:r>
    </w:p>
    <w:p>
      <w:pPr>
        <w:spacing w:after="0" w:line="6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addition, subsequent to June 30, 2019, CVR Energy declared a quarterly dividend which we expect to result in an additional $54 million in dividends payable to us in the third quarter of 2019.</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72" w:right="2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i w:val="1"/>
                <w:iCs w:val="1"/>
                <w:color w:val="auto"/>
              </w:rPr>
              <w:t>Holding Company Borrowings and Availability</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6.000% senior unsecured notes due 2020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5.875% senior unsecured notes due 2022</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6.250% senior unsecured notes due 2022</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6.750% senior unsecured notes due 2024</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6.375% senior unsecured notes due 2025</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6.250% senior unsecured notes due 2026</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6,755</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are payable semi-annually.</w:t>
      </w:r>
    </w:p>
    <w:p>
      <w:pPr>
        <w:spacing w:after="0" w:line="7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During the second quarter of 2019, the Issuers issued $1.250 billion in aggregate principal amount of 6.250% senior unsecured notes due 2026 (the "New Notes"). Subsequent to June 30, 2019, the proceeds from the New Notes, plus cash on hand, were used to repay our 6.000% senior unsecured notes due 2020 and to pay accrued interest, related fees and expenses.</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New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New Notes and the related guarantee are effectively subordinated to the Issuers’ and the Guarantor’s existing and future secured indebtedness to the extent of the collateral securing such indebtedness. The New Notes and the related guarantee are also effectively subordinated to all indebtedness and other liabilities of the Issuers’ subsidiaries other than the Guarantor.</w:t>
      </w:r>
    </w:p>
    <w:p>
      <w:pPr>
        <w:spacing w:after="0" w:line="80"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June 30, 2019 are subject to optional redemption premiums in the event we redeem any of the notes prior to certain dates as described in the indentures.</w:t>
      </w:r>
    </w:p>
    <w:p>
      <w:pPr>
        <w:spacing w:after="0" w:line="70"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As of June 30, 2019 and December 31, 2018, we were in compliance with all covenants, including maintaining certain minimum financial ratios, as defined in the indentures. Additionally, as of June 30, 2019, based on covenants in the indentures governing our senior unsecured notes, we are not permitted to incur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At-The-Market Offering</w:t>
      </w:r>
    </w:p>
    <w:p>
      <w:pPr>
        <w:spacing w:after="0" w:line="11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On May 2, 2019, Icahn Enterprises announced the commencement of its "at-the-market" offering pursuant to its Open Market Sale Agreement, pursuant to which Icahn Enterprises may sell its depositary units, from time to time, for up to $400 million in aggregate sale proceeds. During the three months ended June 30, 2019, Icahn Enterprises distributed 137,524 depositary units pursuant to this agreement, resulting in proceeds of $10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LP Unit Distributions</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July 31, 2019, the Board of Directors of the general partner of Icahn Enterprises declared a quarterly distribution in the amount of $2.00 per depositary unit. The quarterly distribution is payable in either cash or additional depositary units, at the election of each depositary unitholder and will be paid on or about September 18, 2019 to depositary unitholders of record at the close of business on August 13, 2019.</w:t>
      </w:r>
    </w:p>
    <w:p>
      <w:pPr>
        <w:spacing w:after="0" w:line="73"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During the six months ended June 30, 2019, we declared two quarterly distributions aggregating $4.00 per depositary unit. Mr. Icahn and his affiliates elected to receive their proportionate share of these distributions in depositary units. Mr. Icahn and his affiliates owned approximately 92.0% of Icahn Enterprises' outstanding depositary units as of June 30, 2019. In connection with these distributions, aggregate cash distributions to all depositary unitholders was $54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76" w:right="239" w:bottom="1440" w:gutter="0" w:footer="0" w:header="0"/>
        </w:sectPr>
      </w:pPr>
    </w:p>
    <w:bookmarkStart w:id="56" w:name="page57"/>
    <w:bookmarkEnd w:id="56"/>
    <w:p>
      <w:pPr>
        <w:ind w:firstLine="378"/>
        <w:spacing w:after="0" w:line="272" w:lineRule="auto"/>
        <w:rPr>
          <w:sz w:val="20"/>
          <w:szCs w:val="20"/>
          <w:color w:val="auto"/>
        </w:rPr>
      </w:pPr>
      <w:r>
        <w:rPr>
          <w:rFonts w:ascii="Arial" w:cs="Arial" w:eastAsia="Arial" w:hAnsi="Arial"/>
          <w:sz w:val="17"/>
          <w:szCs w:val="17"/>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117"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During the six months ended June 30, 2019, affiliates of Mr. Icahn (excluding us and our subsidiaries) invested $70 million in the Investment Funds. In addition to investments by us and Mr. Icahn, the Investment Funds historically have access to significant amounts of cash available from prime brokerage lines of credit, subject to customary terms and market conditions.</w:t>
      </w:r>
    </w:p>
    <w:p>
      <w:pPr>
        <w:spacing w:after="0" w:line="7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Additionally, our Investment segment liquidity is driven by the investment activities and performance of the Investment Funds. As of June 30, 2019, the Investment Funds' had a net short notional exposure of 37%. The Investment Funds' long exposure was 103% (101% long equity and 2% long credit) and its short exposure was 140% (134% short equity, 6% short credit and other). The notional exposure represents the ratio of the notional exposure of the Investment Funds' invested capital to the net asset value of the Investment Funds at June 30, 2019.</w:t>
      </w:r>
    </w:p>
    <w:p>
      <w:pPr>
        <w:spacing w:after="0" w:line="79" w:lineRule="exact"/>
        <w:rPr>
          <w:sz w:val="20"/>
          <w:szCs w:val="20"/>
          <w:color w:val="auto"/>
        </w:rPr>
      </w:pPr>
    </w:p>
    <w:p>
      <w:pPr>
        <w:ind w:right="180" w:firstLine="378"/>
        <w:spacing w:after="0" w:line="286" w:lineRule="auto"/>
        <w:rPr>
          <w:sz w:val="20"/>
          <w:szCs w:val="20"/>
          <w:color w:val="auto"/>
        </w:rPr>
      </w:pPr>
      <w:r>
        <w:rPr>
          <w:rFonts w:ascii="Arial" w:cs="Arial" w:eastAsia="Arial" w:hAnsi="Arial"/>
          <w:sz w:val="17"/>
          <w:szCs w:val="17"/>
          <w:color w:val="auto"/>
        </w:rPr>
        <w:t>Of the Investment Funds' 103% long exposure, 88% was comprised of the fair value of its long positions (with certain adjustments) and 15% was comprised of single name equity forward contracts and credit contracts. Of the Investment Funds' 140% short exposure, 1% was comprised of the fair value of our short positions and 139% was comprised of short broad market index swap derivative contracts and short credit default swap contracts.</w:t>
      </w:r>
    </w:p>
    <w:p>
      <w:pPr>
        <w:spacing w:after="0" w:line="5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(88% long exposure) and our short positions that are not notionalized (1%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With respect to the notional value of our other short positions (139%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Cash and Cash Equivalents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4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4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4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Metals</w:t>
            </w:r>
          </w:p>
        </w:tc>
        <w:tc>
          <w:tcPr>
            <w:tcW w:w="4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4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4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2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2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57" w:name="page58"/>
    <w:bookmarkEnd w:id="57"/>
    <w:p>
      <w:pPr>
        <w:ind w:firstLine="405"/>
        <w:spacing w:after="0" w:line="277" w:lineRule="auto"/>
        <w:rPr>
          <w:sz w:val="20"/>
          <w:szCs w:val="20"/>
          <w:color w:val="auto"/>
        </w:rPr>
      </w:pPr>
      <w:r>
        <w:rPr>
          <w:rFonts w:ascii="Arial" w:cs="Arial" w:eastAsia="Arial" w:hAnsi="Arial"/>
          <w:sz w:val="18"/>
          <w:szCs w:val="18"/>
          <w:color w:val="auto"/>
        </w:rPr>
        <w:t>Our Mining segment had $81 million and $11 million of cash and cash equivalents included in assets held for sale as of June 30, 2019 and December 31, 2018,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Arial" w:cs="Arial" w:eastAsia="Arial" w:hAnsi="Arial"/>
                <w:sz w:val="18"/>
                <w:szCs w:val="18"/>
                <w:color w:val="auto"/>
              </w:rPr>
              <w:t>Segment debt consists of the following:</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Metals</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Mining segment had $55 million and $55 million of debt included in liabilities held for sale as of June 30, 2019 and December 31, 2018.</w:t>
      </w:r>
    </w:p>
    <w:p>
      <w:pPr>
        <w:spacing w:after="0" w:line="129" w:lineRule="exact"/>
        <w:rPr>
          <w:sz w:val="20"/>
          <w:szCs w:val="20"/>
          <w:color w:val="auto"/>
        </w:rPr>
      </w:pPr>
    </w:p>
    <w:p>
      <w:pPr>
        <w:ind w:right="740" w:firstLine="405"/>
        <w:spacing w:after="0" w:line="308" w:lineRule="auto"/>
        <w:rPr>
          <w:sz w:val="20"/>
          <w:szCs w:val="20"/>
          <w:color w:val="auto"/>
        </w:rPr>
      </w:pPr>
      <w:r>
        <w:rPr>
          <w:rFonts w:ascii="Arial" w:cs="Arial" w:eastAsia="Arial" w:hAnsi="Arial"/>
          <w:sz w:val="17"/>
          <w:szCs w:val="17"/>
          <w:color w:val="auto"/>
        </w:rPr>
        <w:t>Refer to our Annual Report on Form 10-K for the year ended December 31, 2018 for information concerning terms, restrictions and covenants pertaining to our subsidiaries' debt. As of June 30, 2019, all of our subsidiaries were in compliance with all debt covenants.</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segments have additional borrowing availability under certain revolving credit facilities as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b w:val="1"/>
                <w:bCs w:val="1"/>
                <w:color w:val="auto"/>
                <w:w w:val="93"/>
              </w:rPr>
              <w:t>June 30, 2019</w:t>
            </w:r>
          </w:p>
        </w:tc>
      </w:tr>
      <w:tr>
        <w:trPr>
          <w:trHeight w:val="27"/>
        </w:trPr>
        <w:tc>
          <w:tcPr>
            <w:tcW w:w="9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9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52"/>
              <w:spacing w:after="0"/>
              <w:rPr>
                <w:sz w:val="20"/>
                <w:szCs w:val="20"/>
                <w:color w:val="auto"/>
              </w:rPr>
            </w:pPr>
            <w:r>
              <w:rPr>
                <w:rFonts w:ascii="Arial" w:cs="Arial" w:eastAsia="Arial" w:hAnsi="Arial"/>
                <w:sz w:val="14"/>
                <w:szCs w:val="14"/>
                <w:color w:val="auto"/>
              </w:rPr>
              <w:t>(in millions)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95</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Metals</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37"/>
        </w:trPr>
        <w:tc>
          <w:tcPr>
            <w:tcW w:w="98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601</w:t>
            </w:r>
          </w:p>
        </w:tc>
      </w:tr>
      <w:tr>
        <w:trPr>
          <w:trHeight w:val="27"/>
        </w:trPr>
        <w:tc>
          <w:tcPr>
            <w:tcW w:w="9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60" w:firstLine="405"/>
        <w:spacing w:after="0" w:line="375" w:lineRule="auto"/>
        <w:rPr>
          <w:sz w:val="20"/>
          <w:szCs w:val="20"/>
          <w:color w:val="auto"/>
        </w:rPr>
      </w:pPr>
      <w:r>
        <w:rPr>
          <w:rFonts w:ascii="Arial" w:cs="Arial" w:eastAsia="Arial" w:hAnsi="Arial"/>
          <w:sz w:val="18"/>
          <w:szCs w:val="18"/>
          <w:color w:val="auto"/>
        </w:rPr>
        <w:t xml:space="preserve">The above outstanding debt and borrowing availability with respect to each of our continuing operating segments reflects third-party obligations. </w:t>
      </w:r>
      <w:r>
        <w:rPr>
          <w:rFonts w:ascii="Arial" w:cs="Arial" w:eastAsia="Arial" w:hAnsi="Arial"/>
          <w:sz w:val="18"/>
          <w:szCs w:val="18"/>
          <w:i w:val="1"/>
          <w:iCs w:val="1"/>
          <w:color w:val="auto"/>
        </w:rPr>
        <w:t>Subsidiary Payments for Acquisitions</w:t>
      </w:r>
    </w:p>
    <w:p>
      <w:pPr>
        <w:spacing w:after="0" w:line="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On January 29, 2019, CVR Energy paid $241 million, excluding payments to us, for the acquisition of the remaining common units of CVR Refining from non-controlling interests.</w:t>
      </w:r>
    </w:p>
    <w:p>
      <w:pPr>
        <w:spacing w:after="0" w:line="62"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During the first quarter of 2019, our Automotive segment acquired certain businesses for an aggregate of $10 million. During the second quarter of 2019, our Metals segment acquired a business for $13 million and our Home Fashion segment acquired a business for $31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which are included in net cash flows from financing activities. Our other operating segments' cash flows are driven by the activities and performance of each business as well as transactions with our Holding Company, as discussed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6" w:right="239" w:bottom="1440" w:gutter="0" w:footer="0" w:header="0"/>
        </w:sectPr>
      </w:pPr>
    </w:p>
    <w:bookmarkStart w:id="58" w:name="page59"/>
    <w:bookmarkEnd w:id="58"/>
    <w:p>
      <w:pPr>
        <w:ind w:left="420"/>
        <w:spacing w:after="0"/>
        <w:rPr>
          <w:sz w:val="20"/>
          <w:szCs w:val="20"/>
          <w:color w:val="auto"/>
        </w:rPr>
      </w:pPr>
      <w:r>
        <w:rPr>
          <w:rFonts w:ascii="Arial" w:cs="Arial" w:eastAsia="Arial" w:hAnsi="Arial"/>
          <w:sz w:val="16"/>
          <w:szCs w:val="16"/>
          <w:color w:val="auto"/>
        </w:rPr>
        <w:t>The following table summarizes cash flow information for Icahn Enterprises' reporting segments and our Holding Company:</w:t>
      </w:r>
    </w:p>
    <w:p>
      <w:pPr>
        <w:sectPr>
          <w:pgSz w:w="11900" w:h="16838" w:orient="portrait"/>
          <w:cols w:equalWidth="0" w:num="1">
            <w:col w:w="11420"/>
          </w:cols>
          <w:pgMar w:left="240" w:top="476" w:right="239" w:bottom="1440" w:gutter="0" w:footer="0" w:header="0"/>
        </w:sectPr>
      </w:pPr>
    </w:p>
    <w:p>
      <w:pPr>
        <w:spacing w:after="0" w:line="208"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37465</wp:posOffset>
            </wp:positionV>
            <wp:extent cx="23666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66"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37465</wp:posOffset>
            </wp:positionV>
            <wp:extent cx="23666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66" w:lineRule="exact"/>
        <w:rPr>
          <w:sz w:val="20"/>
          <w:szCs w:val="20"/>
          <w:color w:val="auto"/>
        </w:rPr>
      </w:pPr>
    </w:p>
    <w:p>
      <w:pPr>
        <w:ind w:left="4240"/>
        <w:spacing w:after="0"/>
        <w:tabs>
          <w:tab w:leader="none" w:pos="5520" w:val="left"/>
          <w:tab w:leader="none" w:pos="6780" w:val="left"/>
        </w:tabs>
        <w:rPr>
          <w:sz w:val="20"/>
          <w:szCs w:val="20"/>
          <w:color w:val="auto"/>
        </w:rPr>
      </w:pPr>
      <w:r>
        <w:rPr>
          <w:rFonts w:ascii="Arial" w:cs="Arial" w:eastAsia="Arial" w:hAnsi="Arial"/>
          <w:sz w:val="16"/>
          <w:szCs w:val="16"/>
          <w:b w:val="1"/>
          <w:bCs w:val="1"/>
          <w:color w:val="auto"/>
        </w:rPr>
        <w:t>Operating</w:t>
      </w:r>
      <w:r>
        <w:rPr>
          <w:sz w:val="20"/>
          <w:szCs w:val="20"/>
          <w:color w:val="auto"/>
        </w:rPr>
        <w:tab/>
      </w:r>
      <w:r>
        <w:rPr>
          <w:rFonts w:ascii="Arial" w:cs="Arial" w:eastAsia="Arial" w:hAnsi="Arial"/>
          <w:sz w:val="16"/>
          <w:szCs w:val="16"/>
          <w:b w:val="1"/>
          <w:bCs w:val="1"/>
          <w:color w:val="auto"/>
        </w:rPr>
        <w:t>Investing</w:t>
      </w:r>
      <w:r>
        <w:rPr>
          <w:sz w:val="20"/>
          <w:szCs w:val="20"/>
          <w:color w:val="auto"/>
        </w:rPr>
        <w:tab/>
      </w:r>
      <w:r>
        <w:rPr>
          <w:rFonts w:ascii="Arial" w:cs="Arial" w:eastAsia="Arial" w:hAnsi="Arial"/>
          <w:sz w:val="14"/>
          <w:szCs w:val="14"/>
          <w:b w:val="1"/>
          <w:bCs w:val="1"/>
          <w:color w:val="auto"/>
        </w:rPr>
        <w:t>Financing</w:t>
      </w:r>
    </w:p>
    <w:p>
      <w:pPr>
        <w:spacing w:after="0" w:line="26" w:lineRule="exact"/>
        <w:rPr>
          <w:sz w:val="20"/>
          <w:szCs w:val="20"/>
          <w:color w:val="auto"/>
        </w:rPr>
      </w:pPr>
    </w:p>
    <w:p>
      <w:pPr>
        <w:ind w:left="4260"/>
        <w:spacing w:after="0"/>
        <w:tabs>
          <w:tab w:leader="none" w:pos="5520" w:val="left"/>
          <w:tab w:leader="none" w:pos="6800" w:val="left"/>
        </w:tabs>
        <w:rPr>
          <w:sz w:val="20"/>
          <w:szCs w:val="20"/>
          <w:color w:val="auto"/>
        </w:rPr>
      </w:pP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4"/>
          <w:szCs w:val="14"/>
          <w:b w:val="1"/>
          <w:bCs w:val="1"/>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33020</wp:posOffset>
            </wp:positionV>
            <wp:extent cx="4707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37465</wp:posOffset>
            </wp:positionV>
            <wp:extent cx="22726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37465</wp:posOffset>
            </wp:positionV>
            <wp:extent cx="22726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p>
      <w:pPr>
        <w:spacing w:after="0"/>
        <w:tabs>
          <w:tab w:leader="none" w:pos="1260" w:val="left"/>
          <w:tab w:leader="none" w:pos="2460" w:val="left"/>
        </w:tabs>
        <w:rPr>
          <w:sz w:val="20"/>
          <w:szCs w:val="20"/>
          <w:color w:val="auto"/>
        </w:rPr>
      </w:pPr>
      <w:r>
        <w:rPr>
          <w:rFonts w:ascii="Arial" w:cs="Arial" w:eastAsia="Arial" w:hAnsi="Arial"/>
          <w:sz w:val="16"/>
          <w:szCs w:val="16"/>
          <w:b w:val="1"/>
          <w:bCs w:val="1"/>
          <w:color w:val="auto"/>
        </w:rPr>
        <w:t>Operating</w:t>
      </w:r>
      <w:r>
        <w:rPr>
          <w:sz w:val="20"/>
          <w:szCs w:val="20"/>
          <w:color w:val="auto"/>
        </w:rPr>
        <w:tab/>
      </w:r>
      <w:r>
        <w:rPr>
          <w:rFonts w:ascii="Arial" w:cs="Arial" w:eastAsia="Arial" w:hAnsi="Arial"/>
          <w:sz w:val="16"/>
          <w:szCs w:val="16"/>
          <w:b w:val="1"/>
          <w:bCs w:val="1"/>
          <w:color w:val="auto"/>
        </w:rPr>
        <w:t>Investing</w:t>
      </w:r>
      <w:r>
        <w:rPr>
          <w:sz w:val="20"/>
          <w:szCs w:val="20"/>
          <w:color w:val="auto"/>
        </w:rPr>
        <w:tab/>
      </w:r>
      <w:r>
        <w:rPr>
          <w:rFonts w:ascii="Arial" w:cs="Arial" w:eastAsia="Arial" w:hAnsi="Arial"/>
          <w:sz w:val="14"/>
          <w:szCs w:val="14"/>
          <w:b w:val="1"/>
          <w:bCs w:val="1"/>
          <w:color w:val="auto"/>
        </w:rPr>
        <w:t>Financing</w:t>
      </w:r>
    </w:p>
    <w:p>
      <w:pPr>
        <w:spacing w:after="0" w:line="26" w:lineRule="exact"/>
        <w:rPr>
          <w:sz w:val="20"/>
          <w:szCs w:val="20"/>
          <w:color w:val="auto"/>
        </w:rPr>
      </w:pPr>
    </w:p>
    <w:p>
      <w:pPr>
        <w:ind w:left="40"/>
        <w:spacing w:after="0"/>
        <w:tabs>
          <w:tab w:leader="none" w:pos="1240" w:val="left"/>
          <w:tab w:leader="none" w:pos="2480" w:val="left"/>
        </w:tabs>
        <w:rPr>
          <w:sz w:val="20"/>
          <w:szCs w:val="20"/>
          <w:color w:val="auto"/>
        </w:rPr>
      </w:pP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4"/>
          <w:szCs w:val="14"/>
          <w:b w:val="1"/>
          <w:bCs w:val="1"/>
          <w:color w:val="auto"/>
        </w:rPr>
        <w:t>Activities</w:t>
      </w:r>
    </w:p>
    <w:p>
      <w:pPr>
        <w:spacing w:after="0" w:line="127" w:lineRule="exact"/>
        <w:rPr>
          <w:sz w:val="20"/>
          <w:szCs w:val="20"/>
          <w:color w:val="auto"/>
        </w:rPr>
      </w:pPr>
    </w:p>
    <w:p>
      <w:pPr>
        <w:sectPr>
          <w:pgSz w:w="11900" w:h="16838" w:orient="portrait"/>
          <w:cols w:equalWidth="0" w:num="2">
            <w:col w:w="7500" w:space="540"/>
            <w:col w:w="3380"/>
          </w:cols>
          <w:pgMar w:left="240" w:top="47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3"/>
          </w:tcPr>
          <w:p>
            <w:pPr>
              <w:jc w:val="right"/>
              <w:ind w:right="159"/>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56"/>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Holding Company</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Investment</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280</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03"/>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Other Operating Segments: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Energy</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6"/>
                <w:szCs w:val="16"/>
                <w:color w:val="auto"/>
              </w:rPr>
              <w:t>Automotive</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Food Packaging</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120"/>
              <w:spacing w:after="0"/>
              <w:rPr>
                <w:sz w:val="20"/>
                <w:szCs w:val="20"/>
                <w:color w:val="auto"/>
              </w:rPr>
            </w:pPr>
            <w:r>
              <w:rPr>
                <w:rFonts w:ascii="Arial" w:cs="Arial" w:eastAsia="Arial" w:hAnsi="Arial"/>
                <w:sz w:val="16"/>
                <w:szCs w:val="16"/>
                <w:color w:val="auto"/>
              </w:rPr>
              <w:t>Metals</w:t>
            </w:r>
          </w:p>
        </w:tc>
        <w:tc>
          <w:tcPr>
            <w:tcW w:w="3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Real Estate</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40" w:type="dxa"/>
            <w:vAlign w:val="bottom"/>
          </w:tcPr>
          <w:p>
            <w:pPr>
              <w:spacing w:after="0"/>
              <w:rPr>
                <w:sz w:val="20"/>
                <w:szCs w:val="20"/>
                <w:color w:val="auto"/>
              </w:rPr>
            </w:pPr>
          </w:p>
        </w:tc>
        <w:tc>
          <w:tcPr>
            <w:tcW w:w="3960" w:type="dxa"/>
            <w:vAlign w:val="bottom"/>
            <w:gridSpan w:val="2"/>
          </w:tcPr>
          <w:p>
            <w:pPr>
              <w:ind w:left="120"/>
              <w:spacing w:after="0"/>
              <w:rPr>
                <w:sz w:val="20"/>
                <w:szCs w:val="20"/>
                <w:color w:val="auto"/>
              </w:rPr>
            </w:pPr>
            <w:r>
              <w:rPr>
                <w:rFonts w:ascii="Arial" w:cs="Arial" w:eastAsia="Arial" w:hAnsi="Arial"/>
                <w:sz w:val="16"/>
                <w:szCs w:val="16"/>
                <w:color w:val="auto"/>
              </w:rPr>
              <w:t>Home Fashion</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Mining</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17"/>
        </w:trPr>
        <w:tc>
          <w:tcPr>
            <w:tcW w:w="40" w:type="dxa"/>
            <w:vAlign w:val="bottom"/>
          </w:tcPr>
          <w:p>
            <w:pPr>
              <w:spacing w:after="0"/>
              <w:rPr>
                <w:sz w:val="18"/>
                <w:szCs w:val="18"/>
                <w:color w:val="auto"/>
              </w:rPr>
            </w:pPr>
          </w:p>
        </w:tc>
        <w:tc>
          <w:tcPr>
            <w:tcW w:w="3960" w:type="dxa"/>
            <w:vAlign w:val="bottom"/>
            <w:gridSpan w:val="2"/>
          </w:tcPr>
          <w:p>
            <w:pPr>
              <w:ind w:left="120"/>
              <w:spacing w:after="0"/>
              <w:rPr>
                <w:sz w:val="20"/>
                <w:szCs w:val="20"/>
                <w:color w:val="auto"/>
              </w:rPr>
            </w:pPr>
            <w:r>
              <w:rPr>
                <w:rFonts w:ascii="Arial" w:cs="Arial" w:eastAsia="Arial" w:hAnsi="Arial"/>
                <w:sz w:val="16"/>
                <w:szCs w:val="16"/>
                <w:color w:val="auto"/>
              </w:rPr>
              <w:t>Other operating segments</w:t>
            </w: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Discontinued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Total before eliminations</w:t>
            </w: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(1,812)</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w:t>
            </w:r>
          </w:p>
        </w:tc>
      </w:tr>
      <w:tr>
        <w:trPr>
          <w:trHeight w:val="33"/>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44"/>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Consolidated</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(1,812)</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Eliminations</w:t>
      </w:r>
    </w:p>
    <w:p>
      <w:pPr>
        <w:spacing w:after="0" w:line="11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 In addition, during January 2019, our Holding Company sold its direct investment in CVR Refining to CVR Energy, which is included in cash flows from investing activities for our Holding Company and cash flows from financing activities for our Energy segment.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Our Holding Company's cash flows from operating activities for each of the six months ended June 30, 2019 and 2018 were primarily attributable to our semi-annual interest payments on our senior unsecured notes. In addition, our Holding Company received interest income of $30 million and $5 million for the six months ended June 30, 2019 and 2018, respectively. The increase in interest income is due to the increase in our cash and cash equivalents over the respective periods as a result of the sale of businesses and investments as well as proceeds from issuances of senior unsecured notes.</w:t>
      </w:r>
    </w:p>
    <w:p>
      <w:pPr>
        <w:spacing w:after="0" w:line="46"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Our Holding Company's cash flows from investing activities for the six months ended June 30, 2019 were primarily due to our sale of a certain equity investment for which we received cash of $458 million as well as the sale of our direct investment in CVR Refining to CVR Energy for $60 million. During the six months ended June 30, 2019, we also received net dividends and distributions from our Energy and Real Estate segments aggregating $126 million and we had aggregate investments in our Automotive segment of $176 million and an investment in our Home Fashion segment of $31 million. Our Holding Company's cash flows from investing activities for the six months ended June 30, 2018 were due to an aggregate investment in our Automotive segment of $240 million, contributions to our Food Packaging segment in connection with Viskase's rights offering of $44 million and other net contributions to our subsidiaries of $74 million, offset in part by dividends and distributions received from our Energy and Real Estate segments aggregating $99 million, dividends received from ARI of $9 million and $17 million received from the sale of additional railcars previously owned by ARL.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76" w:right="239" w:bottom="1440" w:gutter="0" w:footer="0" w:header="0"/>
          <w:type w:val="continuous"/>
        </w:sectPr>
      </w:pPr>
    </w:p>
    <w:bookmarkStart w:id="59" w:name="page60"/>
    <w:bookmarkEnd w:id="59"/>
    <w:p>
      <w:pPr>
        <w:ind w:right="140" w:firstLine="405"/>
        <w:spacing w:after="0" w:line="259" w:lineRule="auto"/>
        <w:rPr>
          <w:sz w:val="20"/>
          <w:szCs w:val="20"/>
          <w:color w:val="auto"/>
        </w:rPr>
      </w:pPr>
      <w:r>
        <w:rPr>
          <w:rFonts w:ascii="Arial" w:cs="Arial" w:eastAsia="Arial" w:hAnsi="Arial"/>
          <w:sz w:val="18"/>
          <w:szCs w:val="18"/>
          <w:color w:val="auto"/>
        </w:rPr>
        <w:t>Our Holding Company's cash flows from financing activities for the six months ended June 30, 2019 were primarily attributable to our issuances of additional senior unsecured notes and proceeds from our "at-the-market" offering, as described above. In addition, for each of the six months ended June 30, 2019 and 2018, our Holding Company made payments on our aggregate quarterly distributions of $55 million and $48 million, respectively (including $1 million for each period to our general partner in order maintain its ownership percentage in 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Investment segment's cash flows from operating activities for the comparable periods were attributable to its net investment transactions.</w:t>
      </w:r>
    </w:p>
    <w:p>
      <w:pPr>
        <w:spacing w:after="0" w:line="12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Investment segment's cash flows from financing activities for the six months ended June 30, 2019 and 2018 were attributable to Mr. Icahn and his affiliates' (excluding us) investments in the Investment Funds of $70 million and $280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Segments</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other operating segments' cash flows from continuing operating activities included net cash flows from operating activities before changes in operating assets and liabilities of $411 million and $343 million for the six months ended June 30, 2019 and 2018, respectively, primarily attributable to our Energy segment. The change in cash flows from continuing operating activities for the six months ended June 30, 2019 as compared to the comparable prior year period was primarily due to changes in working capital attributable to our Energy and Automotive segments. For our Energy segment, working capital in 2018 was impacted by the reduction of our petroleum business' renewable volume obligation. For our Automotive segment, working capital was impacted by inventory purchases and timing of other operating payments and receipts.</w:t>
      </w:r>
    </w:p>
    <w:p>
      <w:pPr>
        <w:spacing w:after="0" w:line="70"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Our other operating segments' cash flows from continuing investing activities were primarily due to capital expenditures, primarily within our Energy and Automotive segments. In addition, our other operating segments had net payments for the acquisitions of businesses of $51 million and $10 million, net of cash acquired, during the six months ended June 30, 2019 and 2018, respectively, and our Automotive segment invested an additional $45 million in 767 Leasing LLC in 2019 compared to $10 million in 2018.</w:t>
      </w:r>
    </w:p>
    <w:p>
      <w:pPr>
        <w:spacing w:after="0" w:line="7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other operating segments' cash flows from continuing financing activities were primarily due to our Energy segment's payments to acquire the remaining common units of CVR Refining not already owned by CVR Energy in 2019 for $301 million, including $60 million paid to our Holding Company for our direct ownership in CVR Refining. In addition, our other operating segments also had net contributions from our Holding Company of $81 million and $203 million for the six months ended June 30, 2019 and 2018, respectively, as described above. For the six months ended June 30, 2019 and 2018, our Energy segment had distributions to non-controlling interests of $56 million and $58 million, respectively, and in 2018, our Food Packaging segment received $50 million in connection with a rights offering, of which $44 million represented a contribution from our Holding Company and $6 million was from non-controlling interests.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cash flows from operating activities from discontinued operations for the six months ended June 30, 2018 was comprised of $146 million provided by Federal-Mogul, $52 million provided by ARI and $83 million provided by our former Gaming segment, primarily due to net cash flows from operating activities before changes in operating assets and liabilities. Cash flows provided by operating activities from discontinued operations was net of cash payments for interest of $86 million for Federal-Mogul, $11 million for ARI and $3 million for our former Gaming segment for the six months ended June 30, 2018. In addition, our former Gaming segment had net cash flows provided by operating activities of $7 million from transactions with our Holding Company.</w:t>
      </w:r>
    </w:p>
    <w:p>
      <w:pPr>
        <w:spacing w:after="0" w:line="85"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Our cash flows from investing activities from discontinued operations for the six months ended June 30, 2018 was comprised of $210 million used by Federal-Mogul, $20 million used by ARI and $40 million used by our former Gaming segment, primarily due to capital expenditures.</w:t>
      </w:r>
    </w:p>
    <w:p>
      <w:pPr>
        <w:spacing w:after="0" w:line="3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cash flows from financing activities from discontinued operations for the six months ended June 30, 2018 was primarily due to net debt transactions. In addition, Federal-Mogul had $2 million in distributions to non-controlling interests, ARI had $6 million in dividends to non-controlling interests and ARI also had $9 million in dividends paid to us. During the six months ended June 30, 2018, Federal-Mogul also received $56 million from us in connection with a certain litigation reserve.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76"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There have been no significant changes to our capital expenditures during the six months ended June 30, 2019 as compared to the estimated capital expenditures for 2019 as reported in our Annual Report on Form 10-K for the year ended December 31,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Contractual Commitments and Contingencies</w:t>
      </w:r>
    </w:p>
    <w:p>
      <w:pPr>
        <w:spacing w:after="0" w:line="117" w:lineRule="exact"/>
        <w:rPr>
          <w:sz w:val="20"/>
          <w:szCs w:val="20"/>
          <w:color w:val="auto"/>
        </w:rPr>
      </w:pPr>
    </w:p>
    <w:p>
      <w:pPr>
        <w:ind w:right="180" w:firstLine="378"/>
        <w:spacing w:after="0" w:line="277" w:lineRule="auto"/>
        <w:rPr>
          <w:sz w:val="20"/>
          <w:szCs w:val="20"/>
          <w:color w:val="auto"/>
        </w:rPr>
      </w:pPr>
      <w:r>
        <w:rPr>
          <w:rFonts w:ascii="Arial" w:cs="Arial" w:eastAsia="Arial" w:hAnsi="Arial"/>
          <w:sz w:val="18"/>
          <w:szCs w:val="18"/>
          <w:color w:val="auto"/>
        </w:rPr>
        <w:t>There have been no material changes to our contractual commitments and contingencies as compared to those reported in our Annual Report on Form 10-K for the year ended December 31, 2018</w:t>
      </w:r>
      <w:r>
        <w:rPr>
          <w:rFonts w:ascii="Arial" w:cs="Arial" w:eastAsia="Arial" w:hAnsi="Arial"/>
          <w:sz w:val="18"/>
          <w:szCs w:val="18"/>
          <w:b w:val="1"/>
          <w:b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Off-Balance Sheet Arrangements</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The critical accounting policies and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2018.</w:t>
      </w:r>
    </w:p>
    <w:p>
      <w:pPr>
        <w:spacing w:after="0" w:line="79" w:lineRule="exact"/>
        <w:rPr>
          <w:sz w:val="20"/>
          <w:szCs w:val="20"/>
          <w:color w:val="auto"/>
        </w:rPr>
      </w:pPr>
    </w:p>
    <w:p>
      <w:pPr>
        <w:ind w:right="420" w:firstLine="378"/>
        <w:spacing w:after="0" w:line="342" w:lineRule="auto"/>
        <w:rPr>
          <w:sz w:val="20"/>
          <w:szCs w:val="20"/>
          <w:color w:val="auto"/>
        </w:rPr>
      </w:pPr>
      <w:r>
        <w:rPr>
          <w:rFonts w:ascii="Arial" w:cs="Arial" w:eastAsia="Arial" w:hAnsi="Arial"/>
          <w:sz w:val="16"/>
          <w:szCs w:val="16"/>
          <w:color w:val="auto"/>
        </w:rPr>
        <w:t xml:space="preserve">Effective January 1, 2019, we adopted FASB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Although this new standard is not expected to have a material impact on our ongoing results of operations, we determined that it was appropriate to identify our updated accounting policy as a critical accounting policy.</w:t>
      </w:r>
    </w:p>
    <w:p>
      <w:pPr>
        <w:spacing w:after="0" w:line="16" w:lineRule="exact"/>
        <w:rPr>
          <w:sz w:val="20"/>
          <w:szCs w:val="20"/>
          <w:color w:val="auto"/>
        </w:rPr>
      </w:pPr>
    </w:p>
    <w:p>
      <w:pPr>
        <w:ind w:firstLine="378"/>
        <w:spacing w:after="0" w:line="342" w:lineRule="auto"/>
        <w:rPr>
          <w:sz w:val="20"/>
          <w:szCs w:val="20"/>
          <w:color w:val="auto"/>
        </w:rPr>
      </w:pPr>
      <w:r>
        <w:rPr>
          <w:rFonts w:ascii="Arial" w:cs="Arial" w:eastAsia="Arial" w:hAnsi="Arial"/>
          <w:sz w:val="16"/>
          <w:szCs w:val="16"/>
          <w:color w:val="auto"/>
        </w:rPr>
        <w:t>Except for the adoption of FASB ASC Topic 842, discussed above, there have been no material changes to our critical accounting policies and estimates during the six months ended June 30, 2019 as compared to those reported in our Annual Report on Form 10-K for the year ended December 31, 2018.</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Refer to Note 2, "Basis of Presentation and Summary of Significant Accounting Policies," to the condensed consolidated financial statements for a discussion of recent accounting pronouncements applicable to us.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76" w:right="2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Except as discussed below, information about our quantitative and qualitative disclosures about market risk did not differ materially from those disclosed in our Annual Report on Form 10-K for the year ended December 31,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6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June 30, 2019, we estimate that in the event of a 10% adverse change in the fair value of these investments, the fair values of securities owned, securities sold, not yet purchased and derivatives would be negatively impacted by approximately $819 million, $15 million and $1.6 billion, respectively. However, as of June 30, 2019, we estimate that the impact to our share of the net gain (loss) from investment activities reported in our condensed consolidated statement of operations would be less than the change in fair value since we have an investment of approximately 50% in the Investment Funds, and the non-controlling interests in income would correspondingly offset approximately 50% of the change in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As of June 30, 2019,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64" w:right="259" w:bottom="1440" w:gutter="0" w:footer="0" w:header="0"/>
        </w:sectPr>
      </w:pPr>
    </w:p>
    <w:bookmarkStart w:id="62" w:name="page63"/>
    <w:bookmarkEnd w:id="62"/>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are, and will continue to be, subject to litigation from time to time in the ordinary course of business. Refer to Note 17, “Commitments and Contingencies” to the condensed consolidated financial statements, which is incorporated by reference into this Part II, Item 1 of this Report, for information regarding our lawsuits and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There were no material changes to our risk factors during the six months ended June 30, 2019 as compared to those reported in our Annual Report on Form 10-K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00"/>
          </w:cols>
          <w:pgMar w:left="240" w:top="364"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13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Item 6. Exhibits.</w:t>
            </w:r>
          </w:p>
        </w:tc>
        <w:tc>
          <w:tcPr>
            <w:tcW w:w="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13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600" w:type="dxa"/>
            <w:vAlign w:val="bottom"/>
            <w:gridSpan w:val="5"/>
          </w:tcPr>
          <w:p>
            <w:pPr>
              <w:ind w:left="21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1260" w:type="dxa"/>
            <w:vAlign w:val="bottom"/>
            <w:gridSpan w:val="3"/>
          </w:tcPr>
          <w:p>
            <w:pPr>
              <w:jc w:val="center"/>
              <w:spacing w:after="0" w:line="196" w:lineRule="exact"/>
              <w:rPr>
                <w:rFonts w:ascii="Arial" w:cs="Arial" w:eastAsia="Arial" w:hAnsi="Arial"/>
                <w:sz w:val="18"/>
                <w:szCs w:val="18"/>
                <w:color w:val="0000FF"/>
                <w:w w:val="91"/>
              </w:rPr>
            </w:pPr>
            <w:hyperlink w:anchor="page66">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6"/>
          </w:tcPr>
          <w:p>
            <w:pPr>
              <w:spacing w:after="0" w:line="196" w:lineRule="exact"/>
              <w:rPr>
                <w:rFonts w:ascii="Arial" w:cs="Arial" w:eastAsia="Arial" w:hAnsi="Arial"/>
                <w:sz w:val="18"/>
                <w:szCs w:val="18"/>
                <w:color w:val="0000FF"/>
                <w:w w:val="98"/>
              </w:rPr>
            </w:pPr>
            <w:hyperlink w:anchor="page66">
              <w:r>
                <w:rPr>
                  <w:rFonts w:ascii="Arial" w:cs="Arial" w:eastAsia="Arial" w:hAnsi="Arial"/>
                  <w:sz w:val="18"/>
                  <w:szCs w:val="18"/>
                  <w:color w:val="0000FF"/>
                  <w:w w:val="98"/>
                </w:rPr>
                <w:t>Certification of Chief Executive Officer pursuant to Section 302(a) of the Sarbanes-Oxley Act of 2002 and Rule 13a-14(a) of the</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66">
              <w:r>
                <w:rPr>
                  <w:rFonts w:ascii="Arial" w:cs="Arial" w:eastAsia="Arial" w:hAnsi="Arial"/>
                  <w:sz w:val="18"/>
                  <w:szCs w:val="18"/>
                  <w:color w:val="0000FF"/>
                </w:rPr>
                <w:t>Securities Exchange Act of 1934.</w:t>
              </w:r>
            </w:hyperlink>
          </w:p>
        </w:tc>
        <w:tc>
          <w:tcPr>
            <w:tcW w:w="720" w:type="dxa"/>
            <w:vAlign w:val="bottom"/>
            <w:gridSpan w:val="2"/>
          </w:tcPr>
          <w:p>
            <w:pPr>
              <w:spacing w:after="0"/>
              <w:rPr>
                <w:sz w:val="17"/>
                <w:szCs w:val="17"/>
                <w:color w:val="auto"/>
              </w:rPr>
            </w:pPr>
          </w:p>
        </w:tc>
      </w:tr>
      <w:tr>
        <w:trPr>
          <w:trHeight w:val="20"/>
        </w:trPr>
        <w:tc>
          <w:tcPr>
            <w:tcW w:w="1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60" w:type="dxa"/>
            <w:vAlign w:val="bottom"/>
            <w:gridSpan w:val="3"/>
          </w:tcPr>
          <w:p>
            <w:pPr>
              <w:jc w:val="cente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6"/>
          </w:tcPr>
          <w:p>
            <w:pPr>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Certification of Chief Financial Officer pursuant to Section 302(a) of the Sarbanes-Oxley Act of 2002 and Rule 13a-14(a) of the</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2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67">
              <w:r>
                <w:rPr>
                  <w:rFonts w:ascii="Arial" w:cs="Arial" w:eastAsia="Arial" w:hAnsi="Arial"/>
                  <w:sz w:val="18"/>
                  <w:szCs w:val="18"/>
                  <w:color w:val="0000FF"/>
                </w:rPr>
                <w:t>Securities Exchange Act of 1934.</w:t>
              </w:r>
            </w:hyperlink>
          </w:p>
        </w:tc>
        <w:tc>
          <w:tcPr>
            <w:tcW w:w="780" w:type="dxa"/>
            <w:vAlign w:val="bottom"/>
            <w:gridSpan w:val="3"/>
          </w:tcPr>
          <w:p>
            <w:pPr>
              <w:spacing w:after="0"/>
              <w:rPr>
                <w:sz w:val="17"/>
                <w:szCs w:val="17"/>
                <w:color w:val="auto"/>
              </w:rPr>
            </w:pPr>
          </w:p>
        </w:tc>
      </w:tr>
      <w:tr>
        <w:trPr>
          <w:trHeight w:val="20"/>
        </w:trPr>
        <w:tc>
          <w:tcPr>
            <w:tcW w:w="1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60" w:type="dxa"/>
            <w:vAlign w:val="bottom"/>
            <w:gridSpan w:val="3"/>
          </w:tcPr>
          <w:p>
            <w:pPr>
              <w:jc w:val="center"/>
              <w:spacing w:after="0"/>
              <w:rPr>
                <w:rFonts w:ascii="Arial" w:cs="Arial" w:eastAsia="Arial" w:hAnsi="Arial"/>
                <w:sz w:val="18"/>
                <w:szCs w:val="18"/>
                <w:color w:val="0000FF"/>
                <w:w w:val="91"/>
              </w:rPr>
            </w:pPr>
            <w:hyperlink w:anchor="page68">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6"/>
          </w:tcPr>
          <w:p>
            <w:pPr>
              <w:spacing w:after="0"/>
              <w:rPr>
                <w:rFonts w:ascii="Arial" w:cs="Arial" w:eastAsia="Arial" w:hAnsi="Arial"/>
                <w:sz w:val="18"/>
                <w:szCs w:val="18"/>
                <w:color w:val="0000FF"/>
                <w:w w:val="97"/>
              </w:rPr>
            </w:pPr>
            <w:hyperlink w:anchor="page68">
              <w:r>
                <w:rPr>
                  <w:rFonts w:ascii="Arial" w:cs="Arial" w:eastAsia="Arial" w:hAnsi="Arial"/>
                  <w:sz w:val="18"/>
                  <w:szCs w:val="18"/>
                  <w:color w:val="0000FF"/>
                  <w:w w:val="97"/>
                </w:rPr>
                <w:t>Certification of Chief Executive Officer and Chief Financial Officer pursuant to Section 906 of the Sarbanes-Oxley Act of 2002 (18</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68">
              <w:r>
                <w:rPr>
                  <w:rFonts w:ascii="Arial" w:cs="Arial" w:eastAsia="Arial" w:hAnsi="Arial"/>
                  <w:sz w:val="18"/>
                  <w:szCs w:val="18"/>
                  <w:color w:val="0000FF"/>
                </w:rPr>
                <w:t>U.S.C. 1350) and Rule 13a-14(b) of the Securities Exchange Act of 1934.</w:t>
              </w:r>
            </w:hyperlink>
          </w:p>
        </w:tc>
        <w:tc>
          <w:tcPr>
            <w:tcW w:w="520" w:type="dxa"/>
            <w:vAlign w:val="bottom"/>
          </w:tcPr>
          <w:p>
            <w:pPr>
              <w:spacing w:after="0"/>
              <w:rPr>
                <w:sz w:val="17"/>
                <w:szCs w:val="17"/>
                <w:color w:val="auto"/>
              </w:rPr>
            </w:pPr>
          </w:p>
        </w:tc>
      </w:tr>
      <w:tr>
        <w:trPr>
          <w:trHeight w:val="291"/>
        </w:trPr>
        <w:tc>
          <w:tcPr>
            <w:tcW w:w="138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4"/>
                <w:szCs w:val="24"/>
                <w:color w:val="auto"/>
              </w:rPr>
            </w:pPr>
          </w:p>
        </w:tc>
        <w:tc>
          <w:tcPr>
            <w:tcW w:w="53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Inline XBRL Taxonomy Extension Schema Document.</w:t>
            </w:r>
          </w:p>
        </w:tc>
        <w:tc>
          <w:tcPr>
            <w:tcW w:w="4700" w:type="dxa"/>
            <w:vAlign w:val="bottom"/>
            <w:gridSpan w:val="4"/>
          </w:tcPr>
          <w:p>
            <w:pPr>
              <w:spacing w:after="0"/>
              <w:rPr>
                <w:sz w:val="24"/>
                <w:szCs w:val="24"/>
                <w:color w:val="auto"/>
              </w:rPr>
            </w:pPr>
          </w:p>
        </w:tc>
      </w:tr>
      <w:tr>
        <w:trPr>
          <w:trHeight w:val="270"/>
        </w:trPr>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3"/>
                <w:szCs w:val="23"/>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3"/>
                <w:szCs w:val="23"/>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38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3"/>
                <w:szCs w:val="23"/>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38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40" w:lineRule="exact"/>
        <w:rPr>
          <w:sz w:val="20"/>
          <w:szCs w:val="20"/>
          <w:color w:val="auto"/>
        </w:rPr>
      </w:pPr>
    </w:p>
    <w:p>
      <w:pPr>
        <w:ind w:left="1420" w:right="180" w:hanging="9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June 30,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2019;</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June 30,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2019;</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In connection with the joint quarterly report on Form 10-Q of Icahn Enterprises L.P. and Icahn Enterprises Holdings L.P., for the period ended June 30, 2019, the undersigned certify that, to the best of his knowledge, based upon a review of the Icahn Enterprises L.P. and Icahn Enterprises Holdings L.P. joint quarterly report on Form 10-Q for the period ended June 30, 2019:</w:t>
      </w:r>
    </w:p>
    <w:p>
      <w:pPr>
        <w:spacing w:after="0" w:line="181" w:lineRule="exact"/>
        <w:rPr>
          <w:sz w:val="20"/>
          <w:szCs w:val="20"/>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lowerRoman"/>
      <w:start w:val="2"/>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6"/>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8"/>
    </w:lvl>
  </w:abstractNum>
  <w:abstractNum w:abstractNumId="14">
    <w:nsid w:val="519B500D"/>
    <w:multiLevelType w:val="hybridMultilevel"/>
    <w:lvl w:ilvl="0">
      <w:lvlJc w:val="left"/>
      <w:lvlText w:val="%1."/>
      <w:numFmt w:val="decimal"/>
      <w:start w:val="9"/>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2019-12-28T08:31:05Z</dcterms:created>
  <dcterms:modified xsi:type="dcterms:W3CDTF">2019-12-28T08:31:05Z</dcterms:modified>
</cp:coreProperties>
</file>