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3380"/>
        <w:spacing w:after="0"/>
        <w:tabs>
          <w:tab w:leader="none" w:pos="620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3380"/>
        <w:spacing w:after="0"/>
        <w:tabs>
          <w:tab w:leader="none" w:pos="620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Icahn Enterprises L.P.</w:t>
            </w:r>
          </w:p>
        </w:tc>
        <w:tc>
          <w:tcPr>
            <w:tcW w:w="170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Icahn Enterprises Holdings L.P.</w:t>
            </w:r>
          </w:p>
        </w:tc>
      </w:tr>
      <w:tr>
        <w:trPr>
          <w:trHeight w:val="20"/>
        </w:trPr>
        <w:tc>
          <w:tcPr>
            <w:tcW w:w="1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o</w:t>
            </w:r>
          </w:p>
        </w:tc>
        <w:tc>
          <w:tcPr>
            <w:tcW w:w="30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Accelerated Filer x</w:t>
            </w:r>
          </w:p>
        </w:tc>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4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Smaller reporting company o</w:t>
            </w:r>
          </w:p>
        </w:tc>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4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360"/>
        <w:spacing w:after="0"/>
        <w:tabs>
          <w:tab w:leader="none" w:pos="622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 2013, there were 113,900,309 of Icahn Enterprises' depositary units outstanding.</w:t>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7"/>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540" w:type="dxa"/>
            <w:vAlign w:val="bottom"/>
            <w:gridSpan w:val="5"/>
            <w:shd w:val="clear" w:color="auto" w:fill="CCEEFF"/>
          </w:tcPr>
          <w:p>
            <w:pPr>
              <w:jc w:val="center"/>
              <w:ind w:left="272"/>
              <w:spacing w:after="0" w:line="20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Item 2.</w:t>
              </w:r>
            </w:hyperlink>
          </w:p>
        </w:tc>
        <w:tc>
          <w:tcPr>
            <w:tcW w:w="9540" w:type="dxa"/>
            <w:vAlign w:val="bottom"/>
            <w:gridSpan w:val="9"/>
          </w:tcPr>
          <w:p>
            <w:pPr>
              <w:ind w:left="320"/>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Management's Discussion and Analysis of Financial Condition and Results of Operations.</w:t>
              </w:r>
            </w:hyperlink>
          </w:p>
        </w:tc>
        <w:tc>
          <w:tcPr>
            <w:tcW w:w="540" w:type="dxa"/>
            <w:vAlign w:val="bottom"/>
            <w:gridSpan w:val="5"/>
          </w:tcPr>
          <w:p>
            <w:pPr>
              <w:jc w:val="center"/>
              <w:ind w:left="272"/>
              <w:spacing w:after="0" w:line="202"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68</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2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96">
              <w:r>
                <w:rPr>
                  <w:rFonts w:ascii="Arial" w:cs="Arial" w:eastAsia="Arial" w:hAnsi="Arial"/>
                  <w:sz w:val="18"/>
                  <w:szCs w:val="18"/>
                  <w:color w:val="0000FF"/>
                </w:rPr>
                <w:t>Item 3.</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96">
              <w:r>
                <w:rPr>
                  <w:rFonts w:ascii="Arial" w:cs="Arial" w:eastAsia="Arial" w:hAnsi="Arial"/>
                  <w:sz w:val="18"/>
                  <w:szCs w:val="18"/>
                  <w:color w:val="0000FF"/>
                </w:rPr>
                <w:t>Quantitative and Qualitative Disclosures About Market Risk.</w:t>
              </w:r>
            </w:hyperlink>
          </w:p>
        </w:tc>
        <w:tc>
          <w:tcPr>
            <w:tcW w:w="540" w:type="dxa"/>
            <w:vAlign w:val="bottom"/>
            <w:gridSpan w:val="5"/>
            <w:shd w:val="clear" w:color="auto" w:fill="CCEEFF"/>
          </w:tcPr>
          <w:p>
            <w:pPr>
              <w:jc w:val="center"/>
              <w:ind w:left="272"/>
              <w:spacing w:after="0" w:line="202"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91</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600" w:type="dxa"/>
            <w:vAlign w:val="bottom"/>
            <w:tcBorders>
              <w:top w:val="single" w:sz="8" w:color="0000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FF"/>
              </w:rPr>
            </w:pPr>
            <w:hyperlink w:anchor="page98">
              <w:r>
                <w:rPr>
                  <w:rFonts w:ascii="Arial" w:cs="Arial" w:eastAsia="Arial" w:hAnsi="Arial"/>
                  <w:sz w:val="18"/>
                  <w:szCs w:val="18"/>
                  <w:color w:val="0000FF"/>
                </w:rPr>
                <w:t>Item 4.</w:t>
              </w:r>
            </w:hyperlink>
          </w:p>
        </w:tc>
        <w:tc>
          <w:tcPr>
            <w:tcW w:w="9540" w:type="dxa"/>
            <w:vAlign w:val="bottom"/>
            <w:gridSpan w:val="9"/>
          </w:tcPr>
          <w:p>
            <w:pPr>
              <w:ind w:left="320"/>
              <w:spacing w:after="0" w:line="202" w:lineRule="exact"/>
              <w:rPr>
                <w:rFonts w:ascii="Arial" w:cs="Arial" w:eastAsia="Arial" w:hAnsi="Arial"/>
                <w:sz w:val="18"/>
                <w:szCs w:val="18"/>
                <w:color w:val="0000FF"/>
              </w:rPr>
            </w:pPr>
            <w:hyperlink w:anchor="page98">
              <w:r>
                <w:rPr>
                  <w:rFonts w:ascii="Arial" w:cs="Arial" w:eastAsia="Arial" w:hAnsi="Arial"/>
                  <w:sz w:val="18"/>
                  <w:szCs w:val="18"/>
                  <w:color w:val="0000FF"/>
                </w:rPr>
                <w:t>Controls and Procedures.</w:t>
              </w:r>
            </w:hyperlink>
          </w:p>
        </w:tc>
        <w:tc>
          <w:tcPr>
            <w:tcW w:w="540" w:type="dxa"/>
            <w:vAlign w:val="bottom"/>
            <w:gridSpan w:val="5"/>
          </w:tcPr>
          <w:p>
            <w:pPr>
              <w:jc w:val="center"/>
              <w:ind w:left="272"/>
              <w:spacing w:after="0" w:line="202"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93</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97"/>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Legal Proceedings.</w:t>
              </w:r>
            </w:hyperlink>
          </w:p>
        </w:tc>
        <w:tc>
          <w:tcPr>
            <w:tcW w:w="540" w:type="dxa"/>
            <w:vAlign w:val="bottom"/>
            <w:gridSpan w:val="5"/>
            <w:shd w:val="clear" w:color="auto" w:fill="CCEEFF"/>
          </w:tcPr>
          <w:p>
            <w:pPr>
              <w:jc w:val="center"/>
              <w:ind w:left="272"/>
              <w:spacing w:after="0" w:line="202"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94</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Item 1A.</w:t>
              </w:r>
            </w:hyperlink>
          </w:p>
        </w:tc>
        <w:tc>
          <w:tcPr>
            <w:tcW w:w="9540" w:type="dxa"/>
            <w:vAlign w:val="bottom"/>
            <w:gridSpan w:val="9"/>
          </w:tcPr>
          <w:p>
            <w:pPr>
              <w:ind w:left="32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Risk Factors.</w:t>
              </w:r>
            </w:hyperlink>
          </w:p>
        </w:tc>
        <w:tc>
          <w:tcPr>
            <w:tcW w:w="540" w:type="dxa"/>
            <w:vAlign w:val="bottom"/>
            <w:gridSpan w:val="5"/>
          </w:tcPr>
          <w:p>
            <w:pPr>
              <w:jc w:val="center"/>
              <w:ind w:left="272"/>
              <w:spacing w:after="0" w:line="202"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94</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104">
              <w:r>
                <w:rPr>
                  <w:rFonts w:ascii="Arial" w:cs="Arial" w:eastAsia="Arial" w:hAnsi="Arial"/>
                  <w:sz w:val="18"/>
                  <w:szCs w:val="18"/>
                  <w:color w:val="0000FF"/>
                </w:rPr>
                <w:t>Item 6.</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104">
              <w:r>
                <w:rPr>
                  <w:rFonts w:ascii="Arial" w:cs="Arial" w:eastAsia="Arial" w:hAnsi="Arial"/>
                  <w:sz w:val="18"/>
                  <w:szCs w:val="18"/>
                  <w:color w:val="0000FF"/>
                </w:rPr>
                <w:t>Exhibits.</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FF"/>
                <w:w w:val="86"/>
              </w:rPr>
            </w:pPr>
            <w:hyperlink w:anchor="page104">
              <w:r>
                <w:rPr>
                  <w:rFonts w:ascii="Arial" w:cs="Arial" w:eastAsia="Arial" w:hAnsi="Arial"/>
                  <w:sz w:val="18"/>
                  <w:szCs w:val="18"/>
                  <w:color w:val="0000FF"/>
                  <w:w w:val="86"/>
                </w:rPr>
                <w:t>100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unit amounts)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1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31,781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Post-employment benefit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w w:val="91"/>
              </w:rPr>
              <w:t>Limited partners: Depositary units: 112,384,570 and 104,850,813 units issued and outstanding at September</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30, 2013 and December 31, 2012, respectively</w:t>
            </w:r>
          </w:p>
        </w:tc>
        <w:tc>
          <w:tcPr>
            <w:tcW w:w="18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31,781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364"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60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20" w:type="dxa"/>
            <w:vAlign w:val="bottom"/>
          </w:tcPr>
          <w:p>
            <w:pPr>
              <w:spacing w:after="0"/>
              <w:rPr>
                <w:sz w:val="24"/>
                <w:szCs w:val="24"/>
                <w:color w:val="auto"/>
              </w:rPr>
            </w:pPr>
          </w:p>
        </w:tc>
        <w:tc>
          <w:tcPr>
            <w:tcW w:w="46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394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90"/>
              </w:rPr>
              <w:t>(In millions, except per unit amounts)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2012</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22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4,181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4,519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(loss) from investment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1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5,721</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4,503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15,658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11,413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3,825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3,702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11,605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1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1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4,444</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4,294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13,393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Income before income tax (expense) benefit</w:t>
            </w:r>
          </w:p>
        </w:tc>
        <w:tc>
          <w:tcPr>
            <w:tcW w:w="1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58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Icahn Enterprises</w:t>
            </w:r>
          </w:p>
        </w:tc>
        <w:tc>
          <w:tcPr>
            <w:tcW w:w="22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allocable to:</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2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67"/>
        </w:trPr>
        <w:tc>
          <w:tcPr>
            <w:tcW w:w="352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5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520" w:type="dxa"/>
            <w:vAlign w:val="bottom"/>
          </w:tcPr>
          <w:p>
            <w:pPr>
              <w:ind w:left="40"/>
              <w:spacing w:after="0"/>
              <w:rPr>
                <w:sz w:val="20"/>
                <w:szCs w:val="20"/>
                <w:color w:val="auto"/>
              </w:rPr>
            </w:pPr>
            <w:r>
              <w:rPr>
                <w:rFonts w:ascii="Arial" w:cs="Arial" w:eastAsia="Arial" w:hAnsi="Arial"/>
                <w:sz w:val="18"/>
                <w:szCs w:val="18"/>
                <w:color w:val="auto"/>
              </w:rPr>
              <w:t>Basic income per LP unit</w:t>
            </w:r>
          </w:p>
        </w:tc>
        <w:tc>
          <w:tcPr>
            <w:tcW w:w="2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1"/>
        </w:trPr>
        <w:tc>
          <w:tcPr>
            <w:tcW w:w="3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Basic weighted average LP units outstanding</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income per LP unit</w:t>
            </w:r>
          </w:p>
        </w:tc>
        <w:tc>
          <w:tcPr>
            <w:tcW w:w="22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Diluted weighted average LP units outstanding</w:t>
            </w:r>
          </w:p>
        </w:tc>
        <w:tc>
          <w:tcPr>
            <w:tcW w:w="11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1"/>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22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8600" w:type="dxa"/>
            <w:vAlign w:val="bottom"/>
            <w:gridSpan w:val="8"/>
          </w:tcPr>
          <w:p>
            <w:pPr>
              <w:jc w:val="center"/>
              <w:ind w:left="273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4"/>
                <w:szCs w:val="24"/>
                <w:color w:val="auto"/>
              </w:rPr>
            </w:pPr>
          </w:p>
        </w:tc>
        <w:tc>
          <w:tcPr>
            <w:tcW w:w="28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1"/>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2012</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gridSpan w:val="3"/>
          </w:tcPr>
          <w:p>
            <w:pPr>
              <w:jc w:val="right"/>
              <w:ind w:right="90"/>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Less: Comprehensive income attributable to non-controlling</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Comprehensive income (loss) attributable to Icahn Enterprises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to:</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47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$1,002 million and $982 million at September 30, 2013 and December 31,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1,991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Proceeds from equity offerings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non-controlling</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Proceeds from subsidiary equity</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offerings</w:t>
            </w: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12,647</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121"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22860</wp:posOffset>
            </wp:positionV>
            <wp:extent cx="2092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gain from securities transactions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Purchases of securities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(5,532)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sales of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Purchases to cover securities sold, not yet purchased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securities sold, not yet purchased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Loss on disposition of assets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Deferred taxes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Changes in cash held at consolidated affiliated partnerships and restricted cash</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Changes in other operating assets and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of businesses, net of cash acquired</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Proceeds from sale of investments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distributions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equity offerings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offerings of subsidiary equity</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 in subsidiaries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senior unsecured notes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Proceeds from other borrowings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borrowings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121" w:right="25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121" w:right="2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174625</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t>Supplemental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 for interest, net of amounts capitalized</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w:t>
            </w: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payments for income taxes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0"/>
        </w:trPr>
        <w:tc>
          <w:tcPr>
            <w:tcW w:w="8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payable to LP unitholders</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investment segment contribution</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 of non-controlling interest in CVR</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r>
        <w:trPr>
          <w:trHeight w:val="25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 (loss) on available-for-sale securities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3"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(In millions)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31,797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24,570</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Post-employment benefit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64"/>
        </w:trPr>
        <w:tc>
          <w:tcPr>
            <w:tcW w:w="8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31,797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24,570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58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60" w:top="580" w:right="25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gridSpan w:val="7"/>
          </w:tcPr>
          <w:p>
            <w:pPr>
              <w:jc w:val="center"/>
              <w:ind w:left="321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3"/>
              </w:rPr>
              <w:t>(In millions)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27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2012</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4,181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4,519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(loss)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5,721</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4,503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15,658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3,825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3,702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11,605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4,444</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4,294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13,393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 benefit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Holdings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Icahn Enterprises Holdings allocable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600" w:type="dxa"/>
            <w:vAlign w:val="bottom"/>
            <w:gridSpan w:val="8"/>
          </w:tcPr>
          <w:p>
            <w:pPr>
              <w:jc w:val="center"/>
              <w:ind w:left="273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0" w:type="dxa"/>
            <w:vAlign w:val="bottom"/>
            <w:gridSpan w:val="8"/>
          </w:tcPr>
          <w:p>
            <w:pPr>
              <w:jc w:val="center"/>
              <w:ind w:left="273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4"/>
                <w:szCs w:val="24"/>
                <w:color w:val="auto"/>
              </w:rPr>
            </w:pPr>
          </w:p>
        </w:tc>
        <w:tc>
          <w:tcPr>
            <w:tcW w:w="28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1"/>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gridSpan w:val="3"/>
          </w:tcPr>
          <w:p>
            <w:pPr>
              <w:jc w:val="right"/>
              <w:ind w:right="90"/>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Less: Comprehensive income attributable to non-controlling</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Comprehensive income (loss) attributable to Icahn Enterprises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 allocable to:</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$1,002 million and $982 million at September 30, 2013 and December 31,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1,991</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Proceeds from equity offerings</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paid to non-controlling</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Proceeds from subsidiary equity</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offerings</w:t>
            </w:r>
          </w:p>
        </w:tc>
        <w:tc>
          <w:tcPr>
            <w:tcW w:w="12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12,669</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22860</wp:posOffset>
            </wp:positionV>
            <wp:extent cx="2092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gain from securities transactions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Purchases of securities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(5,532)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sales of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Purchases to cover securities sold, not yet purchased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securities sold, not yet purchased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Loss on disposition of assets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Deferred taxes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8100" w:type="dxa"/>
            <w:vAlign w:val="bottom"/>
          </w:tcPr>
          <w:p>
            <w:pPr>
              <w:ind w:left="100"/>
              <w:spacing w:after="0"/>
              <w:rPr>
                <w:sz w:val="20"/>
                <w:szCs w:val="20"/>
                <w:color w:val="auto"/>
              </w:rPr>
            </w:pPr>
            <w:r>
              <w:rPr>
                <w:rFonts w:ascii="Arial" w:cs="Arial" w:eastAsia="Arial" w:hAnsi="Arial"/>
                <w:sz w:val="18"/>
                <w:szCs w:val="18"/>
                <w:color w:val="auto"/>
              </w:rPr>
              <w:t>Changes in cash held at consolidated affiliated partnerships and restricted cash</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Changes in other operating assets and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of businesses, net of cash acquired</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Proceeds from sale of investments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distributions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equity offerings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offering of subsidiary equity</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 in subsidiaries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senior unsecured notes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Proceeds from other borrowings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borrowings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4" w:right="25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60" w:top="364" w:right="259" w:bottom="1440"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t>Supplemental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 for interest, net of amounts capitalized</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w:t>
            </w: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payments for income taxes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0"/>
        </w:trPr>
        <w:tc>
          <w:tcPr>
            <w:tcW w:w="8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payable to Icahn Enterprises LP unitholders</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investment segment contribution</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 of non-controlling interest in CVR</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r>
        <w:trPr>
          <w:trHeight w:val="25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 on available-for-sale securities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52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60" w:top="526" w:right="25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2013.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100,436,406, or approximately 89.4%, of Icahn Enterprises' outstanding depositary units as of September 30, 2013.</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2, “Operating Units,” and Note 13, “Segment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accompanying consolidated financial statements and related notes should be read in conjunction with our consolidated financial statements and related notes contained in our Annual Report on Form 10-K for the year ended December 31, 2012. The consolidated financial statements have been prepared in accordance with the rules and regulations of the Securities and Exchange Commission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On May 4, 2012, we acquired a controlling interest in CVR Energy, Inc. ("CVR") and have allocated the total purchase price to the fair value of assets acquired and liabilities assumed based on their fair values at the acquisition date, with amounts exceeding fair values recorded as goodwill. The purchase price allocation was finalized during the second quarter of 2013. See Note 8, "Goodwill and Intangible Assets, Net - Energy," for further discussion.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consolidated financial statements include the accounts of (i) Icahn Enterprises and (ii) the wholly and majority owned subsidiaries of Icahn Enterprises, in addition to those entities in which we have a controlling interest as a general partner interest or in which we may be the primary beneficiary of a variable interest entity (“VIE”). In evaluating whether we have a controlling financial interest in entities that we would consolidate, we consider the following: (1) for voting interest entities, we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consolidate these entities in which we own a majority of the voting interests; and (2) for limited partnership entities that are not considered VIEs,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carrying values of cash and cash equivalents, cash held at consolidated affiliated partnerships and restricted cash, accounts receivable, accounts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payable, accrued expenses and other liabilities and due to brokers are deemed to be reasonable estimates of their fair values because of their short-term nature.</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2013 was approximately $8.2 billion and $8.3 billion, respectively. The carrying value and estimated fair value of our long-term debt as of December 31, 2012 was approximately $8.5 billion and $8.6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restricted cash balance was approximately $1.4 billion and $0.7 billion as of September 30, 2013 and December 31, 2012,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 xml:space="preserve">In December 2011, the Financial Accounting Standards Board ("FASB") issued Accounting Standards Update ("ASU") No. 2011-11, which amends FASB Accounting Standards Codification ("ASC") Topic 210, </w:t>
      </w:r>
      <w:r>
        <w:rPr>
          <w:rFonts w:ascii="Arial" w:cs="Arial" w:eastAsia="Arial" w:hAnsi="Arial"/>
          <w:sz w:val="17"/>
          <w:szCs w:val="17"/>
          <w:i w:val="1"/>
          <w:iCs w:val="1"/>
          <w:color w:val="auto"/>
        </w:rPr>
        <w:t>Balance Sheet</w:t>
      </w:r>
      <w:r>
        <w:rPr>
          <w:rFonts w:ascii="Arial" w:cs="Arial" w:eastAsia="Arial" w:hAnsi="Arial"/>
          <w:sz w:val="17"/>
          <w:szCs w:val="17"/>
          <w:color w:val="auto"/>
        </w:rPr>
        <w:t>. This ASU requires companies to disclose both gross and net information about instruments and transactions eligible for offset in the statement of financial position as well as instruments and transactions subject to an agreement similar to a master netting arrangement. In January 2013, the FASB issued ASU No. 2013-01, which further amends FASB ASC Topic 210</w:t>
      </w:r>
      <w:r>
        <w:rPr>
          <w:rFonts w:ascii="Arial" w:cs="Arial" w:eastAsia="Arial" w:hAnsi="Arial"/>
          <w:sz w:val="17"/>
          <w:szCs w:val="17"/>
          <w:i w:val="1"/>
          <w:iCs w:val="1"/>
          <w:color w:val="auto"/>
        </w:rPr>
        <w:t>.</w:t>
      </w:r>
      <w:r>
        <w:rPr>
          <w:rFonts w:ascii="Arial" w:cs="Arial" w:eastAsia="Arial" w:hAnsi="Arial"/>
          <w:sz w:val="17"/>
          <w:szCs w:val="17"/>
          <w:color w:val="auto"/>
        </w:rPr>
        <w:t xml:space="preserve"> This ASU limits the scope of the original guidance. These ASUs are effective retrospectively for interim and annual periods beginning on or after January 1, 2013. We adopted these additional disclosure requirements effective January 1, 2013 which had minimal impact on our disclosures.</w:t>
      </w:r>
    </w:p>
    <w:p>
      <w:pPr>
        <w:spacing w:after="0" w:line="70" w:lineRule="exact"/>
        <w:rPr>
          <w:sz w:val="20"/>
          <w:szCs w:val="20"/>
          <w:color w:val="auto"/>
        </w:rPr>
      </w:pPr>
    </w:p>
    <w:p>
      <w:pPr>
        <w:jc w:val="both"/>
        <w:ind w:right="180" w:firstLine="378"/>
        <w:spacing w:after="0" w:line="279" w:lineRule="auto"/>
        <w:rPr>
          <w:sz w:val="20"/>
          <w:szCs w:val="20"/>
          <w:color w:val="auto"/>
        </w:rPr>
      </w:pPr>
      <w:r>
        <w:rPr>
          <w:rFonts w:ascii="Arial" w:cs="Arial" w:eastAsia="Arial" w:hAnsi="Arial"/>
          <w:sz w:val="17"/>
          <w:szCs w:val="17"/>
          <w:color w:val="auto"/>
        </w:rPr>
        <w:t xml:space="preserve">In February 2013, the FASB issued ASU No. 2013-02, which amends FASB ASC Topic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This ASU requires an entity to provide information about amounts reclassified out of accumulated other comprehensive income by component. The guidance is effective prospectively for interim and annual periods beginning after December 15, 2012. We adopted these additional disclosure requirements effective January 1, 2013. See Note15, "Changes in Accumulated Other Comprehensive Loss,"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 xml:space="preserve">In February 2013, the FASB issued ASU No. 2013-04, which amends FASB ASC Topic 405, </w:t>
      </w:r>
      <w:r>
        <w:rPr>
          <w:rFonts w:ascii="Arial" w:cs="Arial" w:eastAsia="Arial" w:hAnsi="Arial"/>
          <w:sz w:val="17"/>
          <w:szCs w:val="17"/>
          <w:i w:val="1"/>
          <w:iCs w:val="1"/>
          <w:color w:val="auto"/>
        </w:rPr>
        <w:t>Liabilities.</w:t>
      </w:r>
      <w:r>
        <w:rPr>
          <w:rFonts w:ascii="Arial" w:cs="Arial" w:eastAsia="Arial" w:hAnsi="Arial"/>
          <w:sz w:val="17"/>
          <w:szCs w:val="17"/>
          <w:color w:val="auto"/>
        </w:rPr>
        <w:t xml:space="preserve">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We anticipate that the adoption of this guidance will not have a material impact on our consolidated financial position, results of operations and cash flows.</w:t>
      </w:r>
    </w:p>
    <w:p>
      <w:pPr>
        <w:spacing w:after="0" w:line="70"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 xml:space="preserve">In March 2013, the FASB issued ASU No. 2013-05, which amends FASB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Early adoption is permitted provided that if the entity adopts this guidance early, it is applied as of the beginning of the entity's fiscal year of adoption. The adoption of this ASU will not have a material impact on our consolidated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 xml:space="preserve">In June 2013, the FASB issued ASU No. 2013-08, which amends FASB ASC Topic 946,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This ASU clarifies the characteristics of an investment company, and provides comprehensive guidance for assessing whether an entity is an investment company. This ASU is effective for fiscal years (and interim reporting periods within those years) beginning after December 15, 2013. Earlier adoption is prohibited. The adoption of this ASU will not have any impact on our consolidated financial position, results of operations or cash flows.</w:t>
      </w:r>
    </w:p>
    <w:p>
      <w:pPr>
        <w:spacing w:after="0" w:line="63"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In July 2013, the FASB issued ASU No. 2013-11, which amends FASB ASC Topic 740, Income Taxes. This ASU requires that unrecognized tax benefits, or a portion of an unrecognized tax benefit, should be presented in the financial statements as a reduction to a deferred tax asset for a net operating loss carryforward, a similar tax loss or a tax credit carryforward, except in certain cases. This ASU is effective for fiscal years (and interim reporting periods within those years) beginning after December 15, 2013. Earlier adoption is permitted. The adoption of this ASU will not have any impact on our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280" w:firstLine="378"/>
        <w:spacing w:after="0" w:line="286" w:lineRule="auto"/>
        <w:rPr>
          <w:sz w:val="20"/>
          <w:szCs w:val="20"/>
          <w:color w:val="auto"/>
        </w:rPr>
      </w:pPr>
      <w:r>
        <w:rPr>
          <w:rFonts w:ascii="Arial" w:cs="Arial" w:eastAsia="Arial" w:hAnsi="Arial"/>
          <w:sz w:val="17"/>
          <w:szCs w:val="17"/>
          <w:color w:val="auto"/>
        </w:rPr>
        <w:t xml:space="preserve">Federal-Mogul Corporation (“Federal-Mogul”), CVR, American Railcar Industries, Inc. (“ARI”) and Tropicana Entertainment Inc. (“Tropicana”) are each a public reporting entity under the Securities Exchange Act of 1934, as amended, and file annual, quarterly and current reports and proxy and information statements with the Securities and Exchange Commission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60" w:firstLine="378"/>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160" w:firstLine="378"/>
        <w:spacing w:after="0" w:line="286" w:lineRule="auto"/>
        <w:rPr>
          <w:sz w:val="20"/>
          <w:szCs w:val="20"/>
          <w:color w:val="auto"/>
        </w:rPr>
      </w:pPr>
      <w:r>
        <w:rPr>
          <w:rFonts w:ascii="Arial" w:cs="Arial" w:eastAsia="Arial" w:hAnsi="Arial"/>
          <w:sz w:val="17"/>
          <w:szCs w:val="17"/>
          <w:color w:val="auto"/>
        </w:rPr>
        <w:t>We had interests in the Investment Funds with a fair value of approximately $3.6 billion and $2.4 billion as of September 30, 2013 and December 31, 2012, respectively. Mr. Icahn and his affiliates (excluding Icahn Enterprises and Icahn Enterprises Holdings) had direct investments in the Investment Funds of approximately $4.5 billion and $3.5 billion as of September 30, 2013 and December 31, 2012,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00" w:firstLine="378"/>
        <w:spacing w:after="0" w:line="279" w:lineRule="auto"/>
        <w:rPr>
          <w:sz w:val="20"/>
          <w:szCs w:val="20"/>
          <w:color w:val="auto"/>
        </w:rPr>
      </w:pPr>
      <w:r>
        <w:rPr>
          <w:rFonts w:ascii="Arial" w:cs="Arial" w:eastAsia="Arial" w:hAnsi="Arial"/>
          <w:sz w:val="17"/>
          <w:szCs w:val="17"/>
          <w:color w:val="auto"/>
        </w:rPr>
        <w:t>We conduct our Automotive segment through our majority ownership in Federal-Mogul. Federal-Mogul is a leading global supplier of technology and innovation in vehicle and industrial products for fuel economy, emissions reduction and safety systems. Federal-Mogul serves the world's foremost original equipment manufacturers (each an “OEM”) and servicers (each an “OES”) of automotive, light, medium and heavy-duty commercial vehicles, off-road, agricultural, marine, rail, aerospace, power generation and industrial equipment, as well as the worldwide aftermarket.</w:t>
      </w:r>
    </w:p>
    <w:p>
      <w:pPr>
        <w:spacing w:after="0" w:line="63"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Effective September 1, 2012, Federal-Mogul began operating as two unique end-customer focused business units. The Powertrain (“PT”) unit focuses on original equipment powertrain and systems protection products for automotive, heavy-duty and industrial applications. The Vehicle Components Solutions (“VCS”) unit sells and distributes a broad portfolio of products in the global vehicle aftermarket and OES market, while also serving OEMs with vehicle products including brake friction, chassis, wipers and other vehicle components. The new organizational model is designed to allow for a strong product line focus benefiting both original equipment and aftermarket customers to enable the global Federal-Mogul teams to be responsive to customers' needs for superior products and to promote greater identification with Federal-Mogul premium brands. The division of the global Federal-Mogul business into two business units is expected to enhance management focus to capitalize on opportunities for organic or acquisition growth, profit improvement, resource utilization and business model optimization in line with the unique requirements of the two different customer bases.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July 11, 2013, Federal-Mogul received $500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thereby increasing our ownership of Federal-Mogul, for an aggregate additional investment of $434 million, which is eliminated in our consolidated statement of cash flows.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September 30, 2013, we owned approximately 80.7% of the total outstanding common stock of Federal-Mogul.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 xml:space="preserve">Federal-Mogul's subsidiaries in Brazil, France, Germany, Italy, Japan and the United States are party to accounts receivable factoring and securitization facilities. Gross accounts receivable transferred under these facilities were $274 million and $217 million as of September 30, 2013 and December 31, 2012, respectively. Of those gross amounts, $263 million and $216 million, respectively, qualify as sales as defined in FASB ASC Topic 860, </w:t>
      </w:r>
      <w:r>
        <w:rPr>
          <w:rFonts w:ascii="Arial" w:cs="Arial" w:eastAsia="Arial" w:hAnsi="Arial"/>
          <w:sz w:val="16"/>
          <w:szCs w:val="16"/>
          <w:i w:val="1"/>
          <w:iCs w:val="1"/>
          <w:color w:val="auto"/>
        </w:rPr>
        <w:t>Transfers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Servicing</w:t>
      </w:r>
      <w:r>
        <w:rPr>
          <w:rFonts w:ascii="Arial" w:cs="Arial" w:eastAsia="Arial" w:hAnsi="Arial"/>
          <w:sz w:val="16"/>
          <w:szCs w:val="16"/>
          <w:color w:val="auto"/>
        </w:rPr>
        <w:t>. The remaining transferred receivables were pledged as collateral and accounted for as secured borrowings and recorded in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within accounts receivable, net and debt. Under the terms of these facilities, Federal-Mogul is not obligated to draw cash immediately upon the transfer of accounts receivable. As of both September 30, 2013 and December 31, 2012, Federal-Mogul had no outstanding transferred receivables for which cash had not yet been drawn. Proceeds from the transfers of accounts receivable qualifying as sales were $379 million and $335 million for the three months ended September 30, 2013 and 2012, respectively, and approximately $1.1 billion for each of the nine months ended September 30, 2013 and 2012.</w:t>
      </w:r>
    </w:p>
    <w:p>
      <w:pPr>
        <w:spacing w:after="0" w:line="58"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For the three months ended September 30, 2013 and 2012, expenses associated with transfers of receivables were $2 million and $1 million, respectively, and $5 million for each of the nine months ended September 30, 2013 and 2012. Such expenses were recorded in the consolidated statements of operations within other income (loss), net. Where Federal-Mogul receives a fee to service and monitor these transferred receivables, such fees are sufficient to offset the costs and as such, a servicing asset or liability is not incurred as a result of such activities.</w:t>
      </w:r>
    </w:p>
    <w:p>
      <w:pPr>
        <w:spacing w:after="0" w:line="63" w:lineRule="exact"/>
        <w:rPr>
          <w:sz w:val="20"/>
          <w:szCs w:val="20"/>
          <w:color w:val="auto"/>
        </w:rPr>
      </w:pPr>
    </w:p>
    <w:p>
      <w:pPr>
        <w:ind w:right="100" w:firstLine="378"/>
        <w:spacing w:after="0" w:line="279" w:lineRule="auto"/>
        <w:rPr>
          <w:sz w:val="20"/>
          <w:szCs w:val="20"/>
          <w:color w:val="auto"/>
        </w:rPr>
      </w:pPr>
      <w:r>
        <w:rPr>
          <w:rFonts w:ascii="Arial" w:cs="Arial" w:eastAsia="Arial" w:hAnsi="Arial"/>
          <w:sz w:val="17"/>
          <w:szCs w:val="17"/>
          <w:color w:val="auto"/>
        </w:rPr>
        <w:t>Certain of the facilities contain terms that require Federal-Mogul to share in the credit risk of the sold receivables. The maximum exposures of Federal-Mogul associated with certain of these facilities' terms were $18 million and $19 million at September 30, 2013 and December 31, 2012, respectively. Based on Federal-Mogul's analysis of the creditworthiness of its customers with respect to which such receivables were sold and outstanding as of September 30, 2013 and December 31, 2012, Federal-Mogul estimated the loss to be immaterial.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240" w:firstLine="378"/>
        <w:spacing w:after="0" w:line="286" w:lineRule="auto"/>
        <w:rPr>
          <w:sz w:val="20"/>
          <w:szCs w:val="20"/>
          <w:color w:val="auto"/>
        </w:rPr>
      </w:pPr>
      <w:r>
        <w:rPr>
          <w:rFonts w:ascii="Arial" w:cs="Arial" w:eastAsia="Arial" w:hAnsi="Arial"/>
          <w:sz w:val="17"/>
          <w:szCs w:val="17"/>
          <w:color w:val="auto"/>
        </w:rPr>
        <w:t>Federal-Mogul recorded aggregate net restructuring charges of $4 million and $20 million for the three and nine months ended September 30, 2013, respectively. Federal-Mogul recorded aggregate net restructuring charges of $5 million and $20 million for the three and nine months ended September 30, 2012, respectively. Restructuring information related to specific restructuring plans are discussed below.</w:t>
      </w:r>
    </w:p>
    <w:p>
      <w:pPr>
        <w:spacing w:after="0" w:line="57"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In June 2012, Federal-Mogul announced a restructuring plan ("Restructuring 2012") to reduce or eliminate capacity at several high-cost VCS facilities and transfer production to lower-cost locations. Restructuring 2012 is anticipated to be completed within two years. In connection with Restructuring 2012, Federal-Mogul recorded $1 million and $2 million in restructuring charges for the three and nine months ended September 30, 2013, respectively, which pertain to employee costs and facility costs. For the three and nine months ended September 30, 2012, Federal-Mogul recorded $1 million and $8 million, respectively, in charges in connection with Restructuring 2012, all of which pertain to employee costs. Additionally, Federal-Mogul recognized $11 million in net restructuring expenses outside of Restructuring 2012 during the nine months ended September 30, 2012, all of which pertained to employee costs.</w:t>
      </w:r>
    </w:p>
    <w:p>
      <w:pPr>
        <w:spacing w:after="0" w:line="5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$79 million, of which $62 million and $17 million pertains to employee costs and facility costs, respectively. In connection with Restructuring 2013, Federal-Mogul recorded $3 million and $19 million in charges for the three and nine months ended September 30, 2013, respectively, all of which pertain to employee costs.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conduct our Energy segment through our majority ownership in CVR. We acquired a controlling interest in CVR on May 4, 2012.</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ammonia and urea ammonium nitrate ("UAN"). As of September 30, 2013, following various equity offerings as discussed below, CVR owned the general partner and approximately 71% of the common units of CVR Refining (including 100% of CVR Refining GP, LLC, its general partner) and approximately 53% of the common units of CVR Partners (including 100% of CVR GP, LLC, its general partner).</w:t>
      </w:r>
    </w:p>
    <w:p>
      <w:pPr>
        <w:spacing w:after="0" w:line="8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As of September 30, 2013, we owned approximately 82.0% of the total outstanding common stock of CVR. In addition, as of September 30, 2013, as a result of purchasing common units of CVR Refining as discussed below, we directly owned approximately 4.0% of the total outstanding common units of CVR Refining.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January 23, 2013, CVR Refining completed its initial public offering ("CVR Refining IPO") of its common units representing limited partner interests, resulting in gross proceeds of $600 million, before giving effect to underwriting discounts and other offering expenses. Included in these proceeds is $100 million paid by us for the purchase of common units of CVR Refining in connection with the CVR Refining IPO. Additionally,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80"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 May 20, 2013, CVR Refining completed an underwritten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we purchased approximately $62 million of common units of CVR Refining in a privately negotiated transaction with CVR. CVR Refining did not receive any of the proceeds from the sale of common units of CVR Refining to us.</w:t>
      </w:r>
    </w:p>
    <w:p>
      <w:pPr>
        <w:spacing w:after="0" w:line="4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May 28, 2013, Coffeyville Resources, LLC (“CRLLC”), a wholly owned subsidiary of CVR, completed a secondary offering of common units of CVR Partners. Additionally, the underwriters were granted an option to purchase additional units at the public offering price, which expired unexercised at the end of the option period. The gross proceeds to CRLLC from this secondary offering were $302 million, before giving effect to underwriting discounts and other offering expenses. CVR Partners did not receive any of the proceeds from the sale of common units by CRLLC.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CVR Refining's petroleum business includes a 115,000 barrels per day ("bpd") complex full coking medium-sour crude oil refinery in Coffeyville, Kansas and a 70,000 bpd medium complexity crude oil unit refinery in Wynnewood, Oklahoma. The combined production capacity represents approximately 22% of the region's refining capacity.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6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addition to the refineries, CVR's petroleum business owns and operates the following: (1) a crude oil gathering system with a gathering capacity of approximately 50,000 bpd serving Kansas, Oklahoma, Missouri, Nebraska and Texas, (2) a rack marketing division supplying product through tanker trucks directly to customers located in close geographic proximity to Coffeyville, Kansas and Wynnewood, Oklahoma and at throughput terminals on Magellan and NuStar Energy, LP's ("NuStar") refined products distribution systems, (3) a 145,000 bpd pipeline system (supported by approximately 350 miles of CVR's owned and leased pipeline) that transports crude oil to its Coffeyville refinery from its Broome Station tank farm and associated crude oil storage tanks with a capacity of 1.2 million barrels, (4) crude oil storage tanks with a capacity of 0.5 million barrels in Wynnewood, Oklahoma, (5) an additional 3.3 million barrels of leased storage capacity located in Cushing, Oklahoma and other locations, (6) 1.0 million barrels of company owned crude oil storage in Cushing, Oklahoma and (7) approximately 4.5 million barrels of combined refinery related storage capacity.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 Business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CVR Partners' nitrogen fertilizer business consists of a nitrogen fertilizer manufacturing facility that utilizes a petroleum 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conduct our Railcar segment through our majority ownership in ARI and our indirect wholly owned subsidiary, AEP Leasing LLC ("AEP Leasing"). ARI manufactures railcars, which are offered for sale or lease, custom designed railcar parts and other industrial products, primarily aluminum and special alloy steel castings. These products are sold to various types of companies including leasing companies, railroads, industrial companies and other non-rail companies. ARI leases railcars that it manufactures to certain markets. ARI provides railcar services consisting of railcar repair services, engineering and field services and fleet management services. More specifically, such services include maintenance planning, project management,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tracking and tracing, regulatory compliance, mileage audit, rolling stock taxes, and online service access.</w:t>
      </w:r>
    </w:p>
    <w:p>
      <w:pPr>
        <w:spacing w:after="0" w:line="10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August 17, 2012, AEP Leasing was formed for the purpose of leasing railcars. AEP Leasing's business is managed by American Railcar Leasing LLC ("ARL"), an entity controlled by Mr. Icahn that also manages ARI's leasing business. AEP Leasing began purchasing railcars from ARI in the third quarter of 2012 with terms and pricing not less favorable to ARI than the terms and pricing available to unaffiliated third parties. Transactions between AEP Leasing and ARI have been eliminated in consolidation.</w:t>
      </w:r>
    </w:p>
    <w:p>
      <w:pPr>
        <w:spacing w:after="0" w:line="7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As further discussed in Note 18, "Subsequent Events - Railcar," on October 2, 2013, we acquired a 75% membership interest in the newly capitalized ARL ("New ARL") for the purpose of leasing railcars.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2013, we owned approximately 55.6% of the total outstanding common stock of ARI.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370,000 square feet of gaming space with 7,000 slot machines, 210 table games and 6,000 hotel rooms with three casino facilities located in Nevada and one in each of Indiana, Louisiana, Mississippi, New Jersey and Aruba.</w:t>
      </w:r>
    </w:p>
    <w:p>
      <w:pPr>
        <w:spacing w:after="0" w:line="7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previously disclosed, on August 16, 2013, Tropicana St. Louis LLC (the “Buyer”), a Delaware limited liability company and a wholly owned subsidiary of Tropicana, entered into an Equity Interest Purchase Agreement (the “Purchase Agreement”) with Pinnacle Entertainment, Inc. (“Pinnacle”), Casino Magic, LLC (“Casino Magic” and together with Pinnacle, the “Sellers”), Casino One Corporation (the “Target”), PNK (ES), LLC (“ES”), PNK (ST. LOUIS RE), LLC (“RE”) and PNK (STLH), LLC (“STLH”). Casino Magic is the beneficial and record owner of all of the issued and outstanding stock of the Target (the “Target Stock”). Pinnacle is the beneficial and record owner of all of the issued and outstanding membership interests of ES, RE and STLH (and together with the Target Stock, the “Equity Interests”). The Purchase Agreement provides that, upon the terms and subject to the conditions set forth therein, the Buyer has agreed to purchase all of the Equity Interests in exchange for $260 million in cash, subject to adjustment (the “Transactions”). If the Transactions are consummated,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Buyer would acquire the Lumiére Place Casino, Hotel Lumiére, the Four Seasons Hotel St. Louis and related excess land parcels in St. Louis, Missouri.</w:t>
      </w:r>
    </w:p>
    <w:p>
      <w:pPr>
        <w:spacing w:after="0" w:line="129"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The Purchase Agreement contains customary representations, warranties and covenants by the Buyer and the Sellers, including an agreement by each of the parties to use commercially reasonable efforts to consummate the Transactions. Completion of the Transactions is subject to various conditions, including, among others, regulatory approvals from the Missouri Gaming Commission and the U.S. Federal Trade Commission. Tropicana can make no assurances that the conditions will be satisfied and that the sale will be consummated in a timely manner or at all.</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2013,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eight manufacturing facilities and ten distribution centers throughout North America, Europe, South America and Asia and derives approximately 71% of its total net sales from customers located outside the United States.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September 30, 2013, we owned approximately 70.8%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Real Estate segment consists of rental real estate, property development and resort activities.</w:t>
      </w:r>
    </w:p>
    <w:p>
      <w:pPr>
        <w:spacing w:after="0" w:line="117"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As of September 30, 2013, we owned 29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292 and 870 units of residential housing, respectively. Both developments operate golf and resort operations as well. In addition, our Real Estate segment owns an unfinished development property which is located on approximately 23 acres in Las Vegas, Nevada.</w:t>
      </w:r>
    </w:p>
    <w:p>
      <w:pPr>
        <w:spacing w:after="0" w:line="57" w:lineRule="exact"/>
        <w:rPr>
          <w:sz w:val="20"/>
          <w:szCs w:val="20"/>
          <w:color w:val="auto"/>
        </w:rPr>
      </w:pPr>
    </w:p>
    <w:p>
      <w:pPr>
        <w:ind w:right="160" w:firstLine="378"/>
        <w:spacing w:after="0" w:line="342" w:lineRule="auto"/>
        <w:rPr>
          <w:sz w:val="20"/>
          <w:szCs w:val="20"/>
          <w:color w:val="auto"/>
        </w:rPr>
      </w:pPr>
      <w:r>
        <w:rPr>
          <w:rFonts w:ascii="Arial" w:cs="Arial" w:eastAsia="Arial" w:hAnsi="Arial"/>
          <w:sz w:val="16"/>
          <w:szCs w:val="16"/>
          <w:color w:val="auto"/>
        </w:rPr>
        <w:t>As of September 30, 2013 and December 31, 2012, $57 million and $73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and bath products, including sheets, pillowcases, bedspreads, quilts, comforters and duvet covers,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jc w:val="both"/>
        <w:ind w:right="240" w:firstLine="378"/>
        <w:spacing w:after="0" w:line="264"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During the second quarter of 2013, an affiliate of Mr. Icahn invested $45 million in the Investment Funds. As further discussed in Note 6, "Financial Instruments - Investment Segment and Holding Company," the Investment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Funds are parties to swap agreements with respect to shares of the S&amp;P 500 ETF Trust (“SPDR”). On August 19, 2013, certain of the Investment Funds assigned an aggregate 7.7 million SPDR shares to Koala Holdings LP and its subsidiary (collectively, "Koala"), an affiliate of Mr. Icahn's. In addition, certain of the Investment Funds distributed $185 million to Koala. As of September 30, 2013 and December 31, 2012, the total fair market value of investments in the Investment Funds made by Mr. Icahn and his affiliates (excluding Icahn Enterprises and Icahn Enterprises Holdings) was approximately $4.5 billion and $3.5 billion, respectively, representing approximately 56% and 60%, respectively, of the Investment Funds' asset under management.</w:t>
      </w:r>
    </w:p>
    <w:p>
      <w:pPr>
        <w:spacing w:after="0" w:line="50"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Effective April 1, 2011, based on an expense-sharing arrangement, certain expenses borne by Icahn Capital are reimbursed by the Investment Funds, generally when such expenses are paid. Such expenses relate to the operation, administration and investment activities of Icahn Capital for the benefit of the Investment Funds (including salaries, benefits and rent) and are allocated pro rata in accordance with each investor's capital accounts in the Investment Funds. For the three months ended September 30, 2013 and 2012, $40 million and $6 million, respectively, were allocated to the Investment Funds based on this expense-sharing arrangement. For the nine months ended September 30, 2013 and 2012, $79 million and $17 million, respectively, were allocated to the Investment Funds based on this expense-sharing arrangement.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January 2013, ARI entered into a purchasing and engineering services agreement and license with ACF Industries LLC ("ACF"), an affiliate of Mr. Icahn.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certain tank railcars at its facility in Milton, Pennsylvania. Additionally, ARI has granted ACF a nonexclusive, non-assignable license to certain of ARI’s intellectual property, including certain designs, specifications, processes and manufacturing know-how required to manufacture and sell such tank railcars during the term of the agreement. Subject to certain early termination events, the agreement will terminate on December 31, 2014.</w:t>
      </w:r>
    </w:p>
    <w:p>
      <w:pPr>
        <w:spacing w:after="0" w:line="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percent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shall be provided at fair market value.</w:t>
      </w:r>
    </w:p>
    <w:p>
      <w:pPr>
        <w:spacing w:after="0" w:line="8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Under the agreement, ACF has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December 31, 2014.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Revenues under this agreement were $3 million and $7 million for the three and nine months ended September 30, 2013, respectively, and were recorded for sales of railcar components to ACF and for royalties and profits on railcars sold by ACF.</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April 2013, AEP Leasing entered into an agreement ("ACF Agreement") with ACF whereby AEP Leasing will purchase 1,050 railcars from ACF in 2013 and 2014 for an aggregate purchase price of approximately $150 million. Additionally, AEP Leasing has an option that can be exercised any time prior to September 1, 2014 to purchase an additional 500 railcars for an aggregate purchase price of approximately $70 million.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by AEP Leasing from ACF were $20 million and $25 million for the three and nine months ended September 30, 2013,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American Railcar Leasing LLC</w:t>
      </w:r>
    </w:p>
    <w:p>
      <w:pPr>
        <w:spacing w:after="0" w:line="117"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In April 2011, ARI entered into a fleet services agreement ("Railcar Services Agreement") with ARL, a company controlled by Mr. Icahn, for a term of three years, which will automatically renew for additional one-year periods unless either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37"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party provides at least 60 days written prior notice of termination. Pursuant to the Railcar Services Agreement, ARI provides railcar repair, engineering, administrative and other services, on an as needed basis, for ARL's lease fleet at mutually agreed-upon prices. Railcar services revenues, included in other revenues from operations in our consolidated statements of operations, recorded by ARI under this agreement were $4 million and $6 million for the three months ended September 30, 2013 and 2012, respectively, and $13 million and $17 million for the nine months ended September 30, 2013 and 2012, respectively. The Railcar Services Agreement was unanimously approved by the independent directors of ARI's audit committee on the basis that the terms were no less favorable than those terms that could have been obtained in a comparable transaction with an unaffiliated third party.</w:t>
      </w:r>
    </w:p>
    <w:p>
      <w:pPr>
        <w:spacing w:after="0" w:line="5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ARI has from time to time manufactured and sold railcars to ARL under long-term agreements as well as on a purchase order basis. In the third quarter of 2012, all unfilled purchase orders previously placed by ARL were assigned to AEP Leasing. Revenues for railcars sold to ARL were $34 million and $45 million for the three and nine months ended September 30, 2012, respectively. The terms and pricing on sales to related parties are not less favorable to ARI than the terms and pricing on sales to unaffiliated third parties. Any related party sales of railcars under an agreement or purchase order have been and will be subject to the approval or review by the independent directors of Icahn Enterprises' and ARI’s audit committee.</w:t>
      </w:r>
    </w:p>
    <w:p>
      <w:pPr>
        <w:spacing w:after="0" w:line="64"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On February 29, 2012, ARI entered into a railcar management agreement (the "ARI Railcar Management Agreement") with ARL, pursuant to which ARI engaged ARL to sell or lease ARI's railcars in certain markets, subject to the terms and conditions of the ARI Railcar Management Agreement. The ARI Railcar Management Agreement was effective as of January 1, 2011, will continue through December 31, 2015 and may be renewed upon written agreement by both parties. In December 2012, a subsidiary of ARI entered into a similar agreement with ARL that terminates in August 2018.</w:t>
      </w:r>
    </w:p>
    <w:p>
      <w:pPr>
        <w:spacing w:after="0" w:line="46"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On August 30, 2012, AEP Leasing entered into a railcar management agreement with ARL (the "AEP Railcar Management Agreement"), pursuant to which AEP Leasing engaged ARL to sell or lease AEP Leasing's railcars in certain markets, subject to the terms and conditions of the AEP Railcar Management Agreement. The AEP Railcar Management Agreement was effective as of August 30, 2012, will continue through December 31, 2022 and may be renewed upon written agreement by both parties.</w:t>
      </w:r>
    </w:p>
    <w:p>
      <w:pPr>
        <w:spacing w:after="0" w:line="79" w:lineRule="exact"/>
        <w:rPr>
          <w:sz w:val="20"/>
          <w:szCs w:val="20"/>
          <w:color w:val="auto"/>
        </w:rPr>
      </w:pPr>
    </w:p>
    <w:p>
      <w:pPr>
        <w:ind w:right="140" w:firstLine="378"/>
        <w:spacing w:after="0" w:line="288" w:lineRule="auto"/>
        <w:rPr>
          <w:sz w:val="20"/>
          <w:szCs w:val="20"/>
          <w:color w:val="auto"/>
        </w:rPr>
      </w:pPr>
      <w:r>
        <w:rPr>
          <w:rFonts w:ascii="Arial" w:cs="Arial" w:eastAsia="Arial" w:hAnsi="Arial"/>
          <w:sz w:val="16"/>
          <w:szCs w:val="16"/>
          <w:color w:val="auto"/>
        </w:rPr>
        <w:t>The ARI Railcar Management Agreement and the AEP Railcar Management Agreement (collectively the "Railcar Management Agreements") also provide that ARL will manage ARI's and AEP Leasing's leased railcars, including arranging for services, such as repairs or maintenance, as deemed necessary. Subject to the terms and conditions of the agreement, ARL receives, in respect of leased railcars, a fee consisting of a lease origination fee and a management fee based on the lease revenues, and, in respect of railcars sold by ARL, sales commissions. The ARI Railcar Management Agreement was unanimously approved by ARI's special committee and Icahn Enterprises' audit committee, which were advised by independent counsel and an independent financial advisor. The AEP Railcar Management Agreement was unanimously approved by Icahn Enterprises' audit committee, which was advised by independent counsel and an independent financial advisor. Each of the Railcar Management Agreements was approved by the applicable special or audit committees on the basis that the terms of the Railcar Management Agreements were no less favorable than those terms that could have been obtained in a comparable transaction with an unaffiliated third party. Combined fees incurred by ARI and AEP Leasing in connection with the Railcar Management Agreements were immaterial for each of the three and nine months ended September 30, 2013 and 2012.</w:t>
      </w:r>
    </w:p>
    <w:p>
      <w:pPr>
        <w:spacing w:after="0" w:line="6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further discussed in Note 18, "Subsequent Events - Railcar," on October 2, 2013, we acquired a 75% membership interest in the New ARL for the purpose of leasing railcars.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 (formerly known as Icahn Sourcing, LLC)</w:t>
      </w:r>
    </w:p>
    <w:p>
      <w:pPr>
        <w:spacing w:after="0" w:line="11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Icahn Sourcing, LLC ("Icahn Sourcing") was an entity formed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2013. In addition to the minority equity interest held by Icahn Enterprises Holdings, certain subsidiaries of Icahn Enterprises Holdings, including Federal-Mogul, CVR, Tropicana, ARI, Viskase, PSC Metals and WPH, also acquired minority equity interests in Insight Portfolio Group and agreed to pay a portion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37" w:right="2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Insight Portfolio Group's operating expenses in 2013. A number of other entities with which Mr. Icahn has a relationship also acquired equity interests in Insight Portfolio Group and agreed to pay certain of Insight Portfolio Group's operating expenses in 2013.</w:t>
      </w:r>
    </w:p>
    <w:p>
      <w:pPr>
        <w:spacing w:after="0" w:line="26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260" w:firstLine="378"/>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consolidated balance sheets. See Note 5, "Fair Value Measurements - Investment," for details of the investments for our Investment segment.</w:t>
      </w:r>
    </w:p>
    <w:p>
      <w:pPr>
        <w:spacing w:after="0" w:line="73"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its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Our Investment segment applied the fair value option to certain of its investments that would have otherwise been subject to the equity method of accounting. As of September 30, 2013, the fair value of these investments was less than $1 million. During the three months ended September 30, 2013 and 2012, our Investment segment recorded gains of $78 million and $193 million, respectively. During the nine months ended September 30, 2013 and 2012, our Investment segment recorded gains of $140 million and $360 million, respectively. Such amounts are included in net gain (loss) from investment activities in our consolidated statements of operations. Included in these investment gains and losses are the Investment Funds' gains and losses in The Hain Celestial Group, Inc. (“Hain”) and Metro-Golden-Mayer Inc. ("MGM"). As of September 30, 2013, the Investment Funds no longer held any shares of Hain or MGM. The General Partners have applied the fair value option to their previous investments in Hain and MGM.</w:t>
      </w:r>
    </w:p>
    <w:p>
      <w:pPr>
        <w:spacing w:after="0" w:line="70"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We believe that these investments to which we applied the fair value option are not material, individually or in the aggregate, to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The carrying value of investments held by our Automotive, Energy, Gaming, Railcar and Home Fashion segments and our Holding Company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September 30, 2013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December 31, 2012</w:t>
            </w:r>
          </w:p>
        </w:tc>
      </w:tr>
      <w:tr>
        <w:trPr>
          <w:trHeight w:val="27"/>
        </w:trPr>
        <w:tc>
          <w:tcPr>
            <w:tcW w:w="67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900" w:type="dxa"/>
            <w:vAlign w:val="bottom"/>
            <w:tcBorders>
              <w:bottom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900" w:type="dxa"/>
            <w:vAlign w:val="bottom"/>
          </w:tcPr>
          <w:p>
            <w:pPr>
              <w:spacing w:after="0"/>
              <w:rPr>
                <w:sz w:val="21"/>
                <w:szCs w:val="21"/>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86"/>
              </w:rPr>
              <w:t>149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67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40" w:firstLine="378"/>
        <w:spacing w:after="0" w:line="312" w:lineRule="auto"/>
        <w:rPr>
          <w:sz w:val="20"/>
          <w:szCs w:val="20"/>
          <w:color w:val="auto"/>
        </w:rPr>
      </w:pPr>
      <w:r>
        <w:rPr>
          <w:rFonts w:ascii="Arial" w:cs="Arial" w:eastAsia="Arial" w:hAnsi="Arial"/>
          <w:sz w:val="16"/>
          <w:szCs w:val="16"/>
          <w:color w:val="auto"/>
        </w:rPr>
        <w:t>Our Holding Company applies the fair value option to its investments that would otherwise be subject to the equity method of accounting. We record unrealized gains and losses for the change in fair value of such investments as a component of net gain (loss) from investment activities in the consolidated statements of operations. We believe that these investments, individually, and in the aggregate, are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23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September 30, 2013 and December 31,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220"/>
              <w:spacing w:after="0"/>
              <w:rPr>
                <w:sz w:val="20"/>
                <w:szCs w:val="20"/>
                <w:color w:val="auto"/>
              </w:rPr>
            </w:pPr>
            <w:r>
              <w:rPr>
                <w:rFonts w:ascii="Arial" w:cs="Arial" w:eastAsia="Arial" w:hAnsi="Arial"/>
                <w:sz w:val="16"/>
                <w:szCs w:val="16"/>
                <w:b w:val="1"/>
                <w:bCs w:val="1"/>
                <w:color w:val="auto"/>
              </w:rPr>
              <w:t>September 30, 2013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Sovereign debt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11,825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11,122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11,851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73"/>
        </w:trPr>
        <w:tc>
          <w:tcPr>
            <w:tcW w:w="23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consolidated balance sheets.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37"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changes in investments measured at fair value for which our Investment segment has used Level 3 input to determine fair value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40" w:type="dxa"/>
            <w:vAlign w:val="bottom"/>
            <w:gridSpan w:val="3"/>
          </w:tcPr>
          <w:p>
            <w:pPr>
              <w:jc w:val="right"/>
              <w:ind w:right="97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realized and unrealized gains (losses)</w:t>
            </w: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September 30</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Unrealized gains of $4 million are included in earnings related to Level 3 investments still held at September 30, 2013 by our Investment segment. Total realized and unrealized gains and losses recorded for Level 3 investments, if any, are reported in net gain from investment activities in our consolidated statements of operations.</w:t>
      </w:r>
    </w:p>
    <w:p>
      <w:pPr>
        <w:spacing w:after="0" w:line="73"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The Investment Funds held one Level 3 corporate debt investment at September 30, 2013. Fair value was determined through yield analysis of comparable loans to which we applied a risk premium that we determined to be appropriate, which resulted in a lower valuation for our Level 3 investment. Increasing the risk premium by 1% would result in a 2% decrease in the fair value of the loan. Decreasing the risk premium by 1% would have no effect on the fair value of the loan.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following table summarizes the valuation of our Automotive and Energy segments and our Holding Company investments, derivative contracts and other liabilities by the above fair value hierarchy levels as of September 30, 2013 and December 31,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60"/>
              <w:spacing w:after="0"/>
              <w:rPr>
                <w:sz w:val="20"/>
                <w:szCs w:val="20"/>
                <w:color w:val="auto"/>
              </w:rPr>
            </w:pPr>
            <w:r>
              <w:rPr>
                <w:rFonts w:ascii="Arial" w:cs="Arial" w:eastAsia="Arial" w:hAnsi="Arial"/>
                <w:sz w:val="18"/>
                <w:szCs w:val="18"/>
                <w:b w:val="1"/>
                <w:bCs w:val="1"/>
                <w:color w:val="auto"/>
              </w:rPr>
              <w:t>September 30,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changes in trading securities measured at fair value for which our Holding Company have used Level 3 input to determine fair value are as follows: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unrealized losses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at September 30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22860</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9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20955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31750</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5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31750</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48895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80" w:space="720"/>
            <w:col w:w="2020"/>
          </w:cols>
          <w:pgMar w:left="240" w:top="337" w:right="239" w:bottom="1440" w:gutter="0" w:footer="0" w:header="0"/>
          <w:type w:val="continuous"/>
        </w:sectPr>
      </w:pPr>
    </w:p>
    <w:p>
      <w:pPr>
        <w:spacing w:after="0" w:line="9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 certain security and a related derivative held by the Holding Company was transferred from Level 2 to Level 3 during the fourth quarter of 2012 because there was a lack of observable market data due to a decrease in market activity for this security. This security was valued based on trading EBITDA multiples and enterprise value to resource ratios of market comparables.</w:t>
      </w:r>
    </w:p>
    <w:p>
      <w:pPr>
        <w:spacing w:after="0" w:line="7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Unrealized losses of $13 million are included in earnings related to Level 3 investments still held at September 30, 2013 by our Holding Company. Total realized and unrealized gains and losses recorded for Level 3 investments, if any, are reported in net gain (loss) from investment activities in our consolidated statements of operations.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Assets measured at fair value on a nonrecurring basis during the nine months ended September 30, 2013 and 2012 are set forth in the table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Fair Value of</w:t>
            </w:r>
          </w:p>
        </w:tc>
        <w:tc>
          <w:tcPr>
            <w:tcW w:w="2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Recognized</w:t>
            </w:r>
          </w:p>
        </w:tc>
        <w:tc>
          <w:tcPr>
            <w:tcW w:w="16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Fair Value of</w:t>
            </w:r>
          </w:p>
        </w:tc>
        <w:tc>
          <w:tcPr>
            <w:tcW w:w="2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Recognized</w:t>
            </w: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Category</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Level 3 Asset</w:t>
            </w:r>
          </w:p>
        </w:tc>
        <w:tc>
          <w:tcPr>
            <w:tcW w:w="2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Impairment</w:t>
            </w:r>
          </w:p>
        </w:tc>
        <w:tc>
          <w:tcPr>
            <w:tcW w:w="16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Level 3 Asset</w:t>
            </w:r>
          </w:p>
        </w:tc>
        <w:tc>
          <w:tcPr>
            <w:tcW w:w="2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Impairment</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80" w:type="dxa"/>
            <w:vAlign w:val="bottom"/>
            <w:gridSpan w:val="4"/>
          </w:tcPr>
          <w:p>
            <w:pPr>
              <w:jc w:val="right"/>
              <w:ind w:right="99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w:t>
            </w:r>
          </w:p>
        </w:tc>
      </w:tr>
    </w:tbl>
    <w:p>
      <w:pPr>
        <w:spacing w:after="0" w:line="121" w:lineRule="exact"/>
        <w:rPr>
          <w:sz w:val="20"/>
          <w:szCs w:val="20"/>
          <w:color w:val="auto"/>
        </w:rPr>
      </w:pPr>
    </w:p>
    <w:p>
      <w:pPr>
        <w:ind w:right="280" w:firstLine="378"/>
        <w:spacing w:after="0" w:line="259" w:lineRule="auto"/>
        <w:rPr>
          <w:sz w:val="20"/>
          <w:szCs w:val="20"/>
          <w:color w:val="auto"/>
        </w:rPr>
      </w:pPr>
      <w:r>
        <w:rPr>
          <w:rFonts w:ascii="Arial" w:cs="Arial" w:eastAsia="Arial" w:hAnsi="Arial"/>
          <w:sz w:val="18"/>
          <w:szCs w:val="18"/>
          <w:color w:val="auto"/>
        </w:rPr>
        <w:t>We determined the fair value of property, plant and equipment by applying probability weighted, expected present value techniques to the estimated future cash flows using assumptions a market participant would utilize and through the use of valuation specialists. The fair values of intangible assets, primarily related to certain trademarks and brand names, are based upon the prospective stream of hypothetical after-tax royalty cost savings discounted at rates that reflect the rates of return appropriate for these intangible assets.</w:t>
      </w:r>
    </w:p>
    <w:p>
      <w:pPr>
        <w:spacing w:after="0" w:line="18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Certain derivative contracts with a single counterparty executed by the Investment Funds, our Automotive or Energy segments, or by our Holding Company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60" w:firstLine="378"/>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120" w:firstLine="378"/>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63" w:lineRule="exact"/>
        <w:rPr>
          <w:sz w:val="20"/>
          <w:szCs w:val="20"/>
          <w:color w:val="auto"/>
        </w:rPr>
      </w:pPr>
    </w:p>
    <w:p>
      <w:pPr>
        <w:ind w:right="200" w:firstLine="378"/>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Investment Funds are parties to swap agreements (“Swaps”) with respect to shares of SPDR. On August 19, 2013, certain of the Investment Funds assigned their rights and obligations under certain of the Swaps to IEH Investments I LLC (“IEH Investments”), a wholly owned subsidiary of ours, and Koala, an affiliate of Mr. Icahn's. Certain of the Investment Funds assigned an aggregate 9.7 million SPDR shares to IEH Investments and an aggregate 7.7 million SPDR shares to Koala. In addition, the Investment Funds distributed an aggregate $234 million to IEH Investments and an aggregate $185 million to Koala, amounts equal to the underlying obligations under the assigned Swaps.</w:t>
      </w:r>
    </w:p>
    <w:p>
      <w:pPr>
        <w:spacing w:after="0" w:line="64"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 At September 30, 2013, the maximum payout amounts relating to certain put options written by the Investment Funds were approximately $448 million. At December 31, 2012, the maximum payout amounts relating to certain put options written by the Investment Funds approximated $7.9 billion, of which approximately $6.8 billion related to covered put options on existing short positions on a certain stock index. As of September 30, 2013 and December 31, 2012, there were unrealized gains of less than $1 million and $180 million, respectively.</w:t>
      </w:r>
    </w:p>
    <w:p>
      <w:pPr>
        <w:spacing w:after="0" w:line="57" w:lineRule="exact"/>
        <w:rPr>
          <w:sz w:val="20"/>
          <w:szCs w:val="20"/>
          <w:color w:val="auto"/>
        </w:rPr>
      </w:pPr>
    </w:p>
    <w:p>
      <w:pPr>
        <w:ind w:right="380" w:firstLine="378"/>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September 30, 2013 and December 31, 2012 was $499 million and $84 million, respectively.</w:t>
      </w:r>
    </w:p>
    <w:p>
      <w:pPr>
        <w:spacing w:after="0" w:line="80" w:lineRule="exact"/>
        <w:rPr>
          <w:sz w:val="20"/>
          <w:szCs w:val="20"/>
          <w:color w:val="auto"/>
        </w:rPr>
      </w:pPr>
    </w:p>
    <w:p>
      <w:pPr>
        <w:ind w:right="740" w:firstLine="378"/>
        <w:spacing w:after="0" w:line="264" w:lineRule="auto"/>
        <w:rPr>
          <w:sz w:val="20"/>
          <w:szCs w:val="20"/>
          <w:color w:val="auto"/>
        </w:rPr>
      </w:pPr>
      <w:r>
        <w:rPr>
          <w:rFonts w:ascii="Arial" w:cs="Arial" w:eastAsia="Arial" w:hAnsi="Arial"/>
          <w:sz w:val="18"/>
          <w:szCs w:val="18"/>
          <w:color w:val="auto"/>
        </w:rPr>
        <w:t>At September 30, 2013 and December 31, 2012, the Investment Funds had $413 million and $148 million, respectively, posted as collateral for derivative positions, including those derivative instruments with credit-risk-related contingent features; these amounts are included in cash held at consolidated affiliated partnerships and restricted cash in our consolidated balance sheets.</w:t>
      </w:r>
    </w:p>
    <w:p>
      <w:pPr>
        <w:spacing w:after="0" w:line="73" w:lineRule="exact"/>
        <w:rPr>
          <w:sz w:val="20"/>
          <w:szCs w:val="20"/>
          <w:color w:val="auto"/>
        </w:rPr>
      </w:pPr>
    </w:p>
    <w:p>
      <w:pPr>
        <w:jc w:val="both"/>
        <w:ind w:right="400" w:firstLine="378"/>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73" w:lineRule="exact"/>
        <w:rPr>
          <w:sz w:val="20"/>
          <w:szCs w:val="20"/>
          <w:color w:val="auto"/>
        </w:rPr>
      </w:pPr>
    </w:p>
    <w:p>
      <w:pPr>
        <w:ind w:right="80" w:firstLine="378"/>
        <w:spacing w:after="0" w:line="297" w:lineRule="auto"/>
        <w:rPr>
          <w:sz w:val="20"/>
          <w:szCs w:val="20"/>
          <w:color w:val="auto"/>
        </w:rPr>
      </w:pPr>
      <w:r>
        <w:rPr>
          <w:rFonts w:ascii="Arial" w:cs="Arial" w:eastAsia="Arial" w:hAnsi="Arial"/>
          <w:sz w:val="16"/>
          <w:szCs w:val="16"/>
          <w:color w:val="auto"/>
        </w:rPr>
        <w:t>Each Investment Fund's assets may be held in one or more accounts maintained for the Investment Fund by its prime broker or at other brokers or custodian banks, which may be located in various jurisdictions. The prime broker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custodian banks or clearing corporations may result in the loss of all or a substantial portion of the Investment Funds' assets or in a significant delay in the Investment Funds' having access to those assets.</w:t>
      </w:r>
    </w:p>
    <w:p>
      <w:pPr>
        <w:spacing w:after="0" w:line="50" w:lineRule="exact"/>
        <w:rPr>
          <w:sz w:val="20"/>
          <w:szCs w:val="20"/>
          <w:color w:val="auto"/>
        </w:rPr>
      </w:pPr>
    </w:p>
    <w:p>
      <w:pPr>
        <w:jc w:val="both"/>
        <w:ind w:right="200" w:firstLine="378"/>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720" w:firstLine="378"/>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During 2008, Federal-Mogul entered into a series of five-year interest rate swap agreements with a total notional value of $1,190 million to hedge the variability of interest payments associated with its variable-rate term loans. During the first quarter of 2013, the majority of these interest swap agreements expired. As of September 30, 2013, the remaining five-year interest swap agreements have a total notional value of $40 million. As of September 30, 2013 and December 31, 2012, unrealized net losses of less than $1 million and $10 million, respectively, were recorded in accumulated other comprehensive loss as a result of these hedges. As of September 30, 2013, losses of less than $1 million are expected to be reclassified from accumulated other comprehensive loss to the consolidated statement of operations within the next three months.</w:t>
      </w:r>
    </w:p>
    <w:p>
      <w:pPr>
        <w:spacing w:after="0" w:line="70"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These interest rate swaps reduce Federal-Mogul's overall interest rate risk. However, due to the remaining outstanding borrowings on Federal-Mogul's debt facilities and other borrowing facilities that continue to have variable interest rates, management believes that interest rate risk to Federal-Mogul could be material if there are significant adverse changes in interest rates. To the extent that interest rates change by 25 basis points, Federal-Mogul's annual interest expense would show 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corresponding change of approximately $7 million and $2 million for the years ending December 31, 2014 and 2015, respectively, representing the term of Federal-Mogul's variable-rate term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jc w:val="both"/>
        <w:ind w:right="80" w:firstLine="378"/>
        <w:spacing w:after="0" w:line="259" w:lineRule="auto"/>
        <w:rPr>
          <w:sz w:val="20"/>
          <w:szCs w:val="20"/>
          <w:color w:val="auto"/>
        </w:rPr>
      </w:pPr>
      <w:r>
        <w:rPr>
          <w:rFonts w:ascii="Arial" w:cs="Arial" w:eastAsia="Arial" w:hAnsi="Arial"/>
          <w:sz w:val="18"/>
          <w:szCs w:val="18"/>
          <w:color w:val="auto"/>
        </w:rPr>
        <w:t>Federal-Mogul had commodity price hedge contracts outstanding with combined notional values of $55 million and $45 million at September 30, 2013 and December 31, 2012, respectively, substantially all of which mature within one year in each of the respective periods and substantially all of which were designated as hedging instruments for accounting purposes. Unrealized net (losses) gains of $(1) million and $1 million were recorded in accumulated other comprehensive loss as of September 30, 2013 and December 31, 2012,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right="120" w:firstLine="378"/>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can be significantly affected by factors such as changes in foreign currency exchange rates or weak economic conditions in foreign markets in which Federal-Mogul manufactures and sells its products. Federal-Mogul's operating results are primarily exposed to changes in exchange rates between the U.S. dollar and European currencies.</w:t>
      </w:r>
    </w:p>
    <w:p>
      <w:pPr>
        <w:spacing w:after="0" w:line="79"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Federal-Mogul had notional values of $52 million and $160 million of foreign currency hedge contracts outstanding at September 30, 2013 and December 31, 2012, respectively, of which $14 million and $11 million, respectively, were designated as cash flow hedging instruments for accounting purposes. Net unrealized gains of less than $1 million were recorded in accumulated other comprehensive loss as of both September 30, 2013 and December 31, 2012, respectively, for the contracts designated as hedging instruments. The foreign currency contracts not designated as hedging instruments were entered into by Federal-Mogul in order to offset fluctuations in consolidated earnings caused by changes in currency rates used to translate earnings at foreign subsidiaries into U.S. dollars over 2013. These contracts are not designated as hedging instruments for accounting purposes and are marked to market through the income statement. Losses of $2 million and $1 million related to these contracts were recorded in other income (loss), net for the three and nine months ended September 30, 2013,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nine months ended September 30, 2013. Federal-Mogul had one VCS customer that accounted for 14% of its net accounts receivable balance as of September 30, 2013. Federal-Mogul requires placement of cash in financial institutions evaluated as highly creditworthy.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337" w:right="29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such instruments are not designated as hedges for GAAP purposes. Gains or losses related to the change in fair value and periodic settlements of these derivative instruments are included in other income (loss), net in the consolidated statements of operations.</w:t>
      </w:r>
    </w:p>
    <w:p>
      <w:pPr>
        <w:spacing w:after="0" w:line="6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CVR maintains a margin account to facilitate other commodity derivative activities. A portion of this account may include funds available for withdrawal. These funds are included in cash and cash equivalents within the consolidated balance sheets. The maintenance margin balance is included within other assets in consolidated balance sheets. Depending upon the position of the open commodity derivatives as of the reporting date, the amounts are classified either as an asset or liability within the consolidated balance sheets. From time to time, CVR may be required to deposit additional funds into this margin account. The fair value of the open commodity positions as of each of September 30, 2013 and December 31, 2012 was a net loss of less than $1 million which is included in accrued expenses and other liabilities in the consolidated balance sheets. For the three and nine months ended September 30, 2013, CVR recognized a net realized and unrealized gain of less than $1 million and a net loss of $2 million, respectively, which is included in other income (loss), net in the consolidated statements of operations. For the three months ended September 30, 2012 and the period May 5, 2012 through September 30, 2012, CVR recognized a net realized and unrealized loss of $7 million and $4 million, respectively, which is included in other income (loss), net in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September 2011, CVR Refining entered into several commodity swap contracts with effective periods beginning in January 2012. The physical volumes are not exchanged and these contracts are net settled with cash. The contract fair value of the commodity swaps is reflected on the consolidated balance sheets with changes in fair value currently recognized in the consolidated statement of operations. Quoted prices for similar assets or liabilities in active markets (Level 2) are considered to determine the fair values for the purpose of marking to market the hedging instruments at each period end. As of September 30, 2013 and December 31, 2012, CVR had open commodity hedging instruments consisting of 20.6 million and 23.3 million barrels, respectively, of crack spreads primarily to fix the margin on a portion of its future gasoline and distillate production. The fair value of the outstanding contracts at September 30, 2013 and December 31, 2012 was a net unrealized gain and unrealized loss of $110 million and $67 million, respectively. For the three and nine months ended September 30, 2013, CVR recognized net realized and unrealized gains of $72 million and $175 million, respectively, which is included in other income (loss), net in the consolidated statements of operations. For the three months ended September 30, 2012 and the period May 5, 2012 through September 30, 2012, CVR recognized net realized and unrealized loss of $162 million and $168 million, respectively, which is included in other income (loss), net in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June 30, 2011 and July 1, 2011, Coffeyville Resources Nitrogen Fertilizers, LLC ("CRNF") entered into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 dates) and commenced on August 12, 2011 and expires on February 12, 2016. Under the terms of the interest rate swap agreement entered into on June 30, 2011, CRNF will receive a floating rate based on three-month LIBOR and pay a fixed rate of 1.94%. Under the terms of the interest rate swap agreement entered into on July 1, 2011, CRNF will receive a floating rate based on three-month LIBOR and pay a fixed rate of 1.975%. Both swap agreements are settled every 90 days. The effect of these swap agreements is to lock in a fixed rate of interest of approximately 1.96% plus the applicable margin paid to lenders over three-month LIBOR as governed by the CRNF credit agreement. As of both September 30, 2013 and December 31, 2012, the effective rate was approximately 4.6%.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interest expense in the consolidated statements of operations. The realized loss on the interest rate swap reclassified from accumulated other comprehensive loss into interest expense was less than $1 million for the nine months ended September 30, 2013.</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37"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September 30, 2013, the volume of our derivative activities based on their notional exposure, categorized by primary underlying risk,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Long Notional Exposure</w:t>
            </w:r>
          </w:p>
        </w:tc>
        <w:tc>
          <w:tcPr>
            <w:tcW w:w="20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Short Notional Exposure</w:t>
            </w:r>
          </w:p>
        </w:tc>
        <w:tc>
          <w:tcPr>
            <w:tcW w:w="0" w:type="dxa"/>
            <w:vAlign w:val="bottom"/>
          </w:tcPr>
          <w:p>
            <w:pPr>
              <w:spacing w:after="0"/>
              <w:rPr>
                <w:sz w:val="1"/>
                <w:szCs w:val="1"/>
                <w:color w:val="auto"/>
              </w:rPr>
            </w:pPr>
          </w:p>
        </w:tc>
      </w:tr>
      <w:tr>
        <w:trPr>
          <w:trHeight w:val="33"/>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2"/>
          </w:tcPr>
          <w:p>
            <w:pPr>
              <w:jc w:val="right"/>
              <w:ind w:right="474"/>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swaps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Foreign currency forwards</w:t>
            </w: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9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20" w:type="dxa"/>
            <w:vAlign w:val="bottom"/>
            <w:gridSpan w:val="11"/>
          </w:tcPr>
          <w:p>
            <w:pPr>
              <w:ind w:left="340"/>
              <w:spacing w:after="0"/>
              <w:rPr>
                <w:sz w:val="20"/>
                <w:szCs w:val="20"/>
                <w:color w:val="auto"/>
              </w:rPr>
            </w:pPr>
            <w:r>
              <w:rPr>
                <w:rFonts w:ascii="Arial" w:cs="Arial" w:eastAsia="Arial" w:hAnsi="Arial"/>
                <w:sz w:val="18"/>
                <w:szCs w:val="18"/>
                <w:color w:val="auto"/>
                <w:w w:val="92"/>
              </w:rPr>
              <w:t>The following table presents the consolidated fair values of our derivatives that are not designated as hedging instruments: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05"/>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r>
      <w:tr>
        <w:trPr>
          <w:trHeight w:val="218"/>
        </w:trPr>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Instruments</w:t>
            </w: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2013</w:t>
            </w: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2013</w:t>
            </w:r>
          </w:p>
        </w:tc>
        <w:tc>
          <w:tcPr>
            <w:tcW w:w="280" w:type="dxa"/>
            <w:vAlign w:val="bottom"/>
          </w:tcPr>
          <w:p>
            <w:pPr>
              <w:spacing w:after="0"/>
              <w:rPr>
                <w:sz w:val="20"/>
                <w:szCs w:val="20"/>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2012</w:t>
            </w: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6"/>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r>
      <w:tr>
        <w:trPr>
          <w:trHeight w:val="237"/>
        </w:trPr>
        <w:tc>
          <w:tcPr>
            <w:tcW w:w="3300" w:type="dxa"/>
            <w:vAlign w:val="bottom"/>
            <w:gridSpan w:val="2"/>
          </w:tcPr>
          <w:p>
            <w:pPr>
              <w:ind w:left="26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300" w:type="dxa"/>
            <w:vAlign w:val="bottom"/>
            <w:gridSpan w:val="2"/>
            <w:shd w:val="clear" w:color="auto" w:fill="CCEEFF"/>
          </w:tcPr>
          <w:p>
            <w:pPr>
              <w:ind w:left="26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300" w:type="dxa"/>
            <w:vAlign w:val="bottom"/>
            <w:gridSpan w:val="2"/>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consolidated balance sheets.</w:t>
      </w:r>
    </w:p>
    <w:p>
      <w:pPr>
        <w:spacing w:after="0" w:line="1" w:lineRule="exact"/>
        <w:rPr>
          <w:rFonts w:ascii="Arial" w:cs="Arial" w:eastAsia="Arial" w:hAnsi="Arial"/>
          <w:sz w:val="9"/>
          <w:szCs w:val="9"/>
          <w:color w:val="auto"/>
        </w:rPr>
      </w:pPr>
    </w:p>
    <w:p>
      <w:pPr>
        <w:ind w:left="180" w:right="320" w:hanging="172"/>
        <w:spacing w:after="0" w:line="255" w:lineRule="auto"/>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September 30, 2013 and December 31, 2012 was $413 million and $148 million, respectively, across all counterparties.</w:t>
      </w:r>
    </w:p>
    <w:p>
      <w:pPr>
        <w:spacing w:after="0" w:line="82"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the three and nine months ended September 30, 2013 and 2012: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5"/>
                <w:szCs w:val="25"/>
                <w:b w:val="1"/>
                <w:bCs w:val="1"/>
                <w:color w:val="auto"/>
                <w:vertAlign w:val="superscript"/>
              </w:rPr>
              <w:t>(1)</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360" w:type="dxa"/>
            <w:vAlign w:val="bottom"/>
          </w:tcPr>
          <w:p>
            <w:pPr>
              <w:spacing w:after="0"/>
              <w:rPr>
                <w:sz w:val="20"/>
                <w:szCs w:val="20"/>
                <w:color w:val="auto"/>
              </w:rPr>
            </w:pPr>
          </w:p>
        </w:tc>
        <w:tc>
          <w:tcPr>
            <w:tcW w:w="37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480" w:type="dxa"/>
            <w:vAlign w:val="bottom"/>
          </w:tcPr>
          <w:p>
            <w:pPr>
              <w:spacing w:after="0"/>
              <w:rPr>
                <w:sz w:val="20"/>
                <w:szCs w:val="20"/>
                <w:color w:val="auto"/>
              </w:rPr>
            </w:pPr>
          </w:p>
        </w:tc>
        <w:tc>
          <w:tcPr>
            <w:tcW w:w="35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7"/>
        </w:trPr>
        <w:tc>
          <w:tcPr>
            <w:tcW w:w="3340" w:type="dxa"/>
            <w:vAlign w:val="bottom"/>
            <w:gridSpan w:val="2"/>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Instruments</w:t>
            </w:r>
          </w:p>
        </w:tc>
        <w:tc>
          <w:tcPr>
            <w:tcW w:w="360" w:type="dxa"/>
            <w:vAlign w:val="bottom"/>
          </w:tcPr>
          <w:p>
            <w:pPr>
              <w:spacing w:after="0"/>
              <w:rPr>
                <w:sz w:val="20"/>
                <w:szCs w:val="20"/>
                <w:color w:val="auto"/>
              </w:rPr>
            </w:pPr>
          </w:p>
        </w:tc>
        <w:tc>
          <w:tcPr>
            <w:tcW w:w="16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693"/>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80" w:right="280" w:hanging="172"/>
        <w:spacing w:after="0" w:line="273"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from investment activities in our consolidated statements of operations for our Investment segment and are included in other income (loss), net for all other segments.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the consolidated fair values of our derivative instruments that are designated as cash flow hedging instruments: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w:t>
            </w:r>
          </w:p>
        </w:tc>
        <w:tc>
          <w:tcPr>
            <w:tcW w:w="36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c>
          <w:tcPr>
            <w:tcW w:w="300" w:type="dxa"/>
            <w:vAlign w:val="bottom"/>
            <w:tcBorders>
              <w:bottom w:val="single" w:sz="8" w:color="auto"/>
            </w:tcBorders>
          </w:tcPr>
          <w:p>
            <w:pPr>
              <w:spacing w:after="0"/>
              <w:rPr>
                <w:sz w:val="22"/>
                <w:szCs w:val="22"/>
                <w:color w:val="auto"/>
              </w:rPr>
            </w:pPr>
          </w:p>
        </w:tc>
      </w:tr>
      <w:tr>
        <w:trPr>
          <w:trHeight w:val="217"/>
        </w:trPr>
        <w:tc>
          <w:tcPr>
            <w:tcW w:w="334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Hedging Instruments</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September 30, 2013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December 31, 2012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September 30, 2013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December 31, 2012</w:t>
            </w:r>
          </w:p>
        </w:tc>
        <w:tc>
          <w:tcPr>
            <w:tcW w:w="300" w:type="dxa"/>
            <w:vAlign w:val="bottom"/>
          </w:tcPr>
          <w:p>
            <w:pPr>
              <w:spacing w:after="0"/>
              <w:rPr>
                <w:sz w:val="18"/>
                <w:szCs w:val="18"/>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80" w:type="dxa"/>
            <w:vAlign w:val="bottom"/>
            <w:gridSpan w:val="3"/>
          </w:tcPr>
          <w:p>
            <w:pPr>
              <w:jc w:val="right"/>
              <w:ind w:right="1274"/>
              <w:spacing w:after="0"/>
              <w:rPr>
                <w:sz w:val="20"/>
                <w:szCs w:val="20"/>
                <w:color w:val="auto"/>
              </w:rPr>
            </w:pPr>
            <w:r>
              <w:rPr>
                <w:rFonts w:ascii="Arial" w:cs="Arial" w:eastAsia="Arial" w:hAnsi="Arial"/>
                <w:sz w:val="14"/>
                <w:szCs w:val="14"/>
                <w:color w:val="auto"/>
                <w:w w:val="98"/>
              </w:rPr>
              <w:t>(in millions)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660" w:type="dxa"/>
            <w:vAlign w:val="bottom"/>
            <w:tcBorders>
              <w:bottom w:val="single" w:sz="8" w:color="CCEEFF"/>
            </w:tcBorders>
            <w:shd w:val="clear" w:color="auto" w:fill="CCEEFF"/>
          </w:tcPr>
          <w:p>
            <w:pPr>
              <w:jc w:val="right"/>
              <w:ind w:right="14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600" w:type="dxa"/>
            <w:vAlign w:val="bottom"/>
            <w:tcBorders>
              <w:bottom w:val="single" w:sz="8" w:color="CCEEFF"/>
            </w:tcBorders>
            <w:shd w:val="clear" w:color="auto" w:fill="CCEEFF"/>
          </w:tcPr>
          <w:p>
            <w:pPr>
              <w:jc w:val="right"/>
              <w:ind w:right="141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5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43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16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w:t>
            </w: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Netting across contract types</w:t>
            </w:r>
          </w:p>
        </w:tc>
        <w:tc>
          <w:tcPr>
            <w:tcW w:w="16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jc w:val="right"/>
              <w:ind w:right="1474"/>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600" w:type="dxa"/>
            <w:vAlign w:val="bottom"/>
            <w:shd w:val="clear" w:color="auto" w:fill="CCEEFF"/>
          </w:tcPr>
          <w:p>
            <w:pPr>
              <w:jc w:val="right"/>
              <w:ind w:right="1413"/>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45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433"/>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consolidated balance sheets.</w:t>
      </w:r>
    </w:p>
    <w:p>
      <w:pPr>
        <w:spacing w:after="0" w:line="200" w:lineRule="exact"/>
        <w:rPr>
          <w:sz w:val="20"/>
          <w:szCs w:val="20"/>
          <w:color w:val="auto"/>
        </w:rPr>
      </w:pPr>
    </w:p>
    <w:p>
      <w:pPr>
        <w:spacing w:after="0" w:line="226"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consolidated financial statements for the three and nine months ended September 30, 2013 and 2012: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r>
      <w:tr>
        <w:trPr>
          <w:trHeight w:val="237"/>
        </w:trPr>
        <w:tc>
          <w:tcPr>
            <w:tcW w:w="372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75"/>
        </w:trPr>
        <w:tc>
          <w:tcPr>
            <w:tcW w:w="3720" w:type="dxa"/>
            <w:vAlign w:val="bottom"/>
          </w:tcPr>
          <w:p>
            <w:pPr>
              <w:spacing w:after="0"/>
              <w:rPr>
                <w:sz w:val="24"/>
                <w:szCs w:val="24"/>
                <w:color w:val="auto"/>
              </w:rPr>
            </w:pPr>
          </w:p>
        </w:tc>
        <w:tc>
          <w:tcPr>
            <w:tcW w:w="3660" w:type="dxa"/>
            <w:vAlign w:val="bottom"/>
            <w:gridSpan w:val="6"/>
          </w:tcPr>
          <w:p>
            <w:pPr>
              <w:ind w:left="400"/>
              <w:spacing w:after="0"/>
              <w:rPr>
                <w:sz w:val="20"/>
                <w:szCs w:val="20"/>
                <w:color w:val="auto"/>
              </w:rPr>
            </w:pPr>
            <w:r>
              <w:rPr>
                <w:rFonts w:ascii="Arial" w:cs="Arial" w:eastAsia="Arial" w:hAnsi="Arial"/>
                <w:sz w:val="18"/>
                <w:szCs w:val="18"/>
                <w:b w:val="1"/>
                <w:bCs w:val="1"/>
                <w:color w:val="auto"/>
                <w:w w:val="92"/>
              </w:rPr>
              <w:t>Three Months Ended September 30, 2012</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72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656"/>
        </w:trPr>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right"/>
              <w:ind w:right="121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center"/>
              <w:ind w:right="71"/>
              <w:spacing w:after="0"/>
              <w:rPr>
                <w:sz w:val="20"/>
                <w:szCs w:val="20"/>
                <w:color w:val="auto"/>
              </w:rPr>
            </w:pPr>
            <w:r>
              <w:rPr>
                <w:rFonts w:ascii="Arial" w:cs="Arial" w:eastAsia="Arial" w:hAnsi="Arial"/>
                <w:sz w:val="16"/>
                <w:szCs w:val="16"/>
                <w:b w:val="1"/>
                <w:bCs w:val="1"/>
                <w:color w:val="auto"/>
                <w:w w:val="91"/>
              </w:rPr>
              <w:t>Location of (Loss) Gain</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71"/>
              <w:spacing w:after="0"/>
              <w:rPr>
                <w:sz w:val="20"/>
                <w:szCs w:val="20"/>
                <w:color w:val="auto"/>
              </w:rPr>
            </w:pPr>
            <w:r>
              <w:rPr>
                <w:rFonts w:ascii="Arial" w:cs="Arial" w:eastAsia="Arial" w:hAnsi="Arial"/>
                <w:sz w:val="18"/>
                <w:szCs w:val="18"/>
                <w:color w:val="auto"/>
                <w:w w:val="87"/>
              </w:rPr>
              <w:t>Interest expense</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1"/>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780" w:type="dxa"/>
            <w:vAlign w:val="bottom"/>
          </w:tcPr>
          <w:p>
            <w:pPr>
              <w:spacing w:after="0"/>
              <w:rPr>
                <w:sz w:val="24"/>
                <w:szCs w:val="24"/>
                <w:color w:val="auto"/>
              </w:rPr>
            </w:pPr>
          </w:p>
        </w:tc>
        <w:tc>
          <w:tcPr>
            <w:tcW w:w="3600" w:type="dxa"/>
            <w:vAlign w:val="bottom"/>
            <w:gridSpan w:val="6"/>
          </w:tcPr>
          <w:p>
            <w:pPr>
              <w:ind w:left="380"/>
              <w:spacing w:after="0"/>
              <w:rPr>
                <w:sz w:val="20"/>
                <w:szCs w:val="20"/>
                <w:color w:val="auto"/>
              </w:rPr>
            </w:pPr>
            <w:r>
              <w:rPr>
                <w:rFonts w:ascii="Arial" w:cs="Arial" w:eastAsia="Arial" w:hAnsi="Arial"/>
                <w:sz w:val="18"/>
                <w:szCs w:val="18"/>
                <w:b w:val="1"/>
                <w:bCs w:val="1"/>
                <w:color w:val="auto"/>
                <w:w w:val="93"/>
              </w:rPr>
              <w:t>Nine Months Ended September 30, 2012</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center"/>
              <w:ind w:right="71"/>
              <w:spacing w:after="0"/>
              <w:rPr>
                <w:sz w:val="20"/>
                <w:szCs w:val="20"/>
                <w:color w:val="auto"/>
              </w:rPr>
            </w:pPr>
            <w:r>
              <w:rPr>
                <w:rFonts w:ascii="Arial" w:cs="Arial" w:eastAsia="Arial" w:hAnsi="Arial"/>
                <w:sz w:val="16"/>
                <w:szCs w:val="16"/>
                <w:b w:val="1"/>
                <w:bCs w:val="1"/>
                <w:color w:val="auto"/>
                <w:w w:val="91"/>
              </w:rPr>
              <w:t>Location of (Loss) Gain</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71"/>
              <w:spacing w:after="0"/>
              <w:rPr>
                <w:sz w:val="20"/>
                <w:szCs w:val="20"/>
                <w:color w:val="auto"/>
              </w:rPr>
            </w:pPr>
            <w:r>
              <w:rPr>
                <w:rFonts w:ascii="Arial" w:cs="Arial" w:eastAsia="Arial" w:hAnsi="Arial"/>
                <w:sz w:val="18"/>
                <w:szCs w:val="18"/>
                <w:color w:val="auto"/>
                <w:w w:val="87"/>
              </w:rPr>
              <w:t>Interest expense</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1"/>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center"/>
              <w:ind w:right="91"/>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380"/>
              <w:spacing w:after="0"/>
              <w:rPr>
                <w:sz w:val="20"/>
                <w:szCs w:val="20"/>
                <w:color w:val="auto"/>
              </w:rPr>
            </w:pPr>
            <w:r>
              <w:rPr>
                <w:rFonts w:ascii="Arial" w:cs="Arial" w:eastAsia="Arial" w:hAnsi="Arial"/>
                <w:sz w:val="18"/>
                <w:szCs w:val="18"/>
                <w:color w:val="auto"/>
              </w:rPr>
              <w:t>Inventories, net consists of the following:</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4"/>
              <w:spacing w:after="0"/>
              <w:rPr>
                <w:sz w:val="20"/>
                <w:szCs w:val="20"/>
                <w:color w:val="auto"/>
              </w:rPr>
            </w:pPr>
            <w:r>
              <w:rPr>
                <w:rFonts w:ascii="Arial" w:cs="Arial" w:eastAsia="Arial" w:hAnsi="Arial"/>
                <w:sz w:val="18"/>
                <w:szCs w:val="18"/>
                <w:b w:val="1"/>
                <w:bCs w:val="1"/>
                <w:color w:val="auto"/>
                <w:w w:val="89"/>
              </w:rPr>
              <w:t>September 30, 2013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1"/>
              <w:spacing w:after="0"/>
              <w:rPr>
                <w:sz w:val="20"/>
                <w:szCs w:val="20"/>
                <w:color w:val="auto"/>
              </w:rPr>
            </w:pPr>
            <w:r>
              <w:rPr>
                <w:rFonts w:ascii="Arial" w:cs="Arial" w:eastAsia="Arial" w:hAnsi="Arial"/>
                <w:sz w:val="18"/>
                <w:szCs w:val="18"/>
                <w:b w:val="1"/>
                <w:bCs w:val="1"/>
                <w:color w:val="auto"/>
                <w:w w:val="90"/>
              </w:rPr>
              <w:t>December 31, 2012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40" w:type="dxa"/>
            <w:vAlign w:val="bottom"/>
            <w:gridSpan w:val="4"/>
          </w:tcPr>
          <w:p>
            <w:pPr>
              <w:jc w:val="right"/>
              <w:ind w:right="1651"/>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8280" w:hanging="372"/>
        <w:spacing w:after="0" w:line="469" w:lineRule="auto"/>
        <w:tabs>
          <w:tab w:leader="none" w:pos="32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September 30,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37"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September 30,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638</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18"/>
                <w:szCs w:val="18"/>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915</w:t>
            </w:r>
          </w:p>
        </w:tc>
      </w:tr>
      <w:tr>
        <w:trPr>
          <w:trHeight w:val="73"/>
        </w:trPr>
        <w:tc>
          <w:tcPr>
            <w:tcW w:w="3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1,206</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378"/>
        <w:spacing w:after="0" w:line="312" w:lineRule="auto"/>
        <w:rPr>
          <w:sz w:val="20"/>
          <w:szCs w:val="20"/>
          <w:color w:val="auto"/>
        </w:rPr>
      </w:pPr>
      <w:r>
        <w:rPr>
          <w:rFonts w:ascii="Arial" w:cs="Arial" w:eastAsia="Arial" w:hAnsi="Arial"/>
          <w:sz w:val="16"/>
          <w:szCs w:val="16"/>
          <w:color w:val="auto"/>
        </w:rPr>
        <w:t>Amortization expense associated with definite-lived intangible assets for the three months ended September 30, 2013 and 2012 was $21 million and $22 million, respectively. Amortization expense associated with definite-lived intangible assets for the nine months ended September 30, 2013 and 2012 was $62 million and $55 million, respectively. We utilize the straight-line method of amortization, recognized over the estimated useful lives of the assets.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During the nine months ended September 30, 2013, we increased our Automotive segment's goodwill by $8 million and decreased definite-lived intangible assets by $3 million to adjust for the purchase price allocation relating to its spark plug business acquisition from BorgWarner, Inc. in June 2012. Additionally, in connection with the various dispositions of our Automotive segment's businesses as discussed in Note 16, "Other Income (Loss), Net,", we decreased goodwill by $16 million, In addition, in connection with these dispositions, we also decreased definite-lived intangible assets by $2 million and trademarks and brand names by $6 million.</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currently performing the annual goodwill impairment test for our Automotive segment which will be finalized during the fourth quarter of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goodwill impairment charge that results from this annual impairment test for our Automotive segment will be recorded in the fourth quarter of 2013.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On May 4, 2012, we acquired a controlling interest in CVR. We finalized the purchase price allocation during the second quarter of 2013. As a result of the acquisition, we recorded goodwill of $930 million, of which $574 million and $356 million was allocated to our Energy segment's petroleum and fertilizer reporting units, respectively. The goodwill arising from the acquisition was largely due to certain CVR factors, including CVR's location attributes, trained and assembled workforce, and a deferred tax liability offset adjustment, which arises from the nature of the stock transaction. Specifically related to locational attributes, CVR is an inland refiner that buys the majority of its crude oil at prices linked to the West Texas Intermediate benchmark and then sells gasoline at prices based on global benchmarks like the North Sea Brent crude. This reduced feedstock cost has benefited the gross margins of mid-continent refiners such as CVR. Oil production in the mid-continent, combined with availabilities from Canada, was expected to increase faster than the inland crude could be piped out of the region, causing an oversupply of crude in Cushing, Oklahoma. None of the goodwill recognized is deductible for income tax purposes.</w:t>
      </w:r>
    </w:p>
    <w:p>
      <w:pPr>
        <w:spacing w:after="0" w:line="5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As a result of finalizing the purchase price allocation during the second quarter of 2013, we increased the allocation of goodwill for our petroleum reporting unit by $102 million and decreased the allocation of goodwill related to our fertilizer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reporting unit by $102 million. These changes are reflected in the balance of goodwill allocated to each of our Energy reporting units as discussed above. In addition, we decreased the equity attributable to non-controlling interests by $25 million and increased equity attributable to us by $25 million, which is included in other in our consolidated statement of changes in equity.</w:t>
      </w:r>
    </w:p>
    <w:p>
      <w:pPr>
        <w:spacing w:after="0" w:line="7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connection with our acquisition of a controlling interest in CVR, we recorded definite-lived intangible assets aggregating $410 million, of which $340 million related to customer relationships with a useful life of 20 years, $60 million related to a gasification technology license with a useful life of 25 years and $10 million related to permitting assets with a useful life of 25 years. The gasification technology license and customer relationships definite-lived intangibles were allocated solely to our Energy segment's fertilizer reporting unit and the permitting assets definite-lived intangible assets were allocated solely to our Energy segment's petroleum reporting unit.</w:t>
      </w:r>
    </w:p>
    <w:p>
      <w:pPr>
        <w:spacing w:after="0" w:line="80" w:lineRule="exact"/>
        <w:rPr>
          <w:sz w:val="20"/>
          <w:szCs w:val="20"/>
          <w:color w:val="auto"/>
        </w:rPr>
      </w:pPr>
    </w:p>
    <w:p>
      <w:pPr>
        <w:ind w:right="20" w:firstLine="414"/>
        <w:spacing w:after="0" w:line="267" w:lineRule="auto"/>
        <w:rPr>
          <w:sz w:val="20"/>
          <w:szCs w:val="20"/>
          <w:color w:val="auto"/>
        </w:rPr>
      </w:pPr>
      <w:r>
        <w:rPr>
          <w:rFonts w:ascii="Arial" w:cs="Arial" w:eastAsia="Arial" w:hAnsi="Arial"/>
          <w:sz w:val="17"/>
          <w:szCs w:val="17"/>
          <w:color w:val="auto"/>
        </w:rPr>
        <w:t>The fair value of the customer relationships acquired of $340 million was valued using the multi-period excess earnings method ("MPEEM"), a form of the income approach. The MPEEM valuation methodology seeks to isolate the cash-flow stream attributable to a specific intangible asset being valued from the asset grouping's overall cash-flow stream. Under the MPEEM, a capital charge (i.e., an economic rental charge) against the total cash-flow stream is made for the use of the contributory assets that contribute to the cash flow generating ability of the specific intangible asset under analysis, which leaves an excess-earnings (or residual) stream applicable to the intangible asset being valued. Significant assumptions utilized in the MPEEM method included an assumed long-term revenue growth rate of 3%, an annual attrition rate of 5.0%, and a discount rate of 10.5%. The attrition rate applied in the MPEEM is the product of an analysis of five years of sales data by customer (from 2007 to 2011, which was chosen as an appropriate historical period to analyze given the reliability of the underlying sales by customer data and the fact that it demonstrated attrition in both positive and negative economic cycles), where the revenue-based attrition rate ranged from approximately 5% to 7.5%. The selection of 5% was based on the observed attrition rate in 2011, which was deemed to be more representative of future attrition than that observed during the financial crisis (i.e., 7.7% in 2009). The discount rate is based on our Energy segment's fertilizer business unit's required rate of return on equity, which represents a risk premium of 1.5% above the estimated overall weighted cost of capital for the fertilizer reporting unit to reflect the inherent risks and uncertainties of customer relationships. Our Energy segment's fertilizer business unit relies on recurring relationships with significant customers to generate a material portion of its total revenues and expects existing customers to generate significant growth in the future. Our Energy segment's top ten customers accounted for approximately 60% of revenues in 2011, and in in every year each customer, but for one, generated revenue from 2007 to 2011. Our Energy segment's management believes these customers to be recurring relationships. Based on our analysis of the nature and extent of the customer relationships that our Energy segment's fertilizer business has had with its significant customers, including observed historical attrition and the historical length of such relationships, which for the top ten customers dates back to when the fertilizer business was formed in its current capacity in 2004, we estimated that the customer base would reasonably continue to produce cash flows for a period of 20 years.</w:t>
      </w:r>
    </w:p>
    <w:p>
      <w:pPr>
        <w:spacing w:after="0" w:line="8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fair value of gasification technology license of $60 million was determined using the relief from royalty method, a form of both the market and income approach. Under the relief from royalty method, the value of the intangible asset is determined based on the present value of the royalties that a company is relieved from paying as a result of owning such assets. Thus, because our Energy segment's fertilizer business holds a paid-up, royalty-free license to use, we estimated the benefit of the relief from the royalty expense that would need to be incurred in the absence of a royalty-free license. Significant assumptions used in the relief from royalty method included a market royalty rate of 1.5% and a discount rate of 9%. The market royalty rate was determined based on analysis of prevailing royalty rates paid for the use of similar technologies in the marketplace, which ranged from 1.0% to 9.0%, with a median of 5.0% and a lower quartile of 2.0%. The discount rate is based on our Energy segment's fertilizer business unit's estimated overall weighted average cost of capital.</w:t>
      </w:r>
    </w:p>
    <w:p>
      <w:pPr>
        <w:spacing w:after="0" w:line="8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fair value of permitting assets of $10 million, which is included in other in the table above, was determined using the discounted cash flow method, a form of income approach. The permitting assets pertain to our Energy segment's petroleum business' water usage rights. Because the permitting assets allow our Energy segment's petroleum business to save costs related to water usage, there is value to such rights. Significant assumptions in the discounted cash flow method included an annual cost savings growth rate of 2% and a discount rate of 11.5%. The growth rate of the projected savings was determined based on the estimated long-term growth of our Energy segment's petroleum business. The discount rate is based on our Energy segment's petroleum business unit's required rate of return on equity.</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337" w:right="2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goodwill impairment analysis</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We perform our annual goodwill impairment analysis as of April 30th for our Energy segment, or more frequently if impairment indicators exist, in accordance with the provisions of FASB ASC Topic 350-20-35, </w:t>
      </w:r>
      <w:r>
        <w:rPr>
          <w:rFonts w:ascii="Arial" w:cs="Arial" w:eastAsia="Arial" w:hAnsi="Arial"/>
          <w:sz w:val="17"/>
          <w:szCs w:val="17"/>
          <w:i w:val="1"/>
          <w:iCs w:val="1"/>
          <w:color w:val="auto"/>
        </w:rPr>
        <w:t>Goodwill - Subsequent Measurement</w:t>
      </w:r>
      <w:r>
        <w:rPr>
          <w:rFonts w:ascii="Arial" w:cs="Arial" w:eastAsia="Arial" w:hAnsi="Arial"/>
          <w:sz w:val="17"/>
          <w:szCs w:val="17"/>
          <w:color w:val="auto"/>
        </w:rPr>
        <w:t xml:space="preserve"> and FASB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 These fair values are based upon consideration of various valuation methodologies, including projected future cash flows discounted at rates of return commensurate with the risks involved and pricing multiples of current and future earnings observed for comparable public companies.</w:t>
      </w:r>
    </w:p>
    <w:p>
      <w:pPr>
        <w:spacing w:after="0" w:line="7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All of our Energy reporting units with goodwill passed "Step 1" of the April 30, 2013 goodwill impairment analysis. Petroleum and Fertilizer, representing our Energy segment reporting units, had fair values in excess of carrying values of 37% and 18%, respectively. Based on the results of our "Step 1" goodwill impairment analysis for our Energy segment, we concluded that no impairment existed and therefore "Step 2" of the goodwill impairment analysis was not necessary. As of September 30, 2013, our Petroleum and Fertilizer reporting units had goodwill of $574 million and $356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5820" w:type="dxa"/>
            <w:vAlign w:val="bottom"/>
          </w:tcPr>
          <w:p>
            <w:pPr>
              <w:ind w:left="38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58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2012</w:t>
            </w:r>
          </w:p>
        </w:tc>
      </w:tr>
      <w:tr>
        <w:trPr>
          <w:trHeight w:val="27"/>
        </w:trPr>
        <w:tc>
          <w:tcPr>
            <w:tcW w:w="5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44"/>
        </w:trPr>
        <w:tc>
          <w:tcPr>
            <w:tcW w:w="58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200" w:type="dxa"/>
            <w:vAlign w:val="bottom"/>
          </w:tcPr>
          <w:p>
            <w:pPr>
              <w:spacing w:after="0"/>
              <w:rPr>
                <w:sz w:val="21"/>
                <w:szCs w:val="21"/>
                <w:color w:val="auto"/>
              </w:rPr>
            </w:pPr>
          </w:p>
        </w:tc>
        <w:tc>
          <w:tcPr>
            <w:tcW w:w="402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2,064</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r>
      <w:tr>
        <w:trPr>
          <w:trHeight w:val="237"/>
        </w:trPr>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8,440</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6,523</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378"/>
        <w:spacing w:after="0" w:line="264" w:lineRule="auto"/>
        <w:rPr>
          <w:sz w:val="20"/>
          <w:szCs w:val="20"/>
          <w:color w:val="auto"/>
        </w:rPr>
      </w:pPr>
      <w:r>
        <w:rPr>
          <w:rFonts w:ascii="Arial" w:cs="Arial" w:eastAsia="Arial" w:hAnsi="Arial"/>
          <w:sz w:val="18"/>
          <w:szCs w:val="18"/>
          <w:color w:val="auto"/>
        </w:rPr>
        <w:t>Depreciation and amortization expense related to property, plant and equipment for the three months ended September 30, 2013 and 2012 was $144 million and $134 million, respectively. Depreciation and amortization expense related to property, plant and equipment for the nine months ended September 30, 2013 and 2012 was $417 million and $334 million,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Icahn Enterprises</w:t>
            </w:r>
          </w:p>
        </w:tc>
        <w:tc>
          <w:tcPr>
            <w:tcW w:w="160" w:type="dxa"/>
            <w:vAlign w:val="bottom"/>
          </w:tcPr>
          <w:p>
            <w:pPr>
              <w:spacing w:after="0"/>
              <w:rPr>
                <w:sz w:val="24"/>
                <w:szCs w:val="24"/>
                <w:color w:val="auto"/>
              </w:rPr>
            </w:pPr>
          </w:p>
        </w:tc>
        <w:tc>
          <w:tcPr>
            <w:tcW w:w="29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5"/>
          </w:tcPr>
          <w:p>
            <w:pPr>
              <w:jc w:val="center"/>
              <w:ind w:right="2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290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senior unsecured notes due 2020 - Icahn Enterprises/Icahn</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8% senior unsecured notes due 2018 - Icahn Enterprises/Icahn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Senior unsecured variable rate convertible notes due 2013 - 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Enterprises/Icahn Enterprises Holdings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Energy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Senior unsecured notes and secured term loan facility - Railcar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Gaming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payable -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700"/>
        <w:spacing w:after="0" w:line="407"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6% Senior Unsecured Notes Due 2020</w:t>
      </w:r>
    </w:p>
    <w:p>
      <w:pPr>
        <w:ind w:right="20" w:firstLine="405"/>
        <w:spacing w:after="0" w:line="302" w:lineRule="auto"/>
        <w:rPr>
          <w:sz w:val="20"/>
          <w:szCs w:val="20"/>
          <w:color w:val="auto"/>
        </w:rPr>
      </w:pPr>
      <w:r>
        <w:rPr>
          <w:rFonts w:ascii="Arial" w:cs="Arial" w:eastAsia="Arial" w:hAnsi="Arial"/>
          <w:sz w:val="16"/>
          <w:szCs w:val="16"/>
          <w:color w:val="auto"/>
        </w:rPr>
        <w:t>On August 1, 2013, we and Icahn Enterprises Finance Corp. (“Icahn Enterprises Finance”) (collectively, the “Issuers”), issued $500 million aggregate principal amount of 6% Senior Notes due 2020 (the “2020 Notes”) pursuant to the purchase agreement, dated July 29, 2013, by and among the Issuers, Icahn Enterprises Holdings, as guarantor (the “Guarantor”), and Jefferies &amp; Company, Inc., as initial purchaser. The gross proceeds from the sale of the Initial Notes were $493 million. Interest on the 2020 Notes is payable on August 1 and February 1 of each year, commencing February 1, 2014.</w:t>
      </w:r>
    </w:p>
    <w:p>
      <w:pPr>
        <w:spacing w:after="0" w:line="46" w:lineRule="exact"/>
        <w:rPr>
          <w:sz w:val="20"/>
          <w:szCs w:val="20"/>
          <w:color w:val="auto"/>
        </w:rPr>
      </w:pPr>
    </w:p>
    <w:p>
      <w:pPr>
        <w:ind w:firstLine="378"/>
        <w:spacing w:after="0" w:line="288" w:lineRule="auto"/>
        <w:rPr>
          <w:sz w:val="20"/>
          <w:szCs w:val="20"/>
          <w:color w:val="auto"/>
        </w:rPr>
      </w:pPr>
      <w:r>
        <w:rPr>
          <w:rFonts w:ascii="Arial" w:cs="Arial" w:eastAsia="Arial" w:hAnsi="Arial"/>
          <w:sz w:val="16"/>
          <w:szCs w:val="16"/>
          <w:color w:val="auto"/>
        </w:rPr>
        <w:t>The 2020 Notes were issued under and are governed by an indenture, dated August 1, 2013 (the “2013 Indenture”), among the Issuers, the Guarantor and Wilmington Trust Company, as trustee. The 2013 Indenture contains customary events of defaults and covenants relating to, among other things, the incurrence of debt, affiliate transactions, liens and restricted payments. On or after February 1, 2017, the Issuers may redeem all of the 2020 Notes at a price equal to 104.5% of the principal amount of the 2020 Notes, plus accrued and unpaid interest, with such option redemption prices decreasing to 103.0% on and after August 1, 2017, 101.5% on or after August 1, 2018 and 100% on and after August 1, 2019. Before August 1, 2016, the Issuers may redeem up to 35% of the aggregate principal amount of 2020 Notes with the net proceeds of certain equity offerings at a price equal to 106.0% of the aggregate principal amount thereof, plus accrued and unpaid interest to the date of redemption, provided that at least 65% of the aggregate principal amount of the 2020 Notes, as the case may be, originally issued remains outstanding immediately after such redemption. In addition, the 2020 Notes are redeemable prior to February 1, 2017 by paying a “make whole” premium. If the Issuers experience a change of control, the Issuers must offer to purchase for cash all or any part of each holder's notes at a purchase price equal to 101% of the principal amount of the notes, plus accrued and unpaid interest.</w:t>
      </w:r>
    </w:p>
    <w:p>
      <w:pPr>
        <w:spacing w:after="0" w:line="61"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The 2020 Notes and the related guarantee are the senior unsecured obligations of the Issuers and the Guarantor and rank equally with all of the Issuers' and the Guarantor's existing and future senior unsecured indebtedness and rank senior to all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Issuers' and the Guarantor's existing and future subordinated indebtedness. The 2020 Notes and the related guarantee are effectively subordinated to the Issuers' and the Guarantor's existing and future secured indebtedness to the extent of the collateral securing such indebtedness. The 2020 Notes and the related guarantee are also effectively subordinated to all indebtedness and other liabilities of the Issuers' subsidiaries other than the Guarantor.</w:t>
      </w:r>
    </w:p>
    <w:p>
      <w:pPr>
        <w:spacing w:after="0" w:line="57"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In connection with the issuance of the 2020 Notes, the Issuers and the Guarantor entered into a registration rights agreement dated August 1, 2013. On September 26, 2013, we filed an initial registration statement on Form S-4 with respect to the 2020 Notes for the sole purpose of exchanging the unregistered 2020 Notes for registered Exchange Notes. The exchange offer registration statement on Form S-4 with respect to the 2020 Notes has not been declared effective by the SEC as of the date of this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Senior Unsecured Notes Due 2018 and 7.75% Senior Unsecured Notes Due 2016</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January 15, 2010, the Issuers issued $850 million aggregate principal amount of 7.75% Senior Unsecured Notes due 2016 (the “2016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$1,150 million aggregate principal amount of 8% Senior Unsecured Notes due 2018 (the “2018 Notes” and, together with the 2016 Notes, the “Initial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purchase agreement, dated January 12, 2010, by and among the Issuers, the Guarantor, and Jefferies &amp; Company, Inc., as initial purchaser.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proceeds from the sale of the Initial Notes were $1,987 million, a portion of which was used to retire certain notes during 2010. Interest on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is payable on January 15 and July 15 of each year, commencing July 15, 2010.</w:t>
      </w:r>
    </w:p>
    <w:p>
      <w:pPr>
        <w:spacing w:after="0" w:line="103" w:lineRule="exact"/>
        <w:rPr>
          <w:sz w:val="20"/>
          <w:szCs w:val="20"/>
          <w:color w:val="auto"/>
        </w:rPr>
      </w:pPr>
    </w:p>
    <w:p>
      <w:pPr>
        <w:ind w:right="60" w:firstLine="378"/>
        <w:spacing w:after="0" w:line="253" w:lineRule="auto"/>
        <w:rPr>
          <w:sz w:val="20"/>
          <w:szCs w:val="20"/>
          <w:color w:val="auto"/>
        </w:rPr>
      </w:pPr>
      <w:r>
        <w:rPr>
          <w:rFonts w:ascii="Arial" w:cs="Arial" w:eastAsia="Arial" w:hAnsi="Arial"/>
          <w:sz w:val="18"/>
          <w:szCs w:val="18"/>
          <w:color w:val="auto"/>
        </w:rPr>
        <w:t>On November 12, 2010, the Issuers issued an additional $200 million aggregate principal amount of the 2016 Notes and $300 million aggregate principal amount of the 2018 Notes (such notes are collectively referred to as the “2010 Additional Notes”), pursuant to the purchase agreement, dated November 8, 2010, by and among the Issuers, Icahn Enterprises Holdings, as guarantor, and Jefferies &amp; Company, Inc., as initial purchaser. The gross proceeds from the sale of the 2010 Additional Notes were $512 million. On January 17, 2012, February 6, 2012 and July 12, 2012, the Issuers issued an additional $1,000 million aggregate principal amount of the 2018 Notes (such notes are collectively referred to as the “2012 Additional Notes”), pursuant to their respective purchase agreements, by and among the Issuers, Icahn Enterprises Holdings, as guarantor, and Jefferies &amp; Company, Inc., as initial purchaser. The 2010 Additional Notes and 2012 Additional Notes constitute the same series of securities as the Initial Notes for purposes of the indenture governing the notes and vote together on all matters with such series. The 2010 Additional Notes and the 2012 Additional Notes have substantially identical terms as the Initial Notes.</w:t>
      </w:r>
    </w:p>
    <w:p>
      <w:pPr>
        <w:spacing w:after="0" w:line="89" w:lineRule="exact"/>
        <w:rPr>
          <w:sz w:val="20"/>
          <w:szCs w:val="20"/>
          <w:color w:val="auto"/>
        </w:rPr>
      </w:pPr>
    </w:p>
    <w:p>
      <w:pPr>
        <w:ind w:right="60" w:firstLine="378"/>
        <w:spacing w:after="0" w:line="268" w:lineRule="auto"/>
        <w:rPr>
          <w:sz w:val="20"/>
          <w:szCs w:val="20"/>
          <w:color w:val="auto"/>
        </w:rPr>
      </w:pPr>
      <w:r>
        <w:rPr>
          <w:rFonts w:ascii="Arial" w:cs="Arial" w:eastAsia="Arial" w:hAnsi="Arial"/>
          <w:sz w:val="17"/>
          <w:szCs w:val="17"/>
          <w:color w:val="auto"/>
        </w:rPr>
        <w:t>The Initial Notes, the 2010 Additional Notes and the 2012 Additional Notes (referred to collectively as the "2010-2012 Notes") were issued under and are governed by an indenture, dated January 15, 2010 (the “2010 Indenture”), among the Issuers, the Guarantor and Wilmington Trust Company, as trustee. The 2010 Indenture contains customary events of defaults and covenants relating to, among other things, the incurrence of debt, affiliate transactions, liens and restricted payments. On or after January 15, 2013, the Issuers were able to redeem all of the 2016 Notes at a price equal to 103.875% of the principal amount of the 2016 Notes, plus accrued and unpaid interest, with such optional redemption prices decreasing to 101.938% on and after January 15, 2014 and 100% on and after January 15, 2015. On or after January 15, 2014, the Issuers may redeem all of the 2018 Notes at a price equal to 104.000% of the principal amount of the 2018 Notes, plus accrued and unpaid interest, with such option redemption prices decreasing to 102.000% on and after January 15, 2015 and 100% on and after January 15, 2016. Before January 15, 2013, the Issuers were able to redeem up to 35% of the aggregate principal amount of each of the 2016 Notes and 2018 Notes with the net proceeds of certain equity offerings at a price equal to 107.750% and 108.000%, respectively, of the aggregate principal amount thereof, plus accrued and unpaid interest to the date of redemption, provided that at least 65% of the aggregate principal amount of the 2016 Notes or 2018 Notes, as the case may be, originally issued remains outstanding immediately after such redemption. If the Issuers experience a change of control, the Issuers must offer to purchase for cash all or any part of each holder's notes at a purchase price equal to 101% of the principal amount of the notes, plus accrued and unpaid interest.</w:t>
      </w:r>
    </w:p>
    <w:p>
      <w:pPr>
        <w:spacing w:after="0" w:line="80"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The 2010-2012 Notes and the related guarantees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2010-2012 Notes and the related guarantees are effectively subordinated to the Issuers' and the Guarantor's existing and future secured indebtedness to the extent of the collateral securing such indebtedness. The 2010-2012 Notes and the related guarantees are also effectively subordinated to all indebtedness and other liabilities of the Issuers' subsidiaries other than the Guarantor.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Variable Rate Convertible Notes Due 2013 - Icahn Enterprises and Icahn Enterprises Holdings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In April 2007, we issued an aggregate of $600 million of variable rate senior convertible notes due 2013 (“variable rate notes”). The variable rate notes were sold in a private placement pursuant to Section 4(2) of the Securities Act, and issued pursuant to an indenture dated as of April 5, 2007, by and among us, as issuer, Icahn Enterprises Finance, as co-issuer, and Wilmington Trust Company, as trustee. Other than Icahn Enterprises Holdings, no other subsidiaries guaranteed payment on the variable rate notes. The variable rate notes bear interest at a rate of three-month LIBOR minus 125 basis points, but the all-in-rate can be no less than 4.0% nor more than 5.5%, and were eligible to be convertible into our depositary units. The interest on the variable rate notes was payable quarterly on each January 15, April 15, July 15 and October 15. The variable rate notes matured on August 15, 2013 and were repaid in full as of that date. As discussed below, as a result of our delivery of notice of satisfaction and discharge (the "Notice") with respect to the variable rate notes on January 25, 2013, the holders of the variable rate notes continued to receive payment of principal and interest on the variable notes through maturity, but no longer had the right to convert variable rate notes into Icahn Enterprises' depositary units.</w:t>
      </w:r>
    </w:p>
    <w:p>
      <w:pPr>
        <w:spacing w:after="0" w:line="74" w:lineRule="exact"/>
        <w:rPr>
          <w:sz w:val="20"/>
          <w:szCs w:val="20"/>
          <w:color w:val="auto"/>
        </w:rPr>
      </w:pPr>
    </w:p>
    <w:p>
      <w:pPr>
        <w:ind w:right="180" w:firstLine="378"/>
        <w:spacing w:after="0" w:line="255" w:lineRule="auto"/>
        <w:rPr>
          <w:sz w:val="20"/>
          <w:szCs w:val="20"/>
          <w:color w:val="auto"/>
        </w:rPr>
      </w:pPr>
      <w:r>
        <w:rPr>
          <w:rFonts w:ascii="Arial" w:cs="Arial" w:eastAsia="Arial" w:hAnsi="Arial"/>
          <w:sz w:val="18"/>
          <w:szCs w:val="18"/>
          <w:color w:val="auto"/>
        </w:rPr>
        <w:t>Prior to our delivery of Notice, in the event that we declared a cash dividend or similar cash distribution in any calendar quarter with respect to our depositary units in an amount in excess of $0.10 per depositary unit (as adjusted for splits, reverse splits and/or stock dividends) ("Excess Dividends"), the indenture governing the variable rate notes required that we simultaneously make such distribution to holders of the variable rate notes in accordance with a formula set forth in the indenture. As discussed below, this provision was satisfied and discharged on the Discharge Date (as hereinafter defined). Accordingly, no distributions in respect of Excess Dividends were paid to holders of the variable rate notes during the year ending December 31, 2013. In addition, because there were no Excess Dividends during the year ended December 31, 2012, no such distributions were paid to holders of the variable rate notes for that period.</w:t>
      </w:r>
    </w:p>
    <w:p>
      <w:pPr>
        <w:spacing w:after="0" w:line="81" w:lineRule="exact"/>
        <w:rPr>
          <w:sz w:val="20"/>
          <w:szCs w:val="20"/>
          <w:color w:val="auto"/>
        </w:rPr>
      </w:pPr>
    </w:p>
    <w:p>
      <w:pPr>
        <w:ind w:right="300" w:firstLine="378"/>
        <w:spacing w:after="0" w:line="257" w:lineRule="auto"/>
        <w:rPr>
          <w:sz w:val="20"/>
          <w:szCs w:val="20"/>
          <w:color w:val="auto"/>
        </w:rPr>
      </w:pPr>
      <w:r>
        <w:rPr>
          <w:rFonts w:ascii="Arial" w:cs="Arial" w:eastAsia="Arial" w:hAnsi="Arial"/>
          <w:sz w:val="18"/>
          <w:szCs w:val="18"/>
          <w:color w:val="auto"/>
        </w:rPr>
        <w:t>On January 25, 2013, Icahn Enterprises and Icahn Enterprises Holdings delivered the Notice to the registered holders of our outstanding variable rate notes in accordance with the terms of the indenture dated as of April 5, 2007, among Icahn Enterprises, as issuer, Icahn Enterprises Finance Corp., as co-issuer, Icahn Enterprises Holdings, as guarantor, and Wilmington Trust Company, as trustee, governing the variable rate notes. The aggregate outstanding principal amount of the variable rate notes prior to the satisfaction and discharge was $600 million, of which $44 million was held directly by Icahn Enterprises Holdings.</w:t>
      </w:r>
    </w:p>
    <w:p>
      <w:pPr>
        <w:spacing w:after="0" w:line="80" w:lineRule="exact"/>
        <w:rPr>
          <w:sz w:val="20"/>
          <w:szCs w:val="20"/>
          <w:color w:val="auto"/>
        </w:rPr>
      </w:pPr>
    </w:p>
    <w:p>
      <w:pPr>
        <w:ind w:firstLine="413"/>
        <w:spacing w:after="0" w:line="290" w:lineRule="auto"/>
        <w:rPr>
          <w:sz w:val="20"/>
          <w:szCs w:val="20"/>
          <w:color w:val="auto"/>
        </w:rPr>
      </w:pPr>
      <w:r>
        <w:rPr>
          <w:rFonts w:ascii="Arial" w:cs="Arial" w:eastAsia="Arial" w:hAnsi="Arial"/>
          <w:sz w:val="16"/>
          <w:szCs w:val="16"/>
          <w:color w:val="auto"/>
        </w:rPr>
        <w:t>As set forth in the Notice, on January 29, 2013 (the “Discharge Date”), Icahn Enterprises deposited with Wilmington Trust Company, to be held in trust by it in accordance with the provisions of the variable rate notes and the indenture dated as of April 5, 2007, cash in the amount sufficient to pay and discharge all indebtedness on the outstanding variable rate notes consisting of: (a) all accrued and unpaid interest payable on the quarterly interest payment dates on April 15 and July 15, 2013, and (b) all principal and accrued and unpaid interest payable upon maturity of the variable rate notes on August 15, 2013. On and after the Discharge Date, (a) the indenture dated as of April 5, 2007 was satisfied and discharged and ceased to be of further effect as to all variable rate notes and Note Guarantees (as defined in such indenture) issued thereunder and (b) holders had the right to receive payment of principal and interest on the variable rate notes through maturity, but no longer had the right to convert variable rate notes into our depositary units. In addition, the holders of the variable rate notes were no longer eligible to receive any Excess Dividends on or after the Discharge Date in respect to our declaration of dividends.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The indentures governing both the 2010-2012 Notes and the 2020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0"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As of September 30, 2013 and December 31, 2012, we were in compliance with all covenants, including maintaining certain minimum financial ratios, as defined in the indentures. Additionally, as of September 30, 2013, based on covenants in the indentures governing our senior unsecured notes, we are permitted to incur approximately $2.7 billion in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117"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On December 27, 2007, Federal-Mogul entered into a Term Loan and Revolving Credit Agreement (“Federal-Mogul Debt Facilities”) with Citicorp U.S.A. Inc. as Administrative Agent, JPMorgan Chase Bank, N.A. as Syndication Agent and certain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lenders. The Federal-Mogul Debt Facilities include a $540 million revolving credit facility (which is subject to a borrowing base and can be increased under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certain circumstances and subject to certain conditions) and a $2,960 million term loan credit facility divided into a $1,960 million tranche B loan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million tranche C loan. The obligations under the revolving credit facility mature December 27, 2013 and bear interest in accordance with a pricing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grid based on availability under the revolving credit facility. Interest rates on the pricing grid range from LIBOR plus 1.50% to LIBOR plus 2.00% and ABR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0.50% to ABR plus 1.00%. The tranche B term loans mature December 27, 2014 and the tranche C term loans mature December 27, 2015. All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Federal-Mogul Debt Facilities term loans bear interest at LIBOR plus 1.9375% or at ABR plus 0.9375% at Federal-Mogul's election.</w:t>
      </w:r>
    </w:p>
    <w:p>
      <w:pPr>
        <w:spacing w:after="0" w:line="103"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As of September 30, 2013 and December 31, 2012, the borrowing availability under Federal-Mogul's revolving credit facility was $476 million and $451 million, respectively. Federal-Mogul had $39 million and $37 million of letters of credit outstanding as September 30, 2013 and December 31, 2012, respectively, pertaining to Federal-Mogul's term loan credit facility. To the extent letters of credit associated with the revolving credit facility are issued, there is a corresponding decrease in borrowings available under this facility.</w:t>
      </w:r>
    </w:p>
    <w:p>
      <w:pPr>
        <w:spacing w:after="0" w:line="79" w:lineRule="exact"/>
        <w:rPr>
          <w:sz w:val="20"/>
          <w:szCs w:val="20"/>
          <w:color w:val="auto"/>
        </w:rPr>
      </w:pPr>
    </w:p>
    <w:p>
      <w:pPr>
        <w:ind w:right="100" w:firstLine="378"/>
        <w:spacing w:after="0" w:line="286" w:lineRule="auto"/>
        <w:rPr>
          <w:sz w:val="20"/>
          <w:szCs w:val="20"/>
          <w:color w:val="auto"/>
        </w:rPr>
      </w:pPr>
      <w:r>
        <w:rPr>
          <w:rFonts w:ascii="Arial" w:cs="Arial" w:eastAsia="Arial" w:hAnsi="Arial"/>
          <w:sz w:val="17"/>
          <w:szCs w:val="17"/>
          <w:color w:val="auto"/>
        </w:rPr>
        <w:t>The obligations of Federal-Mogul under the Federal-Mogul Debt Facilities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right="120" w:firstLine="378"/>
        <w:spacing w:after="0" w:line="291" w:lineRule="auto"/>
        <w:rPr>
          <w:sz w:val="20"/>
          <w:szCs w:val="20"/>
          <w:color w:val="auto"/>
        </w:rPr>
      </w:pPr>
      <w:r>
        <w:rPr>
          <w:rFonts w:ascii="Arial" w:cs="Arial" w:eastAsia="Arial" w:hAnsi="Arial"/>
          <w:sz w:val="16"/>
          <w:szCs w:val="16"/>
          <w:color w:val="auto"/>
        </w:rPr>
        <w:t>The Federal-Mogul Debt Facilities contain certain affirmative and negative covenants and events of default, including, subject to certain exceptions, restrictions on incurring additional indebtedness, mandatory prepayment provisions associated with specified asset sales and dispositions, and limitations on</w:t>
      </w:r>
    </w:p>
    <w:p>
      <w:pPr>
        <w:ind w:right="20" w:firstLine="8"/>
        <w:spacing w:after="0" w:line="254"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(ii) certain acquisitions, mergers or consolidations; (iii) sale and leaseback transactions; (iv) certain transactions with affiliates, and (v) dividends and other payments in respect of capital stock. Pursuant to the terms of the Federal-Mogul Debt Facilities, $50 million of the Tranche C Term Loan proceeds were deposited in a term letter of credit account. At September 30, 2013 and December 31, 2012, Federal-Mogul was in compliance with all debt covenants under the Federal-Mogul Debt Facilities.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On April 6, 2010, Coffeyville Resources, LLC ("CRLLC") and its then wholly owned subsidiary, Coffeyville Finance Inc. (together the "CVR Issuers"), completed a private offering of $275 million aggregate principal amount of 9.0% First Lien Senior Secured Notes due 2015 (the "CVR First Lien Notes") and $225 million aggregate principal amount of 10.875% Second Lien Senior Secured Notes due 2017 ("CVR Second Lien Notes" and, together with the CVR First Lien Notes, the "CVR Notes"). On December 15, 2011, the CVR Issuers sold an additional $200 million aggregate principal amount of 9.0% First Lien Senior Secured Notes due 2015 ("New CVR Notes"). The New CVR Notes were issued as "Additional CVR Notes" pursuant to the indenture dated April 6, 2010 (the "CVR Indenture") and, together with the existing CVR First Lien Notes, are treated as a single class for all purposes under the CVR Indenture including, without limitation, waivers, amendments, redemptions and other offers to purchase. Unless otherwise indicated, the New CVR Notes and the existing first lien notes are collectively referred to herein as the "CVR First Lien Notes."</w:t>
      </w:r>
    </w:p>
    <w:p>
      <w:pPr>
        <w:spacing w:after="0" w:line="71"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The CVR First Lien Notes were scheduled to mature on April 1, 2015, unless earlier redeemed or repurchased by the CVR Issuers. See further discussion below related to the tender and redemption of all the outstanding CVR First Lien Notes in the fourth quarter of 2012. The CVR Second Lien Notes mature on April 1, 2017, unless earlier redeemed or repurchased by the CVR Issuers. On January 23, 2013, a portion of the proceeds from CVR Refining's IPO were utilized to satisfy and discharge the indenture governing the CVR Second Lien Notes. As a result, all of the outstanding CVR Second Lien Notes were redeemed on January 23, 2013 resulting in a gain on extinguishment of debt of $5 million for our Energy segment in the first quarter of 2013.</w:t>
      </w:r>
    </w:p>
    <w:p>
      <w:pPr>
        <w:spacing w:after="0" w:line="50"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Interest was payable on the Notes semi-annually on April 1 and October 1 of each year. The CVR Notes were fully and unconditionally guaranteed by each of CRLLC's subsidiaries other than CVR Partners and CRNF.</w:t>
      </w:r>
    </w:p>
    <w:p>
      <w:pPr>
        <w:spacing w:after="0" w:line="62"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As a result of our acquisition of CVR on May 4, 2012, we revalued the CVR Notes to their acquisition date fair values, resulting in the recognition of premiums aggregating $54 million which was amortized to interest expense on a straight line basis over the life of the CVR Notes. As a result of redemption of the CVR Second Lien Notes discussed above, the premium balance of $25 million was written off during the first quarter of 2013. In addition, our acquisition of a controlling interest in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337" w:right="2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CVR constituted a change of control requiring the CVR Issuers to make an offer to repurchase all of its outstanding CVR Notes at 101.0% of the principal amount of notes tendered. On June 4, 2012, the CVR Issuers offered to purchase all or any part of the CVR Notes, at a cash purchase price of 101% of the aggregate principal amount of the CVR Notes, plus accrued and unpaid interest, if any. The offer expired on July 5, 2012 with none of the outstanding CVR Notes tendered.</w:t>
      </w:r>
    </w:p>
    <w:p>
      <w:pPr>
        <w:spacing w:after="0" w:line="79"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On October 23, 2012, CVR Refining LLC (“Refining LLC”) and its wholly owned subsidiary, Coffeyville Finance Inc., completed a private offering of $500 million in aggregate principal amount of 6.50% Second Lien Secured Notes due 2022 (the "2022 Notes"). The 2022 Notes were issued at par. Refining LLC received approximately $493 million of cash proceeds, net of underwriting fees, but before deducting other third-party fees and expenses associated with the offering. The 2022 Notes were secured by substantially the same assets that secured the then outstanding CVR Second Lien Notes, subject to exceptions, until such time that the outstanding CVR Second Lien Notes were satisfied and discharged in full which occurred on January 23, 2013. The 2022 Notes are fully and unconditionally guaranteed by CVR Refining and each of CVR Refining's existing domestic subsidiaries on a joint and several basis. CVR Refining has no independent assets or operations and Refining LLC is a 100% owned finance subsidiary of CVR Refining. Prior to the satisfaction and discharge of the CVR Second Lien Notes, which occurred on January 23, 2013, the 2022 Notes were also guaranteed by CRLLC. CVR, CVR Partners and CRNF are not guarantors of the 2022 Notes. $348 million of the net proceeds from the offering was used to fund a completed and settled tender offer resulting in the purchase of $323 million of the 9.0% First Lien Notes due April 1, 2015 and to settle accrued interest of $2 million through October 23, 2012 and to pay related fees and expenses. A premium of $23 million was incurred associated with the tender.</w:t>
      </w:r>
    </w:p>
    <w:p>
      <w:pPr>
        <w:spacing w:after="0" w:line="65"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The 2022 Notes mature on November 1, 2022, unless earlier redeemed or repurchased by the issuers. Interest is payable on the 2022 Notes semi-annually on May 1 and November 1 of each year, commencing on May 1, 2013.</w:t>
      </w:r>
    </w:p>
    <w:p>
      <w:pPr>
        <w:spacing w:after="0" w:line="62" w:lineRule="exact"/>
        <w:rPr>
          <w:sz w:val="20"/>
          <w:szCs w:val="20"/>
          <w:color w:val="auto"/>
        </w:rPr>
      </w:pPr>
    </w:p>
    <w:p>
      <w:pPr>
        <w:ind w:right="140" w:firstLine="378"/>
        <w:spacing w:after="0" w:line="255" w:lineRule="auto"/>
        <w:rPr>
          <w:sz w:val="20"/>
          <w:szCs w:val="20"/>
          <w:color w:val="auto"/>
        </w:rPr>
      </w:pPr>
      <w:r>
        <w:rPr>
          <w:rFonts w:ascii="Arial" w:cs="Arial" w:eastAsia="Arial" w:hAnsi="Arial"/>
          <w:sz w:val="18"/>
          <w:szCs w:val="18"/>
          <w:color w:val="auto"/>
        </w:rPr>
        <w:t>The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 ability to enter into certain affiliate transactions. The 2022 Notes provide that CVR Refining can make distributions to holders of its common units provided, among other things, it has a minimum fixed charge coverage ratio and there is no default or event of default under the 2022 Notes. As of September 30, 2013, CVR Refining was in compliance with the covenants contained in the 2022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Backed (ABL) Credit Facility</w:t>
      </w:r>
    </w:p>
    <w:p>
      <w:pPr>
        <w:spacing w:after="0" w:line="117" w:lineRule="exact"/>
        <w:rPr>
          <w:sz w:val="20"/>
          <w:szCs w:val="20"/>
          <w:color w:val="auto"/>
        </w:rPr>
      </w:pPr>
    </w:p>
    <w:p>
      <w:pPr>
        <w:ind w:right="220" w:firstLine="378"/>
        <w:spacing w:after="0" w:line="297" w:lineRule="auto"/>
        <w:rPr>
          <w:sz w:val="20"/>
          <w:szCs w:val="20"/>
          <w:color w:val="auto"/>
        </w:rPr>
      </w:pPr>
      <w:r>
        <w:rPr>
          <w:rFonts w:ascii="Arial" w:cs="Arial" w:eastAsia="Arial" w:hAnsi="Arial"/>
          <w:sz w:val="16"/>
          <w:szCs w:val="16"/>
          <w:color w:val="auto"/>
        </w:rPr>
        <w:t>On December 20, 2012, CRLLC, CVR Refining and Refining LLC and each of the operating subsidiaries of Refining LLC (collectively, the “Credit Parties”) entered into an amended and restated ABL credit agreement (“Amended and Restated ABL Credit Facility") with a group of lenders and Wells Fargo Bank, National Association (“Wells Fargo”), as administrative agent and collateral agent. The Amended and Restated ABL Credit Facility replaced a previous ABL credit facility and is scheduled to mature on December 20, 2017. Under the Amended and Restated ABL Credit Facility, CVR Refining assumed CVR's position as borrower and CVR's obligations under the facility upon the closing of CVR Refining's IPO on January 23, 2013.</w:t>
      </w:r>
    </w:p>
    <w:p>
      <w:pPr>
        <w:spacing w:after="0" w:line="50"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The Amended and Restated ABL Credit Facility is a senior secured asset based revolving credit facility in an aggregate principal amount of up to $400 million with an incremental facility, which permits an increase in borrowings of up to $200 million subject to additional lender commitments and certain other conditions. The proceeds of the loans may be used for capital expenditures and working capital and general purposes of the Credit Parties and their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w:t>
      </w:r>
    </w:p>
    <w:p>
      <w:pPr>
        <w:spacing w:after="0" w:line="85"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79"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Amended and Restated ABL Credit Facility also contains customary covenants for a financing of this type that limit the ability of the Credit Parties and their respective subsidiaries to, among other things, incur liens, engage in a consolidation, merger, purchase or sale of assets, pay dividends, incur indebtedness, make advances, investment and loans, enter into affiliate transactions, issue equity interests or create subsidiaries and unrestricted subsidiaries. The amended and restated facility also contains a fixed charge coverage ratio financial covenant, as defined under the facility. The Credit Parties were in compliance with the covenants of the Amended and Restated ABL Credit Facility as of September 30, 2013.</w:t>
      </w:r>
    </w:p>
    <w:p>
      <w:pPr>
        <w:spacing w:after="0" w:line="64" w:lineRule="exact"/>
        <w:rPr>
          <w:sz w:val="20"/>
          <w:szCs w:val="20"/>
          <w:color w:val="auto"/>
        </w:rPr>
      </w:pPr>
    </w:p>
    <w:p>
      <w:pPr>
        <w:ind w:right="480" w:firstLine="378"/>
        <w:spacing w:after="0" w:line="342" w:lineRule="auto"/>
        <w:rPr>
          <w:sz w:val="20"/>
          <w:szCs w:val="20"/>
          <w:color w:val="auto"/>
        </w:rPr>
      </w:pPr>
      <w:r>
        <w:rPr>
          <w:rFonts w:ascii="Arial" w:cs="Arial" w:eastAsia="Arial" w:hAnsi="Arial"/>
          <w:sz w:val="16"/>
          <w:szCs w:val="16"/>
          <w:color w:val="auto"/>
        </w:rPr>
        <w:t>As of September 30, 2013, CRLLC had availability under the Amended and Restated ABL Credit Facility of $373 million and had letters of credit outstanding of $27 million. There were no borrowings outstanding under the Amended and Restated ABL Credit Facility as of September 30, 2013.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300" w:firstLine="378"/>
        <w:spacing w:after="0" w:line="259" w:lineRule="auto"/>
        <w:rPr>
          <w:sz w:val="20"/>
          <w:szCs w:val="20"/>
          <w:color w:val="auto"/>
        </w:rPr>
      </w:pPr>
      <w:r>
        <w:rPr>
          <w:rFonts w:ascii="Arial" w:cs="Arial" w:eastAsia="Arial" w:hAnsi="Arial"/>
          <w:sz w:val="18"/>
          <w:szCs w:val="18"/>
          <w:color w:val="auto"/>
        </w:rPr>
        <w:t>On April 13, 2011, CRNF, as borrower, and CVR Partners, as guarantor, entered into a new credit facility with a group of lenders including Goldman Sachs Lending Partners LLC, as administrative and collateral agent. The credit facility includes a term loan facility of $125 million and a revolving credit facility of $25 million, which was undrawn as of September 30, 2013, with an uncommitted incremental facility of up to $50 million. No amounts were outstanding under the revolving credit facility at September 30, 2013.</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9"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creation of liens on assets and the ability of CVR Partners to dispose of assets, to make restricted payments, investments and acquisitions, or enter into sale-leaseback transactions and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September 30, 2013, CRNF was in compliance with the covenants contained in the credit facility.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 and Secured Term Loan Facility - Railcar</w:t>
      </w:r>
    </w:p>
    <w:p>
      <w:pPr>
        <w:spacing w:after="0" w:line="117"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In February 2007, ARI issued $275 million senior unsecured fixed rate notes that were subsequently exchanged for registered notes in March 2007 (the “ARI Notes”). In September 2012, ARI completed a voluntary partial early redemption of $100 million of the ARI Notes at a rate of 101.875% of the principal amount, plus any accrued interest and unpaid interest. On March 1, 2013, ARI voluntarily redeemed the remaining $175 million of ARI Notes outstanding at par value. In connection with these redemptions, ARI recorded a loss of less than $1 million and approximately $2 million on debt extinguishment for the nine months ended September 30, 2013 and 2012, respectively.</w:t>
      </w:r>
    </w:p>
    <w:p>
      <w:pPr>
        <w:spacing w:after="0" w:line="80" w:lineRule="exact"/>
        <w:rPr>
          <w:sz w:val="20"/>
          <w:szCs w:val="20"/>
          <w:color w:val="auto"/>
        </w:rPr>
      </w:pPr>
    </w:p>
    <w:p>
      <w:pPr>
        <w:ind w:right="140" w:firstLine="378"/>
        <w:spacing w:after="0" w:line="255" w:lineRule="auto"/>
        <w:rPr>
          <w:sz w:val="20"/>
          <w:szCs w:val="20"/>
          <w:color w:val="auto"/>
        </w:rPr>
      </w:pPr>
      <w:r>
        <w:rPr>
          <w:rFonts w:ascii="Arial" w:cs="Arial" w:eastAsia="Arial" w:hAnsi="Arial"/>
          <w:sz w:val="18"/>
          <w:szCs w:val="18"/>
          <w:color w:val="auto"/>
        </w:rPr>
        <w:t>In December 2012, ARI, through its wholly owned subsidiary, entered into a senior secured delayed draw term loan facility ("ARI Term Loan") that is secured by a portfolio of railcars, railcar leases, the receivables associated with those railcars and leases and certain other related assets. The ARI Term Loan provided for an initial draw at closing ("Initial Draw") and allows for up to two additional draws. Upon closing, the Initial Draw was $98 million, net of fees and expenses. During the first half of 2013, ARI made two additional draws, which resulted in aggregate net proceeds of $100 million, fully utilizing the capacity of the ARI Term Loan. As of September 30, 2013 and December 31, 2012, the outstanding principal balance on the ARI Term Loan was $196 million and $100 million, respectively.</w:t>
      </w:r>
    </w:p>
    <w:p>
      <w:pPr>
        <w:spacing w:after="0" w:line="85"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ARI Term Loan bears interest at one-month LIBOR plus 2.5%, subject to an alternative fee as set forth in the credit agreement, and is payable on the 15th of each month. The interest rate increases by 2.0% following certain events of default. ARI is required to pay principal at an annual rate of 3.33% of the borrowed amount via monthly payments that are due on the Payment Date, with any remaining balance payable on the final scheduled maturity date. The ARI Term Loan may be prepaid at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any time without premium or penalty, other than customary LIBOR breakage fees. A subsidiary of ARI is required to maintain a loan value ratio of at least 75% of the Net Aggregate Equipment Value, as defined in the ARI Term Loan. The ARI Term Loan contains restrictive covenants that limit a subsidiary of ARI's ability to, among other things, incur additional debt, issue additional equity, sell certain assets, make certain restricted payments and enter into certain significant transactions with stockholders and affiliates. Certain covenants, including those that restrict a subsidiary of ARI's ability to incur additional indebtedness and issue equity, become more restrictive if a subsidiary of ARI's debt service coverage ratio, as defined, is less than 1.05 to 1.00 as measured on a rolling three-quarter basis beginning on or after September 30, 2013. ARI was in compliance with all of its covenants under the ARI Term Loan as of September 30, 2013. As of September 30, 2013 and December 31, 2012, the net book value of ARI's railcars that were pledged as part of the ARI Term Loan was $222 million and $112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In March 2012, Tropicana entered into credit facilities (the "Tropicana Credit Facilities"), which consist of (i) a senior secured first lien term loan facility in an aggregate principal amount of $175 million, issued at a discount of 2% (the "Tropicana Term Loan") and (ii) a cash collateralized letter of credit facility in a maximum aggregate amount of $15 million (the "Tropicana Letter of Credit"). Commencing on June 30, 2012, the Tropicana Term Loan requires quarterly principal payments of 0.25% of the original principal amount with any remaining outstanding amounts due on the maturity date, which is March 16, 2018. The Tropicana Term Loan is secured by substantially all of Tropicana's assets and is guaranteed by all of its domestic subsidiaries.</w:t>
      </w:r>
    </w:p>
    <w:p>
      <w:pPr>
        <w:spacing w:after="0" w:line="50"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At the election of Tropicana and subject to certain conditions, the amount available under the Tropicana Term Loan may be increased by up to $75 million, which increased amount may be comprised of additional term loans and up to $20 million of revolving loans. The Tropicana Letter of Credit provides for the issuance of letters of credit with an aggregate stated amount of up to $15 million, through a termination date of March 16, 2017. The letters of credit issued under the Tropicana Letter of Credit will be secured by cash collateral in an amount no less than 103% of the face amounts of such letters of credit.</w:t>
      </w:r>
    </w:p>
    <w:p>
      <w:pPr>
        <w:spacing w:after="0" w:line="46" w:lineRule="exact"/>
        <w:rPr>
          <w:sz w:val="20"/>
          <w:szCs w:val="20"/>
          <w:color w:val="auto"/>
        </w:rPr>
      </w:pPr>
    </w:p>
    <w:p>
      <w:pPr>
        <w:ind w:right="160" w:firstLine="378"/>
        <w:spacing w:after="0" w:line="293" w:lineRule="auto"/>
        <w:rPr>
          <w:sz w:val="20"/>
          <w:szCs w:val="20"/>
          <w:color w:val="auto"/>
        </w:rPr>
      </w:pPr>
      <w:r>
        <w:rPr>
          <w:rFonts w:ascii="Arial" w:cs="Arial" w:eastAsia="Arial" w:hAnsi="Arial"/>
          <w:sz w:val="16"/>
          <w:szCs w:val="16"/>
          <w:color w:val="auto"/>
        </w:rPr>
        <w:t>The obligations under the Tropicana Term Loan bear interest, at Tropicana's election, at an annual rate equal to either: (i) the sum of (a) the Adjusted LIBOR Rate (as defined in the Tropicana Term Loan) (subject to a 1.50% floor); plus (b) a margin of 6.00%; or (ii) the sum of: (a) the alternate base rate, which is equal to the greatest of: (1) the corporate base rate of UBS AG, Stamford Branch; (2) the Federal Funds Effective Rate (as defined in the Tropicana Term Loan) plus 0.50%; or (3) the Adjusted LIBOR Rate (as defined in the Tropicana Term Loan) for one month plus 1.00% (all subject to a 2.50% floor); plus (b) a margin of 5.00%; such that, in either case, the applicable interest rate shall not be less than 7.50%. An additional 2% default rate also applies in certain instances described in the Tropicana Term Loan. As of September 30, 2013, the interest rate was 7.5%.</w:t>
      </w:r>
    </w:p>
    <w:p>
      <w:pPr>
        <w:spacing w:after="0" w:line="57" w:lineRule="exact"/>
        <w:rPr>
          <w:sz w:val="20"/>
          <w:szCs w:val="20"/>
          <w:color w:val="auto"/>
        </w:rPr>
      </w:pPr>
    </w:p>
    <w:p>
      <w:pPr>
        <w:ind w:right="40" w:firstLine="378"/>
        <w:spacing w:after="0" w:line="254" w:lineRule="auto"/>
        <w:rPr>
          <w:sz w:val="20"/>
          <w:szCs w:val="20"/>
          <w:color w:val="auto"/>
        </w:rPr>
      </w:pPr>
      <w:r>
        <w:rPr>
          <w:rFonts w:ascii="Arial" w:cs="Arial" w:eastAsia="Arial" w:hAnsi="Arial"/>
          <w:sz w:val="18"/>
          <w:szCs w:val="18"/>
          <w:color w:val="auto"/>
        </w:rPr>
        <w:t>The Tropicana Term Loan may be prepaid at the option of Tropicana at any time without penalty (other than customary breakage fees). The Tropicana Term Loan contains mandatory prepayment provisions from proceeds received by Tropicana and its subsidiaries as a result of asset sales, the incurrence of indebtedness and issuance of equity, casualty events and excess cash flow (subject in each case to certain exceptions). Key covenants binding Tropicana and its subsidiaries include (i) limitations on indebtedness, liens, investments, acquisitions, asset sales, dividends and other restricted payments, and affiliate and extraordinary transactions, (ii) compliance with a first lien net leverage ratio, measured quarterly on a trailing twelve-month basis (3.25:1.00 for the quarter ended March 31, 2013, and reducing annually over time to 2.50:1.00 beginning as of the quarter ending March 31, 2016), and (iii) compliance with a total net leverage ratio, measured quarterly on a trailing twelve-month basis, of 5.00:1.00. Tropicana was in compliance with the covenants of the Tropicana Term Loan at September 30, 2013.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Revolving Credit Facility - Food Packaging</w:t>
      </w:r>
    </w:p>
    <w:p>
      <w:pPr>
        <w:spacing w:after="0" w:line="117" w:lineRule="exact"/>
        <w:rPr>
          <w:sz w:val="20"/>
          <w:szCs w:val="20"/>
          <w:color w:val="auto"/>
        </w:rPr>
      </w:pPr>
    </w:p>
    <w:p>
      <w:pPr>
        <w:jc w:val="both"/>
        <w:ind w:right="140" w:firstLine="378"/>
        <w:spacing w:after="0" w:line="264" w:lineRule="auto"/>
        <w:rPr>
          <w:sz w:val="20"/>
          <w:szCs w:val="20"/>
          <w:color w:val="auto"/>
        </w:rPr>
      </w:pPr>
      <w:r>
        <w:rPr>
          <w:rFonts w:ascii="Arial" w:cs="Arial" w:eastAsia="Arial" w:hAnsi="Arial"/>
          <w:sz w:val="18"/>
          <w:szCs w:val="18"/>
          <w:color w:val="auto"/>
        </w:rPr>
        <w:t>In December 2009, Viskase issued $175 million of 9.875% Senior Secured Notes due 2018 (the “Viskase Notes”). The Viskase Notes bear interest at a rate of 9.875% per annum, payable semi-annually in cash on January 15 and July 15, commencing on July 15, 2010. The Viskase Notes have a maturity date of January 15, 2018.</w:t>
      </w:r>
    </w:p>
    <w:p>
      <w:pPr>
        <w:spacing w:after="0" w:line="73" w:lineRule="exact"/>
        <w:rPr>
          <w:sz w:val="20"/>
          <w:szCs w:val="20"/>
          <w:color w:val="auto"/>
        </w:rPr>
      </w:pPr>
    </w:p>
    <w:p>
      <w:pPr>
        <w:ind w:right="100" w:firstLine="378"/>
        <w:spacing w:after="0" w:line="286" w:lineRule="auto"/>
        <w:rPr>
          <w:sz w:val="20"/>
          <w:szCs w:val="20"/>
          <w:color w:val="auto"/>
        </w:rPr>
      </w:pPr>
      <w:r>
        <w:rPr>
          <w:rFonts w:ascii="Arial" w:cs="Arial" w:eastAsia="Arial" w:hAnsi="Arial"/>
          <w:sz w:val="17"/>
          <w:szCs w:val="17"/>
          <w:color w:val="auto"/>
        </w:rPr>
        <w:t>In May 2010, Viskase issued an additional $40 million aggregate principal amount of Viskase Notes under the indenture governing the Viskase Notes (the “Viskase Notes Indenture”). The additional notes constitute the same series of securities as the initial Viskase Notes. Holders of the initial and additional Viskase Notes vote together on all matters and the initial and additional Viskase Notes are equally and ratably secured by all collateral.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jc w:val="both"/>
        <w:ind w:right="340" w:firstLine="378"/>
        <w:spacing w:after="0" w:line="264" w:lineRule="auto"/>
        <w:rPr>
          <w:sz w:val="20"/>
          <w:szCs w:val="20"/>
          <w:color w:val="auto"/>
        </w:rPr>
      </w:pPr>
      <w:r>
        <w:rPr>
          <w:rFonts w:ascii="Arial" w:cs="Arial" w:eastAsia="Arial" w:hAnsi="Arial"/>
          <w:sz w:val="18"/>
          <w:szCs w:val="18"/>
          <w:color w:val="auto"/>
        </w:rPr>
        <w:t>The Viskase Notes and related guarantees by any of Viskase's future domestic restricted subsidiaries are secured by substantially all of Viskase's and such domestic restricted subsidiaries' current and future tangible and intangible assets. The Viskase Notes Indenture permits Viskase to incur other senior secured indebtedness and to grant liens on its assets under certain circumstances.</w:t>
      </w:r>
    </w:p>
    <w:p>
      <w:pPr>
        <w:spacing w:after="0" w:line="73"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Prior to January 15, 2014, Viskase may redeem, at its option, up to 35% of the aggregate principal amount of the Viskase Notes issued under the Viskase Notes Indenture with the net proceeds of any equity offering at 109.875% of their principal amount, plus accrued and unpaid interest to the date of redemption, provided that at least 65% of the aggregate principal amount of the Viskase Notes issued under the Viskase Notes Indenture dated December 21, 2009 remains outstanding immediately following the redemption.</w:t>
      </w:r>
    </w:p>
    <w:p>
      <w:pPr>
        <w:spacing w:after="0" w:line="79"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In its foreign operations, Viskase has unsecured lines of credit with various banks providing approximately $6 million and $8 million of availability as of September 30, 2013 and December 31, 2012, respectively. There were $2 million and no borrowings under the lines of credit at September 30, 2013 and December 31, 2012, respectively.</w:t>
      </w:r>
    </w:p>
    <w:p>
      <w:pPr>
        <w:spacing w:after="0" w:line="73" w:lineRule="exact"/>
        <w:rPr>
          <w:sz w:val="20"/>
          <w:szCs w:val="20"/>
          <w:color w:val="auto"/>
        </w:rPr>
      </w:pPr>
    </w:p>
    <w:p>
      <w:pPr>
        <w:ind w:right="820" w:firstLine="378"/>
        <w:spacing w:after="0" w:line="277" w:lineRule="auto"/>
        <w:rPr>
          <w:sz w:val="20"/>
          <w:szCs w:val="20"/>
          <w:color w:val="auto"/>
        </w:rPr>
      </w:pPr>
      <w:r>
        <w:rPr>
          <w:rFonts w:ascii="Arial" w:cs="Arial" w:eastAsia="Arial" w:hAnsi="Arial"/>
          <w:sz w:val="18"/>
          <w:szCs w:val="18"/>
          <w:color w:val="auto"/>
        </w:rPr>
        <w:t>Letters of credit in the amount of $1 million were outstanding under facilities with a commercial bank, and were cash collateralized at each of September 30, 2013 and December 31,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Mortgages Payable - Real Estate</w:t>
      </w:r>
    </w:p>
    <w:p>
      <w:pPr>
        <w:spacing w:after="0" w:line="117"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Mortgages payable, all of which are non-recourse to us, bear interest at rates between 4.97% and 7.99% and have maturities between March 31, 2014 and October 31, 2028.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 Facility - Home Fashion</w:t>
      </w:r>
    </w:p>
    <w:p>
      <w:pPr>
        <w:spacing w:after="0" w:line="117" w:lineRule="exact"/>
        <w:rPr>
          <w:sz w:val="20"/>
          <w:szCs w:val="20"/>
          <w:color w:val="auto"/>
        </w:rPr>
      </w:pPr>
    </w:p>
    <w:p>
      <w:pPr>
        <w:ind w:right="220" w:firstLine="378"/>
        <w:spacing w:after="0" w:line="297" w:lineRule="auto"/>
        <w:rPr>
          <w:sz w:val="20"/>
          <w:szCs w:val="20"/>
          <w:color w:val="auto"/>
        </w:rPr>
      </w:pPr>
      <w:r>
        <w:rPr>
          <w:rFonts w:ascii="Arial" w:cs="Arial" w:eastAsia="Arial" w:hAnsi="Arial"/>
          <w:sz w:val="16"/>
          <w:szCs w:val="16"/>
          <w:color w:val="auto"/>
        </w:rPr>
        <w:t>On October 15, 2012, upon the expiration of a certain senior secured revolving credit facility of WPH, WPH entered into a letter of credit facility (the "WPH Letter of Credit") with a nationally recognized bank (the "LC Issuer"). The WPH Letter of Credit has a $10 million credit line and was renewed through October 15, 2014. Issuance of letters of credit under the WPH Letter of Credit is subject to 0.50% annual fee on the outstanding face amount of the letters of credit issued under the WPH Letter of Credit, which face amount as of September 30, 2013 was $6 million. Obligations under the WPH Letter of Credit are secured by a cash collateral account pledged by WPH to LC Issuer. The WPH Letter of Credit does not contain any financial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Federal-Mogul, ARI and Viskase each sponsor several defined benefit pension plans (''Pension Benefits'') (and, in the case of Viskase, its pension plans include defined contribution plans). Additionally, Federal-Mogul, ARI and Viskase each sponsors health care and life insurance benefits (''OPEB'') for certain employees and retirees around the world. The Pension Benefits are funded based on the funding requirements of federal and international laws and regulations, as applicable, and are typically funded in advance of benefit payments. Other Post-Employment Benefits are funded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Components of net periodic benefit cost (credit) for the three and nine months ended September 30, 2013 and 2012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6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86"/>
              </w:rPr>
              <w:t>Pension Benefits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93"/>
              </w:rPr>
              <w:t>OPEB</w:t>
            </w:r>
          </w:p>
        </w:tc>
        <w:tc>
          <w:tcPr>
            <w:tcW w:w="5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4240" w:type="dxa"/>
            <w:vAlign w:val="bottom"/>
          </w:tcPr>
          <w:p>
            <w:pPr>
              <w:spacing w:after="0"/>
              <w:rPr>
                <w:sz w:val="18"/>
                <w:szCs w:val="18"/>
                <w:color w:val="auto"/>
              </w:rPr>
            </w:pPr>
          </w:p>
        </w:tc>
        <w:tc>
          <w:tcPr>
            <w:tcW w:w="30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6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4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3"/>
          </w:tcPr>
          <w:p>
            <w:pPr>
              <w:jc w:val="right"/>
              <w:ind w:right="750"/>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 gain</w:t>
            </w:r>
          </w:p>
        </w:tc>
        <w:tc>
          <w:tcPr>
            <w:tcW w:w="11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4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86"/>
              </w:rPr>
              <w:t>Pension Benefits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93"/>
              </w:rPr>
              <w:t>OPEB</w:t>
            </w:r>
          </w:p>
        </w:tc>
        <w:tc>
          <w:tcPr>
            <w:tcW w:w="50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4240" w:type="dxa"/>
            <w:vAlign w:val="bottom"/>
          </w:tcPr>
          <w:p>
            <w:pPr>
              <w:spacing w:after="0"/>
              <w:rPr>
                <w:sz w:val="18"/>
                <w:szCs w:val="18"/>
                <w:color w:val="auto"/>
              </w:rPr>
            </w:pPr>
          </w:p>
        </w:tc>
        <w:tc>
          <w:tcPr>
            <w:tcW w:w="30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Nine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Nine Months Ended</w:t>
            </w:r>
          </w:p>
        </w:tc>
        <w:tc>
          <w:tcPr>
            <w:tcW w:w="5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6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4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3"/>
          </w:tcPr>
          <w:p>
            <w:pPr>
              <w:jc w:val="right"/>
              <w:ind w:right="750"/>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Settlement gain</w:t>
            </w:r>
          </w:p>
        </w:tc>
        <w:tc>
          <w:tcPr>
            <w:tcW w:w="11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1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424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the second quarter of 2013, Federal-Mogul ceased operations at one of its U.S. manufacturing locations. The resulting reduction in the average remaining future service period to the full eligibility date of the remaining active plan participants in Federal-Mogul's U.S. Welfare Benefit Plan triggered the recognition of an OPEB curtailment gain of $19 million, which is included as a reduction to selling, general and administrative in the consolidated statements of operations, for the nine months ended September 30, 2013. Additionally, in the third quarter of 2013, Federal-Mogul completed the sale of its fuel manufacturing facility and research and development center located in the U.S., resulting in the termination of certain employees that participated in Federal-Mogul's U.S. Welfare Benefit Plan. The resulting reduction in the average remaining future service period to the full eligibility date of the remaining active plan participants in Federal-Mogul's U.S. Welfare Benefit Plan triggered the recognition of an additional OPEB curtailment gain of $19 million, which is included in the determination of net loss on disposition of assets within other income, net in the consolidated statements of operations for the three and nine months ended September 30, 2013. Our Automotive segment recorded aggregate OPEB curtailment gains of $19 million and $38 million for the three and nine months ended September 30, 2013, respectively.</w:t>
      </w:r>
    </w:p>
    <w:p>
      <w:pPr>
        <w:spacing w:after="0" w:line="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the third quarter of 2012, as a result of contract negotiations with a union at one of Federal-Mogul's U.S. manufacturing locations, the benefits under the U.S. Welfare Benefit Plan were eliminated for the location's active participants. Since this plan change reduced benefits attributable to employee service already rendered, it was treated as a negative plan amendment, which created a $13 million prior service credit in accumulated other comprehensive loss. The corresponding</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37"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reduction in the average remaining future service period to the full eligibility date also triggered the recognition of a $51 million OPEB curtailment gain which was recognized in the consolidated statements of operations for each of the three and nine months ended September 30, 2012. It should be noted that the calculation of the curtailment excluded the newly created prior service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the allocation of net income attributable to Icahn Enterprises allocable to limited partners and the computation of basic 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diluted income per LP unit of Icahn Enterprises for the periods indicated:</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color w:val="auto"/>
              </w:rPr>
              <w:t>(in millions, except per unit data)</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1"/>
              </w:rPr>
              <w:t>Less: Net income attributable to Icahn Enterprises allocable to general</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200"/>
              <w:spacing w:after="0" w:line="257" w:lineRule="exact"/>
              <w:rPr>
                <w:sz w:val="20"/>
                <w:szCs w:val="20"/>
                <w:color w:val="auto"/>
              </w:rPr>
            </w:pPr>
            <w:r>
              <w:rPr>
                <w:rFonts w:ascii="Arial" w:cs="Arial" w:eastAsia="Arial" w:hAnsi="Arial"/>
                <w:sz w:val="18"/>
                <w:szCs w:val="18"/>
                <w:color w:val="auto"/>
              </w:rPr>
              <w:t>partner</w:t>
            </w:r>
            <w:r>
              <w:rPr>
                <w:rFonts w:ascii="Arial" w:cs="Arial" w:eastAsia="Arial" w:hAnsi="Arial"/>
                <w:sz w:val="25"/>
                <w:szCs w:val="25"/>
                <w:color w:val="auto"/>
                <w:vertAlign w:val="superscript"/>
              </w:rPr>
              <w:t>(1)</w:t>
            </w:r>
          </w:p>
        </w:tc>
        <w:tc>
          <w:tcPr>
            <w:tcW w:w="10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Net income attributable to Icahn Enterprises net of portion allocable</w:t>
            </w: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100% to general partner</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Icahn Enterprises allocable to limited</w:t>
            </w:r>
          </w:p>
        </w:tc>
        <w:tc>
          <w:tcPr>
            <w:tcW w:w="1000" w:type="dxa"/>
            <w:vAlign w:val="bottom"/>
            <w:vMerge w:val="restart"/>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ind w:right="3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partners (98.01% allocation)</w:t>
            </w:r>
          </w:p>
        </w:tc>
        <w:tc>
          <w:tcPr>
            <w:tcW w:w="100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LP unit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variable rate convertible notes: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unit distribution declared: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LP unit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0" w:hanging="171"/>
        <w:spacing w:after="0" w:line="277" w:lineRule="auto"/>
        <w:tabs>
          <w:tab w:leader="none" w:pos="276" w:val="left"/>
        </w:tabs>
        <w:numPr>
          <w:ilvl w:val="0"/>
          <w:numId w:val="14"/>
        </w:numPr>
        <w:rPr>
          <w:rFonts w:ascii="Arial" w:cs="Arial" w:eastAsia="Arial" w:hAnsi="Arial"/>
          <w:sz w:val="22"/>
          <w:szCs w:val="22"/>
          <w:color w:val="auto"/>
          <w:vertAlign w:val="superscript"/>
        </w:rPr>
      </w:pPr>
      <w:r>
        <w:rPr>
          <w:rFonts w:ascii="Arial" w:cs="Arial" w:eastAsia="Arial" w:hAnsi="Arial"/>
          <w:sz w:val="13"/>
          <w:szCs w:val="13"/>
          <w:color w:val="auto"/>
        </w:rPr>
        <w:t>Amount represents net income allocable to the general partner for the period May 5, 2012 through September 30, 2012, the period in which Mr. Icahn and his affiliates' ownership in IEP Energy, other than Icahn Enterprises' ownership, were considered under common control. On August 24, 2012, Mr. Icahn and his affiliates contributed this interest to us in exchange for our depositary units.</w:t>
      </w:r>
    </w:p>
    <w:p>
      <w:pPr>
        <w:spacing w:after="0" w:line="97" w:lineRule="exact"/>
        <w:rPr>
          <w:sz w:val="20"/>
          <w:szCs w:val="20"/>
          <w:color w:val="auto"/>
        </w:rPr>
      </w:pPr>
    </w:p>
    <w:p>
      <w:pPr>
        <w:ind w:right="660" w:firstLine="378"/>
        <w:spacing w:after="0" w:line="277" w:lineRule="auto"/>
        <w:rPr>
          <w:sz w:val="20"/>
          <w:szCs w:val="20"/>
          <w:color w:val="auto"/>
        </w:rPr>
      </w:pPr>
      <w:r>
        <w:rPr>
          <w:rFonts w:ascii="Arial" w:cs="Arial" w:eastAsia="Arial" w:hAnsi="Arial"/>
          <w:sz w:val="18"/>
          <w:szCs w:val="18"/>
          <w:color w:val="auto"/>
        </w:rPr>
        <w:t>Because their effect would have been anti-dilutive, 5 million equivalent units relating to our variable rate notes have been excluded from diluted weighted average LP units outstanding for the three months ended September 30,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360" w:firstLine="378"/>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(the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37"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On June 12, 2013, Icahn Enterprises entered into an underwriting agreement (the “June 2013 Underwriting Agreement”) with Credit Suisse Securities (USA) LLC, UBS Securities LLC, Jefferies LLC, Citigroup Global Markets Inc., Oppenheimer &amp; Co. Inc., Keefe, Bruyette &amp; Woods, Inc., Wunderlich Securities, Inc. and KeyBanc Capital Markets Inc. (the “Underwriters”), providing for the issuance and purchase of an aggregate of 1,600,000 depositary units representing limited partner interests in Icahn Enterprises at a price to the public of $75.54 per depositary unit. The depositary units were delivered to the unitholders on June 17, 2013. Pursuant to the June 2013 Underwriting Agreement, Icahn Enterprises also granted the Underwriters a 30-day option to purchase up to an additional aggregate 240,000 additional depositary units at the same public offering price, which expired unexercised.</w:t>
      </w:r>
    </w:p>
    <w:p>
      <w:pPr>
        <w:spacing w:after="0" w:line="57" w:lineRule="exact"/>
        <w:rPr>
          <w:sz w:val="20"/>
          <w:szCs w:val="20"/>
          <w:color w:val="auto"/>
        </w:rPr>
      </w:pPr>
    </w:p>
    <w:p>
      <w:pPr>
        <w:ind w:right="280" w:firstLine="378"/>
        <w:spacing w:after="0" w:line="279" w:lineRule="auto"/>
        <w:rPr>
          <w:sz w:val="20"/>
          <w:szCs w:val="20"/>
          <w:color w:val="auto"/>
        </w:rPr>
      </w:pPr>
      <w:r>
        <w:rPr>
          <w:rFonts w:ascii="Arial" w:cs="Arial" w:eastAsia="Arial" w:hAnsi="Arial"/>
          <w:sz w:val="17"/>
          <w:szCs w:val="17"/>
          <w:color w:val="auto"/>
        </w:rPr>
        <w:t>Aggregate net proceeds from these equity offerings was $311 million during the nine months ended September 30, 2013 after deducting underwriting discounts, commissions and other offering related fees and expenses. Additionally, in connection with these equity offerings, our general partner made aggregate contributions of $6 million to Icahn Enterprises and Icahn Enterprises Holdings during the nine months ended September 30, 2013 in order to maintain its 1% general partner interest in each of Icahn Enterprises and Icahn Enterprises Holdings.</w:t>
      </w:r>
    </w:p>
    <w:p>
      <w:pPr>
        <w:spacing w:after="0" w:line="63"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The issuance and sale of the depositary units in connection with the equity offerings are registered under the Securities Act of 1933, as amended, pursuant to a shelf registration statement on Form S-3 (File No. 333-158705) filed with the SEC by Icahn Enterprises on April 22, 2009 and declared effective by the SEC on May 17,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w:t>
      </w:r>
    </w:p>
    <w:p>
      <w:pPr>
        <w:spacing w:after="0" w:line="117"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On August 6, 2013, the Icahn Enterprises declared a quarterly distribution in the amount of $1.25 per depositary unit in which each depositary unit holder had the option to make an election to receive either cash or additional depositary units. As a result, on October 9, 2013, Icahn Enterprises distributed an aggregate 1,515,739 depositary units to unit holders electing to receive depositary units in connection with this distribution.</w:t>
      </w:r>
    </w:p>
    <w:p>
      <w:pPr>
        <w:spacing w:after="0" w:line="57" w:lineRule="exact"/>
        <w:rPr>
          <w:sz w:val="20"/>
          <w:szCs w:val="20"/>
          <w:color w:val="auto"/>
        </w:rPr>
      </w:pPr>
    </w:p>
    <w:p>
      <w:pPr>
        <w:ind w:right="180" w:firstLine="378"/>
        <w:spacing w:after="0" w:line="257" w:lineRule="auto"/>
        <w:rPr>
          <w:sz w:val="20"/>
          <w:szCs w:val="20"/>
          <w:color w:val="auto"/>
        </w:rPr>
      </w:pPr>
      <w:r>
        <w:rPr>
          <w:rFonts w:ascii="Arial" w:cs="Arial" w:eastAsia="Arial" w:hAnsi="Arial"/>
          <w:sz w:val="18"/>
          <w:szCs w:val="18"/>
          <w:color w:val="auto"/>
        </w:rPr>
        <w:t>Because depositary unit holders had the election to receive the distribution either in cash or additional depositary units, we recorded a unit distribution liability of $140 million on our consolidated balance sheets as the unit distribution had not been made as of September 30, 2013. In addition, the unit distribution liability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80" w:lineRule="exact"/>
        <w:rPr>
          <w:sz w:val="20"/>
          <w:szCs w:val="20"/>
          <w:color w:val="auto"/>
        </w:rPr>
      </w:pPr>
    </w:p>
    <w:p>
      <w:pPr>
        <w:ind w:right="40" w:firstLine="378"/>
        <w:spacing w:after="0" w:line="286" w:lineRule="auto"/>
        <w:rPr>
          <w:sz w:val="20"/>
          <w:szCs w:val="20"/>
          <w:color w:val="auto"/>
        </w:rPr>
      </w:pPr>
      <w:r>
        <w:rPr>
          <w:rFonts w:ascii="Arial" w:cs="Arial" w:eastAsia="Arial" w:hAnsi="Arial"/>
          <w:sz w:val="17"/>
          <w:szCs w:val="17"/>
          <w:color w:val="auto"/>
        </w:rPr>
        <w:t>On April 29, 2013, Icahn Enterprises declared a quarterly distribution in the amount of $1.00 per depositary unit in which each depositary unit holder had the option to make an election to receive either cash or additional depositary units. As a result, on July 5, 2013, Icahn Enterprises distributed an aggregate 1,237,191 depositary units to unit holders electing to receive depositary units in connection with this distribution.</w:t>
      </w:r>
    </w:p>
    <w:p>
      <w:pPr>
        <w:spacing w:after="0" w:line="57"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On February 10, 2013, Icahn Enterprises declared a quarterly distribution in the amount of $1.00 per depositary unit in which each depositary unit holder had the option to make an election to receive either cash or additional depositary units. As a result, on April 15, 2013, Icahn Enterprises distributed an aggregate 1,521,946 depositary units to unit holders electing to receive depositary units in connection with this distribution.</w:t>
      </w:r>
    </w:p>
    <w:p>
      <w:pPr>
        <w:spacing w:after="0" w:line="57"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Mr. Icahn and his affiliates elected to receive a majority of their proportionate share of these distributions in depositary units. As of November 1, 2013, Mr. Icahn and his affiliates owned approximately 89.4% of Icahn Enterprises outstanding depositary units.</w:t>
      </w:r>
    </w:p>
    <w:p>
      <w:pPr>
        <w:spacing w:after="0" w:line="62" w:lineRule="exact"/>
        <w:rPr>
          <w:sz w:val="20"/>
          <w:szCs w:val="20"/>
          <w:color w:val="auto"/>
        </w:rPr>
      </w:pPr>
    </w:p>
    <w:p>
      <w:pPr>
        <w:ind w:right="20" w:firstLine="378"/>
        <w:spacing w:after="0" w:line="289" w:lineRule="auto"/>
        <w:rPr>
          <w:sz w:val="20"/>
          <w:szCs w:val="20"/>
          <w:color w:val="auto"/>
        </w:rPr>
      </w:pPr>
      <w:r>
        <w:rPr>
          <w:rFonts w:ascii="Arial" w:cs="Arial" w:eastAsia="Arial" w:hAnsi="Arial"/>
          <w:sz w:val="16"/>
          <w:szCs w:val="16"/>
          <w:color w:val="auto"/>
        </w:rPr>
        <w:t>On November 2, 2012, the board of directors declared a quarterly distribution of $0.35 per depositary unit, comprised of a combination of $0.10 payable in cash and $0.25 payable in depositary units. The distribution was paid on November 30, 2012 to depositary unitholders of record at the close of business on November 15, 2012. We calculated the depositary units to be distributed based on the 20 trading-day volume weighted-average price of our depositary units ended on October 31, 2012, resulting in 0.005978 of a unit to be distributed per depositary unit. To the extent that the aggregate units distributed to any holder include a fraction of a unit, that fractional unit was settled in cash. As a result, we distributed 621,064 depositary units on November 30, 2012 in connection with this distribution. With respect to this distribution, the unitholder did not have the election to receive their distribution in cash or additional units. Therefore, we restated prior period income per LP unit to reflect the increase in weighted average LP units outstanding for the comparative periods. The effect on basic and diluted income per LP unit was a reduction of $0.04 and $0.03, respectively, per depositary unit for the nine months ended September 30, 2012. There was no impact on basic and diluted income per LP unit for the three months ended September 30, 2012.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September 30, 2013, our nine operating segments, which also constitute our reporting segments, are: (1) Investment; (2) Automotive; (3) Energy;</w:t>
      </w:r>
    </w:p>
    <w:p>
      <w:pPr>
        <w:spacing w:after="0" w:line="46" w:lineRule="exact"/>
        <w:rPr>
          <w:sz w:val="20"/>
          <w:szCs w:val="20"/>
          <w:color w:val="auto"/>
        </w:rPr>
      </w:pPr>
    </w:p>
    <w:p>
      <w:pPr>
        <w:ind w:firstLine="8"/>
        <w:spacing w:after="0" w:line="270"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Metals; (5) Railcar; (6) Gaming; (7) Food Packaging; (8) Real Estate; and (9)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In addition to our nine reporting segments, we present the results of the Holding Company, which includes the unconsolidated results of Icahn Enterprises and Icahn Enterprises Holdings, and investment activity and expenses associated with the activities of the Holding Company. See Note 2, “Operating Units,” for a detailed description of each of our reporting segments.</w:t>
      </w:r>
    </w:p>
    <w:p>
      <w:pPr>
        <w:spacing w:after="0" w:line="71" w:lineRule="exact"/>
        <w:rPr>
          <w:sz w:val="20"/>
          <w:szCs w:val="20"/>
          <w:color w:val="auto"/>
        </w:rPr>
      </w:pPr>
    </w:p>
    <w:p>
      <w:pPr>
        <w:ind w:right="480" w:firstLine="378"/>
        <w:spacing w:after="0" w:line="277" w:lineRule="auto"/>
        <w:rPr>
          <w:sz w:val="20"/>
          <w:szCs w:val="20"/>
          <w:color w:val="auto"/>
        </w:rPr>
      </w:pPr>
      <w:r>
        <w:rPr>
          <w:rFonts w:ascii="Arial" w:cs="Arial" w:eastAsia="Arial" w:hAnsi="Arial"/>
          <w:sz w:val="18"/>
          <w:szCs w:val="18"/>
          <w:color w:val="auto"/>
        </w:rPr>
        <w:t>Icahn Enterprises' condensed statements of operations by reporting segment for the three and nine months ended September 30, 2013 and 2012 are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40" w:type="dxa"/>
            <w:vAlign w:val="bottom"/>
            <w:gridSpan w:val="12"/>
          </w:tcPr>
          <w:p>
            <w:pPr>
              <w:jc w:val="center"/>
              <w:ind w:right="360"/>
              <w:spacing w:after="0"/>
              <w:rPr>
                <w:sz w:val="20"/>
                <w:szCs w:val="20"/>
                <w:color w:val="auto"/>
              </w:rPr>
            </w:pPr>
            <w:r>
              <w:rPr>
                <w:rFonts w:ascii="Arial" w:cs="Arial" w:eastAsia="Arial" w:hAnsi="Arial"/>
                <w:sz w:val="11"/>
                <w:szCs w:val="11"/>
                <w:b w:val="1"/>
                <w:bCs w:val="1"/>
                <w:color w:val="auto"/>
                <w:w w:val="88"/>
              </w:rPr>
              <w:t>Three Months Ended September 30, 2013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243</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4,181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1,271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1,710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2,056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146</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5,721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1,919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3,825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368</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1,682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1,965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252</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119</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4,444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benefit (expense)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1,277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(57)</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(748)</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472</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99</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165</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886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40" w:type="dxa"/>
            <w:vAlign w:val="bottom"/>
            <w:gridSpan w:val="12"/>
          </w:tcPr>
          <w:p>
            <w:pPr>
              <w:jc w:val="center"/>
              <w:ind w:right="360"/>
              <w:spacing w:after="0"/>
              <w:rPr>
                <w:sz w:val="20"/>
                <w:szCs w:val="20"/>
                <w:color w:val="auto"/>
              </w:rPr>
            </w:pPr>
            <w:r>
              <w:rPr>
                <w:rFonts w:ascii="Arial" w:cs="Arial" w:eastAsia="Arial" w:hAnsi="Arial"/>
                <w:sz w:val="11"/>
                <w:szCs w:val="11"/>
                <w:b w:val="1"/>
                <w:bCs w:val="1"/>
                <w:color w:val="auto"/>
                <w:w w:val="88"/>
              </w:rPr>
              <w:t>Three Months Ended September 30, 2012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4,519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(171)</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1,600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2,241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236</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150</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4,503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1,857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239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3,702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285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138</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1,617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1,906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246</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129</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4,294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(110)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Less: net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(15)</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188</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156</w:t>
            </w:r>
          </w:p>
        </w:tc>
      </w:tr>
      <w:tr>
        <w:trPr>
          <w:trHeight w:val="38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gridSpan w:val="12"/>
          </w:tcPr>
          <w:p>
            <w:pPr>
              <w:jc w:val="center"/>
              <w:ind w:right="360"/>
              <w:spacing w:after="0"/>
              <w:rPr>
                <w:sz w:val="20"/>
                <w:szCs w:val="20"/>
                <w:color w:val="auto"/>
              </w:rPr>
            </w:pPr>
            <w:r>
              <w:rPr>
                <w:rFonts w:ascii="Arial" w:cs="Arial" w:eastAsia="Arial" w:hAnsi="Arial"/>
                <w:sz w:val="11"/>
                <w:szCs w:val="11"/>
                <w:b w:val="1"/>
                <w:bCs w:val="1"/>
                <w:color w:val="auto"/>
                <w:w w:val="89"/>
              </w:rPr>
              <w:t>Nine Months Ended September 30, 2013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737</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13,252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605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1,551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1,706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5,177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6,735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737</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433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15,658</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5,825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749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266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11,605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1,050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391</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5,103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5,966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769</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350</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415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13,393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benefit (expense)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2,265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(274)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1,991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(1,188)</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184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255</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785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479</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-5470525</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-5624830</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-5968365</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-6311265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-7700645</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886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886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886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019"/>
          </w:cols>
          <w:pgMar w:left="1440" w:top="584"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20" w:type="dxa"/>
            <w:vAlign w:val="bottom"/>
            <w:gridSpan w:val="12"/>
          </w:tcPr>
          <w:p>
            <w:pPr>
              <w:jc w:val="center"/>
              <w:ind w:right="380"/>
              <w:spacing w:after="0"/>
              <w:rPr>
                <w:sz w:val="20"/>
                <w:szCs w:val="20"/>
                <w:color w:val="auto"/>
              </w:rPr>
            </w:pPr>
            <w:r>
              <w:rPr>
                <w:rFonts w:ascii="Arial" w:cs="Arial" w:eastAsia="Arial" w:hAnsi="Arial"/>
                <w:sz w:val="11"/>
                <w:szCs w:val="11"/>
                <w:b w:val="1"/>
                <w:bCs w:val="1"/>
                <w:color w:val="auto"/>
                <w:w w:val="89"/>
              </w:rPr>
              <w:t>Nine Months Ended September 30, 2012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r>
              <w:rPr>
                <w:rFonts w:ascii="Arial" w:cs="Arial" w:eastAsia="Arial" w:hAnsi="Arial"/>
                <w:sz w:val="8"/>
                <w:szCs w:val="8"/>
                <w:b w:val="1"/>
                <w:bCs w:val="1"/>
                <w:color w:val="auto"/>
              </w:rPr>
              <w:t>(2)</w:t>
            </w:r>
          </w:p>
        </w:tc>
        <w:tc>
          <w:tcPr>
            <w:tcW w:w="100" w:type="dxa"/>
            <w:vAlign w:val="bottom"/>
          </w:tcPr>
          <w:p>
            <w:pPr>
              <w:spacing w:after="0"/>
              <w:rPr>
                <w:sz w:val="12"/>
                <w:szCs w:val="12"/>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b w:val="1"/>
                <w:bCs w:val="1"/>
                <w:color w:val="auto"/>
                <w:w w:val="93"/>
              </w:rPr>
              <w:t>Metals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871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10,625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(162)</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5,083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3,651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872</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488</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11,413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4,327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3,118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881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347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9,026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930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384</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5,055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902</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425</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10,773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Less: net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(271)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390</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168</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617</w:t>
            </w:r>
          </w:p>
        </w:tc>
      </w:tr>
      <w:tr>
        <w:trPr>
          <w:trHeight w:val="270"/>
        </w:trPr>
        <w:tc>
          <w:tcPr>
            <w:tcW w:w="29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19</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1886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18865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-1186180</wp:posOffset>
            </wp:positionV>
            <wp:extent cx="1886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-1529080</wp:posOffset>
            </wp:positionV>
            <wp:extent cx="1886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-2918460</wp:posOffset>
            </wp:positionV>
            <wp:extent cx="1886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180" w:right="180" w:hanging="172"/>
        <w:spacing w:after="0" w:line="250" w:lineRule="auto"/>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$8 million and $2 million for the three months ended September 30, 2013 and 2012, respectively, and $24 million and $22 million for the nine months ended September 30, 2013 and 2012, respectively.</w:t>
      </w:r>
    </w:p>
    <w:p>
      <w:pPr>
        <w:ind w:left="180" w:hanging="172"/>
        <w:spacing w:after="0"/>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Energy segment results are for the period May 5, 2012 through September 30, 2012.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Icahn Enterprises' condensed balance sheets by reporting segment as of September 30, 2013 and December 31, 2012 are presented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right"/>
              <w:spacing w:after="0"/>
              <w:rPr>
                <w:sz w:val="20"/>
                <w:szCs w:val="20"/>
                <w:color w:val="auto"/>
              </w:rPr>
            </w:pPr>
            <w:r>
              <w:rPr>
                <w:rFonts w:ascii="Arial" w:cs="Arial" w:eastAsia="Arial" w:hAnsi="Arial"/>
                <w:sz w:val="11"/>
                <w:szCs w:val="11"/>
                <w:b w:val="1"/>
                <w:bCs w:val="1"/>
                <w:color w:val="auto"/>
              </w:rPr>
              <w:t>September 30, 2013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w w:val="82"/>
              </w:rPr>
              <w:t>Gaming</w:t>
            </w:r>
          </w:p>
        </w:tc>
        <w:tc>
          <w:tcPr>
            <w:tcW w:w="12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4"/>
          </w:tcPr>
          <w:p>
            <w:pPr>
              <w:jc w:val="right"/>
              <w:ind w:right="166"/>
              <w:spacing w:after="0"/>
              <w:rPr>
                <w:sz w:val="20"/>
                <w:szCs w:val="20"/>
                <w:color w:val="auto"/>
              </w:rPr>
            </w:pPr>
            <w:r>
              <w:rPr>
                <w:rFonts w:ascii="Arial" w:cs="Arial" w:eastAsia="Arial" w:hAnsi="Arial"/>
                <w:sz w:val="11"/>
                <w:szCs w:val="11"/>
                <w:color w:val="auto"/>
              </w:rPr>
              <w:t>(in millions)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36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115</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245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3,274</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1,430</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12,275</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1,871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2,093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441</w:t>
            </w:r>
          </w:p>
        </w:tc>
        <w:tc>
          <w:tcPr>
            <w:tcW w:w="1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6,763</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3,207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401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868</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13,068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7,788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5,972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374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989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876</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797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31,781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86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1,913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131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5,166</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704</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3,718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1,316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1,391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2,824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8,155</w:t>
            </w:r>
          </w:p>
        </w:tc>
        <w:tc>
          <w:tcPr>
            <w:tcW w:w="0" w:type="dxa"/>
            <w:vAlign w:val="bottom"/>
          </w:tcPr>
          <w:p>
            <w:pPr>
              <w:spacing w:after="0"/>
              <w:rPr>
                <w:sz w:val="1"/>
                <w:szCs w:val="1"/>
                <w:color w:val="auto"/>
              </w:rPr>
            </w:pPr>
          </w:p>
        </w:tc>
      </w:tr>
      <w:tr>
        <w:trPr>
          <w:trHeight w:val="242"/>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5,003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6,053</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2,252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405</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rPr>
              <w:t>301</w:t>
            </w: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4,591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19,134</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3,573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1,316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399</w:t>
            </w:r>
          </w:p>
        </w:tc>
        <w:tc>
          <w:tcPr>
            <w:tcW w:w="1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5,720</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6,927</w:t>
            </w:r>
          </w:p>
        </w:tc>
        <w:tc>
          <w:tcPr>
            <w:tcW w:w="0" w:type="dxa"/>
            <w:vAlign w:val="bottom"/>
          </w:tcPr>
          <w:p>
            <w:pPr>
              <w:spacing w:after="0"/>
              <w:rPr>
                <w:sz w:val="1"/>
                <w:szCs w:val="1"/>
                <w:color w:val="auto"/>
              </w:rPr>
            </w:pPr>
          </w:p>
        </w:tc>
      </w:tr>
      <w:tr>
        <w:trPr>
          <w:trHeight w:val="242"/>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8,065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1,735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3,720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584</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rPr>
              <w:t>575</w:t>
            </w: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723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(3,266)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12,647</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13,068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7,788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5,972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374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989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876</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797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31,781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left="186"/>
              <w:spacing w:after="0"/>
              <w:rPr>
                <w:sz w:val="20"/>
                <w:szCs w:val="20"/>
                <w:color w:val="auto"/>
              </w:rPr>
            </w:pPr>
            <w:r>
              <w:rPr>
                <w:rFonts w:ascii="Arial" w:cs="Arial" w:eastAsia="Arial" w:hAnsi="Arial"/>
                <w:sz w:val="11"/>
                <w:szCs w:val="11"/>
                <w:b w:val="1"/>
                <w:bCs w:val="1"/>
                <w:color w:val="auto"/>
                <w:w w:val="86"/>
              </w:rPr>
              <w:t>December 31, 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36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3,071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1,419</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1,841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1,955</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1,971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6,523</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968</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24,556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86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4,214</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1,409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1,488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8,548</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6,073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2,461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441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4,260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14,783</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(2,951)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4,669</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5,104</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5,908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3,282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421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(2,951)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9,773</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24,556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279"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9019"/>
          </w:cols>
          <w:pgMar w:left="1440" w:top="125"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debt, deferred financing costs and amortization of debt discounts and premiums, which are only reflected in the results of operations for the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w w:val="97"/>
              </w:rPr>
              <w:t>Three Months Ended September 30,</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64"/>
        </w:trPr>
        <w:tc>
          <w:tcPr>
            <w:tcW w:w="2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44"/>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Net Income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86"/>
              </w:rPr>
              <w:t>Net Income (Loss)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Icahn Enterprises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4"/>
        </w:trPr>
        <w:tc>
          <w:tcPr>
            <w:tcW w:w="2040" w:type="dxa"/>
            <w:vAlign w:val="bottom"/>
          </w:tcPr>
          <w:p>
            <w:pPr>
              <w:spacing w:after="0"/>
              <w:rPr>
                <w:sz w:val="15"/>
                <w:szCs w:val="15"/>
                <w:color w:val="auto"/>
              </w:rPr>
            </w:pPr>
          </w:p>
        </w:tc>
        <w:tc>
          <w:tcPr>
            <w:tcW w:w="11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Interest Expense</w:t>
            </w: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w w:val="86"/>
              </w:rPr>
              <w:t>Net Income (Loss)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89"/>
              </w:rPr>
              <w:t>Holdings</w:t>
            </w:r>
          </w:p>
        </w:tc>
        <w:tc>
          <w:tcPr>
            <w:tcW w:w="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7"/>
              </w:rPr>
              <w:t>Net Income (Loss)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Holdings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9"/>
        </w:trPr>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5"/>
          </w:tcPr>
          <w:p>
            <w:pPr>
              <w:jc w:val="right"/>
              <w:ind w:right="237"/>
              <w:spacing w:after="0"/>
              <w:rPr>
                <w:sz w:val="20"/>
                <w:szCs w:val="20"/>
                <w:color w:val="auto"/>
              </w:rPr>
            </w:pPr>
            <w:r>
              <w:rPr>
                <w:rFonts w:ascii="Arial" w:cs="Arial" w:eastAsia="Arial" w:hAnsi="Arial"/>
                <w:sz w:val="13"/>
                <w:szCs w:val="13"/>
                <w:color w:val="auto"/>
              </w:rPr>
              <w:t>(in millions)</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1,223</w:t>
            </w:r>
          </w:p>
        </w:tc>
        <w:tc>
          <w:tcPr>
            <w:tcW w:w="1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529</w:t>
            </w:r>
          </w:p>
        </w:tc>
        <w:tc>
          <w:tcPr>
            <w:tcW w:w="12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2"/>
        </w:trPr>
        <w:tc>
          <w:tcPr>
            <w:tcW w:w="204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2"/>
        </w:trPr>
        <w:tc>
          <w:tcPr>
            <w:tcW w:w="2040" w:type="dxa"/>
            <w:vAlign w:val="bottom"/>
          </w:tcPr>
          <w:p>
            <w:pPr>
              <w:ind w:left="40"/>
              <w:spacing w:after="0"/>
              <w:rPr>
                <w:sz w:val="20"/>
                <w:szCs w:val="20"/>
                <w:color w:val="auto"/>
              </w:rPr>
            </w:pPr>
            <w:r>
              <w:rPr>
                <w:rFonts w:ascii="Arial" w:cs="Arial" w:eastAsia="Arial" w:hAnsi="Arial"/>
                <w:sz w:val="13"/>
                <w:szCs w:val="13"/>
                <w:color w:val="auto"/>
              </w:rPr>
              <w:t>Metals</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2"/>
        </w:trPr>
        <w:tc>
          <w:tcPr>
            <w:tcW w:w="2040" w:type="dxa"/>
            <w:vAlign w:val="bottom"/>
          </w:tcPr>
          <w:p>
            <w:pPr>
              <w:ind w:left="40"/>
              <w:spacing w:after="0"/>
              <w:rPr>
                <w:sz w:val="20"/>
                <w:szCs w:val="20"/>
                <w:color w:val="auto"/>
              </w:rPr>
            </w:pPr>
            <w:r>
              <w:rPr>
                <w:rFonts w:ascii="Arial" w:cs="Arial" w:eastAsia="Arial" w:hAnsi="Arial"/>
                <w:sz w:val="13"/>
                <w:szCs w:val="13"/>
                <w:color w:val="auto"/>
              </w:rPr>
              <w:t>Gaming</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2"/>
        </w:trPr>
        <w:tc>
          <w:tcPr>
            <w:tcW w:w="204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8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w w:val="97"/>
              </w:rPr>
              <w:t>Nine Months Ended September 30,</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September 30,</w:t>
            </w:r>
          </w:p>
        </w:tc>
        <w:tc>
          <w:tcPr>
            <w:tcW w:w="140" w:type="dxa"/>
            <w:vAlign w:val="bottom"/>
          </w:tcPr>
          <w:p>
            <w:pPr>
              <w:spacing w:after="0"/>
              <w:rPr>
                <w:sz w:val="24"/>
                <w:szCs w:val="24"/>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85"/>
              </w:rPr>
              <w:t>December 31,</w:t>
            </w:r>
          </w:p>
        </w:tc>
      </w:tr>
      <w:tr>
        <w:trPr>
          <w:trHeight w:val="264"/>
        </w:trPr>
        <w:tc>
          <w:tcPr>
            <w:tcW w:w="2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2012</w:t>
            </w:r>
          </w:p>
        </w:tc>
      </w:tr>
      <w:tr>
        <w:trPr>
          <w:trHeight w:val="144"/>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1"/>
              </w:rPr>
              <w:t>(Loss)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88"/>
              </w:rPr>
              <w:t>Net Income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8"/>
              </w:rPr>
              <w:t>Icahn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4"/>
        </w:trPr>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Arial" w:cs="Arial" w:eastAsia="Arial" w:hAnsi="Arial"/>
                <w:sz w:val="13"/>
                <w:szCs w:val="13"/>
                <w:b w:val="1"/>
                <w:bCs w:val="1"/>
                <w:color w:val="auto"/>
                <w:w w:val="90"/>
              </w:rPr>
              <w:t>Interest Expense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w w:val="86"/>
              </w:rPr>
              <w:t>Net Income (Loss)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Holdings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b w:val="1"/>
                <w:bCs w:val="1"/>
                <w:color w:val="auto"/>
                <w:w w:val="92"/>
              </w:rPr>
              <w:t>Interest Expense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1"/>
              </w:rPr>
              <w:t>(Loss)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Holdings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Total Assets</w:t>
            </w:r>
          </w:p>
        </w:tc>
        <w:tc>
          <w:tcPr>
            <w:tcW w:w="1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5"/>
          </w:tcPr>
          <w:p>
            <w:pPr>
              <w:jc w:val="right"/>
              <w:ind w:right="177"/>
              <w:spacing w:after="0"/>
              <w:rPr>
                <w:sz w:val="20"/>
                <w:szCs w:val="20"/>
                <w:color w:val="auto"/>
              </w:rPr>
            </w:pPr>
            <w:r>
              <w:rPr>
                <w:rFonts w:ascii="Arial" w:cs="Arial" w:eastAsia="Arial" w:hAnsi="Arial"/>
                <w:sz w:val="13"/>
                <w:szCs w:val="13"/>
                <w:color w:val="auto"/>
              </w:rPr>
              <w:t>(in millions)</w:t>
            </w: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4"/>
          </w:tcPr>
          <w:p>
            <w:pPr>
              <w:jc w:val="right"/>
              <w:ind w:right="777"/>
              <w:spacing w:after="0"/>
              <w:rPr>
                <w:sz w:val="20"/>
                <w:szCs w:val="20"/>
                <w:color w:val="auto"/>
              </w:rPr>
            </w:pPr>
            <w:r>
              <w:rPr>
                <w:rFonts w:ascii="Arial" w:cs="Arial" w:eastAsia="Arial" w:hAnsi="Arial"/>
                <w:sz w:val="13"/>
                <w:szCs w:val="13"/>
                <w:color w:val="auto"/>
              </w:rPr>
              <w:t>(in millions)</w:t>
            </w: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520" w:type="dxa"/>
            <w:vAlign w:val="bottom"/>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32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1,616</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690</w:t>
            </w:r>
          </w:p>
        </w:tc>
        <w:tc>
          <w:tcPr>
            <w:tcW w:w="560" w:type="dxa"/>
            <w:vAlign w:val="bottom"/>
            <w:gridSpan w:val="3"/>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121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6,593</w:t>
            </w:r>
          </w:p>
        </w:tc>
      </w:tr>
      <w:tr>
        <w:trPr>
          <w:trHeight w:val="262"/>
        </w:trPr>
        <w:tc>
          <w:tcPr>
            <w:tcW w:w="204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7,788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7,282</w:t>
            </w: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5,743</w:t>
            </w:r>
          </w:p>
        </w:tc>
      </w:tr>
      <w:tr>
        <w:trPr>
          <w:trHeight w:val="262"/>
        </w:trPr>
        <w:tc>
          <w:tcPr>
            <w:tcW w:w="2040" w:type="dxa"/>
            <w:vAlign w:val="bottom"/>
          </w:tcPr>
          <w:p>
            <w:pPr>
              <w:ind w:left="40"/>
              <w:spacing w:after="0"/>
              <w:rPr>
                <w:sz w:val="20"/>
                <w:szCs w:val="20"/>
                <w:color w:val="auto"/>
              </w:rPr>
            </w:pPr>
            <w:r>
              <w:rPr>
                <w:rFonts w:ascii="Arial" w:cs="Arial" w:eastAsia="Arial" w:hAnsi="Arial"/>
                <w:sz w:val="13"/>
                <w:szCs w:val="13"/>
                <w:color w:val="auto"/>
              </w:rPr>
              <w:t>Metals</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417</w:t>
            </w: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862</w:t>
            </w:r>
          </w:p>
        </w:tc>
      </w:tr>
      <w:tr>
        <w:trPr>
          <w:trHeight w:val="262"/>
        </w:trPr>
        <w:tc>
          <w:tcPr>
            <w:tcW w:w="2040" w:type="dxa"/>
            <w:vAlign w:val="bottom"/>
          </w:tcPr>
          <w:p>
            <w:pPr>
              <w:ind w:left="40"/>
              <w:spacing w:after="0"/>
              <w:rPr>
                <w:sz w:val="20"/>
                <w:szCs w:val="20"/>
                <w:color w:val="auto"/>
              </w:rPr>
            </w:pPr>
            <w:r>
              <w:rPr>
                <w:rFonts w:ascii="Arial" w:cs="Arial" w:eastAsia="Arial" w:hAnsi="Arial"/>
                <w:sz w:val="13"/>
                <w:szCs w:val="13"/>
                <w:color w:val="auto"/>
              </w:rPr>
              <w:t>Gaming</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852</w:t>
            </w: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355</w:t>
            </w:r>
          </w:p>
        </w:tc>
      </w:tr>
      <w:tr>
        <w:trPr>
          <w:trHeight w:val="262"/>
        </w:trPr>
        <w:tc>
          <w:tcPr>
            <w:tcW w:w="204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852</w:t>
            </w:r>
          </w:p>
        </w:tc>
      </w:tr>
      <w:tr>
        <w:trPr>
          <w:trHeight w:val="278"/>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291</w:t>
            </w:r>
          </w:p>
        </w:tc>
      </w:tr>
      <w:tr>
        <w:trPr>
          <w:trHeight w:val="264"/>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224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(273)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(273)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1,323</w:t>
            </w:r>
          </w:p>
        </w:tc>
      </w:tr>
      <w:tr>
        <w:trPr>
          <w:trHeight w:val="242"/>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520" w:type="dxa"/>
            <w:vAlign w:val="bottom"/>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w:t>
            </w:r>
          </w:p>
        </w:tc>
        <w:tc>
          <w:tcPr>
            <w:tcW w:w="32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1,991</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803</w:t>
            </w:r>
          </w:p>
        </w:tc>
        <w:tc>
          <w:tcPr>
            <w:tcW w:w="560" w:type="dxa"/>
            <w:vAlign w:val="bottom"/>
            <w:gridSpan w:val="3"/>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390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31,797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24,570</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Amounts related to the amortization of debt discounts and premiums included in interest expense for the consolidated results of Icahn Enterprises Holdings were $8 million and $2 million for the three months ended September 30, 2013 and 2012, respectively, and $24 million and $22 million for the nine months ended September 30, 2013 and 2012, respectively.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37"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120" w:firstLine="378"/>
        <w:spacing w:after="0" w:line="312" w:lineRule="auto"/>
        <w:rPr>
          <w:sz w:val="20"/>
          <w:szCs w:val="20"/>
          <w:color w:val="auto"/>
        </w:rPr>
      </w:pPr>
      <w:r>
        <w:rPr>
          <w:rFonts w:ascii="Arial" w:cs="Arial" w:eastAsia="Arial" w:hAnsi="Arial"/>
          <w:sz w:val="16"/>
          <w:szCs w:val="16"/>
          <w:color w:val="auto"/>
        </w:rPr>
        <w:t>For the three months ended September 30, 2013, both Icahn Enterprises and Icahn Enterprises Holdings recorded an income tax expense of $57 million on pre-tax income of $1,277 million compared to an income tax expense of $110 million on pre-tax income of $209 million for the three months ended September 30, 2012. Our effective income tax rate was 4.5% and 52.6% for the three months ended September 30, 2013 and 2012, respectively.</w:t>
      </w:r>
    </w:p>
    <w:p>
      <w:pPr>
        <w:spacing w:after="0" w:line="39" w:lineRule="exact"/>
        <w:rPr>
          <w:sz w:val="20"/>
          <w:szCs w:val="20"/>
          <w:color w:val="auto"/>
        </w:rPr>
      </w:pPr>
    </w:p>
    <w:p>
      <w:pPr>
        <w:ind w:right="300" w:firstLine="378"/>
        <w:spacing w:after="0" w:line="259" w:lineRule="auto"/>
        <w:rPr>
          <w:sz w:val="20"/>
          <w:szCs w:val="20"/>
          <w:color w:val="auto"/>
        </w:rPr>
      </w:pPr>
      <w:r>
        <w:rPr>
          <w:rFonts w:ascii="Arial" w:cs="Arial" w:eastAsia="Arial" w:hAnsi="Arial"/>
          <w:sz w:val="18"/>
          <w:szCs w:val="18"/>
          <w:color w:val="auto"/>
        </w:rPr>
        <w:t>For the three months ended September 30, 2013, the difference between the effective tax rate and statutory federal rate of 35% is primarily due to partnership loss not subject to taxation, as such taxes are the responsibility of the partners. For the three months ended September 30, 2012, the difference between the effective tax rate and statutory federal rate of 35% is primarily due to changes in valuation allowances and partnership income not subject to taxation, as such taxes are the responsibility of the partners.</w:t>
      </w:r>
    </w:p>
    <w:p>
      <w:pPr>
        <w:spacing w:after="0" w:line="79"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For the nine months ended September 30, 2013, both Icahn Enterprises and Icahn Enterprises Holdings recorded an income tax expense of $274 million on pre-tax income of $2,265 million compared to an income tax benefit of $21 million on pre-tax income of $640 million for the nine months ended September 30, 2012. Our effective income tax rate was 12.1% and (3.3)% for the nine months ended September 30, 2013 and 2012, respectively.</w:t>
      </w:r>
    </w:p>
    <w:p>
      <w:pPr>
        <w:spacing w:after="0" w:line="39"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For the nine months ended September 30, 2013, the difference between the effective tax rate and statutory federal rate of 35% is primarily due to partnership income not subject to taxation, as such taxes are the responsibility of the partners. For the nine months ended September 30, 2012, the difference between the effective tax rate and statutory federal rate of 35% is primarily due to changes in valuation allowances and partnership income or loss not subject to taxation, as such taxes are the responsibility of the partners.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Icahn Enterprises and Icahn Enterprises Holdings recognized an income tax expense on its pre-tax income for the nine months ended September 30,</w:t>
      </w:r>
    </w:p>
    <w:p>
      <w:pPr>
        <w:spacing w:after="0" w:line="3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2013 as compared to an income tax benefit on its pre-tax income for the nine months ended September 30, 2012 primarily due to the reversal of $159 million of the valuation allowance on deferred tax assets during the nine months ended September 30, 2012 by American Entertainment Properties Corp. ("AEP"), an indirect subsidiary of ours. Specifically, in February, 2012, pursuant to a tax-free reorganization, WestPoint Home Inc. merged into a newly formed single member limited liability company, WPH, an entity owned by AEP. WPH constitutes our Home Fashion segment. Also, on May 4, 2012, AEP acquired a controlling interest in CVR. In recording this reversal, AEP evaluated all positive and negative evidence associated with its deferred tax assets, primarily as a result of the change in estimated future earnings from the acquisition of CVR, and concluded it was more likely than not that a portion of the federal net operating loss carryforward related to our Home Fashion segment would be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Reclassifications from accumulated other comprehensive loss to</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earnings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8"/>
        <w:spacing w:after="0" w:line="289" w:lineRule="auto"/>
        <w:tabs>
          <w:tab w:leader="none" w:pos="162"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Refer to Note 11, "Pension, Other Post-employment Benefits and Employee Benefit Plans," and Note 6,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16. Other Income (Loss), Net.</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(loss), net consists of the following:</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extinguishment of debt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Realized and unrealized gain (loss) on derivatives, net</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settlement loss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 expense related to securities sold, not yet purchased</w:t>
            </w:r>
          </w:p>
        </w:tc>
        <w:tc>
          <w:tcPr>
            <w:tcW w:w="10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on disposition of assets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The net (loss) gain on disposition of assets for 2013 included in the above table primarily relates to various dispositions of businesses by our Automotive segment. During the first quarter of 2013, our Automotive segment recorded a loss on disposition of assets of $47 million related to the disposal of its sintered components operations located in France. During the second quarter of 2013, our Automotive segment recorded a loss on disposition of assets of $5 million related to its connecting rod manufacturing facility located in Canada and its camshaft foundry located in the United Kingdom. During the third quarter of 2013, our Automotive segment recorded a loss on disposition of assets relating to its fuel pump business of $6 million, which is net of a $19 million OPEB curtailment gain, as discussed further in Note 11, "Pension, Other Post-employment Benefits and Employee Benefit Plans. Because the financial results from the disposition of these businesses were not material, individually or in the aggregate, to our consolidated financial statements, we did not reflect the dispositions of these businesses as discontinued operations in either the current period or on a retrospective basis.</w:t>
      </w:r>
    </w:p>
    <w:p>
      <w:pPr>
        <w:spacing w:after="0" w:line="58"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During the second quarter of 2013, our Food Packaging segment recorded a loss of $23 million related to the settlement of a certain tax matter. See Note 17, "Commitments and Contingencies - Food Packaging,"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Dynegy Inc.</w:t>
      </w:r>
    </w:p>
    <w:p>
      <w:pPr>
        <w:spacing w:after="0" w:line="117"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 xml:space="preserve">On March 28, 2012 an action was filed in the U.S. District Court, Southern District of New York, entitled </w:t>
      </w:r>
      <w:r>
        <w:rPr>
          <w:rFonts w:ascii="Arial" w:cs="Arial" w:eastAsia="Arial" w:hAnsi="Arial"/>
          <w:sz w:val="17"/>
          <w:szCs w:val="17"/>
          <w:i w:val="1"/>
          <w:iCs w:val="1"/>
          <w:color w:val="auto"/>
        </w:rPr>
        <w:t>Silsby v. Icahn et. al</w:t>
      </w:r>
      <w:r>
        <w:rPr>
          <w:rFonts w:ascii="Arial" w:cs="Arial" w:eastAsia="Arial" w:hAnsi="Arial"/>
          <w:sz w:val="17"/>
          <w:szCs w:val="17"/>
          <w:color w:val="auto"/>
        </w:rPr>
        <w:t>. Defendants include Carl C. Icahn and two officers of Dynegy Inc. ("Dynegy") and certain of its directors. As initially filed, the action purports to be brought as a class action on behalf of Dynegy shareholders who acquired their shares between September 2011 and March 2012. The Complaint alleges violations of the federal securities laws by defendants' allegedly making false and misleading statements in securities filings which statements artificially inflated the price of Dynegy stock. The individual defendants are alleged to have been controlling persons of Dynegy. Plaintiff is seeking damages in an unspecified amount. Subsequent to the filing of this action, Dynegy filed for bankruptcy, and a U.S. bankruptcy court has approved a Plan of Reorganization. Plaintiff is proceeding with the action and has filed an amended complaint that purports to be a class action on behalf of Dynegy shareholders who acquired their securities between July 10, 2011 and March 9, 2012. We believe that we have meritorious defenses to the claims and filed a motion to dismiss on July 19, 2013. At present, the motion to dismiss the case is pending.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Dell Inc.</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On August 1, 2013, High River Limited Partnership and each of the Investment Funds (collectively, the “Icahn Parties”), filed an action in the Court of Chancery of the State of Delaware ("Court") against Dell Inc., (“Dell”), and the members of its board of directors, including Michael Dell (the “Dell Board”). The complaint challenges certain actions taken by the Dell Board in relation to a going-private merger (the “Merger”) and an alternative recapitalization of Dell proposed by the Icahn Parties and others. In particular the complaint challenges actions taken by the Dell Board in relation to a special meeting to vote on the Merger and the failure of the Dell Board to hold an annual meeting of stockholders at which the Icahn Parties and others intended to seek stockholders approval of new directors who would support the recapitalization proposal. The complaint seeks both injunctive and declaratory relief. On August 16, 2013, the Court held a conference on the Icahn Parties' motion for expedition. It denied that motion, finding that the complaint did not establish a sufficiently colorable claim to require expedition. The Court thereafter entered a stipulated order setting the date for Dell's 2013 annual meeting. Following the Court conference the parties entered a stipulation extending defendants time to respond to the complaint and the Icahn Parties will make a decision on whether to continue to pursue this litigation.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Federal-Mogul is a defendant in lawsuits filed and the recipient of administrative orders issued and demand letters received, in various jurisdictions pursuant to the Federal Comprehensive Environmental Response Compensation and Liability Act of 1980 (“CERCLA”) and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$15 million at each of September 30, 2013 and December 31, 2012 and are included in accrued expenses and other liabilities in our consolidated balance sheets.</w:t>
      </w:r>
    </w:p>
    <w:p>
      <w:pPr>
        <w:spacing w:after="0" w:line="62"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September 30, 2013, Federal-Mogul estimates reasonably possible material additional losses, above and beyond its best estimate of required remediation costs as recorded, to be approximately $45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260" w:firstLine="378"/>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$28 million and $29 million as of September 30, 2013 and December 31, 2012,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37" w:right="2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CVR leases various equipment, including rail cars, and real properties under long-term operating leases expiring at various dates. For the nine months ended September 30, 2013, lease expense was $7 million.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On August 31, 2012, Coffeyville Resources Refining &amp; Marketing, LLC ("CRRM") and Vitol Inc. (“Vitol”), entered into an Amended and Restated Crude Oil Supply Agreement (the “Vitol Agreement”). The Vitol Agreement amends and restates the Crude Oil Supply Agreement between CRRM and Vitol dated March 30, 2011, as amended. Under the Vitol Agreement, Vitol supplies the petroleum business with crude oil and intermediation logistics, which helps to reduce CVR Refining's inventory position and mitigate crude oil pricing risk.</w:t>
      </w:r>
    </w:p>
    <w:p>
      <w:pPr>
        <w:spacing w:after="0" w:line="79"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The Vitol Agreement has an initial term commencing on August 31, 2012 and extending through December 31, 2014 (the "Initial Term"). Following the Initial Term, the Vitol Agreement will automatically renew for successive one-year terms (each such term, a "Renewal Term") unless either party provides the other with notice of nonrenewal at least 180 days prior to expiration of the Initial Term or any Renewal Term.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CVR's management estimates of the outcomes will change due to uncertainties inherent in litigation and settlement negotiations. In the opinion of CVR management, the ultimate resolution of any other litigation matters is not expected to have a material adverse effect. There can be no assurance that CVR management's beliefs or opinions with respect to liability for potential litigation matters are accurate.</w:t>
      </w:r>
    </w:p>
    <w:p>
      <w:pPr>
        <w:spacing w:after="0" w:line="81"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On June 21, 2012, Goldman, Sachs &amp; Co. (“GS”) filed suit against CVR in state court in New York, alleging that CVR failed to pay GS approximately $18.5 million in fees allegedly due to GS by CVR pursuant to an engagement letter dated March 21, 2012, which according to the allegations set forth in the complaint, provided that GS was engaged by CVR to assist CVR and the CVR board of directors in connection with a tender offer for CVR's common stock made by Carl C. Icahn and certain of his affiliates. CVR believes it has meritorious defenses and intends to vigorously defend against the suit. This amount has been fully accrued as of September 30, 2013 and December 31, 2012.</w:t>
      </w:r>
    </w:p>
    <w:p>
      <w:pPr>
        <w:spacing w:after="0" w:line="80"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On August 10, 2012, Deutsche Bank (“DB”) filed suit against CVR in state court in New York, alleging that CVR failed to pay DB $18.5 million in fees allegedly due to DB by CVR pursuant to an engagement letter dated March 23, 2012, which according to the allegations set forth in the complaint, provided that DB was engaged by CVR to assist CVR and the CVR board of directors in connection with a tender offer for CVR's stock made by Carl C. Icahn and certain of his affiliates. CVR believes it has meritorious defenses and intends to vigorously defend against the suit. This amount has been fully accrued as of September 30, 2013 and December 31, 2012.</w:t>
      </w:r>
    </w:p>
    <w:p>
      <w:pPr>
        <w:spacing w:after="0" w:line="80"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On December 17, 2012, Gary Community Investment Company, f/k/a The Gary-Williams Company and GWEC Holding Company, Inc. (referred to herein collectively as “Gary-Williams”) filed a lawsuit in the Supreme Court of New York, New York County (Gary Community Investment Co. v. CVR Energy, Inc., No. 654401/12) against CVR and CRLLC (referred to collectively for purposes of this paragraph as “CVR”). The action arises out of claims relating to CVR’s purchase of the Wynnewood, Oklahoma refinery pursuant to the Purchase and Sale Agreement entered into by the parties on November 2, 2011</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37"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“Purchase Agreement”). Specifically, CVR provided notice to Gary-Williams that it sought indemnification for various breaches of the Purchase Agreement and subsequently made a claim notice for payment of the entire escrow property pursuant to the Escrow Agreement by and among Gary-Williams, CRLLC and the escrow agent, dated as of December 15, 2011. Gary-Williams, in its lawsuit, alleges that CVR breached the Purchase Agreement and the Escrow Agreement, and is seeking a declaratory judgment that CVR’s claims are without any legal basis, damages in an unspecified amount, and release of the full amount of the escrow property to Gary-Williams.</w:t>
      </w:r>
    </w:p>
    <w:p>
      <w:pPr>
        <w:spacing w:after="0" w:line="80"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CRNF received a ten-year property tax abatement from Montgomery County, Kansas in connection with the construction of the nitrogen fertilizer plant that expired on December 31, 2007. In connection with the expiration of the abatement, the county reclassified and reassessed CRNF's nitrogen fertilizer plant for property tax purposes. The reclassification and reassessment resulted in an increase in CRNF's annual property tax expense by an average of $11 million per year for each of the years ended December 31, 2008 and 2009, $12 million for the year ended December 31, 2010 and $11 million for each of the years ended December 31, 2011 and 2012. CRNF protested the classification and resulting valuation for each of those years to the Kansas Court of Tax Appeals ("COTA"), followed by an appeal to the Kansas Court of Appeals. However, CRNF fully accrued and paid the property taxes the county claimed were owed for the years ended December 31, 2008 through 2012. The Kansas Court of Appeals, in a memorandum opinion dated August 9, 2013, reversed the COTA decision, in part and remanded the case to COTA instructing COTA to classify each asset on an asset by asset basis instead of making a broad determination that the entire plant was real property as COTA did originally. CRNF believes that when that asset by asset determination is done, the majority of the plant will be classified as personal property which would result in significantly lower property taxes for CRNF for 2008 and for those years after the conclusion of the property tax settlement noted below as compared to the taxes paid by CRNF prior to the settlement. The County filed a motion for rehearing with the Kansas Court of Appeals seeking reconsideration of the Court’s August 9, 2013 decision and that motion was denied. The County has also filed a petition for review with the Kansas Supreme Court and that petition is pending.</w:t>
      </w:r>
    </w:p>
    <w:p>
      <w:pPr>
        <w:spacing w:after="0" w:line="80" w:lineRule="exact"/>
        <w:rPr>
          <w:sz w:val="20"/>
          <w:szCs w:val="20"/>
          <w:color w:val="auto"/>
        </w:rPr>
      </w:pPr>
    </w:p>
    <w:p>
      <w:pPr>
        <w:jc w:val="both"/>
        <w:ind w:right="40" w:firstLine="378"/>
        <w:spacing w:after="0" w:line="259" w:lineRule="auto"/>
        <w:rPr>
          <w:sz w:val="20"/>
          <w:szCs w:val="20"/>
          <w:color w:val="auto"/>
        </w:rPr>
      </w:pPr>
      <w:r>
        <w:rPr>
          <w:rFonts w:ascii="Arial" w:cs="Arial" w:eastAsia="Arial" w:hAnsi="Arial"/>
          <w:sz w:val="18"/>
          <w:szCs w:val="18"/>
          <w:color w:val="auto"/>
        </w:rPr>
        <w:t>On February 25, 2013, Montgomery County and CRNF agreed to a settlement for tax years 2009 through 2012, which will lower CRNF's property taxes by about $11 million per year for tax years 2013 through 2016 based on current mill levy rates. In addition, the settlement provides that Montgomery County will support CRNF's application before COTA for a ten year tax exemption for the UAN expansion. Finally, the settlement provides that CRNF will continue its appeal of the 2008 reclassification and reassessment discussed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Flood, Crude Oil Discharge and Insurance</w:t>
      </w:r>
    </w:p>
    <w:p>
      <w:pPr>
        <w:spacing w:after="0" w:line="117"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Crude oil was discharged from CVR's Coffeyville refinery on July 1, 2007, due to the short amount of time available to shut down and secure the refinery in preparation for the flood that occurred on June 30, 2007. In May 2008, in connection with the discharge, CVR received notices of claims from 16 private claimants under the Oil Pollution Act ("OPA") in an aggregate amount of approximately $4 million (plus punitive damages). In August 2008, those claimants filed suit against CVR in the United States District Court for the District of Kansas in Wichita (the "Angleton Case"). In October 2009 and June 2010, companion cases to the Angleton Case were filed in the United States District Court for the District of Kansas in Wichita, seeking a total of approximately $3 million (plus punitive damages) for three additional plaintiffs as a result of the July 1, 2007 crude oil discharge. CVR has settled all of the claims with the plaintiffs from the Angleton Case and has settled all but one of the companion cases. The settlements did not have a material adverse effect on our consolidated financial statements. CVR believes that the resolution of the remaining claim will not have a material adverse effect on our Energy segment's financial results.</w:t>
      </w:r>
    </w:p>
    <w:p>
      <w:pPr>
        <w:spacing w:after="0" w:line="89" w:lineRule="exact"/>
        <w:rPr>
          <w:sz w:val="20"/>
          <w:szCs w:val="20"/>
          <w:color w:val="auto"/>
        </w:rPr>
      </w:pPr>
    </w:p>
    <w:p>
      <w:pPr>
        <w:ind w:right="20" w:firstLine="378"/>
        <w:spacing w:after="0" w:line="288" w:lineRule="auto"/>
        <w:rPr>
          <w:sz w:val="20"/>
          <w:szCs w:val="20"/>
          <w:color w:val="auto"/>
        </w:rPr>
      </w:pPr>
      <w:r>
        <w:rPr>
          <w:rFonts w:ascii="Arial" w:cs="Arial" w:eastAsia="Arial" w:hAnsi="Arial"/>
          <w:sz w:val="16"/>
          <w:szCs w:val="16"/>
          <w:color w:val="auto"/>
        </w:rPr>
        <w:t>On October 25, 2010, CVR received a letter from the United States Coast Guard on behalf of the EPA seeking $2 million in oversight cost reimbursement. CVR responded by asserting defenses to the Coast Guard's claim for oversight costs. On September 23, 2011, the United States Department of Justice ("DOJ"), acting on behalf of the U.S. Environmental Protection Agency ("EPA") and the United States Coast Guard, filed suit against CRRM in the United States District Court for the District of Kansas seeking recovery from CRRM related to alleged non-compliance with the Clean Air Act's Risk Management Program (“RMP”), the Clean Water Act (“CWA”) and the OPA. CRRM has reached an agreement with the DOJ resolving its claims under the CWA and the OPA. The agreement is memorialized in a Consent Decree that was filed with and approved by the Court on February 12, 2013 and March 25, 2013, respectively (the “2013 Consent Decree”). On April 19, 2013, CRRM paid a civil penalty plus accrued interest in the amount of $0.6 million for the CWA violations and reimbursed the Coast Guard for oversight costs under OPA in the amount of $1.7 million. The 2013 Consent Decree also requires CRRM to make small capital upgrades to the Coffeyville refinery crude oil tank farm, develop flood procedures and provide employee training. The parties also reached an agreement to settle the DOJ's RMP claims, which was filed and approved with the Court on May 21,</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2013 and July 2, 2013 and provided for a civil penalty of $0.3 million. On July 29, 2013, CRRM paid the civil penalty related to the RMP settlement agreement.</w:t>
      </w:r>
    </w:p>
    <w:p>
      <w:pPr>
        <w:spacing w:after="0" w:line="62"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CVR is seeking insurance coverage for this release and for the ultimate costs for remediation and third-party property damage claims. On July 10, 2008, CVR filed a lawsuit in the United States District Court for the District of Kansas against certain of CVR's environmental insurance carriers requesting insurance coverage indemnification for the June/July 2007 flood and crude oil discharge losses. Each insurer reserved its rights under various policy exclusions and limitations and cited potential coverage defenses. Although the Court has now issued summary judgment opinions that eliminate the majority of the insurance defendants' reservations and defenses, CVR cannot be certain of the ultimate amount or timing of such recovery because of the difficulty inherent in projecting the ultimate resolution of CVR's claims. CVR has received $25 million of insurance proceeds under its primary environmental liability insurance policy, which constitutes full payment to CVR of the primary pollution liability policy limit.</w:t>
      </w:r>
    </w:p>
    <w:p>
      <w:pPr>
        <w:spacing w:after="0" w:line="70"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The lawsuit with the insurance carriers under the environmental policies remains the only unsettled lawsuit with the insurance carriers related to these events.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CRRM, CRNF, Coffeyville Resources Crude Transportation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OPA generally subjects owners and operators of facilities to strict, joint and several liability for all containment and clean-up costs, natural resource damages, and potential governmental oversight costs arising from oil spills into the waters of the United States, which has been broadly interpreted to include virtually any water bodies including intermittent streams and water bodies.</w:t>
      </w:r>
    </w:p>
    <w:p>
      <w:pPr>
        <w:spacing w:after="0" w:line="72"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CRRM and CRT have agreed to perform corrective actions at the Coffeyville, Kansas refinery and the now-closed Phillipsburg, Kansas terminal facility, pursuant to Administrative Orders on Consent issued under RCRA to address historical contamination by the prior owners (RCRA Docket No. VII-94-H-0020 and Docket No. VII-95-H-011, respectively). As of both September 30, 2013 and December 31, 2012, environmental accruals of $2 million were reflected in the consolidated balance sheets for probable and estimated costs for remediation of environmental contamination under the RCRA Administrative Orders. Accruals were determined based on an estimate of payment costs through 2031, for which the scope of remediation was arranged with the EPA, and were discounted at the appropriate risk free rates at September 30, 2013 and December 31, 2012. The accruals include estimated closure and post-closure costs of $1 million for two landfills as of both September 30, 2013 and December 31, 2012.</w:t>
      </w:r>
    </w:p>
    <w:p>
      <w:pPr>
        <w:spacing w:after="0" w:line="70" w:lineRule="exact"/>
        <w:rPr>
          <w:sz w:val="20"/>
          <w:szCs w:val="20"/>
          <w:color w:val="auto"/>
        </w:rPr>
      </w:pPr>
    </w:p>
    <w:p>
      <w:pPr>
        <w:ind w:right="820" w:firstLine="378"/>
        <w:spacing w:after="0" w:line="308" w:lineRule="auto"/>
        <w:rPr>
          <w:sz w:val="20"/>
          <w:szCs w:val="20"/>
          <w:color w:val="auto"/>
        </w:rPr>
      </w:pPr>
      <w:r>
        <w:rPr>
          <w:rFonts w:ascii="Arial" w:cs="Arial" w:eastAsia="Arial" w:hAnsi="Arial"/>
          <w:sz w:val="17"/>
          <w:szCs w:val="17"/>
          <w:color w:val="auto"/>
        </w:rPr>
        <w:t>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38"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CRRM, CRNF, CRCT, WRC and CRT are subject to extensive and frequently changing federal, state and local EHS laws and regulations governing the emission and release of hazardous substances into the environment, the treatment and discharge of waste water, the storage, handling, use and transportation of petroleum and nitrogen products, and the characteristics and composition of gasoline and diesel fuels. The ultimate impact on CVR's business of complying with evolving laws and regulations is not always clearly known or determinable due in part to the fact that our operations may change over time and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337" w:right="27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62"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In 2007, the EPA promulgated the Mobile Source Air Toxic II (“MSAT II”) rule that requires the reduction of benzene in gasoline by 2011. CRRM and WRC are considered to be small refiners under the MSAT II rule and compliance with the rule is extended until 2015 for small refiners. As a result of our purchase of a controlling interest in CVR on May 4, 2012, CVR's MSATII projects have been accelerated by three months due to the loss of small refiner status. Total capital expenditures to comply with the rule are expected to be approximately $63 million for CRRM and approximately $105 million for WRC. As of September 30, 2013, $19 million and $35 million had been spent related to these projects by CRRM and WRC, respectively.</w:t>
      </w:r>
    </w:p>
    <w:p>
      <w:pPr>
        <w:spacing w:after="0" w:line="64" w:lineRule="exact"/>
        <w:rPr>
          <w:sz w:val="20"/>
          <w:szCs w:val="20"/>
          <w:color w:val="auto"/>
        </w:rPr>
      </w:pPr>
    </w:p>
    <w:p>
      <w:pPr>
        <w:ind w:right="140" w:firstLine="405"/>
        <w:spacing w:after="0" w:line="285" w:lineRule="auto"/>
        <w:rPr>
          <w:sz w:val="20"/>
          <w:szCs w:val="20"/>
          <w:color w:val="auto"/>
        </w:rPr>
      </w:pPr>
      <w:r>
        <w:rPr>
          <w:rFonts w:ascii="Arial" w:cs="Arial" w:eastAsia="Arial" w:hAnsi="Arial"/>
          <w:sz w:val="16"/>
          <w:szCs w:val="16"/>
          <w:color w:val="auto"/>
        </w:rPr>
        <w:t>The petroleum refining industry is subject to the Renewable Fuel Standard ("RFS"), which requires refiners to blend "renewable fuels" in with their transportation fuels or purchase renewable fuel credits, known as renewable identification numbers ("RINs"), in lieu of blending. The EPA is required to determine and publish the applicable annual renewable fuel percentage standards for each compliance year by November 30 for the forthcoming year. The percentage standards represent the ratio of renewable fuel volume to gasoline and diesel volume. On August 6, 2013, the EPA announced the final 2013 renewable fuel percentage standard would be raised to 9.74%. Beginning in 2011, the Coffeyville refinery was required to blend renewable fuels into its gasoline and transportation diesel fuel or purchase RINs in lieu of blending, and in 2013, the Wynnewood refinery will be required to comply, unless the Wynnewood refinery receives relief from the rule in 2013 based on the "disproportionate economic impact" of the rule on the Wynnewood refinery. From time to time, CVR may purchase RINs on the open market or waiver credits for cellulosic biofuels from the EPA in order to comply with RFS. While the petroleum business cannot predict the future prices of RINs or waiver credits, the cost of purchasing RINs has been extremely volatile and has significantly increased over the last year. The cost of RINs for three months ended September 30, 2012 and the period May 5, 2012 through December 31, 2012 was $7 million and $15 million, respectively, and the cost of RINs for the three and nine months ended September 30, 2013 was $57 million and $155 million, respectively. As of September 30, 2013 and December 31, 2012, the petroleum business' biofuel blending obligation was $48 million and $1 million, respectively, which was recorded in accrued expenses and other liabilities on the consolidated balance sheets. The ultimate cost of RINs for the petroleum business in 2013 is difficult to estimate. In particular, the cost of RINs is dependent upon a variety of factors, which include the price at which RINs can be purchased, transportation fuel production levels, the mix of the petroleum business' petroleum products, as well as the fuel blending performed at the its refineries, all of which can vary significantly from quarter to quarter.</w:t>
      </w:r>
    </w:p>
    <w:p>
      <w:pPr>
        <w:spacing w:after="0" w:line="70"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In 2013, the EPA proposed "Tier 3" gasoline sulfur standards. Based on the proposed standards, CRRM anticipates it will incur less than $20 million of capital expenditures to install controls in order to meet the anticipated new standards. The project is expected to be completed during the Coffeyville refinery's next scheduled turnaround in 2016. It is not anticipated that the Wynnewood refinery would require additional controls or capital expenditures to meet the anticipated new standard.</w:t>
      </w:r>
    </w:p>
    <w:p>
      <w:pPr>
        <w:spacing w:after="0" w:line="79" w:lineRule="exact"/>
        <w:rPr>
          <w:sz w:val="20"/>
          <w:szCs w:val="20"/>
          <w:color w:val="auto"/>
        </w:rPr>
      </w:pPr>
    </w:p>
    <w:p>
      <w:pPr>
        <w:ind w:right="160" w:firstLine="378"/>
        <w:spacing w:after="0" w:line="297" w:lineRule="auto"/>
        <w:rPr>
          <w:sz w:val="20"/>
          <w:szCs w:val="20"/>
          <w:color w:val="auto"/>
        </w:rPr>
      </w:pPr>
      <w:r>
        <w:rPr>
          <w:rFonts w:ascii="Arial" w:cs="Arial" w:eastAsia="Arial" w:hAnsi="Arial"/>
          <w:sz w:val="16"/>
          <w:szCs w:val="16"/>
          <w:color w:val="auto"/>
        </w:rPr>
        <w:t>In March 2004, CRRM and CRT entered into a Consent Decree (the "2004 Consent Decree") with the EPA and the Kansas Department of Health and Environment (the "KDHE") to resolve air compliance concerns raised by the EPA and KDHE related to Farmland Industries Inc.'s prior ownership and operation of the Coffeyville crude oil refinery and the now-closed Phillipsburg terminal facilities. Under the 2004 Consent Decree, CRRM agreed to install controls to reduce emissions of sulfur dioxide, nitrogen oxides and particulate matter from its FCCU by January 1, 2011. In addition, pursuant to the 2004 Consent Decree, CRRM and CRT assumed clean-up obligations at the Coffeyville refinery and the now-closed Phillipsburg terminal facilities.</w:t>
      </w:r>
    </w:p>
    <w:p>
      <w:pPr>
        <w:spacing w:after="0" w:line="5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In March 2012, CRRM entered into a "Second Consent Decree" with the EPA, which replaces the 2004 Consent Decree, as amended (other than certain financial assurance provisions associated with corrective action at the refinery and terminal under RCRA). The Second Consent Decree gives CRRM more time to install the FCCU controls from the 2004 Consent Decree and expands the scope of the settlement so that it is now considered a "global settlement" under the EPA's "National Petroleum Refining Initiative." Under the National Petroleum Refining Initiative, the EPA alleged industry-wide noncompliance with four "marquee" issues under the Clean Air Act: New Source Review, Flaring, Leak Detection and Repair, and Benzene Waste Operations NESHAP. The National Petroleum Refining Initiative has resulted in most U.S. refineries (representing more than 90% of the US refining capacity) entering into consent decrees requiring the payment of civil penalties and requiring the installation of pollution control equipment and enhanced operating procedures. Under the Second Consent Decree, CVR was required to pay a civil penalty of less than $1 million and complete the installation of FCCU controls required under the 2004 Consent Decree, add controls to certain heaters and boilers and enhance certain work practices relating to wastewater and fugitive emissions. The remaining costs of complying with the Second Consent Decree are expected to be</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337" w:right="31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approximately $40 million. CRRM also agreed to complete a voluntary environmental project that will reduce air emissions and conserve water at an estimated cost of $1 million. Additional incremental capital expenditures associated with the Second Consent Decree will not be material and will be limited primarily to the retrofit and replacement of heaters and boilers over a five to seven year time-frame. The Second Consent Decree was entered by the U.S. District Court for the District of Kansas on April 19, 2012.</w:t>
      </w:r>
    </w:p>
    <w:p>
      <w:pPr>
        <w:spacing w:after="0" w:line="79"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WRC entered into a Consent Order with the Oklahoma Department of Environmental Quality (the "ODEQ") in August 2011 (the "Wynnewood Consent Order"). The Wynnewood Consent Order addresses certain historic Clean Air Act compliance issues related to the operations of the refinery by the prior owner. Under the Wynnewood Consent Order, WRC paid a civil penalty of $950,000 and agreed to install certain controls, enhance certain compliance programs, and undertake additional testing and auditing. A substantial portion of the costs of complying with the Wynnewood Consent Order were expended during the last turnaround in 2012. The remaining costs are expected to be approximately $3 million. In consideration for entering into the Wynnewood Consent Order, WRC received a release from liability from ODEQ for matters described in the ODEQ order.</w:t>
      </w:r>
    </w:p>
    <w:p>
      <w:pPr>
        <w:spacing w:after="0" w:line="70"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From time to time, ODEQ conducts inspections of the Wynnewood refinery and identifies areas of alleged noncompliance. ODEQ routinely pursues enforcement related to the alleged noncompliance seeking civil penalties and injunctive relief, which may necessitate the installation of controls. ODEQ has advised CVR that it is preparing to issue a full compliance evaluation report covering the period from 2010 through 2013. The agency has indicated that it will pursue enforcement related to the alleged noncompliance and that it expects to enter into a second Consent Order with CVR, which would necessitate the payment of a civil penalty and the implementation of injunctive relief to address the alleged noncompliance. The costs of any such enforcement action cannot be predicted at this time. However, based on our experience related to the Clean Air Act enforcement and control requirements, CVR does not anticipate that the costs of any civil penalties, required additional controls or operational changes would be material.</w:t>
      </w:r>
    </w:p>
    <w:p>
      <w:pPr>
        <w:spacing w:after="0" w:line="5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WRC has entered into a series of Clean Water Act consent orders with ODEQ. The latest Consent Order (the "CWA Consent Order"), which supersedes other consent orders, became effective in September 2011. The CWA Consent Order addresses alleged noncompliance by WRC with its Oklahoma Pollutant Discharge Elimination System permit limits. The CWA Consent Order requires WRC to take corrective action steps, including undertaking studies to determine whether the Wynnewood refinery's wastewater treatment plant capacity is sufficient. The Wynnewood refinery may need to install additional controls or make operational changes to satisfy the requirements of the CWA Consent Order. The cost of additional controls, if any, cannot be predicted at this time. However, based on CVR's experience with wastewater treatment and controls, CVR does not anticipate that the costs of any required additional controls or operational changes would be material.</w:t>
      </w:r>
    </w:p>
    <w:p>
      <w:pPr>
        <w:spacing w:after="0" w:line="81"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From time to time, the EPA has conducted inspections and issued information requests to CRNF with respect to CVR’s compliance with RMP and the release reporting requirements under CERCLA and the EPCRA. These previous investigations have resulted in the issuance of preliminary findings regarding CRNF’s compliance status. In the fourth quarter of 2010, following CRNF’s reported release of ammonia from its cooling water system and the rupture of its UAN vessel (which released ammonia and other regulated substances), the EPA conducted its most recent inspection and issued an additional request for information to CRNF. The EPA has not made any formal claims against CVR and CVR has not accrued for any liability associated with the investigations or releases.</w:t>
      </w:r>
    </w:p>
    <w:p>
      <w:pPr>
        <w:spacing w:after="0" w:line="85" w:lineRule="exact"/>
        <w:rPr>
          <w:sz w:val="20"/>
          <w:szCs w:val="20"/>
          <w:color w:val="auto"/>
        </w:rPr>
      </w:pPr>
    </w:p>
    <w:p>
      <w:pPr>
        <w:ind w:right="380" w:firstLine="378"/>
        <w:spacing w:after="0" w:line="342" w:lineRule="auto"/>
        <w:rPr>
          <w:sz w:val="20"/>
          <w:szCs w:val="20"/>
          <w:color w:val="auto"/>
        </w:rPr>
      </w:pPr>
      <w:r>
        <w:rPr>
          <w:rFonts w:ascii="Arial" w:cs="Arial" w:eastAsia="Arial" w:hAnsi="Arial"/>
          <w:sz w:val="16"/>
          <w:szCs w:val="16"/>
          <w:color w:val="auto"/>
        </w:rPr>
        <w:t>Environmental expenditures are capitalized when such expenditures are expected to result in future economic benefits. For the nine months ended September 30, 2013, capital expenditures were $74 million and were incurred to improve the environmental compliance and efficiency of the operations.</w:t>
      </w:r>
    </w:p>
    <w:p>
      <w:pPr>
        <w:spacing w:after="0" w:line="16"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CRRM, CRNF, CRCT, WRC and CRT each believes it is in substantial compliance with existing EHS rules and regulations. There can be no assurance that the EHS matters described above or other EHS matters which may develop in the future will not have a material adverse effect on CVR's business, financial condition or results of operations.</w:t>
      </w:r>
    </w:p>
    <w:p>
      <w:pPr>
        <w:spacing w:after="0" w:line="73"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On September 28, 2012, the Wynnewood refinery experienced an explosion in a boiler unit during startup after a short outage as part of the turnaround process. Two employees were fatally injured. Damage at the refinery was limited to the boiler. Additionally, there was no environmental impact. The refinery was in the final stages of shutdown for turnaround maintenance at the time of the incident. The petroleum business completed an internal investigation of the incident and cooperated with the Occupational Safety and Health Administration ("OSHA") in its investigation. OSHA also conducted a general inspection of the facility during the boiler incident investigation. In March 2013, OSHA completed its investigation and communicated its citations to WRC. OSHA also placed WRC in its Severe Violators Enforcement Program (“SVEP”). WRC is vigorously contesting the citations and OSHA’s placement of WRC in the SVEP. Any penalties associated with OSHA’s citations are not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37"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expected to be material. On September 25, 2013, WRC agreed to pay a small civil penalty to settle rather than defend claims alleged by the EPA under the Clean Air Act's general duty clause related to the boiler incident. In addition to the above, spouses of the two employees fatally injured have filed a civil lawsuit against WRC, CVR Refining and CVR in Fort Bend County, Texas. The civil suit is in its preliminary stages and it is currently too early to assess a potential outcome.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$29 million at each of September 30, 2013 and December 31, 2012.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7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a Site Assessment under the federal Superfund law. This Site Assessment was performed in 2012 by the State of Tennessee pursuant to a contract with EPA. Tennessee recommended to EPA that an expanded Site Assessment be performed at this location due to the presence of contamination. At this point, PSC Metals cannot assess any cost or liability associated with this investigation.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September 30, 2013 and December 31, 2012. If it is determined that PSC Metals has liability to remediate those sites and that more expensive remediation approaches are required in the future, PSC Metals could incur additional obligations, which could be material.</w:t>
      </w:r>
    </w:p>
    <w:p>
      <w:pPr>
        <w:spacing w:after="0" w:line="75"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In November and December of 2011, PSC Metals received three notices of violation from the Missouri Department of Natural Resources ("MDNR") for hazardous waste and water violations related to its Festus, Missouri location. PSC Metals has responded to the notices of violation and is cooperating with MDNR. PSC Metals is in the process of negotiating a settlement with MDNR that will resolve the three notices of violation referenced above. PSC Metals cannot estimate the cost of any settlement with MDNR at this time. PSC Metals believes that it has a claim for indemnification against the prior owner of the facility associated with the above-referenced notices of violation.</w:t>
      </w:r>
    </w:p>
    <w:p>
      <w:pPr>
        <w:spacing w:after="0" w:line="80"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MDNR has undertaken sampling for lead at residences near PSC Metals' Festus yard. MDNR has indicated to PSC Metals that this sampling was initiated in response to citizen complaints regarding its Festus yard. MDNR has received the results of this sampling. PSC Metals has been provided with the MDNR sampling results and is undertaking a technical review with its environmental experts. PSC Metals has been informed by MDNR that of the approximately 50 residences that were sampled and tested, 15 tested above residential standards for lead contamination and may require some amount of limited soil remediation. Neither MDNR nor PSC Metals has undertaken a lead isotope or similar analysis that would tie the lead contamination that was discovered to a specific location or source. MDNR has requested that PSC Metals sample 19 additional residential properties to assess whether those sites are above residential standards for lead contamination. PSC Metals and MDNR are discussing the scope and extent of any future sampling and the potential for limited soil remediation. At this time, PSC Metals believes that it has adequately reserved for the cost of remediation associated with its Festus yard and the residential areas near the yard, should such remediation be required. However, as negotiations with MDNR are on-going and additional sampling could be required, PSC Metals cannot assess its liability with certainty at this time. To the extent that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MDNR does seek to hold PSC Metals liable for off-site contamination, PSC Metals believes that such liability was retained by the prior owner of the Festus yard and it would have a claim for indemnification against the prior owner.</w:t>
      </w:r>
    </w:p>
    <w:p>
      <w:pPr>
        <w:spacing w:after="0" w:line="62"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In 2011, PSC Metals entered into a consent decree with the EPA regarding PSC Metals' scrap processing facility located in Cleveland, Ohio. The EPA alleged that PSC Metals violated the requirements of Section 608 of the Clean Air Act, 42 USC Section 761, which requires scrap processors to either recover refrigerants from appliances in accordance with the procedures described in the applicable federal regulations or verify through certifications that refrigerants have previously been evacuated. The consent decree includes injunctive relief that, among other things, will require PSC Metals to offer refrigerant extraction services at 11 of its scrap processing facilities through October 2015. PSC Metals estimates that the cost associated with the required injunctive relief will range from $0.9 million to $1.3 million, exclusive of a civil penalty of $199,000 assessed in connection with the consent decree which PSC Metals paid in 2011.</w:t>
      </w:r>
    </w:p>
    <w:p>
      <w:pPr>
        <w:spacing w:after="0" w:line="81"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On April 3, 2013, two citizen groups filed a citizen suit under the Clean Water Act (the “CWA”) for alleged storm water and process water discharges at PSC Metals' Nashville, TN facility that the citizen groups allege violate the CWA and PSC Metals' storm water discharge permit. The CWA requires that to maintain a citizen suit, the citizen plaintiff must be able to show that the violations are on-going or are reasonably likely to reoccur. PSC Metals believes, based on its investigation to date, that the citizen plaintiffs cannot meet this burden. Based on reviewing the nature and extent of the allegations, PSC Metals currently cannot reasonably provide an estimate of range of loss.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firstLine="378"/>
        <w:spacing w:after="0" w:line="267" w:lineRule="auto"/>
        <w:rPr>
          <w:sz w:val="20"/>
          <w:szCs w:val="20"/>
          <w:color w:val="auto"/>
        </w:rPr>
      </w:pPr>
      <w:r>
        <w:rPr>
          <w:rFonts w:ascii="Arial" w:cs="Arial" w:eastAsia="Arial" w:hAnsi="Arial"/>
          <w:sz w:val="17"/>
          <w:szCs w:val="17"/>
          <w:color w:val="auto"/>
        </w:rPr>
        <w:t>ARI is subject to comprehensive federal, state, local and international environmental laws and regulations relating to the release or discharge of materials into the environment, the management, use, processing, handling, storage, transport or disposal of hazardous materials and wastes, or otherwise relating to the protection of human health and the environment. These laws and regulations not only expose ARI to liability for the environmental condition of its current or formerly owned or operated facilities, and its own negligent acts, but also may expose ARI to liability for the conduct of others or for ARI's actions that were in compliance with all applicable laws at the time these actions were taken. In addition, these laws may require significant expenditures to achieve compliance, and are frequently modified or revised to impose new obligations. Civil and criminal fines and penalties and other sanctions may be imposed for non-compliance with these environmental laws and regulations. ARI's operations that involve hazardous materials also raise potential risks of liability under common law. Management believes that there are no current environmental issues identified that would have a material adverse effect on ARI. Certain real property ARI acquired from ACF in 1994 had been involved in investigation and remediation activities to address contamination both before and after their transfer to ARI. As of September 30, 2013, it is ARI's understanding that no further investigation or remediation is required at these properties. Substantially all of the issues identified with these properties relate to the use of these properties prior to their transfer to ARI by ACF and for which ACF has retained liability for environmental contamination that may have existed at the time of transfer to ARI. ACF has also agreed to indemnify ARI for any cost that might be incurred with those existing issues. As of September 30, 2013, ARI does not believe it will incur material costs in connection with any investigation or remediation activities relating to these properties, but it cannot assure that this will be the case. If ACF fails to honor its obligations to ARI, ARI could be responsible for the cost of any additional investigation or remediation that may be required. ARI believes that its operations and facilities are in substantial compliance with applicable laws and regulations and that any noncompliance is not likely to have a material adverse effect on its operations or financial condition or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On September 2, 2009, a complaint was filed by George Tedder (the "Plaintiff") against ARI in the U.S. District Court, Eastern District of Arkansas. The Plaintiff alleged that ARI was liable for an injury that resulted during the Plaintiff's break on April 24, 2008. At trial on April 9, 2012, the jury ruled in favor of the Plaintiff. ARI's motion for remittitur of the jury was granted and the judge reduced the amount awarded to the plaintiff, which was fully accrued as of September 30, 2013 and December 31, 2012. In the first quarter of 2013, ARI filed an appeal of the revised ruling.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Aztar v. Marsh</w:t>
      </w:r>
    </w:p>
    <w:p>
      <w:pPr>
        <w:spacing w:after="0" w:line="117" w:lineRule="exact"/>
        <w:rPr>
          <w:sz w:val="20"/>
          <w:szCs w:val="20"/>
          <w:color w:val="auto"/>
        </w:rPr>
      </w:pPr>
    </w:p>
    <w:p>
      <w:pPr>
        <w:ind w:right="480" w:firstLine="378"/>
        <w:spacing w:after="0" w:line="277" w:lineRule="auto"/>
        <w:rPr>
          <w:sz w:val="20"/>
          <w:szCs w:val="20"/>
          <w:color w:val="auto"/>
        </w:rPr>
      </w:pPr>
      <w:r>
        <w:rPr>
          <w:rFonts w:ascii="Arial" w:cs="Arial" w:eastAsia="Arial" w:hAnsi="Arial"/>
          <w:sz w:val="18"/>
          <w:szCs w:val="18"/>
          <w:color w:val="auto"/>
        </w:rPr>
        <w:t>On August 12, 2010, the Aztar Corporation ("Aztar") filed a broker malpractice and breach of contract action in the Superior Court of New Jersey, Atlantic County, Law Division (the “Court”), against Marsh &amp; McLennan Companies,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Marsh, Inc., Marsh USA, Inc. and various fictitious Marsh entities (together, the "Marsh Defendants"). The claim seeks $100 million or more in compensatory damages against the Marsh Defendants, Aztar's risk management and insurance brokers at the time of a 2002 expansion of Tropicana AC by Aztar, including, but not limited to, lost profits, expenses arising from the interruption of operations, attorneys' fees, loss of the use of the insurance proceeds at issue, and litigation expenses resulting from the Marsh Defendants' failure to secure for Aztar business interruption and property damage coverage covering losses sustained by Aztar from the collapse of a parking garage that occurred at Tropicana AC on October 30, 2003.</w:t>
      </w:r>
    </w:p>
    <w:p>
      <w:pPr>
        <w:spacing w:after="0" w:line="64"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The Marsh Defendants filed an answer on October 20, 2010 denying the material allegations of the complaint and subsequently filed a Motion to Dismiss for Forum Non Conveniens in December 2010, which motion was denied by the Court on April 12, 2011. On August 18, 2011 the Marsh Defendants filed a Motion for Summary Judgment arguing that the Court should apply the Arizona Statue of Limitations to the action. Aztar filed an objection to the Marsh Defendants' motion on September 23, 2011 arguing, inter alia, that the New Jersey Statute of Limitations applies to the action. The Marsh Defendants filed its Reply on October 3, 2011. The motion was argued in January 2012. In April 2012, the Court granted the Marsh Defendants' motion for Summary Judgment dismissing Aztar's complaint with prejudice. Aztar subsequently filed a Motion for Reconsideration with the Court, which was denied. In September 2012, Aztar filed an appeal of the Court's decision to dismiss the case with the Superior Court of New Jersey, Appellate Division. In September 2013, the Superior Court of New Jersey, Appellate Division denied Aztar's appeal substantially for the reasons set forth in the lower Court's decision. Aztar has filed a Petition for Certification to the New Jersey Supreme Court, which petition is pending. A hearing on the appeal was held in May 2013. Any recovery obtained by Aztar in this action will be recoverable by Tropicana as the current owner of Tropicana AC.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AC Tax Appeal Settlement</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In January 2013 we settled outstanding real estate tax appeals involving our Tropicana AC property with the City of Atlantic City. The settlement involves the tax years 2008 through 2012 and also covers negotiated real estate assessments for 2013 and 2014. Under the terms of the settlement, Tropicana AC will receive a refund of approximately $50 million in the form of credits against future year real estate tax bills beginning in 2013 and ending in 2017. The credits are front-loaded in 2013 and 2014 with the remainder of the credits spread over the remaining three years, 2015 through 2017. Tropicana will recognize these credits as a reduction to operating expenses in the periods they are utilized.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2005, Viskase Brasil Embalagens Ltda. (“Viskase Brazil”) received three tax assessments by São Paulo tax authorities with respect to Viskase Brazil's alleged failure to pay value added and sales and services tax (“ICMS”) levied on the importation of raw materials, and sales of goods in and out of the State of São Paulo, and alleged improper credits taken, from 2000 through 2005. In late December 2012, São Paulo issued a decree announcing a special settlement program (the “Settlement Program”) for eligible companies that wish to settle alleged ICMS liabilities arising prior to July 31, 2012. The Settlement Program offers significant reductions in interest and penalties to companies that choose to participate.</w:t>
      </w:r>
    </w:p>
    <w:p>
      <w:pPr>
        <w:spacing w:after="0" w:line="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 May 29, 2013, after consulting with its legal and tax advisors and considering the inherent uncertainty surrounding the outcome of the ongoing litigation, Viskase Brazil accepted participation in the Settlement Program, which allowed it to satisfy all of its remaining ICMS liabilities and related costs for $23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40" w:firstLine="378"/>
        <w:spacing w:after="0" w:line="297" w:lineRule="auto"/>
        <w:rPr>
          <w:sz w:val="20"/>
          <w:szCs w:val="20"/>
          <w:color w:val="auto"/>
        </w:rPr>
      </w:pPr>
      <w:r>
        <w:rPr>
          <w:rFonts w:ascii="Arial" w:cs="Arial" w:eastAsia="Arial" w:hAnsi="Arial"/>
          <w:sz w:val="16"/>
          <w:szCs w:val="16"/>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 the workplace. WPH estimated its environmental accruals to be $1 million at each of September 30, 2013 and December 31, 2012.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37"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89.4% of Icahn Enterprises' outstanding depositary units as of September 30, 2013.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September 30, 2013 and December 31, 2012. If the plans were voluntarily terminated, they would be underfunded by approximately $703 million and $130 million as of September 30, 2013 and December 31, 2012, respectively. As discussed in Note 2, "Operating Units - Automotive," as a result of the Federal-Mogul Rights Offering during the third quarter of 2013, we purchased additional shares of Federal-Mogul common stock, thereby increasing our ownership of Federal-Mogul to 80.7%, As a result, the underfunded termination liability balance includes Federal-Mogul effective in the third quarter of 2013.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5"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Thus, Starfire would not indemnify us for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On November 1, 2013, the Board of Directors of the general partner of Icahn Enterprises declared a quarterly distribution in the amount of $1.25 per depositary unit, which will be paid on or about January 13, 2014 to depositary unit holders of record at the close of business on November 14, 2013. Depositary unit holders will have until December 9, 2013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20 consecutive trading days ending January 8, 2014. No fractional depositary units will be issued pursuant to the distribution payment. Icahn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(Unaudited)</w:t>
      </w:r>
    </w:p>
    <w:p>
      <w:pPr>
        <w:spacing w:after="0" w:line="3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previously disclosed, on October 22, 2013, Icahn Enterprises and Icahn Capital, a wholly owned indirect subsidiary of Icahn Enterprises, entered into an amendment (the “Co-Manager Amendment”) to the Amended and Restated Co-Manager Agreement made as of August 1, 2012 by and between Icahn Enterprises, Icahn Capital and each of David Schechter and Brett Icahn (the “Co-Manager Agreement”). As previously disclosed, under the Co-Manager Agreement each of Brett Icahn, the son of Carl Icahn, and David Schechter serves as a co-portfolio manager (together, the “Co-Managers ”) of a designated portfolio of assets (referred to as the "New Sargon Portfolio") within the various private investment funds comprising Icahn Enterprises’ Investment segment, subject to the supervision and control of Icahn Capital and Carl Icahn. Icahn Capital owns the general partners of Icahn Partners, Icahn Partners Master Fund I, Icahn Partners Master Fund II and Icahn Partners Master Fund III.</w:t>
      </w:r>
    </w:p>
    <w:p>
      <w:pPr>
        <w:spacing w:after="0" w:line="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Co-Manager Amendment modifies certain provisions of the Co-Manager Agreement solely as they relate to the shares of common stock of Netflix, Inc., a Delaware corporation, held within the New Sargon Portfolio (the “Designated Shares”). Pursuant to the Co-Manager Amendment, up to 85% of the Designated Shares may be sold by Icahn Enterprises and Icahn Capital without the consent of the Co-Managers . Following the sale of any of the Designated Shares without the consent of the Co-Managers, Icahn Enterprises and Icahn Capital must make available to the New Sargon Portfolio an amount in cash or cash equivalents equal to the proceeds received from such sale. Further, pursuant to the Amendment, the shares sold without consent of the Co-Managers will be deemed to remain in the New Sargon Portfolio on a notional basis for the purposes of calculating the market value of the New Sargon Portfolio in connection with the determination of gain in the New Sargon Portfolio.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September 20, 2013, American Entertainment Properties Corporation, a wholly owned subsidiary of ours and the parent company of AEP Rail Corp ("AEP"), entered into a transaction with ARL, a company wholly owned and controlled by Carl C. Icahn. ARL is a wholly owned subsidiary of IRL Holding LLC ("IRL".) Prior to the closing of the transaction, which took place on October 2, 2013, AEP bought out the remainder of a management contract between AEP Leasing LLC ("AEP Leasing") and ARL for $21 million, and ARL distributed $71 million in cash and $171 million in notes receivable (including interest accrued ) to its parent company, IRL. Pursuant to a contribution agreement dated September 20, 2013 by and among AEP, IRL, ARL and IEP Energy Holding LLC (the “ARL Contribution Agreement”), at the closing of the transaction, AEP contributed $279 million in cash to ARL, and will, on January 1, 2014, contribute the fair market value of its 100% ownership interest in AEP Leasing to ARL, for aggregate consideration consisting of a 75% membership interest in the New ARL, which is expected to incur additional debt of $381 million. Pursuant to the ARL Contribution Agreement, the New ARL will distribute $381 million in cash to IRL after such new debt is incurred.</w:t>
      </w:r>
    </w:p>
    <w:p>
      <w:pPr>
        <w:spacing w:after="0" w:line="74"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The New ARL is an entity under common control. Accordingly, the consolidated financial statements and footnotes will include the assets and operations of the New ARL for all periods presented effective in the fourth quarter of 2013. In addition, all earnings and capital transactions prior to our investment in the New ARL will be allocated to non-controlling interests.</w:t>
      </w:r>
    </w:p>
    <w:p>
      <w:pPr>
        <w:spacing w:after="0" w:line="73"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transaction was approved by a special committee of independent members of our board of directors. The special committee was advised by its own legal counsel and independent financial adviser with respect to the transaction. The special committee received an opinion from its financial adviser as to the fairness to us, from a financial point of view, of the consideration paid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70" w:name="page71"/>
    <w:bookmarkEnd w:id="70"/>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L.P.</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reviewed the accompanying consolidated balance sheet of Icahn Enterprises L.P. and subsidiaries (the “Partnership”) (a Delaware limited partnership) as of September 30, 2013, and the related consolidated statements of operations and comprehensive income for the three-month and nine-month periods ended September 30, 2013 and 2012, the consolidated statement of cash flows for the nine-month periods ended September 30, 2013 and 2012, and the consolidated statement of changes in equity for the nine-month period ended September 30, 2013. These consolidated interim financial statements are the responsibility of the Partnership’s management.</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were furnished with the report of other accountants on their reviews of the condensed consolidated interim financial statements of CVR Energy, Inc., a subsidiary, whose total assets as of September 30, 2012 were $3,652 million, and whose revenues for the three-month period ended September 30, 2012 and the period from May 5, 2012 to September 30, 2012, constituted $2,410 million and $3,882 million, respectively, of the related consolidated totals.</w:t>
      </w:r>
    </w:p>
    <w:p>
      <w:pPr>
        <w:spacing w:after="0" w:line="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our reviews and the report of other accountants, we are not aware of any material modifications that should be made to the consolidated interim financial statements referred to above for them to be in conformity with accounting principles generally accepted in the United States of America.</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the Partnership as of December 31, 2012, and the related consolidated statements of operations, comprehensive income, changes in equity, and cash flows for the year then ended (not presented herein); and in our audit report dated March 14, 2013, we expressed an unqualified opinion on those consolidated financial statements. Our report made reference to the report of other auditors as it relates to amounts included for CVR Energy, Inc. for the year ended December 31, 2012. In our opinion, the information set forth in the accompanying consolidated balance sheet as of December 31, 2012, is fairly stated, in all material respects, in relation to the consolidated balance sheet from which it has been derived.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71" w:name="page72"/>
    <w:bookmarkEnd w:id="71"/>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Holdings L.P.</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reviewed the accompanying consolidated balance sheet of Icahn Enterprises Holdings L.P. and subsidiaries (the “Partnership”) (a Delaware limited partnership) as of September 30, 2013, and the related consolidated statements of operations and comprehensive income for the three-month and nine-month periods ended September 30, 2013 and 2012, the consolidated statement of cash flows for the nine-month periods ended September 30, 2013 and 2012, and the consolidated statement of changes in equity for the nine-month period ended September 30, 2013. These consolidated interim financial statements are the responsibility of the Partnership’s management.</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were furnished with the report of other accountants on their reviews of the condensed consolidated interim financial statements of CVR Energy, Inc., a subsidiary, whose total assets as of September 30, 2012 were $3,652 million, and whose revenues for the three-month period ended September 30, 2012 and the period from May 5, 2012 to September 30, 2012, constituted $2,410 million and $3,882 million, respectively, of the related consolidated totals.</w:t>
      </w:r>
    </w:p>
    <w:p>
      <w:pPr>
        <w:spacing w:after="0" w:line="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our reviews and the report of other accountants, we are not aware of any material modifications that should be made to the consolidated interim financial statements referred to above for them to be in conformity with accounting principles generally accepted in the United States of America.</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the Partnership as of December 31, 2012, and the related consolidated statements of operations, comprehensive income, changes in equity, and cash flows for the year then ended (not presented herein); and in our audit report dated March 14, 2013, we expressed an unqualified opinion on those consolidated financial statements. Our report made reference to the report of other auditors as it relates to amounts included for CVR Energy, Inc. for the year ended December 31, 2012. In our opinion, the information set forth in the accompanying consolidated balance sheet as of December 31, 2012, is fairly stated, in all material respects, in relation to the consolidated balance sheet from which it has been derived.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Quarterly Report on Form 10-Q for the period ended September 30, 2013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00" w:firstLine="378"/>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2013.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In addition to the above, Mr. Icahn and his affiliates owned 100,436,406, or approximately 89.4%, of Icahn Enterprises' outstanding depositary units as of September 30, 2013.</w:t>
      </w:r>
    </w:p>
    <w:p>
      <w:pPr>
        <w:spacing w:after="0" w:line="70"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360" w:firstLine="378"/>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64"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On June 12, 2013, Icahn Enterprises entered into an underwriting agreement (“June 2013 Underwriting Agreement”) with Credit Suisse Securities (USA) LLC, UBS Securities LLC, Jefferies LLC, Citigroup Global Markets Inc., Oppenheimer &amp; Co. Inc., Keefe, Bruyette &amp; Woods, Inc., Wunderlich Securities, Inc. and KeyBanc Capital Markets Inc. (the “Underwriters”), providing for the issuance and purchase of an aggregate of 1,600,000 depositary units representing limited partner interests in Icahn Enterprises at a price to the public of $75.54 per depositary unit. The depositary units were delivered to the unitholders on June 17, 2013. Pursuant to the June 2013 Underwriting Agreement, Icahn Enterprises also granted the Underwriters a 30-day option to purchase up to an additional aggregate 240,000 additional depositary units at the same public offering price, which expired unexercised.</w:t>
      </w:r>
    </w:p>
    <w:p>
      <w:pPr>
        <w:spacing w:after="0" w:line="70" w:lineRule="exact"/>
        <w:rPr>
          <w:sz w:val="20"/>
          <w:szCs w:val="20"/>
          <w:color w:val="auto"/>
        </w:rPr>
      </w:pPr>
    </w:p>
    <w:p>
      <w:pPr>
        <w:ind w:right="460" w:firstLine="378"/>
        <w:spacing w:after="0" w:line="279" w:lineRule="auto"/>
        <w:rPr>
          <w:sz w:val="20"/>
          <w:szCs w:val="20"/>
          <w:color w:val="auto"/>
        </w:rPr>
      </w:pPr>
      <w:r>
        <w:rPr>
          <w:rFonts w:ascii="Arial" w:cs="Arial" w:eastAsia="Arial" w:hAnsi="Arial"/>
          <w:sz w:val="17"/>
          <w:szCs w:val="17"/>
          <w:color w:val="auto"/>
        </w:rPr>
        <w:t>Aggregate proceeds from these equity offerings were $311 million during the nine months ended September 30, 2013 after deducting underwriting discounts, commissions and other offering related fees and expenses. Additionally, in connection with these equity offerings, our general partner made aggregate contribution of $6 million to Icahn Enterprises and Icahn Enterprises Holdings during the nine months ended September 30, 2013 in order to maintain its 1% general partner interest in each of Icahn Enterprises and Icahn Enterprises Holdings.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Offering</w:t>
      </w:r>
    </w:p>
    <w:p>
      <w:pPr>
        <w:spacing w:after="0" w:line="11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On August 1, 2013, we issued $500 million aggregate principal amount of Senior Notes due 2020 (the “2020 Notes”) in a private placement not registered under the Securities Act of 1933, as amended.</w:t>
      </w:r>
    </w:p>
    <w:p>
      <w:pPr>
        <w:spacing w:after="0" w:line="6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connection with the issuance of the 2020 Notes, pursuant to a certain registration rights agreement, dated August 1, 2013, on September 26, 2013, we filed an initial registration statement on Form S-4 with respect to the 2020 Notes for the sole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3" w:name="page74"/>
    <w:bookmarkEnd w:id="73"/>
    <w:p>
      <w:pPr>
        <w:ind w:right="60"/>
        <w:spacing w:after="0" w:line="277" w:lineRule="auto"/>
        <w:rPr>
          <w:sz w:val="20"/>
          <w:szCs w:val="20"/>
          <w:color w:val="auto"/>
        </w:rPr>
      </w:pPr>
      <w:r>
        <w:rPr>
          <w:rFonts w:ascii="Arial" w:cs="Arial" w:eastAsia="Arial" w:hAnsi="Arial"/>
          <w:sz w:val="18"/>
          <w:szCs w:val="18"/>
          <w:color w:val="auto"/>
        </w:rPr>
        <w:t>purpose of exchanging the unregistered 2020 Notes for registered Exchange Notes. The exchange offer registration statement on Form S-4 with respect to the 2020 Notes has not been declared effective by the SEC as of the date of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American Railcar Leasing, LLC</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September 20, 2013, American Entertainment Properties Corporation, a wholly owned subsidiary of ours and the parent company of AEP Rail Corp ("AEP"), entered into a transaction with American Railcar Leasing LLC ("ARL"), a company wholly owned and controlled by Carl C. Icahn. ARL is a wholly owned subsidiary of IRL Holding LLC ("IRL".) Prior to the closing of the transaction, which took place on October 2, 2013, AEP bought out the remainder of a management contract between AEP Leasing LLC ("AEP Leasing") and ARL for approximately $21 million, and ARL distributed $71 million in cash and approximately $171 million in notes receivable (including interest accrued ) to its parent company, IRL. Pursuant to a contribution agreement dated September 20, 2013 by and among AEP, IRL, ARL and IEP Energy Holding LLC (the “Contribution Agreement”), at the closing of the transaction, AEP contributed approximately $279 million in cash to ARL, and will, on January 1, 2014, contribute the fair market value of its 100% ownership interest in AEP Leasing to ARL, for aggregate consideration consisting of a 75% membership interest in the newly capitalized ARL ("New ARL"), which is expected to incur additional debt of approximately $381 million. Pursuant to the Contribution Agreement, the New ARL will distribute approximately $381 million in cash to IRL after such new debt is incurred.</w:t>
      </w:r>
    </w:p>
    <w:p>
      <w:pPr>
        <w:spacing w:after="0" w:line="70"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The New ARL is an entity under common control. Accordingly, the consolidated financial statements and footnotes will include the assets and operations of the New ARL for all periods presented effective in the fourth quarter of 2013. In addition, all earnings and capital transactions prior to our investment in the New ARL will be allocated to non-controlling interests.</w:t>
      </w:r>
    </w:p>
    <w:p>
      <w:pPr>
        <w:spacing w:after="0" w:line="73"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transaction was approved by a special committee of independent members of our board of directors. The special committee was advised by its own legal counsel and independent financial adviser with respect to the transaction. The special committee received an opinion from its financial adviser as to the fairness to us, from a financial point of view, of the consideration paid by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jc w:val="both"/>
        <w:ind w:right="80" w:firstLine="378"/>
        <w:spacing w:after="0" w:line="308" w:lineRule="auto"/>
        <w:rPr>
          <w:sz w:val="20"/>
          <w:szCs w:val="20"/>
          <w:color w:val="auto"/>
        </w:rPr>
      </w:pPr>
      <w:r>
        <w:rPr>
          <w:rFonts w:ascii="Arial" w:cs="Arial" w:eastAsia="Arial" w:hAnsi="Arial"/>
          <w:sz w:val="17"/>
          <w:szCs w:val="17"/>
          <w:color w:val="auto"/>
        </w:rPr>
        <w:t>The following table summarizes total revenues, net income (loss) and net income (loss) attributable to Icahn Enterprises and Icahn Enterprises Holdings for each of our reporting segments and the Holding Company for the three and nine months ended September 30, 2013 and 2012.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Net Income (Loss) Attributable to Icahn</w:t>
            </w:r>
          </w:p>
        </w:tc>
      </w:tr>
      <w:tr>
        <w:trPr>
          <w:trHeight w:val="203"/>
        </w:trPr>
        <w:tc>
          <w:tcPr>
            <w:tcW w:w="2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w w:val="92"/>
              </w:rPr>
              <w:t>Enterprises/</w:t>
            </w:r>
          </w:p>
        </w:tc>
        <w:tc>
          <w:tcPr>
            <w:tcW w:w="90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Revenues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Net Income (Loss)</w:t>
            </w:r>
          </w:p>
        </w:tc>
        <w:tc>
          <w:tcPr>
            <w:tcW w:w="120" w:type="dxa"/>
            <w:vAlign w:val="bottom"/>
          </w:tcPr>
          <w:p>
            <w:pPr>
              <w:spacing w:after="0"/>
              <w:rPr>
                <w:sz w:val="18"/>
                <w:szCs w:val="18"/>
                <w:color w:val="auto"/>
              </w:rPr>
            </w:pPr>
          </w:p>
        </w:tc>
        <w:tc>
          <w:tcPr>
            <w:tcW w:w="268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Icahn Enterprises Holdings</w:t>
            </w:r>
          </w:p>
        </w:tc>
      </w:tr>
      <w:tr>
        <w:trPr>
          <w:trHeight w:val="33"/>
        </w:trPr>
        <w:tc>
          <w:tcPr>
            <w:tcW w:w="2640" w:type="dxa"/>
            <w:vAlign w:val="bottom"/>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3020" w:type="dxa"/>
            <w:vAlign w:val="bottom"/>
            <w:gridSpan w:val="6"/>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8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2"/>
              </w:rPr>
              <w:t>Three Months Ended September 30,</w:t>
            </w:r>
          </w:p>
        </w:tc>
        <w:tc>
          <w:tcPr>
            <w:tcW w:w="120" w:type="dxa"/>
            <w:vAlign w:val="bottom"/>
          </w:tcPr>
          <w:p>
            <w:pPr>
              <w:spacing w:after="0"/>
              <w:rPr>
                <w:sz w:val="18"/>
                <w:szCs w:val="18"/>
                <w:color w:val="auto"/>
              </w:rPr>
            </w:pPr>
          </w:p>
        </w:tc>
        <w:tc>
          <w:tcPr>
            <w:tcW w:w="268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Three Months Ended September 30,</w:t>
            </w:r>
          </w:p>
        </w:tc>
      </w:tr>
      <w:tr>
        <w:trPr>
          <w:trHeight w:val="3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4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3"/>
          </w:tcPr>
          <w:p>
            <w:pPr>
              <w:jc w:val="right"/>
              <w:ind w:right="59"/>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1,271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1,710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2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Energy</w:t>
            </w:r>
            <w:r>
              <w:rPr>
                <w:rFonts w:ascii="Arial" w:cs="Arial" w:eastAsia="Arial" w:hAnsi="Arial"/>
                <w:sz w:val="21"/>
                <w:szCs w:val="21"/>
                <w:color w:val="auto"/>
                <w:vertAlign w:val="superscript"/>
              </w:rPr>
              <w:t>(1)</w:t>
            </w: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2,056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Metals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2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Gaming</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2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2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Holding Company</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2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5,721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33"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Net Income (Loss) Attributable to Icahn</w:t>
            </w:r>
          </w:p>
        </w:tc>
      </w:t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92"/>
              </w:rPr>
              <w:t>Enterprises/</w:t>
            </w:r>
          </w:p>
        </w:tc>
        <w:tc>
          <w:tcPr>
            <w:tcW w:w="90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center"/>
              <w:ind w:left="759"/>
              <w:spacing w:after="0"/>
              <w:rPr>
                <w:sz w:val="20"/>
                <w:szCs w:val="20"/>
                <w:color w:val="auto"/>
              </w:rPr>
            </w:pPr>
            <w:r>
              <w:rPr>
                <w:rFonts w:ascii="Arial" w:cs="Arial" w:eastAsia="Arial" w:hAnsi="Arial"/>
                <w:sz w:val="16"/>
                <w:szCs w:val="16"/>
                <w:b w:val="1"/>
                <w:bCs w:val="1"/>
                <w:color w:val="auto"/>
                <w:w w:val="87"/>
              </w:rPr>
              <w:t>Revenues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Net Income (Loss)</w:t>
            </w:r>
          </w:p>
        </w:tc>
        <w:tc>
          <w:tcPr>
            <w:tcW w:w="140" w:type="dxa"/>
            <w:vAlign w:val="bottom"/>
          </w:tcPr>
          <w:p>
            <w:pPr>
              <w:spacing w:after="0"/>
              <w:rPr>
                <w:sz w:val="18"/>
                <w:szCs w:val="18"/>
                <w:color w:val="auto"/>
              </w:rPr>
            </w:pPr>
          </w:p>
        </w:tc>
        <w:tc>
          <w:tcPr>
            <w:tcW w:w="266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1"/>
              </w:rPr>
              <w:t>Icahn Enterprises Holdings</w:t>
            </w: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Nine Months Ended September 30,</w:t>
            </w:r>
          </w:p>
        </w:tc>
        <w:tc>
          <w:tcPr>
            <w:tcW w:w="180" w:type="dxa"/>
            <w:vAlign w:val="bottom"/>
          </w:tcPr>
          <w:p>
            <w:pPr>
              <w:spacing w:after="0"/>
              <w:rPr>
                <w:sz w:val="18"/>
                <w:szCs w:val="18"/>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Nine Months Ended September 30,</w:t>
            </w:r>
          </w:p>
        </w:tc>
        <w:tc>
          <w:tcPr>
            <w:tcW w:w="140" w:type="dxa"/>
            <w:vAlign w:val="bottom"/>
          </w:tcPr>
          <w:p>
            <w:pPr>
              <w:spacing w:after="0"/>
              <w:rPr>
                <w:sz w:val="18"/>
                <w:szCs w:val="18"/>
                <w:color w:val="auto"/>
              </w:rPr>
            </w:pPr>
          </w:p>
        </w:tc>
        <w:tc>
          <w:tcPr>
            <w:tcW w:w="266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4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9"/>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5,177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Energy</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Metals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Gaming</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Holding Company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170"/>
        <w:spacing w:after="0"/>
        <w:tabs>
          <w:tab w:leader="none" w:pos="340" w:val="left"/>
        </w:tabs>
        <w:numPr>
          <w:ilvl w:val="0"/>
          <w:numId w:val="18"/>
        </w:numPr>
        <w:rPr>
          <w:rFonts w:ascii="Arial" w:cs="Arial" w:eastAsia="Arial" w:hAnsi="Arial"/>
          <w:sz w:val="9"/>
          <w:szCs w:val="9"/>
          <w:color w:val="auto"/>
        </w:rPr>
      </w:pPr>
      <w:r>
        <w:rPr>
          <w:rFonts w:ascii="Arial" w:cs="Arial" w:eastAsia="Arial" w:hAnsi="Arial"/>
          <w:sz w:val="14"/>
          <w:szCs w:val="14"/>
          <w:color w:val="auto"/>
        </w:rPr>
        <w:t>We consolidated CVR effective May 4, 2012.</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378"/>
        <w:spacing w:after="0" w:line="286" w:lineRule="auto"/>
        <w:rPr>
          <w:sz w:val="20"/>
          <w:szCs w:val="20"/>
          <w:color w:val="auto"/>
        </w:rPr>
      </w:pPr>
      <w:r>
        <w:rPr>
          <w:rFonts w:ascii="Arial" w:cs="Arial" w:eastAsia="Arial" w:hAnsi="Arial"/>
          <w:sz w:val="17"/>
          <w:szCs w:val="17"/>
          <w:color w:val="auto"/>
        </w:rPr>
        <w:t>Our operating businesses are managed on a decentralized basis. Due to the structure of our business, we discuss the results of operations below by individual reporting segments. Refer to Note 2, “Operating Units,” to the consolidated financial statements for a description of each of our operating segments and Note 13, "Segment Reporting," for a reconciliation of each of our reporting segment's results of operations to our consolidated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60" w:firstLine="378"/>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jc w:val="both"/>
        <w:ind w:right="340" w:firstLine="378"/>
        <w:spacing w:after="0" w:line="264"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September 30, 2013 and December 31, 2012, the total fair market value of investments in the Investment Funds made by Mr. Icahn and his affiliates was approximately $4.5 billion and $3.5 billion,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740" w:firstLine="378"/>
        <w:spacing w:after="0" w:line="277" w:lineRule="auto"/>
        <w:rPr>
          <w:sz w:val="20"/>
          <w:szCs w:val="20"/>
          <w:color w:val="auto"/>
        </w:rPr>
      </w:pPr>
      <w:r>
        <w:rPr>
          <w:rFonts w:ascii="Arial" w:cs="Arial" w:eastAsia="Arial" w:hAnsi="Arial"/>
          <w:sz w:val="18"/>
          <w:szCs w:val="18"/>
          <w:color w:val="auto"/>
        </w:rPr>
        <w:t>As of September 30, 2013 and December 31, 2012, we had investments with a fair market value of approximately $3.6 billion and $2.4 billion, respectively, in the Investment Funds.</w:t>
      </w:r>
    </w:p>
    <w:p>
      <w:pPr>
        <w:spacing w:after="0" w:line="62" w:lineRule="exact"/>
        <w:rPr>
          <w:sz w:val="20"/>
          <w:szCs w:val="20"/>
          <w:color w:val="auto"/>
        </w:rPr>
      </w:pPr>
    </w:p>
    <w:p>
      <w:pPr>
        <w:jc w:val="both"/>
        <w:ind w:right="500" w:firstLine="378"/>
        <w:spacing w:after="0" w:line="264" w:lineRule="auto"/>
        <w:rPr>
          <w:sz w:val="20"/>
          <w:szCs w:val="20"/>
          <w:color w:val="auto"/>
        </w:rPr>
      </w:pPr>
      <w:r>
        <w:rPr>
          <w:rFonts w:ascii="Arial" w:cs="Arial" w:eastAsia="Arial" w:hAnsi="Arial"/>
          <w:sz w:val="18"/>
          <w:szCs w:val="18"/>
          <w:color w:val="auto"/>
        </w:rPr>
        <w:t>Our share of the Investment Funds' net profit (loss) through our interests in the Investment Funds was $529 million and $(27) million for the three months ended September 30, 2013 and 2012, respectively, and $690 million and $121 million for the nine months ended September 30, 2013 and 2012,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3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34290</wp:posOffset>
            </wp:positionV>
            <wp:extent cx="40989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300" w:type="dxa"/>
            <w:vAlign w:val="bottom"/>
            <w:gridSpan w:val="5"/>
          </w:tcPr>
          <w:p>
            <w:pPr>
              <w:ind w:left="220"/>
              <w:spacing w:after="0"/>
              <w:rPr>
                <w:sz w:val="20"/>
                <w:szCs w:val="20"/>
                <w:color w:val="auto"/>
              </w:rPr>
            </w:pPr>
            <w:r>
              <w:rPr>
                <w:rFonts w:ascii="Arial" w:cs="Arial" w:eastAsia="Arial" w:hAnsi="Arial"/>
                <w:sz w:val="18"/>
                <w:szCs w:val="18"/>
                <w:b w:val="1"/>
                <w:bCs w:val="1"/>
                <w:color w:val="auto"/>
                <w:w w:val="99"/>
              </w:rPr>
              <w:t>Three Months Ended September 30,</w:t>
            </w:r>
          </w:p>
        </w:tc>
        <w:tc>
          <w:tcPr>
            <w:tcW w:w="31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7"/>
        </w:trPr>
        <w:tc>
          <w:tcPr>
            <w:tcW w:w="4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r>
      <w:tr>
        <w:trPr>
          <w:trHeight w:val="27"/>
        </w:trPr>
        <w:tc>
          <w:tcPr>
            <w:tcW w:w="4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40" w:type="dxa"/>
            <w:vAlign w:val="bottom"/>
            <w:gridSpan w:val="2"/>
            <w:shd w:val="clear" w:color="auto" w:fill="CCEEFF"/>
          </w:tcPr>
          <w:p>
            <w:pPr>
              <w:jc w:val="right"/>
              <w:ind w:right="4530"/>
              <w:spacing w:after="0"/>
              <w:rPr>
                <w:sz w:val="20"/>
                <w:szCs w:val="20"/>
                <w:color w:val="auto"/>
              </w:rPr>
            </w:pPr>
            <w:r>
              <w:rPr>
                <w:rFonts w:ascii="Arial" w:cs="Arial" w:eastAsia="Arial" w:hAnsi="Arial"/>
                <w:sz w:val="18"/>
                <w:szCs w:val="18"/>
                <w:color w:val="auto"/>
                <w:w w:val="90"/>
              </w:rPr>
              <w:t>Investment Funds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9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The Investment Funds' aggregate gross return was 18.4% for the three months ended September 30, 2013. During the third quarter of 2013, the Investment Funds' performance was driven by gains in long equity positions, primarily in a few of the largest core holdings. These gains were partially offset by the Investment Funds' short equity exposure, including broad market hedges.</w:t>
      </w:r>
    </w:p>
    <w:p>
      <w:pPr>
        <w:spacing w:after="0" w:line="73"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The Investment Funds' aggregate gross return was -1.2% for the three months ended September 30, 2012. Losses were primarily due to the Investment Funds' defensive short positions, partially offset by gains in certain core holdings.</w:t>
      </w:r>
    </w:p>
    <w:p>
      <w:pPr>
        <w:spacing w:after="0" w:line="62" w:lineRule="exact"/>
        <w:rPr>
          <w:sz w:val="20"/>
          <w:szCs w:val="20"/>
          <w:color w:val="auto"/>
        </w:rPr>
      </w:pPr>
    </w:p>
    <w:p>
      <w:pPr>
        <w:jc w:val="both"/>
        <w:ind w:right="360" w:firstLine="378"/>
        <w:spacing w:after="0" w:line="312" w:lineRule="auto"/>
        <w:rPr>
          <w:sz w:val="20"/>
          <w:szCs w:val="20"/>
          <w:color w:val="auto"/>
        </w:rPr>
      </w:pPr>
      <w:r>
        <w:rPr>
          <w:rFonts w:ascii="Arial" w:cs="Arial" w:eastAsia="Arial" w:hAnsi="Arial"/>
          <w:sz w:val="16"/>
          <w:szCs w:val="16"/>
          <w:color w:val="auto"/>
        </w:rPr>
        <w:t>The Investment Funds' aggregate gross return was 26.3% for the nine months ended September 30, 2013. During the first nine months of 2013, the Investment Funds' performance was driven by gains in long equity positions, primarily in a few of the largest core holdings. The Investment Funds' short equity exposure, including broad market hedges, was a negative contributor to performance as equity markets rallied in the first nine months of 2013.</w:t>
      </w:r>
    </w:p>
    <w:p>
      <w:pPr>
        <w:spacing w:after="0" w:line="39"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The Investment Funds' aggregate gross return was 5.0% for the nine months ended September 30, 2012. Gains were primarily due to the Investment Funds' long exposure to the equity markets which were driven by certain core holdings. These gains were offset in part by the Investment Funds' short equity exposure, including broad market hedges.</w:t>
      </w:r>
    </w:p>
    <w:p>
      <w:pPr>
        <w:spacing w:after="0" w:line="73"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From inception in November 2004 through September 30, 2013, the Investment Funds' gross return was 245%, representing an annualized rate of return of 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Automotive</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86"/>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1,459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4,327</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378"/>
        <w:spacing w:after="0" w:line="308" w:lineRule="auto"/>
        <w:rPr>
          <w:sz w:val="20"/>
          <w:szCs w:val="20"/>
          <w:color w:val="auto"/>
        </w:rPr>
      </w:pPr>
      <w:r>
        <w:rPr>
          <w:rFonts w:ascii="Arial" w:cs="Arial" w:eastAsia="Arial" w:hAnsi="Arial"/>
          <w:sz w:val="17"/>
          <w:szCs w:val="17"/>
          <w:color w:val="auto"/>
        </w:rPr>
        <w:t xml:space="preserve">Federal-Mogul's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38"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Federal-Mogul is a leading global supplier of technology and innovation in vehicle and industrial products for fuel economy, emissions reduction, alternative energies, environment and safety systems. Federal-Mogul serves the world's foremost original equipment manufacturers (each an “OEM”) and servicers (each an “OES”) of automotive, light, medium and heavy-duty commercial vehicles, off-road, agricultural, marine, rail, aerospace, power generation and industrial equipment, as well as the worldwide aftermarket. Federal-Mogul seeks to participate in both of these markets by leveraging its original equipment product engineering and development capability, manufacturing know-how, and expertise in managing a broad and deep range of replacement parts to service the aftermarket. Federal-Mogul believes that it is uniquely positioned to effectively manage the life cycle of a broad range of products to a diverse customer base.</w:t>
      </w:r>
    </w:p>
    <w:p>
      <w:pPr>
        <w:spacing w:after="0" w:line="81"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Geographically, Federal-Mogul derived 37% of its net sales in the United States and 63% internationally during the nine months ended September 30, 2013. Federal-Mogul has operations in established markets including France, Germany, Italy, Japan, Spain, Sweden, the United Kingdom and the United States, and developing markets including Argentina, Brazil, China, Czech Republic, Hungary, India, Korea, Mexico, Poland, Russia, South Africa, Thailand, and Turkey. The attendant risks of Federal-Mogul's international operations are primarily related to currency fluctuations, changes in local economic and political conditions, and changes in laws and regulations.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6" w:name="page77"/>
    <w:bookmarkEnd w:id="76"/>
    <w:p>
      <w:pPr>
        <w:ind w:right="20" w:firstLine="378"/>
        <w:spacing w:after="0" w:line="257" w:lineRule="auto"/>
        <w:rPr>
          <w:sz w:val="20"/>
          <w:szCs w:val="20"/>
          <w:color w:val="auto"/>
        </w:rPr>
      </w:pPr>
      <w:r>
        <w:rPr>
          <w:rFonts w:ascii="Arial" w:cs="Arial" w:eastAsia="Arial" w:hAnsi="Arial"/>
          <w:sz w:val="18"/>
          <w:szCs w:val="18"/>
          <w:color w:val="auto"/>
        </w:rPr>
        <w:t>Federal-Mogul operates in an extremely competitive industry, driven by global vehicle production volumes and part replacement trends. Business is typically awarded to the supplier offering the most favorable combination of cost, quality, technology and service. Customers continue to require periodic cost reductions that require Federal-Mogul to continually assess, redefine and improve its operations, products, and manufacturing capabilities to maintain and improve profitability. Management continues to develop and execute initiatives to meet the challenges of the industry and to achieve its strategy for sustainable global profitable growth.</w:t>
      </w:r>
    </w:p>
    <w:p>
      <w:pPr>
        <w:spacing w:after="0" w:line="80" w:lineRule="exact"/>
        <w:rPr>
          <w:sz w:val="20"/>
          <w:szCs w:val="20"/>
          <w:color w:val="auto"/>
        </w:rPr>
      </w:pPr>
    </w:p>
    <w:p>
      <w:pPr>
        <w:ind w:right="60" w:firstLine="378"/>
        <w:spacing w:after="0" w:line="271" w:lineRule="auto"/>
        <w:rPr>
          <w:sz w:val="20"/>
          <w:szCs w:val="20"/>
          <w:color w:val="auto"/>
        </w:rPr>
      </w:pPr>
      <w:r>
        <w:rPr>
          <w:rFonts w:ascii="Arial" w:cs="Arial" w:eastAsia="Arial" w:hAnsi="Arial"/>
          <w:sz w:val="17"/>
          <w:szCs w:val="17"/>
          <w:color w:val="auto"/>
        </w:rPr>
        <w:t>Effective September 1, 2012, Federal-Mogul began operating as two unique end-customer focused business units. The Powertrain (“PT”) business unit focuses on original equipment products for automotive, heavy duty and industrial applications. The Vehicle Components Solutions (“VCS”) business unit sells and distributes a broad portfolio of products in the global aftermarket, while also serving original equipment manufacturers with products including braking, chassis, wipers and other vehicle components. The new organizational model is designed to allow for a strong product line focus benefiting both original equipment and aftermarket customers to enable the global Federal-Mogul teams to be responsive to customers' needs for superior products and to promote greater identification with Federal-Mogul premium brands. The division of the global Federal-Mogul business into two operating business units is expected to enhance management focus to capitalize on opportunities for organic or acquisition growth, profit improvement, resource utilization and business model optimization in line with the unique requirements of the two different customer bases.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2013 and 2012</w:t>
      </w:r>
    </w:p>
    <w:p>
      <w:pPr>
        <w:spacing w:after="0" w:line="117"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Net sales for the three months ended September 30, 2013 as compared to the comparable prior year period increased by $111 million (7%). The impact of foreign currency increased sales by $13 million, and the constant dollar sales increase was $98 million. This constant dollar sales growth is comprised of an increase in sales in Europe of $55 million (8%), including sales directly related to the acquisition of the spark plug business from BorgWarner, Inc. (“BWA”) of $13 million and sales from the European distribution agreement for ignition products of $27 million, an increase in sales in North America of $29 million (4%), and an increase in sales in the rest of the world ("ROW") of $14 million (7%).</w:t>
      </w:r>
    </w:p>
    <w:p>
      <w:pPr>
        <w:spacing w:after="0" w:line="6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Automotive segment's constant dollar sales growth of $98 million is primarily driven by an increase in sales in the PT business unit of $77 million (9%). This increase is driven by additional demand for the PT business unit's products in the European market where sales increased by $14 million (3%). This is compared to a decline in European light vehicle and commercial vehicle production of 1% and 7%, respectively. In North America, sales increased by $42 million (14%) compared to an increase in both light vehicle and commercial vehicle production of 1% and 5%, respectively. In ROW, including Asia, as PT business unit's presence in the emerging market light vehicle market grew, sales increased by $21 million (15%). When taking into account this regional and market mix of PT business unit's sales, sales therefore grew in excess of underlying market demand.</w:t>
      </w:r>
    </w:p>
    <w:p>
      <w:pPr>
        <w:spacing w:after="0" w:line="70"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Cost of goods sold for the three months ended September 30, 2013 as compared to the comparable prior year period increased by $69 million (5%). The increase in materials, labor and overhead as a direct result of the increase in sales volumes was $100 million and currency impacts of $10 million, offset in part by savings in material costs of $20 million and from acquisitions/dispositions of $19 million.</w:t>
      </w:r>
    </w:p>
    <w:p>
      <w:pPr>
        <w:spacing w:after="0" w:line="73" w:lineRule="exact"/>
        <w:rPr>
          <w:sz w:val="20"/>
          <w:szCs w:val="20"/>
          <w:color w:val="auto"/>
        </w:rPr>
      </w:pPr>
    </w:p>
    <w:p>
      <w:pPr>
        <w:ind w:right="220" w:firstLine="378"/>
        <w:spacing w:after="0" w:line="302" w:lineRule="auto"/>
        <w:rPr>
          <w:sz w:val="20"/>
          <w:szCs w:val="20"/>
          <w:color w:val="auto"/>
        </w:rPr>
      </w:pPr>
      <w:r>
        <w:rPr>
          <w:rFonts w:ascii="Arial" w:cs="Arial" w:eastAsia="Arial" w:hAnsi="Arial"/>
          <w:sz w:val="16"/>
          <w:szCs w:val="16"/>
          <w:color w:val="auto"/>
        </w:rPr>
        <w:t>Gross margin for the three months ended September 30, 2013 as compared to the comparable prior year period increased by $42 million (20%). Gross margin was 15% and 13% of net sales for the three months ended September 30, 2013 and 2012, respectively. The favorable impact on margins due to the volume increase was $21 million. Productivity and acquisitions/dispositions increased gross margin by $4 million each. The favorable impact on margins from materials and services sourcing savings was $20 million, partially offset by $8 million of unfavorable customer pricing.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2013 and 2012</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Net sales for the nine months ended September 30, 2013 as compared to the comparable prior year period increased by $142 million (3%). The impact of foreign currency increased sales by $13 million, and the constant dollar sales increase was $129 million. This constant dollar sales growth is comprised of an increase in sales in Europe of $88 million (4%), including sales directly related to the acquisition of the spark plug business from BorgWarner, Inc. of $43 million and sales from the European distribution agreement for ignition products of $82 million, an increase in sales in North America of $12 million (1%)and an increase in sales in ROW of $29 million (5%).</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constant dollar sales increase was comprised of PT business unit increases of $90 million and VCS business increases of $39 million.</w:t>
      </w:r>
    </w:p>
    <w:p>
      <w:pPr>
        <w:spacing w:after="0" w:line="1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Given the PT business unit’s weighted market presence in the light vehicle, commercial vehicle and industrial markets and the year-over-year changes in production rates for those markets, the expected change in PT business unit's sales would indicate a decline of 1%. However, the PT business unit's sales increased by 3%, reflecting growth in excess of the underlying market. This was driven by an increase in sales in North America of $64 million (7%), an increase in sales in ROW of $46 million (10%) and a decrease in sales in Europe of $20 million (1%).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7" w:name="page78"/>
    <w:bookmarkEnd w:id="77"/>
    <w:p>
      <w:pPr>
        <w:jc w:val="both"/>
        <w:ind w:firstLine="405"/>
        <w:spacing w:after="0" w:line="259" w:lineRule="auto"/>
        <w:rPr>
          <w:sz w:val="20"/>
          <w:szCs w:val="20"/>
          <w:color w:val="auto"/>
        </w:rPr>
      </w:pPr>
      <w:r>
        <w:rPr>
          <w:rFonts w:ascii="Arial" w:cs="Arial" w:eastAsia="Arial" w:hAnsi="Arial"/>
          <w:sz w:val="18"/>
          <w:szCs w:val="18"/>
          <w:color w:val="auto"/>
        </w:rPr>
        <w:t>In the VCS business unit, constant dollar sales increased by $39 million including the impact of sales from the European distribution agreement for ignition products of $82 million, and therefore sales in Europe increased by 15% . This was partly offset by a decrease in sales in ROW of 11% and a decrease in North America of 4%. This reflects the cessation of selected non-strategic business contracts as well as a softening in the export business, mainly into Venezuela as a result of a tightening in exchange rate control in the country.</w:t>
      </w:r>
    </w:p>
    <w:p>
      <w:pPr>
        <w:spacing w:after="0" w:line="79" w:lineRule="exact"/>
        <w:rPr>
          <w:sz w:val="20"/>
          <w:szCs w:val="20"/>
          <w:color w:val="auto"/>
        </w:rPr>
      </w:pPr>
    </w:p>
    <w:p>
      <w:pPr>
        <w:ind w:right="40" w:firstLine="378"/>
        <w:spacing w:after="0" w:line="312" w:lineRule="auto"/>
        <w:rPr>
          <w:sz w:val="20"/>
          <w:szCs w:val="20"/>
          <w:color w:val="auto"/>
        </w:rPr>
      </w:pPr>
      <w:r>
        <w:rPr>
          <w:rFonts w:ascii="Arial" w:cs="Arial" w:eastAsia="Arial" w:hAnsi="Arial"/>
          <w:sz w:val="16"/>
          <w:szCs w:val="16"/>
          <w:color w:val="auto"/>
        </w:rPr>
        <w:t>Cost of goods sold for the nine months ended September 30, 2013 as compared to the comparable prior year period increased by $103 million (2%). The increase in materials, labor and overheads as a direct result of the increase in sales volumes/mix was $155 million. Materials and sourcing savings of $55 million and activity from acquisitions/dispositions of $22 million were partly offset by additional costs of $3 million and currency movements of $18 million.</w:t>
      </w:r>
    </w:p>
    <w:p>
      <w:pPr>
        <w:spacing w:after="0" w:line="39" w:lineRule="exact"/>
        <w:rPr>
          <w:sz w:val="20"/>
          <w:szCs w:val="20"/>
          <w:color w:val="auto"/>
        </w:rPr>
      </w:pPr>
    </w:p>
    <w:p>
      <w:pPr>
        <w:ind w:right="180" w:firstLine="378"/>
        <w:spacing w:after="0" w:line="276" w:lineRule="auto"/>
        <w:rPr>
          <w:sz w:val="20"/>
          <w:szCs w:val="20"/>
          <w:color w:val="auto"/>
        </w:rPr>
      </w:pPr>
      <w:r>
        <w:rPr>
          <w:rFonts w:ascii="Arial" w:cs="Arial" w:eastAsia="Arial" w:hAnsi="Arial"/>
          <w:sz w:val="17"/>
          <w:szCs w:val="17"/>
          <w:color w:val="auto"/>
        </w:rPr>
        <w:t>Gross margin for the nine months ended September 30, 2013 as compared to the comparable prior year period increased by $39 million (5%). Gross margin was 15% and 15% of net sales for the nine months ended September 30, 2013 and 2012, respectively. The increase in gross margin was primarily driven by materials and services sourcing savings of $55 million as well as an increase from acquisitions/dispositions of $11 million and reduced pension of $5 million. This was offset by a negative sales volume/mix gross margin impact of $4 million, $11 million of unfavorable customer pricing, $9 million of increased depreciation, $5 million of currency movements and $3 million of unfavorable productivity.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center"/>
              <w:ind w:right="630"/>
              <w:spacing w:after="0"/>
              <w:rPr>
                <w:sz w:val="20"/>
                <w:szCs w:val="20"/>
                <w:color w:val="auto"/>
              </w:rPr>
            </w:pPr>
            <w:r>
              <w:rPr>
                <w:rFonts w:ascii="Arial" w:cs="Arial" w:eastAsia="Arial" w:hAnsi="Arial"/>
                <w:sz w:val="18"/>
                <w:szCs w:val="18"/>
                <w:b w:val="1"/>
                <w:bCs w:val="1"/>
                <w:i w:val="1"/>
                <w:iCs w:val="1"/>
                <w:color w:val="auto"/>
                <w:w w:val="88"/>
              </w:rPr>
              <w:t>Energy</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86"/>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2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91"/>
              </w:rPr>
              <w:t>Three Months Ended September 30, 2013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rPr>
              <w:t>Three Months Ended September 30, 2012</w:t>
            </w:r>
          </w:p>
        </w:tc>
        <w:tc>
          <w:tcPr>
            <w:tcW w:w="560" w:type="dxa"/>
            <w:vAlign w:val="bottom"/>
          </w:tcPr>
          <w:p>
            <w:pPr>
              <w:spacing w:after="0"/>
              <w:rPr>
                <w:sz w:val="24"/>
                <w:szCs w:val="24"/>
                <w:color w:val="auto"/>
              </w:rPr>
            </w:pPr>
          </w:p>
        </w:tc>
      </w:tr>
      <w:tr>
        <w:trPr>
          <w:trHeight w:val="27"/>
        </w:trPr>
        <w:tc>
          <w:tcPr>
            <w:tcW w:w="1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Petroleum</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Fertilizer</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Petroleum</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Fertilizer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20"/>
                <w:szCs w:val="20"/>
                <w:color w:val="auto"/>
              </w:rPr>
            </w:pPr>
          </w:p>
        </w:tc>
      </w:tr>
      <w:tr>
        <w:trPr>
          <w:trHeight w:val="27"/>
        </w:trPr>
        <w:tc>
          <w:tcPr>
            <w:tcW w:w="1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1,977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2,410</w:t>
            </w: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Cost of goods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1260" w:type="dxa"/>
            <w:vAlign w:val="bottom"/>
          </w:tcPr>
          <w:p>
            <w:pPr>
              <w:jc w:val="center"/>
              <w:ind w:right="630"/>
              <w:spacing w:after="0"/>
              <w:rPr>
                <w:sz w:val="20"/>
                <w:szCs w:val="20"/>
                <w:color w:val="auto"/>
              </w:rPr>
            </w:pPr>
            <w:r>
              <w:rPr>
                <w:rFonts w:ascii="Arial" w:cs="Arial" w:eastAsia="Arial" w:hAnsi="Arial"/>
                <w:sz w:val="18"/>
                <w:szCs w:val="18"/>
                <w:color w:val="auto"/>
                <w:w w:val="90"/>
              </w:rPr>
              <w:t>sold</w:t>
            </w:r>
          </w:p>
        </w:tc>
        <w:tc>
          <w:tcPr>
            <w:tcW w:w="2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1,919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1,857</w:t>
            </w:r>
          </w:p>
        </w:tc>
      </w:tr>
      <w:tr>
        <w:trPr>
          <w:trHeight w:val="27"/>
        </w:trPr>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r>
      <w:tr>
        <w:trPr>
          <w:trHeight w:val="20"/>
        </w:trPr>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Nine Months Ended September 30, 2013</w:t>
            </w:r>
          </w:p>
        </w:tc>
        <w:tc>
          <w:tcPr>
            <w:tcW w:w="340" w:type="dxa"/>
            <w:vAlign w:val="bottom"/>
          </w:tcPr>
          <w:p>
            <w:pPr>
              <w:spacing w:after="0"/>
              <w:rPr>
                <w:sz w:val="20"/>
                <w:szCs w:val="20"/>
                <w:color w:val="auto"/>
              </w:rPr>
            </w:pPr>
          </w:p>
        </w:tc>
        <w:tc>
          <w:tcPr>
            <w:tcW w:w="4100" w:type="dxa"/>
            <w:vAlign w:val="bottom"/>
            <w:gridSpan w:val="6"/>
          </w:tcPr>
          <w:p>
            <w:pPr>
              <w:jc w:val="right"/>
              <w:spacing w:after="0"/>
              <w:rPr>
                <w:sz w:val="20"/>
                <w:szCs w:val="20"/>
                <w:color w:val="auto"/>
              </w:rPr>
            </w:pPr>
            <w:r>
              <w:rPr>
                <w:rFonts w:ascii="Arial" w:cs="Arial" w:eastAsia="Arial" w:hAnsi="Arial"/>
                <w:sz w:val="18"/>
                <w:szCs w:val="18"/>
                <w:b w:val="1"/>
                <w:bCs w:val="1"/>
                <w:color w:val="auto"/>
                <w:w w:val="98"/>
              </w:rPr>
              <w:t>Period May 5, 2012 through September 30, 2012</w:t>
            </w:r>
          </w:p>
        </w:tc>
        <w:tc>
          <w:tcPr>
            <w:tcW w:w="560" w:type="dxa"/>
            <w:vAlign w:val="bottom"/>
          </w:tcPr>
          <w:p>
            <w:pPr>
              <w:spacing w:after="0"/>
              <w:rPr>
                <w:sz w:val="20"/>
                <w:szCs w:val="20"/>
                <w:color w:val="auto"/>
              </w:rPr>
            </w:pPr>
          </w:p>
        </w:tc>
      </w:tr>
      <w:tr>
        <w:trPr>
          <w:trHeight w:val="27"/>
        </w:trPr>
        <w:tc>
          <w:tcPr>
            <w:tcW w:w="1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Petroleum</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Fertilizer</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Petroleum</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Fertilizer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20"/>
                <w:szCs w:val="20"/>
                <w:color w:val="auto"/>
              </w:rPr>
            </w:pPr>
          </w:p>
        </w:tc>
      </w:tr>
      <w:tr>
        <w:trPr>
          <w:trHeight w:val="27"/>
        </w:trPr>
        <w:tc>
          <w:tcPr>
            <w:tcW w:w="1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3,822</w:t>
            </w: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Cost of goods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1260" w:type="dxa"/>
            <w:vAlign w:val="bottom"/>
          </w:tcPr>
          <w:p>
            <w:pPr>
              <w:ind w:left="120"/>
              <w:spacing w:after="0"/>
              <w:rPr>
                <w:sz w:val="20"/>
                <w:szCs w:val="20"/>
                <w:color w:val="auto"/>
              </w:rPr>
            </w:pPr>
            <w:r>
              <w:rPr>
                <w:rFonts w:ascii="Arial" w:cs="Arial" w:eastAsia="Arial" w:hAnsi="Arial"/>
                <w:sz w:val="18"/>
                <w:szCs w:val="18"/>
                <w:color w:val="auto"/>
              </w:rPr>
              <w:t>sold</w:t>
            </w:r>
          </w:p>
        </w:tc>
        <w:tc>
          <w:tcPr>
            <w:tcW w:w="2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3,118</w:t>
            </w:r>
          </w:p>
        </w:tc>
      </w:tr>
      <w:tr>
        <w:trPr>
          <w:trHeight w:val="27"/>
        </w:trPr>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r>
      <w:tr>
        <w:trPr>
          <w:trHeight w:val="20"/>
        </w:trPr>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78"/>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4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78" w:name="page79"/>
    <w:bookmarkEnd w:id="78"/>
    <w:p>
      <w:pPr>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Period May 5, 2012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18"/>
                <w:szCs w:val="18"/>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through September 30,</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2013</w:t>
            </w:r>
          </w:p>
        </w:tc>
        <w:tc>
          <w:tcPr>
            <w:tcW w:w="20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2012</w:t>
            </w:r>
          </w:p>
        </w:tc>
        <w:tc>
          <w:tcPr>
            <w:tcW w:w="20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2013</w:t>
            </w:r>
          </w:p>
        </w:tc>
        <w:tc>
          <w:tcPr>
            <w:tcW w:w="160" w:type="dxa"/>
            <w:vAlign w:val="bottom"/>
          </w:tcPr>
          <w:p>
            <w:pPr>
              <w:spacing w:after="0"/>
              <w:rPr>
                <w:sz w:val="20"/>
                <w:szCs w:val="20"/>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40" w:type="dxa"/>
            <w:vAlign w:val="bottom"/>
            <w:gridSpan w:val="5"/>
          </w:tcPr>
          <w:p>
            <w:pPr>
              <w:ind w:left="980"/>
              <w:spacing w:after="0"/>
              <w:rPr>
                <w:sz w:val="20"/>
                <w:szCs w:val="20"/>
                <w:color w:val="auto"/>
              </w:rPr>
            </w:pPr>
            <w:r>
              <w:rPr>
                <w:rFonts w:ascii="Arial" w:cs="Arial" w:eastAsia="Arial" w:hAnsi="Arial"/>
                <w:sz w:val="14"/>
                <w:szCs w:val="14"/>
                <w:color w:val="auto"/>
              </w:rPr>
              <w:t>(in millions, except barrels metrics)</w:t>
            </w: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Add back:</w:t>
            </w: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2420" w:type="dxa"/>
            <w:vAlign w:val="bottom"/>
          </w:tcPr>
          <w:p>
            <w:pPr>
              <w:ind w:left="20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inventory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Refining margin</w:t>
            </w:r>
          </w:p>
        </w:tc>
        <w:tc>
          <w:tcPr>
            <w:tcW w:w="2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FIFO impacts (favorable)</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unfavorable</w:t>
            </w:r>
          </w:p>
        </w:tc>
        <w:tc>
          <w:tcPr>
            <w:tcW w:w="2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rPr>
              <w:t>Refining margin adjusted for</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FIFO impacts</w:t>
            </w:r>
          </w:p>
        </w:tc>
        <w:tc>
          <w:tcPr>
            <w:tcW w:w="200" w:type="dxa"/>
            <w:vAlign w:val="bottom"/>
            <w:tcBorders>
              <w:bottom w:val="single" w:sz="8" w:color="auto"/>
            </w:tcBorders>
            <w:vMerge w:val="continue"/>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Gross margin per barrel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per barrel</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Refining margin per barrel</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adjusted for FIFO impacts</w:t>
            </w:r>
          </w:p>
        </w:tc>
        <w:tc>
          <w:tcPr>
            <w:tcW w:w="200" w:type="dxa"/>
            <w:vAlign w:val="bottom"/>
          </w:tcPr>
          <w:p>
            <w:pPr>
              <w:spacing w:after="0"/>
              <w:rPr>
                <w:sz w:val="20"/>
                <w:szCs w:val="20"/>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Total crude oil throughput</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(barrels per day)</w:t>
            </w:r>
          </w:p>
        </w:tc>
        <w:tc>
          <w:tcPr>
            <w:tcW w:w="200" w:type="dxa"/>
            <w:vAlign w:val="bottom"/>
          </w:tcPr>
          <w:p>
            <w:pPr>
              <w:spacing w:after="0"/>
              <w:rPr>
                <w:sz w:val="20"/>
                <w:szCs w:val="20"/>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160,700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192,563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182,700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192,975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 xml:space="preserve">CVR's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8"/>
          <w:szCs w:val="18"/>
          <w:i w:val="1"/>
          <w:iCs w:val="1"/>
          <w:color w:val="auto"/>
        </w:rPr>
        <w:t>www.sec.gov.</w:t>
      </w:r>
    </w:p>
    <w:p>
      <w:pPr>
        <w:spacing w:after="0" w:line="62"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We acquired a controlling interest in CVR on May 4, 2012.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ammonia and urea ammonium nitrate ("UAN"). As of September 30, 2013, following various equity offerings as discussed below, CVR owned the general partner and approximately 71% of the common units of CVR Refining (including 100% of CVR Refining GP, LLC, its general partner) and approximately 53% of the common units of CVR Partners (including 100% of CVR GP, LLC, its general partner).</w:t>
      </w:r>
    </w:p>
    <w:p>
      <w:pPr>
        <w:spacing w:after="0" w:line="70"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As of September 30, 2013, we owned 82.0% of the total outstanding common stock of CVR. In addition, as of September 30, 2013, as a result of purchasing common units of CVR Refining as discussed below, Icahn Enterprises and Icahn Enterprises Holdings owned approximately 4.0% of the total outstanding common stock of CVR Refining directly.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January 23, 2013, CVR Refining completed its initial public offering ("CVR Refining IPO") of its common units representing limited partner interests, resulting in gross proceeds of $600 million, before giving effect to underwriting discounts and other offering expenses. Included in these proceeds is $100 million paid by us for the purchase of common units of CVR Refining in connection with the CVR Refining IPO. Additionally,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8" w:right="239" w:bottom="1440" w:gutter="0" w:footer="0" w:header="0"/>
        </w:sectPr>
      </w:pPr>
    </w:p>
    <w:bookmarkStart w:id="79" w:name="page80"/>
    <w:bookmarkEnd w:id="79"/>
    <w:p>
      <w:pPr>
        <w:ind w:right="40" w:firstLine="405"/>
        <w:spacing w:after="0" w:line="302" w:lineRule="auto"/>
        <w:rPr>
          <w:sz w:val="20"/>
          <w:szCs w:val="20"/>
          <w:color w:val="auto"/>
        </w:rPr>
      </w:pPr>
      <w:r>
        <w:rPr>
          <w:rFonts w:ascii="Arial" w:cs="Arial" w:eastAsia="Arial" w:hAnsi="Arial"/>
          <w:sz w:val="16"/>
          <w:szCs w:val="16"/>
          <w:color w:val="auto"/>
        </w:rPr>
        <w:t>On May 20, 2013, CVR Refining completed an underwritten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we purchased approximately $62 million of common units of CVR Refining in a privately negotiated transaction with CVR. CVR Refining did not receive any of the proceeds from the sale of common units of CVR Refining to us.</w:t>
      </w:r>
    </w:p>
    <w:p>
      <w:pPr>
        <w:spacing w:after="0" w:line="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May 28, 2013, Coffeyville Resources, LLC (“CRLLC”), a wholly owned subsidiary of CVR, completed a secondary offering of common units of CVR Partners. Additionally, the underwriters were granted an option to purchase additional units at the public offering price, which expired unexercised at the end of the option period. The gross proceeds to CRLLC from this secondary offering were $302 million. CVR Partners did not receive any of the proceeds from the sale of common units by CRLLC.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60" w:firstLine="378"/>
        <w:spacing w:after="0" w:line="288" w:lineRule="auto"/>
        <w:rPr>
          <w:sz w:val="20"/>
          <w:szCs w:val="20"/>
          <w:color w:val="auto"/>
        </w:rPr>
      </w:pPr>
      <w:r>
        <w:rPr>
          <w:rFonts w:ascii="Arial" w:cs="Arial" w:eastAsia="Arial" w:hAnsi="Arial"/>
          <w:sz w:val="16"/>
          <w:szCs w:val="16"/>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refining industry is also subject to the EPA's Renewable Fuel Standard (“RFS”), which requires it to blend “renewable fuels” with its transportation fuels or purchase renewable energy credits, known as renewable identification numbers ("RINs"), in lieu of blending.</w:t>
      </w:r>
    </w:p>
    <w:p>
      <w:pPr>
        <w:spacing w:after="0" w:line="61" w:lineRule="exact"/>
        <w:rPr>
          <w:sz w:val="20"/>
          <w:szCs w:val="20"/>
          <w:color w:val="auto"/>
        </w:rPr>
      </w:pPr>
    </w:p>
    <w:p>
      <w:pPr>
        <w:ind w:right="40" w:firstLine="378"/>
        <w:spacing w:after="0" w:line="269" w:lineRule="auto"/>
        <w:rPr>
          <w:sz w:val="20"/>
          <w:szCs w:val="20"/>
          <w:color w:val="auto"/>
        </w:rPr>
      </w:pPr>
      <w:r>
        <w:rPr>
          <w:rFonts w:ascii="Arial" w:cs="Arial" w:eastAsia="Arial" w:hAnsi="Arial"/>
          <w:sz w:val="17"/>
          <w:szCs w:val="17"/>
          <w:color w:val="auto"/>
        </w:rPr>
        <w:t>The EPA is required to determine and publish the applicable annual renewable fuel percentage standards for each compliance year by November 30 for the forthcoming year. The percentage standards represent the ratio of renewable fuel volume to gasoline and diesel volume. On August 6, 2013, the EPA announced the final 2013 renewable fuel percentage standard would be raised to 9.74%. In 2013, the Wynnewood refinery will be subject to the RFS for the first time, unless the Wynnewood refinery receives relief from the rule in 2013 based on the "disproportionate economic impact" of the rule on the Wynnewood refinery, and the cost of RINs became extremely volatile and significantly higher than the cost during the comparable 2012 period. The cost of RINs for the three months ended September 30, 2012 and the period May 5, 2012 through December 31, 2012 was approximately $7 million and $15 million, respectively, and the costs of RINs for the three and nine months ended September 30, 2013 was approximately $57 million and $155 million, respectively. The ultimate cost of RINs for the petroleum business in 2013 is difficult to estimate. In particular, the cost of RINs is dependent upon a variety of factors, which include the price at which RINs can be purchased, transportation fuel production levels, the mix of the petroleum business’ petroleum products, as well as the fuel blending performed at its refineries, all of which can vary significantly from quarter to quarter. Based upon recent market prices of RINs and current estimates related to the other variable factors, the petroleum business estimates that the total cost of RINs will be approximately $175 million to $190 million for the year ending December 31, 2013.</w:t>
      </w:r>
    </w:p>
    <w:p>
      <w:pPr>
        <w:spacing w:after="0" w:line="72"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If sufficient RINs are unavailable for purchase at times when the petroleum business seeks to purchase RINs, if the petroleum business has to pay a significantly higher price for RINs, or if the petroleum business is subject to penalties as a result of delays in its ability to timely deliver RINs to the EPA, our Energy segment's financial condition and results of operations could be materially adversely affected. Many petroleum refiners blend renewable fuel into their transportation fuels and do not have to pass on the costs of compliance through the purchase of RINs to their customers. Therefore, it may be significantly harder for the petroleum business to pass on the costs of compliance with RFS to its customers. Because the cost of purchasing RINs has been extremely volatile and has significantly increased over the last year, the Wynnewood refinery has petitioned the EPA as a “small refinery” for hardship relief from the RFS2 requirements in 2013 and 2014.</w:t>
      </w:r>
    </w:p>
    <w:p>
      <w:pPr>
        <w:spacing w:after="0" w:line="81" w:lineRule="exact"/>
        <w:rPr>
          <w:sz w:val="20"/>
          <w:szCs w:val="20"/>
          <w:color w:val="auto"/>
        </w:rPr>
      </w:pPr>
    </w:p>
    <w:p>
      <w:pPr>
        <w:ind w:right="120" w:firstLine="378"/>
        <w:spacing w:after="0" w:line="286" w:lineRule="auto"/>
        <w:rPr>
          <w:sz w:val="20"/>
          <w:szCs w:val="20"/>
          <w:color w:val="auto"/>
        </w:rPr>
      </w:pPr>
      <w:r>
        <w:rPr>
          <w:rFonts w:ascii="Arial" w:cs="Arial" w:eastAsia="Arial" w:hAnsi="Arial"/>
          <w:sz w:val="16"/>
          <w:szCs w:val="16"/>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80" w:name="page81"/>
    <w:bookmarkEnd w:id="80"/>
    <w:p>
      <w:pPr>
        <w:ind w:right="20"/>
        <w:spacing w:after="0" w:line="255" w:lineRule="auto"/>
        <w:rPr>
          <w:sz w:val="20"/>
          <w:szCs w:val="20"/>
          <w:color w:val="auto"/>
        </w:rPr>
      </w:pPr>
      <w:r>
        <w:rPr>
          <w:rFonts w:ascii="Arial" w:cs="Arial" w:eastAsia="Arial" w:hAnsi="Arial"/>
          <w:sz w:val="18"/>
          <w:szCs w:val="18"/>
          <w:color w:val="auto"/>
        </w:rPr>
        <w:t>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85"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5"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In assessing the operating performance of the nitrogen fertilizer business, CVR calculates plant gate price to determine its operating margin. Plant gate price refers to the unit price of nitrogen fertilizer, in dollars per ton, offered on a delivered basis, excluding shipment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2013 and 2012</w:t>
      </w:r>
    </w:p>
    <w:p>
      <w:pPr>
        <w:spacing w:after="0" w:line="117"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Net sales for the petroleum business decreased by $427 million (18%) for the three months ended September 30, 2013 as compared to the corresponding prior year period and was primarily due to lower overall sales volume due to the fluid catalytic cracking unit ("FCCU") outage at the Coffeyville refinery and lower product prices. The FCCU outage was offline for approximately 55 days for necessary repairs during the three months ended September 30, 2013, resulting in significantly reduced crude throughput and production at the Coffeyville refinery. For the three months ended September 30, 2013, CVR's petroleum business sold approximately 7.7 million and 6.5 million barrels of gasoline and distillate, respectively, with an average sales price per gallon for gasoline and distillate of $2.89 and $3.07, respectively. For the three months ended September 30, 2012, CVR's petroleum business sold approximately 9.6 million and 7.6 million barrels of gasoline and distillate, respectively, with an average sales price per gallon for gasoline and distillate of $3.03 and $3.15, respectively.</w:t>
      </w:r>
    </w:p>
    <w:p>
      <w:pPr>
        <w:spacing w:after="0" w:line="84"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Net sales for the fertilizer business decreased by $6 million (8%) for the three months ended September 30, 2013 as compared to the corresponding prior year period, primarily due to lower ammonia sales volumes, lower UAN sales prices, and lower ammonia sales prices, offset in part by higher UAN sales volumes. Net sales for the fertilizer business for the three months ended September 30, 2013 was $69 million, of which $2 million and $67 million were attributable to ammonia and UAN, respectively. For the three months ended September 30, 2013, CVR sold 3,251 tons and 226,714 tons of ammonia and UAN, respectively, with an average plant gate price per ton of $533 and $293, respectively. Plant gate prices are prices at the designated delivery point less any freight cost we absorb to deliver the product. CVR believes plant gate price is meaningful because it sells products both at its plant gate (sold plant) and delivered to the customer's designated delivery site (sold delivered) and the percentage of sold plant versus sold delivered can change month-to-month or quarter-to-quarter. On-stream factors (total number of hours operated divided by total hours in the reporting period) for the gasification, ammonia and UAN units were 91.2%, 90.1% and 89.5%, respectively, for the three months ended September 30, 2013. Excluding the impact of the downtime associated with the planned replacement of the damaged catalyst in July, the on-stream rates for the three months ended September 30, 2013 for the gasification, ammonia and UAN units would have been 98.7%, 98.2% and 97.8%, respectively.</w:t>
      </w:r>
    </w:p>
    <w:p>
      <w:pPr>
        <w:spacing w:after="0" w:line="75"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Net sales for the fertilizer business for three months ended September 30, 2012 was $75 million, of which $18 million and $57 million were attributable to ammonia and UAN, respectively. For the three months ended September 30, 2012, CVR sold 30,197 tons and 175,059 tons of ammonia and UAN, respectively, with an average plant gate price of $578 and $290 per ton, respectively. On-stream factors (total number of hours operated divided by total hours in the reporting period) for the gasification, ammonia and UAN units were 99.1%, 98.4% and 96.9%, respectively, for the three months ended September 30, 2012.</w:t>
      </w:r>
    </w:p>
    <w:p>
      <w:pPr>
        <w:spacing w:after="0" w:line="80"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Cost of goods sold for the petroleum business increased by $58 million (3%) for the three months ended September 30, 2013 as compared to the corresponding prior year period, primarily due to an increase in the cost of RINS and higher crude oil prices, partially offset by lower sales volumes.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 As further discussed above, during 2013, our Energy segment was negatively impacted by the increasing cost of RINs.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76" w:right="279" w:bottom="1440" w:gutter="0" w:footer="0" w:header="0"/>
        </w:sectPr>
      </w:pPr>
    </w:p>
    <w:bookmarkStart w:id="81" w:name="page82"/>
    <w:bookmarkEnd w:id="81"/>
    <w:p>
      <w:pPr>
        <w:ind w:left="380"/>
        <w:spacing w:after="0"/>
        <w:rPr>
          <w:sz w:val="20"/>
          <w:szCs w:val="20"/>
          <w:color w:val="auto"/>
        </w:rPr>
      </w:pPr>
      <w:r>
        <w:rPr>
          <w:rFonts w:ascii="Arial" w:cs="Arial" w:eastAsia="Arial" w:hAnsi="Arial"/>
          <w:sz w:val="16"/>
          <w:szCs w:val="16"/>
          <w:color w:val="auto"/>
        </w:rPr>
        <w:t>The petroleum business' average cost per barrel of crude oil consumed for the three months ended September 30, 2013 and 2012 was $104.48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$87.80, respectively. The impact of FIFO accounting also impacted cost of product sold for the three months ended September 30, 2013 and 2012.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FIFO accounting method, changes in crude oil prices can cause fluctuations in the inventory valuation of our crude oil, work in process and finished goods,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thereby resulting in a favorable FIFO inventory impact when crude oil prices increase and an unfavorable FIFO inventory impact when crude oil prices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 For the three months ended September 30, 2013 and 2012, the petroleum business had a favorable FIFO inventory impact of $54 million and $51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w:t>
      </w:r>
    </w:p>
    <w:p>
      <w:pPr>
        <w:spacing w:after="0" w:line="103" w:lineRule="exact"/>
        <w:rPr>
          <w:sz w:val="20"/>
          <w:szCs w:val="20"/>
          <w:color w:val="auto"/>
        </w:rPr>
      </w:pPr>
    </w:p>
    <w:p>
      <w:pPr>
        <w:ind w:right="200" w:firstLine="378"/>
        <w:spacing w:after="0" w:line="297" w:lineRule="auto"/>
        <w:rPr>
          <w:sz w:val="20"/>
          <w:szCs w:val="20"/>
          <w:color w:val="auto"/>
        </w:rPr>
      </w:pPr>
      <w:r>
        <w:rPr>
          <w:rFonts w:ascii="Arial" w:cs="Arial" w:eastAsia="Arial" w:hAnsi="Arial"/>
          <w:sz w:val="16"/>
          <w:szCs w:val="16"/>
          <w:color w:val="auto"/>
        </w:rPr>
        <w:t>Refining margin per barrel of crude oil throughput for the petroleum business was $11.89 and $36.31 for the three months ended September 30, 2013 and 2012, respectively. Refining margin adjusted for FIFO impact for CVR's petroleum business as $8.21 and $33.44 per crude oil throughput barrel for the three months ended September 30, 2013 and 2012, respectively. Gross margin per barrel for the petroleum business was $2.37 and $29.35 for the three months ended September 30, 2013 and 2012, respectively. The decrease in refining margin and gross margin per barrel for the three months ended September 30, 2013 as compared to the corresponding prior year period was primarily due to decrease in sales and an increase in crude oil prices.</w:t>
      </w:r>
    </w:p>
    <w:p>
      <w:pPr>
        <w:spacing w:after="0" w:line="50"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The fertilizer business' cost of goods sold increased by $4 million (10%) for the three months ended September 30, 2013 as compared to the corresponding prior year period, primarily due to costs associated with increased ammonia purchases and increased freight costs. Cost of goods sold for the fertilizer business is primarily comprised of pet coke expense, freight expense, distribution expense, direct operating expenses and depreciation and amortization.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2013 and 2012</w:t>
      </w:r>
    </w:p>
    <w:p>
      <w:pPr>
        <w:spacing w:after="0" w:line="117"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As noted above, we consolidate CVR effective May 4, 2012 and therefore, our Energy segment results for the nine months ended September 30, 2013 are not comparable to the prior year period.</w:t>
      </w:r>
    </w:p>
    <w:p>
      <w:pPr>
        <w:spacing w:after="0" w:line="62"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Net sales for the petroleum business for the nine months ended September 30, 2013 was approximately $6.3 billion. For the nine months ended September 30, 2013, CVR's petroleum business sold 26.5 million and 21.8 million barrels of gasoline and distillate, respectively, with an average sales price per gallon for gasoline and distillate of $2.86 and $3.04, respectively. For the period May 5, 2012 through September 30, 2012, CVR's petroleum business sold 15.6 million and 12.6 million barrels of gasoline and distillate, respectively, with an average sales price per gallon for gasoline and distillate of $2.94 and $3.02, respectively.</w:t>
      </w:r>
    </w:p>
    <w:p>
      <w:pPr>
        <w:spacing w:after="0" w:line="80"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Net sales for the fertilizer business for the nine months ended September 30, 2013 was $239 million, of which $25 million, $209 million and $5 million were attributable to ammonia, UAN and hydrogen, respectively. For the nine months ended September 30, 2013, CVR sold 37,891 tons and 638,142 tons of ammonia and UAN, respectively, with an average plant gate price of $672 and $328 per ton, respectively. The sales volume of UAN for the nine months ended September 30, 2013 benefited from the UAN expansion coming online during the first quarter of 2013. On-stream factors (total number of hours operated divided by total hours in the reporting period) for the gasification, ammonia and UAN units were 99.3%, 98.7% and 97.7%, respectively, for the nine months ended September 30, 2013. Excluding the impacts of the UAN expansion coming on-line, the planned downtime associated with the replacement of the damaged catalyst, the unplanned Linde air separation unit outages and the planned downtime associated with weather issues, the on-stream rates for the nine months ended September 30, 2013 for the gasification, ammonia and UAN units would have been 99.3%, 98.7% and 97.7%, respectively.</w:t>
      </w:r>
    </w:p>
    <w:p>
      <w:pPr>
        <w:spacing w:after="0" w:line="58" w:lineRule="exact"/>
        <w:rPr>
          <w:sz w:val="20"/>
          <w:szCs w:val="20"/>
          <w:color w:val="auto"/>
        </w:rPr>
      </w:pPr>
    </w:p>
    <w:p>
      <w:pPr>
        <w:ind w:right="220" w:firstLine="405"/>
        <w:spacing w:after="0" w:line="271" w:lineRule="auto"/>
        <w:rPr>
          <w:sz w:val="20"/>
          <w:szCs w:val="20"/>
          <w:color w:val="auto"/>
        </w:rPr>
      </w:pPr>
      <w:r>
        <w:rPr>
          <w:rFonts w:ascii="Arial" w:cs="Arial" w:eastAsia="Arial" w:hAnsi="Arial"/>
          <w:sz w:val="17"/>
          <w:szCs w:val="17"/>
          <w:color w:val="auto"/>
        </w:rPr>
        <w:t>For the period May 5, 2012 through September 30, 2012, the fertilizer business recognized net sales of $124 million, of which $26 million and $98 million were attributable to ammonia and UAN, respectively. For the period May 5, 2012 through September 30, 2012, CVR sold 44,108 tons and 283,880 tons of ammonia and UAN, respectively, with an average plant gate price of $573 and $309, respectively. Plant gate prices are prices at the designated delivery point less any freight cost we absorb to deliver the product. CVR believes plant gate price is meaningful because it sells products both at its plant gate (sold plant) and delivered to the customer's designated delivery site (sold delivered) and the percentage of sold plant versus sold delivered can change month-to-month or quarter-to-quarter. On-stream factors (total number of hours operated divided by total hours in the reporting period) for the gasification, ammonia and UAN units continue to demonstrate their reliability with the units reporting 98.9%, 97.8% and 96.5%, respectively, on-stream for the period May 5, 2012 through September 30, 2012.</w:t>
      </w:r>
    </w:p>
    <w:p>
      <w:pPr>
        <w:spacing w:after="0" w:line="71"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Cost of goods sold for the petroleum business for the nine months ended September 30, 2013 and for the period May 5, 2012 through September 30, 2012 was approximately $5.7 billion and $3.1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 The petroleum business' average cost per barrel of crude oil consumed for the nine months ended September 30, 2013 and for the period May 5, 2012 through September 30, 2012 was $94.52 and $86.88, respectively. The impact of FIFO accounting also impacted cost of product sold during the nine months ended September 30, 2013 and the period May 5, 2012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82" w:name="page83"/>
    <w:bookmarkEnd w:id="82"/>
    <w:p>
      <w:pPr>
        <w:ind w:right="220"/>
        <w:spacing w:after="0" w:line="302" w:lineRule="auto"/>
        <w:rPr>
          <w:sz w:val="20"/>
          <w:szCs w:val="20"/>
          <w:color w:val="auto"/>
        </w:rPr>
      </w:pPr>
      <w:r>
        <w:rPr>
          <w:rFonts w:ascii="Arial" w:cs="Arial" w:eastAsia="Arial" w:hAnsi="Arial"/>
          <w:sz w:val="16"/>
          <w:szCs w:val="16"/>
          <w:color w:val="auto"/>
        </w:rPr>
        <w:t>through September 30, 2012. Under our FIFO accounting method, changes in crude oil prices can cause fluctuations in the inventory valuation of our crude oil, work in process and finished goods, thereby resulting in a favorable FIFO inventory impact when crude oil prices increase and an unfavorable FIFO inventory impact when crude oil prices decrease. For the nine months ended September 30, 2013 and the period May 5, 2012 through September 31, 2012, the petroleum business had a (favorable) unfavorable FIFO inventory impact of approximately $(83) million and $52 million, respectively.</w:t>
      </w:r>
    </w:p>
    <w:p>
      <w:pPr>
        <w:spacing w:after="0" w:line="46"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Refining margin per barrel of crude oil throughput for the petroleum business was $20.15 and $30.01 and for the nine months ended September 30, 2013 and the period May 5, 2012 through September 30, 2012, respectively. Refining margin adjusted for FIFO impact for CVR's petroleum business was $18.48 and $31.81 per barrel of crude oil throughput barrel for the nine months ended September 30, 2013 and the period May 5, 2012 through September 30, 2012, respectively. For the nine months ended September 30, 2013 and the period May 5, 2012 through September 30, 2012, the petroleum business had a (favorable) unfavorable FIFO inventory impact of approximately $(83) million and $52 million, respectively. Gross margin per barrel for our petroleum business was $12.49 and $22.47 for the nine months ended September 30, 2013 and the period May 5, 2012 through September 30, 2012, respectively.</w:t>
      </w:r>
    </w:p>
    <w:p>
      <w:pPr>
        <w:spacing w:after="0" w:line="57" w:lineRule="exact"/>
        <w:rPr>
          <w:sz w:val="20"/>
          <w:szCs w:val="20"/>
          <w:color w:val="auto"/>
        </w:rPr>
      </w:pPr>
    </w:p>
    <w:p>
      <w:pPr>
        <w:ind w:right="260" w:firstLine="378"/>
        <w:spacing w:after="0" w:line="264" w:lineRule="auto"/>
        <w:rPr>
          <w:sz w:val="20"/>
          <w:szCs w:val="20"/>
          <w:color w:val="auto"/>
        </w:rPr>
      </w:pPr>
      <w:r>
        <w:rPr>
          <w:rFonts w:ascii="Arial" w:cs="Arial" w:eastAsia="Arial" w:hAnsi="Arial"/>
          <w:sz w:val="18"/>
          <w:szCs w:val="18"/>
          <w:color w:val="auto"/>
        </w:rPr>
        <w:t>The fertilizer business' cost of goods sold for the nine months ended September 30, 2013 and for the period May 5, 2012 through September 30, 2012 was $137 million and 66 million, respectively. Cost of goods sold for the fertilizer business is primarily comprised of pet coke expense, freight expense, distribution expense, direct operating expenses and depreciation and amortization.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Metal</w:t>
            </w:r>
            <w:r>
              <w:rPr>
                <w:rFonts w:ascii="Arial" w:cs="Arial" w:eastAsia="Arial" w:hAnsi="Arial"/>
                <w:sz w:val="19"/>
                <w:szCs w:val="19"/>
                <w:b w:val="1"/>
                <w:bCs w:val="1"/>
                <w:i w:val="1"/>
                <w:iCs w:val="1"/>
                <w:color w:val="auto"/>
              </w:rPr>
              <w:t>s</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82"/>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881</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and nine months ended September 30, 2013 and 2012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38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8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474"/>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ind w:left="1260"/>
              <w:spacing w:after="0"/>
              <w:rPr>
                <w:sz w:val="20"/>
                <w:szCs w:val="20"/>
                <w:color w:val="auto"/>
              </w:rPr>
            </w:pPr>
            <w:r>
              <w:rPr>
                <w:rFonts w:ascii="Arial" w:cs="Arial" w:eastAsia="Arial" w:hAnsi="Arial"/>
                <w:sz w:val="14"/>
                <w:szCs w:val="14"/>
                <w:color w:val="auto"/>
                <w:w w:val="91"/>
              </w:rPr>
              <w:t>(in 000s)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61,020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188,376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179,569</w:t>
            </w:r>
          </w:p>
        </w:tc>
      </w:tr>
      <w:tr>
        <w:trPr>
          <w:trHeight w:val="20"/>
        </w:trPr>
        <w:tc>
          <w:tcPr>
            <w:tcW w:w="5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2013 and 2012</w:t>
      </w:r>
    </w:p>
    <w:p>
      <w:pPr>
        <w:spacing w:after="0" w:line="117" w:lineRule="exact"/>
        <w:rPr>
          <w:sz w:val="20"/>
          <w:szCs w:val="20"/>
          <w:color w:val="auto"/>
        </w:rPr>
      </w:pPr>
    </w:p>
    <w:p>
      <w:pPr>
        <w:jc w:val="both"/>
        <w:ind w:right="100" w:firstLine="378"/>
        <w:spacing w:after="0" w:line="264" w:lineRule="auto"/>
        <w:rPr>
          <w:sz w:val="20"/>
          <w:szCs w:val="20"/>
          <w:color w:val="auto"/>
        </w:rPr>
      </w:pPr>
      <w:r>
        <w:rPr>
          <w:rFonts w:ascii="Arial" w:cs="Arial" w:eastAsia="Arial" w:hAnsi="Arial"/>
          <w:sz w:val="18"/>
          <w:szCs w:val="18"/>
          <w:color w:val="auto"/>
        </w:rPr>
        <w:t>Net sales for the three months ended September 30, 2013 increased by $7 million (3%) compared to the comparable prior year period. The increase was primarily driven by higher ferrous and non-ferrous shipment volumes, offset in part by lower non-ferrous brokerage volumes and precious metals volumes in the three months ended September 30, 2013 as compared to the comparable prior year period.</w:t>
      </w:r>
    </w:p>
    <w:p>
      <w:pPr>
        <w:spacing w:after="0" w:line="73" w:lineRule="exact"/>
        <w:rPr>
          <w:sz w:val="20"/>
          <w:szCs w:val="20"/>
          <w:color w:val="auto"/>
        </w:rPr>
      </w:pPr>
    </w:p>
    <w:p>
      <w:pPr>
        <w:ind w:right="160" w:firstLine="378"/>
        <w:spacing w:after="0" w:line="272" w:lineRule="auto"/>
        <w:rPr>
          <w:sz w:val="20"/>
          <w:szCs w:val="20"/>
          <w:color w:val="auto"/>
        </w:rPr>
      </w:pPr>
      <w:r>
        <w:rPr>
          <w:rFonts w:ascii="Arial" w:cs="Arial" w:eastAsia="Arial" w:hAnsi="Arial"/>
          <w:sz w:val="17"/>
          <w:szCs w:val="17"/>
          <w:color w:val="auto"/>
        </w:rPr>
        <w:t>Ferrous shipments increased by 36,000 gross tons (10%) and average pricing was $4 per gross ton (1%) higher during the three months ended September 30, 2013 compared to the comparable prior year period. The domestic steel capacity utilization rate averaged approximately 78.1% in the three months ended September 30, 2013. This was 3.4 percentage points higher than the comparable prior year period but reflected total steel output just 329 tons (1%) higher. The slight increase in average pricing was largely driven by higher market prices for ferrous scrap attributed to improved demand from steel producers in the three months ended September 30, 2013 as compared to the prior year. Non-ferrous shipment volumes increased by 5,245,000 pounds (9%) with all product groups, except copper, showing improvement for the three months ended September 30, 2013 as compared to the comparable prior year period. Average selling prices for non-ferrous decreased $0.06 per pound (6%) during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76"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three months ended September 30, 2013 as compared to the prior year primarily due to lower market prices for copper and nickel.</w:t>
      </w:r>
    </w:p>
    <w:p>
      <w:pPr>
        <w:spacing w:after="0" w:line="117"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Cost of goods sold for the three months ended September 30, 2013 increased by $7 million (3%) compared to the comparable prior year period. The increase was primarily due to higher shipment volumes, offset in part by lower processing costs. Gross margin as a percentage of net sales was a loss of 1% for each of the three months ended September 30, 2013 and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2013 and 2012</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Net sales for the nine months ended September 30, 2013 decreased by $134 million (15%) compared to the comparable prior year period. The decrease was primarily driven by lower ferrous shipment volumes and non-ferrous selling prices in the nine months ended September 30, 2013 as compared to the comparable prior year period.</w:t>
      </w:r>
    </w:p>
    <w:p>
      <w:pPr>
        <w:spacing w:after="0" w:line="73" w:lineRule="exact"/>
        <w:rPr>
          <w:sz w:val="20"/>
          <w:szCs w:val="20"/>
          <w:color w:val="auto"/>
        </w:rPr>
      </w:pPr>
    </w:p>
    <w:p>
      <w:pPr>
        <w:ind w:right="120" w:firstLine="378"/>
        <w:spacing w:after="0" w:line="290" w:lineRule="auto"/>
        <w:rPr>
          <w:sz w:val="20"/>
          <w:szCs w:val="20"/>
          <w:color w:val="auto"/>
        </w:rPr>
      </w:pPr>
      <w:r>
        <w:rPr>
          <w:rFonts w:ascii="Arial" w:cs="Arial" w:eastAsia="Arial" w:hAnsi="Arial"/>
          <w:sz w:val="16"/>
          <w:szCs w:val="16"/>
          <w:color w:val="auto"/>
        </w:rPr>
        <w:t>Ferrous shipments decreased by 118,000 gross tons (9%) and average pricing was $42 per gross ton (10%) lower during the nine months ended September 30, 2013 compared to the comparable prior year period. The decrease in average pricing was driven by lower market prices for ferrous scrap. The domestic steel capacity utilization rate was 77.2% during the nine months ended September 30, 2013, 0.2 percentage points lower than the rate during the comparable prior year period. Total steel output, though, was 2.5 million tons (3%) lower in the nine months ended September 30, 2013 as compared to the comparable period in 2012. The lower level of domestic demand, primarily in the first three months of 2013, and lower scrap export prices in the period contributed to lower market prices in the nine months ended September 30, 2013 as compared to the comparable prior year period. Non-ferrous shipment volumes increased by 8,807,000 pounds (5%), primarily driven by increased shipments of electric motors and batteries. The average selling price for non-ferrous material decreased by $0.10 per pound (10%) primarily due to lower market pricing and product mix.</w:t>
      </w:r>
    </w:p>
    <w:p>
      <w:pPr>
        <w:spacing w:after="0" w:line="58" w:lineRule="exact"/>
        <w:rPr>
          <w:sz w:val="20"/>
          <w:szCs w:val="20"/>
          <w:color w:val="auto"/>
        </w:rPr>
      </w:pPr>
    </w:p>
    <w:p>
      <w:pPr>
        <w:ind w:firstLine="378"/>
        <w:spacing w:after="0" w:line="312" w:lineRule="auto"/>
        <w:rPr>
          <w:sz w:val="20"/>
          <w:szCs w:val="20"/>
          <w:color w:val="auto"/>
        </w:rPr>
      </w:pPr>
      <w:r>
        <w:rPr>
          <w:rFonts w:ascii="Arial" w:cs="Arial" w:eastAsia="Arial" w:hAnsi="Arial"/>
          <w:sz w:val="16"/>
          <w:szCs w:val="16"/>
          <w:color w:val="auto"/>
        </w:rPr>
        <w:t>Cost of goods sold for the nine months ended September 30, 2013 decreased by $132 million (15%) compared to the comparable prior year period. The decrease was primarily due to lower shipment volumes, lower market prices for raw materials and lower processing costs. Gross margin as a percentage of net sales was a loss of 2% for the nine months ended September 30, 2013 compared to a loss of 1% for the comparable prior year period.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Railcar</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84" w:name="page85"/>
    <w:bookmarkEnd w:id="84"/>
    <w:p>
      <w:pPr>
        <w:ind w:right="180" w:firstLine="378"/>
        <w:spacing w:after="0" w:line="264" w:lineRule="auto"/>
        <w:rPr>
          <w:sz w:val="20"/>
          <w:szCs w:val="20"/>
          <w:color w:val="auto"/>
        </w:rPr>
      </w:pPr>
      <w:r>
        <w:rPr>
          <w:rFonts w:ascii="Arial" w:cs="Arial" w:eastAsia="Arial" w:hAnsi="Arial"/>
          <w:sz w:val="18"/>
          <w:szCs w:val="18"/>
          <w:color w:val="auto"/>
        </w:rPr>
        <w:t xml:space="preserve">Our Railcar segment includes the results of American Railcar Industries, Inc. ("ARI") and AEP Leasing. 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3" w:lineRule="exact"/>
        <w:rPr>
          <w:sz w:val="20"/>
          <w:szCs w:val="20"/>
          <w:color w:val="auto"/>
        </w:rPr>
      </w:pPr>
    </w:p>
    <w:p>
      <w:pPr>
        <w:ind w:right="20" w:firstLine="378"/>
        <w:spacing w:after="0" w:line="254" w:lineRule="auto"/>
        <w:rPr>
          <w:sz w:val="20"/>
          <w:szCs w:val="20"/>
          <w:color w:val="auto"/>
        </w:rPr>
      </w:pPr>
      <w:r>
        <w:rPr>
          <w:rFonts w:ascii="Arial" w:cs="Arial" w:eastAsia="Arial" w:hAnsi="Arial"/>
          <w:sz w:val="18"/>
          <w:szCs w:val="18"/>
          <w:color w:val="auto"/>
        </w:rPr>
        <w:t>ARI manufactures railcars, which are offered for sale or lease. ARI also provides railcar services consisting of railcar repair services, engineering and field services and fleet management services. AEP Leasing offers railcars for lease, with those railcars being purchased primarily from ARI. Manufacturing net sales and cost of goods sold above include net sales and related cost of goods sold for railcars sold by our Railcar segment to its railcar leasing businesses. For revenues recorded by ARI's manufacturing business on railcars sold to its own leasing business, such revenues are based on an estimated fair market value of the leased railcars as if they had been sold to a third party, and are eliminated in consolidation. For revenues recorded by ARI's manufacturing business on railcars sold to AEP Leasing, such revenues are based on actual sales of railcars from ARI to AEP Leasing as if they had been sold to a third party, and are eliminated in consolidation. Elimination amounts represent eliminations of intra-segment net sales and related cost of goods sold and gross margin for our Railcar segment</w:t>
      </w:r>
    </w:p>
    <w:p>
      <w:pPr>
        <w:spacing w:after="0" w:line="84"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The North American railcar market has been, and we expect it to continue to be, highly cyclical. Industry-wide demand for tank railcars remains strong and inquiry activity for covered hopper railcars is beginning to strengthen.</w:t>
      </w:r>
    </w:p>
    <w:p>
      <w:pPr>
        <w:spacing w:after="0" w:line="62"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During October 2013, ARI accepted a multi-year order for 2,750 plastic pellet hopper railcars for delivery from 2014 through 2016. Consistent with industry expectations, ARI anticipates demand for hopper railcars, specifically plastic pellet railcars, to begin strengthening for deliveries from 2014 through 2016. However, we cannot assure you that the tank railcar demand will continue at historically strong levels, that demand for hopper railcars, or any other railcar types, will improve, or that our railcar orders and shipments will track industry-wide trends.</w:t>
      </w:r>
    </w:p>
    <w:p>
      <w:pPr>
        <w:spacing w:after="0" w:line="79" w:lineRule="exact"/>
        <w:rPr>
          <w:sz w:val="20"/>
          <w:szCs w:val="20"/>
          <w:color w:val="auto"/>
        </w:rPr>
      </w:pPr>
    </w:p>
    <w:p>
      <w:pPr>
        <w:ind w:right="260" w:firstLine="378"/>
        <w:spacing w:after="0" w:line="302" w:lineRule="auto"/>
        <w:rPr>
          <w:sz w:val="20"/>
          <w:szCs w:val="20"/>
          <w:color w:val="auto"/>
        </w:rPr>
      </w:pPr>
      <w:r>
        <w:rPr>
          <w:rFonts w:ascii="Arial" w:cs="Arial" w:eastAsia="Arial" w:hAnsi="Arial"/>
          <w:sz w:val="16"/>
          <w:szCs w:val="16"/>
          <w:color w:val="auto"/>
        </w:rPr>
        <w:t>Railcar shipments for the three months ended September 30, 2013 were approximately 1,640 railcars, including approximately 860 railcars to leasing customers, as compared to approximately 1,460 railcars for the comparable prior year period, including approximately 440 railcars to leasing customers. Railcar shipments for the nine months ended September 30, 2013 were approximately 4,850 railcars, including approximately 2,410 railcars to leasing customers, as compared to approximately 5,870 railcars for the comparable prior year period, including approximately 1,820 railcars to leasing customers.</w:t>
      </w:r>
    </w:p>
    <w:p>
      <w:pPr>
        <w:spacing w:after="0" w:line="46" w:lineRule="exact"/>
        <w:rPr>
          <w:sz w:val="20"/>
          <w:szCs w:val="20"/>
          <w:color w:val="auto"/>
        </w:rPr>
      </w:pPr>
    </w:p>
    <w:p>
      <w:pPr>
        <w:ind w:right="600" w:firstLine="378"/>
        <w:spacing w:after="0" w:line="342" w:lineRule="auto"/>
        <w:rPr>
          <w:sz w:val="20"/>
          <w:szCs w:val="20"/>
          <w:color w:val="auto"/>
        </w:rPr>
      </w:pPr>
      <w:r>
        <w:rPr>
          <w:rFonts w:ascii="Arial" w:cs="Arial" w:eastAsia="Arial" w:hAnsi="Arial"/>
          <w:sz w:val="16"/>
          <w:szCs w:val="16"/>
          <w:color w:val="auto"/>
        </w:rPr>
        <w:t>As of September 30, 2013, our Railcar segment had a backlog of approximately 6,300 railcars, including approximately 3,970 railcars for lease customers. In response to changes in customer demand, our Railcar segment continues to adjust production rates at its railcar manufacturing facilities.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2013 and 2012</w:t>
      </w:r>
    </w:p>
    <w:p>
      <w:pPr>
        <w:spacing w:after="0" w:line="117" w:lineRule="exact"/>
        <w:rPr>
          <w:sz w:val="20"/>
          <w:szCs w:val="20"/>
          <w:color w:val="auto"/>
        </w:rPr>
      </w:pPr>
    </w:p>
    <w:p>
      <w:pPr>
        <w:ind w:right="180" w:firstLine="378"/>
        <w:spacing w:after="0" w:line="276" w:lineRule="auto"/>
        <w:rPr>
          <w:sz w:val="20"/>
          <w:szCs w:val="20"/>
          <w:color w:val="auto"/>
        </w:rPr>
      </w:pPr>
      <w:r>
        <w:rPr>
          <w:rFonts w:ascii="Arial" w:cs="Arial" w:eastAsia="Arial" w:hAnsi="Arial"/>
          <w:sz w:val="17"/>
          <w:szCs w:val="17"/>
          <w:color w:val="auto"/>
        </w:rPr>
        <w:t>Total manufacturing revenues, before elimination of railcar sales to our Railcar segment's leasing business, for the three months ended September 30, 2013 increased by $19 million (10%) over the comparable prior year period. The increase was primarily due to higher shipments of hopper and tank railcar shipments. Manufacturing revenues for the three months ended September 30, 2013 include revenues of $97 million relating to railcars built for our Railcar segment's leasing business, compared to $55 million for the comparable prior year period. The increase in railcars built for our Railcar segment's leasing business is primarily due to an increase in demand for tank railcar leases.</w:t>
      </w:r>
    </w:p>
    <w:p>
      <w:pPr>
        <w:spacing w:after="0" w:line="64" w:lineRule="exact"/>
        <w:rPr>
          <w:sz w:val="20"/>
          <w:szCs w:val="20"/>
          <w:color w:val="auto"/>
        </w:rPr>
      </w:pPr>
    </w:p>
    <w:p>
      <w:pPr>
        <w:jc w:val="both"/>
        <w:ind w:right="60" w:firstLine="378"/>
        <w:spacing w:after="0" w:line="302"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business, for the three months ended September 30, 2013 was $44 million compared to $35 million for the comparable prior year period. Gross margin from manufacturing operations as a percentage of manufacturing revenues was 21% for the three months ended September 30, 2013 compared to 19% for the comparable prior year period. The increase in gross margin percentage over the respective periods was primarily due to a shift in the sales mix to a higher concentration of tank railcars.</w:t>
      </w:r>
    </w:p>
    <w:p>
      <w:pPr>
        <w:spacing w:after="0" w:line="46"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Railcar leasing revenues increased for the three months ended September 30, 2013 as compared to the corresponding prior year period due to an increase in number of railcars leased to customers and an increase in the average lease rate. The lease fleet grew from approximately 2,320 railcars at September 30, 2012 to approximately 5,650 railcars at September 30,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2013 and 2012</w:t>
      </w:r>
    </w:p>
    <w:p>
      <w:pPr>
        <w:spacing w:after="0" w:line="117"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Total manufacturing revenues, before elimination of railcar sales to our Railcar segment's leasing business, for the nine months ended September 30, 2013 decreased by $6 million (1%) over the comparable prior year period. The decrease was primarily due to lower covered hopper railcar shipments, partially offset by higher tank railcar shipments, and lower revenues from certain material cost changes that are passed through to customers. The decrease was offset in part by a higher mix of tank railcars shipped, which generally sell at higher prices due to more material and labor content, and improved general market conditions for tank railcars. Manufacturing revenues for the nine months ended September 30, 2013 include revenues of $277 million relating to railcars built for our Railcar segment's leasing business, compared to $187 million for the comparable prior year period. The increase in railcars built for our Railcar segment's leasing business is primarily due to an increase in demand for tank railcar leases.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76" w:right="259" w:bottom="1440" w:gutter="0" w:footer="0" w:header="0"/>
        </w:sectPr>
      </w:pPr>
    </w:p>
    <w:bookmarkStart w:id="85" w:name="page86"/>
    <w:bookmarkEnd w:id="85"/>
    <w:p>
      <w:pPr>
        <w:jc w:val="both"/>
        <w:ind w:right="80" w:firstLine="378"/>
        <w:spacing w:after="0" w:line="302"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business, for the nine months ended September 30, 2013 was $134 million compared to $113 million for the comparable prior year period. Gross margin from manufacturing operations as a percentage of manufacturing revenues was 22% for the nine months ended September 30, 2013 compared to 18% for the comparable prior year period. The increase in gross margin percentage over the respective periods was primarily due to a shift in the sales mix to a higher concentration of tank railcars.</w:t>
      </w:r>
    </w:p>
    <w:p>
      <w:pPr>
        <w:spacing w:after="0" w:line="46" w:lineRule="exact"/>
        <w:rPr>
          <w:sz w:val="20"/>
          <w:szCs w:val="20"/>
          <w:color w:val="auto"/>
        </w:rPr>
      </w:pPr>
    </w:p>
    <w:p>
      <w:pPr>
        <w:jc w:val="both"/>
        <w:ind w:right="60" w:firstLine="378"/>
        <w:spacing w:after="0" w:line="277" w:lineRule="auto"/>
        <w:rPr>
          <w:sz w:val="20"/>
          <w:szCs w:val="20"/>
          <w:color w:val="auto"/>
        </w:rPr>
      </w:pPr>
      <w:r>
        <w:rPr>
          <w:rFonts w:ascii="Arial" w:cs="Arial" w:eastAsia="Arial" w:hAnsi="Arial"/>
          <w:sz w:val="18"/>
          <w:szCs w:val="18"/>
          <w:color w:val="auto"/>
        </w:rPr>
        <w:t>Railcar leasing revenues increased for the nine months ended September 30, 2013 as compared to the corresponding prior year period due to an increase in number of railcars leased to customers and an increase in the average lease rate, as noted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consolidated financial statements.</w:t>
      </w:r>
    </w:p>
    <w:p>
      <w:pPr>
        <w:spacing w:after="0" w:line="62" w:lineRule="exact"/>
        <w:rPr>
          <w:sz w:val="20"/>
          <w:szCs w:val="20"/>
          <w:color w:val="auto"/>
        </w:rPr>
      </w:pPr>
    </w:p>
    <w:p>
      <w:pPr>
        <w:ind w:right="660" w:firstLine="378"/>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Casino revenues are one of Tropicana's main performance indicators and account for a significant portion of its net revenues. The decrease in casino revenues for the three months ended September 30, 2013 as compared to the comparable prior year period was primarily due to a 6.8% decrease in consolidated gaming volumes, primarily due to lower gaming volumes at Tropicana Casino and Resort, Atlantic City ("Tropicana AC") and Belle of Baton Rouge Casino and Hotel ("Baton Rouge"). Tropicana's consolidated gaming hold percentage was 9.7% and 10.2% for the three months ended September 30, 2013 and 2012, respectively.</w:t>
      </w:r>
    </w:p>
    <w:p>
      <w:pPr>
        <w:spacing w:after="0" w:line="80"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The decrease in casino revenues for the nine months ended September 30, 2013 as compared to the comparable prior year period was primarily due to a 10.5% decrease in consolidated gaming volumes, primarily due to lower gaming volumes at Tropicana AC and Baton Rouge. Tropicana's consolidated gaming hold percentage was 9.9% for each of the nine months ended September 30, 2013 and 2012.</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revenues from Tropicana AC comprise approximately 47% and 50% of our Gaming segment's net revenues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and 2012, respectively, and 44% and 46% for the nine months ended September 30, 2013 and 2012, respectively. Based on market data,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Atlantic City market experienced year over year declines in casino win of 7.1% and 9.8% for the three and nine months ended September 30, 2013,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Tropicana AC's gaming results were negatively impacted by lower table games and slot volumes primarily due to the increased competition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coupled with the lingering effects of Super Storm Sandy which occurred in late October 2012. Although Tropicana AC did not suffer any significant damage,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severity of the property damage to a large portion of the Atlantic City feeder markets resulted in long term business interruption.</w:t>
      </w:r>
    </w:p>
    <w:p>
      <w:pPr>
        <w:spacing w:after="0" w:line="103"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Revenues from rooms decreased for the three months ended September 30, 2013 as compared to the corresponding prior year period. The average daily room rate and occupancy across all of Tropicana's gaming properties were $75 and 68%, respectively, for the three months ended September 30, 2013 as compared to $74 and 69%, respectively, for the comparable prior year period.</w:t>
      </w:r>
    </w:p>
    <w:p>
      <w:pPr>
        <w:spacing w:after="0" w:line="73"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Revenues from rooms decreased for the nine months ended September 30, 2013 as compared to the corresponding prior year period. The average daily room rate and occupancy across all of Tropicana's gaming properties were $69 and 62%, respectively, for the nine months ended September 30, 2013 as compared to $70 and 65%, respectively, for the comparable prior year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60" w:firstLine="378"/>
        <w:spacing w:after="0" w:line="308" w:lineRule="auto"/>
        <w:rPr>
          <w:sz w:val="20"/>
          <w:szCs w:val="20"/>
          <w:color w:val="auto"/>
        </w:rPr>
      </w:pPr>
      <w:r>
        <w:rPr>
          <w:rFonts w:ascii="Arial" w:cs="Arial" w:eastAsia="Arial" w:hAnsi="Arial"/>
          <w:sz w:val="17"/>
          <w:szCs w:val="17"/>
          <w:color w:val="auto"/>
        </w:rPr>
        <w:t>Viskase Companies, Inc. ("Viskase") currently operates eight manufacturing facilities and ten distribution centers throughout North America, Europe, South America and Asia and derives approximately 71% of total net sales from customers located outside the United States.</w:t>
      </w:r>
    </w:p>
    <w:p>
      <w:pPr>
        <w:spacing w:after="0" w:line="38"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Net sales for the three months ended September 30, 2013 increased by $9 million (10%) compared to the comparable prior year period. The increase was primarily due to an increase of $8 million attributable to volume and $1 million attributable to price and product mix and foreign currency translation.</w:t>
      </w:r>
    </w:p>
    <w:p>
      <w:pPr>
        <w:spacing w:after="0" w:line="16"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Cost of goods sold for the three months ended September 30, 2013 increased $8 million as compared to the comparable prior year period. The increase was due to growth in unit volume, slightly higher raw material costs and energy prices, partially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76" w:right="239" w:bottom="1440" w:gutter="0" w:footer="0" w:header="0"/>
        </w:sectPr>
      </w:pPr>
    </w:p>
    <w:bookmarkStart w:id="86" w:name="page87"/>
    <w:bookmarkEnd w:id="86"/>
    <w:p>
      <w:pPr>
        <w:ind w:right="80"/>
        <w:spacing w:after="0" w:line="264" w:lineRule="auto"/>
        <w:rPr>
          <w:sz w:val="20"/>
          <w:szCs w:val="20"/>
          <w:color w:val="auto"/>
        </w:rPr>
      </w:pPr>
      <w:r>
        <w:rPr>
          <w:rFonts w:ascii="Arial" w:cs="Arial" w:eastAsia="Arial" w:hAnsi="Arial"/>
          <w:sz w:val="18"/>
          <w:szCs w:val="18"/>
          <w:color w:val="auto"/>
        </w:rPr>
        <w:t>offset by exchange rates and improved manufacturing efficiencies. Gross margin as a percent of net sales was 22% and 23% for the three months ended September 30, 2013 and 2012, respectively. The slight decrease in the gross margin as a percent of net sales over the comparable period was primarily due to sales mix.</w:t>
      </w:r>
    </w:p>
    <w:p>
      <w:pPr>
        <w:spacing w:after="0" w:line="73"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Net sales for the nine months ended September 30, 2013 increased by $21 million (8%) compared to the comparable prior year period. The increase was due to an increase of $19 million attributable to volume and $3 million attributable to price and product mix, offset in part by $1 million attributable to foreign currency translation.</w:t>
      </w:r>
    </w:p>
    <w:p>
      <w:pPr>
        <w:spacing w:after="0" w:line="73"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Cost of goods sold for the nine months ended September 30, 2013 increased $15 million as compared to the comparable prior year period. The increase was due to growth in unit volume, higher raw material costs and energy prices, higher pension and depreciation expense, partially offset by exchange rates and improved manufacturing efficiencies. Gross margin as a percent of net sales was 24% and 23% for the nine months ended September 30, 2013 and 2012, respectively. The slight improvement in the gross margin as a percent of net sales over the comparable period was primarily due to sales mix and improved manufacturing efficiencies.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jc w:val="both"/>
        <w:ind w:right="240" w:firstLine="378"/>
        <w:spacing w:after="0" w:line="286" w:lineRule="auto"/>
        <w:rPr>
          <w:sz w:val="20"/>
          <w:szCs w:val="20"/>
          <w:color w:val="auto"/>
        </w:rPr>
      </w:pPr>
      <w:r>
        <w:rPr>
          <w:rFonts w:ascii="Arial" w:cs="Arial" w:eastAsia="Arial" w:hAnsi="Arial"/>
          <w:sz w:val="17"/>
          <w:szCs w:val="17"/>
          <w:color w:val="auto"/>
        </w:rPr>
        <w:t>Real Estate revenues and expenses include results from resort operations, sales of residential units and rental income and expenses, including income from financing leases. Sales of residential units are included in net sales in our consolidated financial statements. Results from resort and rental operations, including financing lease income, are included in other revenues from operations in our consolidated financial statements.</w:t>
      </w:r>
    </w:p>
    <w:p>
      <w:pPr>
        <w:spacing w:after="0" w:line="5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Revenue from our real estate operations for each of the three and nine months ended September 30, 2013 and 2012 were substantially derived from our resort and rental operations. Revenue from sales of residential units in our real estate development operations represent 0% and 4% of total Real Estate revenues for the three months ended September 30, 2013 and 2012, respectively, and 3% and 6% for the nine months ended September 30, 2013 and 2012,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80" w:firstLine="378"/>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the macroeconomic conditions, we cannot predict if WPH's financial performance will continue to improve.</w:t>
      </w:r>
    </w:p>
    <w:p>
      <w:pPr>
        <w:spacing w:after="0" w:line="63" w:lineRule="exact"/>
        <w:rPr>
          <w:sz w:val="20"/>
          <w:szCs w:val="20"/>
          <w:color w:val="auto"/>
        </w:rPr>
      </w:pPr>
    </w:p>
    <w:p>
      <w:pPr>
        <w:ind w:right="200" w:firstLine="378"/>
        <w:spacing w:after="0" w:line="293" w:lineRule="auto"/>
        <w:rPr>
          <w:sz w:val="20"/>
          <w:szCs w:val="20"/>
          <w:color w:val="auto"/>
        </w:rPr>
      </w:pPr>
      <w:r>
        <w:rPr>
          <w:rFonts w:ascii="Arial" w:cs="Arial" w:eastAsia="Arial" w:hAnsi="Arial"/>
          <w:sz w:val="16"/>
          <w:szCs w:val="16"/>
          <w:color w:val="auto"/>
        </w:rPr>
        <w:t>Net sales for the three months ended September 30, 2013 decreased by $8 million (15%) compared to the comparable prior year period. The decrease was primarily due to a decrease in sales volume resulting from the effects of exiting certain unprofitable programs. Cost of goods sold for the three months ended September 30, 2013 decreased by $9 million (19%) compared to the comparable prior year period. The decrease was primarily due to lower sales volume. Gross margin for the three months ended September 30, 2013 decreased by $1 million (17%) compared to the comparable prior year period. Gross margin as a percentage of net sales was 16% for the three months ended September 30, 2013 as compared to 11% for the comparable prior year period. The improvement in gross margin as a percentage of net sales was primarily due to the effects of exiting certain unprofitable programs.</w:t>
      </w:r>
    </w:p>
    <w:p>
      <w:pPr>
        <w:spacing w:after="0" w:line="57"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Net sales for the nine months ended September 30, 2013 decreased by $32 million (18%) compared to the comparable prior year period. The decrease was primarily due to a decrease in sales volume resulting from the effects of exiting certain unprofitable programs. Cost of goods sold for the nine months ended September 30, 2013 decreased by $32 million (21%) compared to the comparable prior year period. The decrease was primarily due to lower sales volume. Gross margin for the nine months ended September 30, 2013 was at the same level as the comparable prior year period. Gross margin as a percentage of net sales was 12% for the nine months ended September 30, 2013 as compared to 10% for the comparable prior year period. The improvement in gross margin as a percentage of net sales was due to the effects of exiting certain unprofitable programs.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229"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Our consolidated other income (loss), net for the three months ended September 30, 2013 and 2012 was $82 million and $(171) million, respectively, and for the nine months ended September 30, 2013 and 2012 was $130 million and $(162) million, respectively. Included in our consolidated other income (loss), net are gains and losses related to certain of our derivatives. See Note 6, "Financial Instruments," and Note 16, "Other Income (Loss), Net," to the consolidated financial statements for further discussion.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76"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Our consolidated selling, general and administrative ("SG&amp;A") for the three months ended September 30, 2013 increased by $83 million (29%) as compared to the comparable prior year period. The increase was primarily due to an increase of $37 million for our Investment segment for the three months ended September 30, 2013 as compared to the corresponding prior year period due to an increase in compensation expense as a result of certain fund performance during the three months ended September 30, 2013 and an increase of $53 million related to our Automotive segment primarily due to the recognition of an OPEB curtailment gain of $51 million during the third quarter of 2012.</w:t>
      </w:r>
    </w:p>
    <w:p>
      <w:pPr>
        <w:spacing w:after="0" w:line="64" w:lineRule="exact"/>
        <w:rPr>
          <w:sz w:val="20"/>
          <w:szCs w:val="20"/>
          <w:color w:val="auto"/>
        </w:rPr>
      </w:pPr>
    </w:p>
    <w:p>
      <w:pPr>
        <w:ind w:right="80" w:firstLine="378"/>
        <w:spacing w:after="0" w:line="289" w:lineRule="auto"/>
        <w:rPr>
          <w:sz w:val="20"/>
          <w:szCs w:val="20"/>
          <w:color w:val="auto"/>
        </w:rPr>
      </w:pPr>
      <w:r>
        <w:rPr>
          <w:rFonts w:ascii="Arial" w:cs="Arial" w:eastAsia="Arial" w:hAnsi="Arial"/>
          <w:sz w:val="16"/>
          <w:szCs w:val="16"/>
          <w:color w:val="auto"/>
        </w:rPr>
        <w:t>Our consolidated SG&amp;A for the nine months ended September 30, 2013 increased by $120 million (13%) as compared to the comparable prior year period. The increase was primarily due to an increase of $32 million of SG&amp;A related to our Energy segment for the nine months ended September 30, 2013 for which there are limited comparable results in the comparable prior year period as we consolidated CVR effective May 4, 2012. In addition, SG&amp;A increased by $66 million for our Investment segment for the nine months ended September 30, 2013 as compared to the corresponding prior year period due to an increase in compensation expense as a result of certain fund performance during the nine months ended September 30, 2013, increase of $40 million related to the SG&amp;A expenses of our Automotive segment, which included a net decrease of OPEB curtailment gains of $32 million over the respective periods (the effect of which represents an increase in SG&amp;A over the comparable periods). This was offset in part by a decrease of $14 million related to SG&amp;A expenses of our Gaming segment primarily due to certain cost cutting measures and decrease in real estate taxes due to a favorable tax settlement and a decrease in our Home Fashion segment of $5 million primarily due to cost cutting measures.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80" w:firstLine="378"/>
        <w:spacing w:after="0" w:line="286" w:lineRule="auto"/>
        <w:rPr>
          <w:sz w:val="20"/>
          <w:szCs w:val="20"/>
          <w:color w:val="auto"/>
        </w:rPr>
      </w:pPr>
      <w:r>
        <w:rPr>
          <w:rFonts w:ascii="Arial" w:cs="Arial" w:eastAsia="Arial" w:hAnsi="Arial"/>
          <w:sz w:val="17"/>
          <w:szCs w:val="17"/>
          <w:color w:val="auto"/>
        </w:rPr>
        <w:t>Our consolidated restructuring costs were $5 million and $5 million for the three months ended September 30, 2013 and 2012, respectively, which were primarily attributable to our Automotive segment in each of the respective periods. During the three months ended September 30, 2013 and 2012, our Automotive segment recorded $4 million and $5 million in restructuring charges, respectively, as further discussed below.</w:t>
      </w:r>
    </w:p>
    <w:p>
      <w:pPr>
        <w:spacing w:after="0" w:line="57" w:lineRule="exact"/>
        <w:rPr>
          <w:sz w:val="20"/>
          <w:szCs w:val="20"/>
          <w:color w:val="auto"/>
        </w:rPr>
      </w:pPr>
    </w:p>
    <w:p>
      <w:pPr>
        <w:jc w:val="both"/>
        <w:ind w:right="280" w:firstLine="378"/>
        <w:spacing w:after="0" w:line="286" w:lineRule="auto"/>
        <w:rPr>
          <w:sz w:val="20"/>
          <w:szCs w:val="20"/>
          <w:color w:val="auto"/>
        </w:rPr>
      </w:pPr>
      <w:r>
        <w:rPr>
          <w:rFonts w:ascii="Arial" w:cs="Arial" w:eastAsia="Arial" w:hAnsi="Arial"/>
          <w:sz w:val="17"/>
          <w:szCs w:val="17"/>
          <w:color w:val="auto"/>
        </w:rPr>
        <w:t>Our consolidated restructuring costs were $22 million and $21 million for the nine months ended September 30, 2013 and 2012, respectively, which were primarily attributable to our Automotive segment in each of the respective periods. During the nine months ended September 30, 2013 and 2012, our Automotive segment recorded $20 million and $19 million in restructuring charges, respectively, as further discussed below.</w:t>
      </w:r>
    </w:p>
    <w:p>
      <w:pPr>
        <w:spacing w:after="0" w:line="57"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$79 million, of which $62 million and $17 million pertains to employee costs and facility costs, respectively. In connection with Restructuring 2013, Federal-Mogul recorded $3 million and $19 million in restructuring charges for the three and nine months ended September 30, 2013, respectively, all of which pertain to employee costs. The restructuring charges for the three and nine months ended September 30, 2012 were primarily related to other restructuring charges resulting from certain headcount reduction actions.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0" w:firstLine="378"/>
        <w:spacing w:after="0" w:line="293" w:lineRule="auto"/>
        <w:rPr>
          <w:sz w:val="20"/>
          <w:szCs w:val="20"/>
          <w:color w:val="auto"/>
        </w:rPr>
      </w:pPr>
      <w:r>
        <w:rPr>
          <w:rFonts w:ascii="Arial" w:cs="Arial" w:eastAsia="Arial" w:hAnsi="Arial"/>
          <w:sz w:val="16"/>
          <w:szCs w:val="16"/>
          <w:color w:val="auto"/>
        </w:rPr>
        <w:t>Interest expense for both Icahn Enterprises and Icahn Enterprises Holdings during the three months ended September 30, 2013 decreased by $7 million (5%) as compared the corresponding prior year period. The decrease was primarily due to the expiration of unfavorable interest rate swaps at our Automotive segment in the first quarter of 2013, lower interest expense incurred by our Railcar segment as a result of a lower interest rate secured on its lease fleet financing and lower average debt balance due to the voluntary early redemption of its senior unsecured notes, offset in part by higher interest expense incurred by our Holding Company as a result of net higher interest rate incurred on certain debt issued in the third quarter of 2013 (our variable rate notes matured on August 15, 2013) and higher interest expense incurred by our Investment segment attributable to higher due to broker balances.</w:t>
      </w:r>
    </w:p>
    <w:p>
      <w:pPr>
        <w:spacing w:after="0" w:line="57" w:lineRule="exact"/>
        <w:rPr>
          <w:sz w:val="20"/>
          <w:szCs w:val="20"/>
          <w:color w:val="auto"/>
        </w:rPr>
      </w:pPr>
    </w:p>
    <w:p>
      <w:pPr>
        <w:ind w:right="120" w:firstLine="378"/>
        <w:spacing w:after="0" w:line="291" w:lineRule="auto"/>
        <w:rPr>
          <w:sz w:val="20"/>
          <w:szCs w:val="20"/>
          <w:color w:val="auto"/>
        </w:rPr>
      </w:pPr>
      <w:r>
        <w:rPr>
          <w:rFonts w:ascii="Arial" w:cs="Arial" w:eastAsia="Arial" w:hAnsi="Arial"/>
          <w:sz w:val="16"/>
          <w:szCs w:val="16"/>
          <w:color w:val="auto"/>
        </w:rPr>
        <w:t>Interest expense for both Icahn Enterprises and Icahn Enterprises Holdings during the nine months ended September 30, 2013 increased by $7 million (2%) as compared the corresponding prior year period. The increase was primarily due to the inclusion of interest expense related to CVR's debt effective May 4, 2012, higher interest expense incurred on certain Holding Company debt issued during the third quarter of 2012 and net higher interest rate incurred on certain debt issued in the third quarter of 2013 (our variable rate notes matured on August 15, 2013), higher interest expense incurred by our Investment segment attributable to due to higher broker balances, offset in part by lower interest expense incurred by our Automotive segment as a result of the expiration of certain interest swaps during the first quarter of 2013, lower interest expense incurred by our Railcar segment as a result of a lower interest rate secured on its lease fleet financing and lower average debt balance due to the voluntary early redemption of its senior unsecured notes.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72"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20" w:firstLine="378"/>
        <w:spacing w:after="0" w:line="312" w:lineRule="auto"/>
        <w:rPr>
          <w:sz w:val="20"/>
          <w:szCs w:val="20"/>
          <w:color w:val="auto"/>
        </w:rPr>
      </w:pPr>
      <w:r>
        <w:rPr>
          <w:rFonts w:ascii="Arial" w:cs="Arial" w:eastAsia="Arial" w:hAnsi="Arial"/>
          <w:sz w:val="16"/>
          <w:szCs w:val="16"/>
          <w:color w:val="auto"/>
        </w:rPr>
        <w:t>For the three months ended September 30, 2013, both Icahn Enterprises and Icahn Enterprises Holdings recorded an income tax expense of $57 million on pre-tax income of $1,277 million compared to an income tax expense of $110 million on pre-tax income of $209 million for the three months ended September 30, 2012. Our effective income tax rate was 4.5% and 52.6% for the three months ended September 30, 2013 and 2012, respectively.</w:t>
      </w:r>
    </w:p>
    <w:p>
      <w:pPr>
        <w:spacing w:after="0" w:line="39" w:lineRule="exact"/>
        <w:rPr>
          <w:sz w:val="20"/>
          <w:szCs w:val="20"/>
          <w:color w:val="auto"/>
        </w:rPr>
      </w:pPr>
    </w:p>
    <w:p>
      <w:pPr>
        <w:ind w:right="300" w:firstLine="378"/>
        <w:spacing w:after="0" w:line="259" w:lineRule="auto"/>
        <w:rPr>
          <w:sz w:val="20"/>
          <w:szCs w:val="20"/>
          <w:color w:val="auto"/>
        </w:rPr>
      </w:pPr>
      <w:r>
        <w:rPr>
          <w:rFonts w:ascii="Arial" w:cs="Arial" w:eastAsia="Arial" w:hAnsi="Arial"/>
          <w:sz w:val="18"/>
          <w:szCs w:val="18"/>
          <w:color w:val="auto"/>
        </w:rPr>
        <w:t>For the three months ended September 30, 2013, the difference between the effective tax rate and statutory federal rate of 35% is primarily due to partnership loss not subject to taxation, as such taxes are the responsibility of the partners. For the three months ended September 30, 2012, the difference between the effective tax rate and statutory federal rate of 35% is primarily due to changes in valuation allowances and partnership income not subject to taxation, as such taxes are the responsibility of the partners.</w:t>
      </w:r>
    </w:p>
    <w:p>
      <w:pPr>
        <w:spacing w:after="0" w:line="79"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For the nine months ended September 30, 2013, both Icahn Enterprises and Icahn Enterprises Holdings recorded an income tax expense of $274 million on pre-tax income of $2,265 million compared to an income tax benefit of $21 million on pre-tax income of $640 million for the nine months ended September 30, 2012. Our effective income tax rate was 12.1% and (3.3)% for the nine months ended September 30, 2013 and 2012, respectively.</w:t>
      </w:r>
    </w:p>
    <w:p>
      <w:pPr>
        <w:spacing w:after="0" w:line="3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For the nine months ended September 30, 2013, the difference between the effective tax rate and statutory federal rate of 35% is primarily due to partnership income not subject to taxation, as such taxes are the responsibility of the partners. For the nine months ended September 30, 2012, the difference between the effective tax rate and statutory federal rate of 35% is primarily due to changes in valuation allowances and partnership income not subject to taxation, as such taxes are the responsibility of the partners.</w:t>
      </w:r>
    </w:p>
    <w:p>
      <w:pPr>
        <w:spacing w:after="0" w:line="79"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Icahn Enterprises and Icahn Enterprises Holdings recognized an income tax expense on its pre-tax earnings for the nine months ended September 30, 2013 as compared to an income tax benefit on its pre-tax earnings for the nine months ended September 30, 2012 primarily due to the reversal of $159 million of the valuation allowance on deferred tax assets by American Entertainment Properties Corp. ("AEP"), an indirect subsidiary of ours during the nine months ended September 30, 2012. Specifically, in February, 2012, pursuant to a tax-free reorganization, WestPoint Home Inc. merged into a newly formed single member limited liability company, WPH, an entity owned by AEP. WPH constitutes our Home Fashion segment. Also, on May 4, 2012, AEP acquired a controlling interest in CVR. In recording this reversal, AEP evaluated all positive and negative evidence associated with its deferred tax assets, primarily as a result of the change in estimated future earnings from the acquisition of CVR, and concluded it was more likely than not that a portion of the federal net operating loss carryforward related to our Home Fashion segment would be realized.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September 30, 2013, the Holding Company had investments in the Investment Funds with a total fair market value of approximately $3.6 billion.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2013, our Holding Company had cash and cash equivalents of approximately $1.0 billion and total debt of approximately $4.0 billion.</w:t>
      </w:r>
    </w:p>
    <w:p>
      <w:pPr>
        <w:spacing w:after="0" w:line="126" w:lineRule="exact"/>
        <w:rPr>
          <w:sz w:val="20"/>
          <w:szCs w:val="20"/>
          <w:color w:val="auto"/>
        </w:rPr>
      </w:pPr>
    </w:p>
    <w:p>
      <w:pPr>
        <w:ind w:right="40" w:firstLine="378"/>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58"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As of September 30, 2013 based on covenants in the indenture governing our senior notes, we could incur approximately $2.7 billion in additional indebtedness. See Note 10, “Debt,” to the consolidated financial statements for additional information concerning credit facilities for us and our subsidiaries.</w:t>
      </w:r>
    </w:p>
    <w:p>
      <w:pPr>
        <w:spacing w:after="0" w:line="16" w:lineRule="exact"/>
        <w:rPr>
          <w:sz w:val="20"/>
          <w:szCs w:val="20"/>
          <w:color w:val="auto"/>
        </w:rPr>
      </w:pPr>
    </w:p>
    <w:p>
      <w:pPr>
        <w:jc w:val="both"/>
        <w:ind w:right="260" w:firstLine="378"/>
        <w:spacing w:after="0" w:line="259" w:lineRule="auto"/>
        <w:rPr>
          <w:sz w:val="20"/>
          <w:szCs w:val="20"/>
          <w:color w:val="auto"/>
        </w:rPr>
      </w:pPr>
      <w:r>
        <w:rPr>
          <w:rFonts w:ascii="Arial" w:cs="Arial" w:eastAsia="Arial" w:hAnsi="Arial"/>
          <w:sz w:val="18"/>
          <w:szCs w:val="18"/>
          <w:color w:val="auto"/>
        </w:rPr>
        <w:t>On January 24, 2013, the board of directors of CVR adopted a quarterly cash dividend policy. Subject to declaration by its Board of Directors, CVR's quarterly dividend is expected to be $0.75 per share, or $3.00 per share on an annualized basis, which it began paying in the second quarter of 2013. As we currently own approximately 82% of the common shares of CVR, the majority of CVR's dividend will directly upstream to us. For the nine months ended September 30, 2013 we received $961</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2" w:right="239" w:bottom="1440" w:gutter="0" w:footer="0" w:header="0"/>
        </w:sectPr>
      </w:pPr>
    </w:p>
    <w:bookmarkStart w:id="89" w:name="page90"/>
    <w:bookmarkEnd w:id="89"/>
    <w:p>
      <w:pPr>
        <w:ind w:right="120"/>
        <w:spacing w:after="0" w:line="279" w:lineRule="auto"/>
        <w:rPr>
          <w:sz w:val="20"/>
          <w:szCs w:val="20"/>
          <w:color w:val="auto"/>
        </w:rPr>
      </w:pPr>
      <w:r>
        <w:rPr>
          <w:rFonts w:ascii="Arial" w:cs="Arial" w:eastAsia="Arial" w:hAnsi="Arial"/>
          <w:sz w:val="17"/>
          <w:szCs w:val="17"/>
          <w:color w:val="auto"/>
        </w:rPr>
        <w:t>million in dividends from CVR, including two special dividends declared as discussed below. In addition, for the nine months ended September 30, 2013 we received $8 million in dividends from CVR Refining. Subsequent to September 30, 2013, CVR declared a quarterly dividend which will result in an additional aggregate $53 million payable to us in the fourth quarter of 2013. In addition, subsequent to September 30, 2013, CVR Refining declared a quarterly distribution which will result in an additional aggregate $2 million payable to us in the fourth quarter of 2013.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November 1, 2013, the Board of Directors of the general partner of Icahn Enterprises declared a quarterly distribution in the amount of $1.25 per depositary unit, which will be paid on or about January 13, 2014 to depositary unit holders of record at the close of business on November 14, 2013. Depositary unit holders will have until December 9, 2013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20 consecutive trading days ending January 8, 2014.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August 6, 2013, the Board of Directors of the general partner of Icahn Enterprises declared a quarterly distribution in the amount of $1.25 per depositary unit, which was paid on October 9, 2013 to depositary unit holders of record at the close of business on August 16, 2013. Depositary unit holders had until September 6, 2013 to make an election to receive either cash or additional depositary units; if a holder did not make an election, it was automatically deemed to have elected to receive the distribution in cash. Depositary unit holders who elected to receive additional depositary units received units valued at the volume weighted average trading price of the units on NASDAQ during the 20 consecutive trading days ending October 4, 2013. No fractional depositary units were issued pursuant to the distribution payment. Icahn Enterprises made a cash payment in lieu of issuing fractional depositary units to any holders electing to receive depositary units. Any holders that were only eligible to receive a fraction of a depositary unit based on the above calculation received a cash payment.</w:t>
      </w:r>
    </w:p>
    <w:p>
      <w:pPr>
        <w:spacing w:after="0" w:line="84"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On April 29, 2013, the Board of Directors of the general partner of Icahn Enterprises declared a quarterly distribution in the amount of $1.00 per depositary unit, which was paid on July 5, 2013 to depositary unit holders of record at the close of business on May 13, 2013. Depositary unit holders had until June 3, 2013 to make an election to receive either cash or additional depositary units; if a holder did not make an election, it was automatically deemed to have elected to receive the distribution in cash. Depositary unit holders who elected to receive additional depositary units received units valued at the volume weighted average trading price of the units on NASDAQ during the 20 consecutive trading days ending July 1, 2013. No fractional depositary units were issued pursuant to the distribution payment. Icahn Enterprises made a cash payment in lieu of issuing fractional depositary units to any holders electing to receive depositary units. Any holders that would only be eligible to receive a fraction of a depositary unit based on the above calculation received a cash payment.</w:t>
      </w:r>
    </w:p>
    <w:p>
      <w:pPr>
        <w:spacing w:after="0" w:line="84" w:lineRule="exact"/>
        <w:rPr>
          <w:sz w:val="20"/>
          <w:szCs w:val="20"/>
          <w:color w:val="auto"/>
        </w:rPr>
      </w:pPr>
    </w:p>
    <w:p>
      <w:pPr>
        <w:ind w:right="80" w:firstLine="378"/>
        <w:spacing w:after="0" w:line="254" w:lineRule="auto"/>
        <w:rPr>
          <w:sz w:val="20"/>
          <w:szCs w:val="20"/>
          <w:color w:val="auto"/>
        </w:rPr>
      </w:pPr>
      <w:r>
        <w:rPr>
          <w:rFonts w:ascii="Arial" w:cs="Arial" w:eastAsia="Arial" w:hAnsi="Arial"/>
          <w:sz w:val="18"/>
          <w:szCs w:val="18"/>
          <w:color w:val="auto"/>
        </w:rPr>
        <w:t>On February 10, 2013, the Board of Directors of the general partner of Icahn Enterprises declared a quarterly distribution in the amount of $1.00 per depositary unit, which was paid on April 15, 2013 to depositary unit holders of record at the close of business on February 21, 2013. Depositary unit holders had until March 14, 2013 to make an election to receive either cash or additional depositary units; if a holder did not make an election, it was automatically deemed to have elected to receive the distribution in cash. Depositary unit holders that elected to receive additional depositary units received units valued at the volume weighted average trading price of the units on NASDAQ during the 20 consecutive trading days immediately following the election deadline. No fractional depositary units were issued pursuant to the distribution payment. Icahn Enterprises made a cash payment in lieu of issuing fractional depositary units to holders electing to receive depositary units. Any holders that were only eligible to receive a fraction of a depositary unit based on the above calculation received a cash payment.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117" w:lineRule="exact"/>
        <w:rPr>
          <w:sz w:val="20"/>
          <w:szCs w:val="20"/>
          <w:color w:val="auto"/>
        </w:rPr>
      </w:pPr>
    </w:p>
    <w:p>
      <w:pPr>
        <w:jc w:val="both"/>
        <w:ind w:right="620" w:firstLine="378"/>
        <w:spacing w:after="0" w:line="264" w:lineRule="auto"/>
        <w:rPr>
          <w:sz w:val="20"/>
          <w:szCs w:val="20"/>
          <w:color w:val="auto"/>
        </w:rPr>
      </w:pPr>
      <w:r>
        <w:rPr>
          <w:rFonts w:ascii="Arial" w:cs="Arial" w:eastAsia="Arial" w:hAnsi="Arial"/>
          <w:sz w:val="18"/>
          <w:szCs w:val="18"/>
          <w:color w:val="auto"/>
        </w:rPr>
        <w:t>On February 28, 2013, Icahn Enterprises entered into an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w:t>
      </w:r>
    </w:p>
    <w:p>
      <w:pPr>
        <w:spacing w:after="0" w:line="73"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On June 12, 2013, Icahn Enterprises entered into an underwriting agreement with Credit Suisse Securities (USA) LLC, UBS Securities LLC, Jefferies LLC, Citigroup Global Markets Inc., Oppenheimer &amp; Co. Inc., Keefe, Bruyette &amp; Woods, Inc., Wunderlich Securities, Inc. and KeyBanc Capital Markets Inc. providing for the issuance and purchase of an aggregate of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76" w:right="259" w:bottom="1440" w:gutter="0" w:footer="0" w:header="0"/>
        </w:sectPr>
      </w:pPr>
    </w:p>
    <w:bookmarkStart w:id="90" w:name="page91"/>
    <w:bookmarkEnd w:id="90"/>
    <w:p>
      <w:pPr>
        <w:ind w:right="380"/>
        <w:spacing w:after="0" w:line="277" w:lineRule="auto"/>
        <w:rPr>
          <w:sz w:val="20"/>
          <w:szCs w:val="20"/>
          <w:color w:val="auto"/>
        </w:rPr>
      </w:pPr>
      <w:r>
        <w:rPr>
          <w:rFonts w:ascii="Arial" w:cs="Arial" w:eastAsia="Arial" w:hAnsi="Arial"/>
          <w:sz w:val="18"/>
          <w:szCs w:val="18"/>
          <w:color w:val="auto"/>
        </w:rPr>
        <w:t>1,600,000 depositary units representing limited partner interests in Icahn Enterprises at a price to the public of $75.54 per depositary unit. The depositary units were delivered to the unitholders on June 17, 2013.</w:t>
      </w:r>
    </w:p>
    <w:p>
      <w:pPr>
        <w:spacing w:after="0" w:line="62" w:lineRule="exact"/>
        <w:rPr>
          <w:sz w:val="20"/>
          <w:szCs w:val="20"/>
          <w:color w:val="auto"/>
        </w:rPr>
      </w:pPr>
    </w:p>
    <w:p>
      <w:pPr>
        <w:jc w:val="both"/>
        <w:ind w:right="540" w:firstLine="378"/>
        <w:spacing w:after="0" w:line="279" w:lineRule="auto"/>
        <w:rPr>
          <w:sz w:val="20"/>
          <w:szCs w:val="20"/>
          <w:color w:val="auto"/>
        </w:rPr>
      </w:pPr>
      <w:r>
        <w:rPr>
          <w:rFonts w:ascii="Arial" w:cs="Arial" w:eastAsia="Arial" w:hAnsi="Arial"/>
          <w:sz w:val="17"/>
          <w:szCs w:val="17"/>
          <w:color w:val="auto"/>
        </w:rPr>
        <w:t>Aggregate proceeds from these equity offerings was $311 million during the nine months ended September 30, 2013 after deducting underwriting discounts, commissions and other offering related fees and expenses. Additionally, in connection with these equity offerings, our general partner made aggregate contribution of $6 million to Icahn Enterprises and Icahn Enterprises Holdings during the nine months ended September 30, 2013 in order to maintain its 1% general partner interest in each of Icahn Enterprises and Icahn Enterprises Holdings.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Offering</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August 1, 2013, we issued $500 million aggregate principal amount of Senior Notes due 2020 (the “2020 Notes”) in private placement not registered under the Securities Act of 1933, as amended. The proceeds from the offering will be used for general partnership purposes.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Icahn Enterprises</w:t>
            </w:r>
          </w:p>
        </w:tc>
        <w:tc>
          <w:tcPr>
            <w:tcW w:w="160" w:type="dxa"/>
            <w:vAlign w:val="bottom"/>
          </w:tcPr>
          <w:p>
            <w:pPr>
              <w:spacing w:after="0"/>
              <w:rPr>
                <w:sz w:val="24"/>
                <w:szCs w:val="24"/>
                <w:color w:val="auto"/>
              </w:rPr>
            </w:pPr>
          </w:p>
        </w:tc>
        <w:tc>
          <w:tcPr>
            <w:tcW w:w="29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5"/>
          </w:tcPr>
          <w:p>
            <w:pPr>
              <w:jc w:val="center"/>
              <w:ind w:right="2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290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senior unsecured notes due 2020 - Icahn Enterprises/Icahn</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8% senior unsecured notes due 2018 - Icahn Enterprises/Icahn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Senior unsecured variable rate convertible notes due 2013 - 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Enterprises/Icahn Enterprises Holdings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Energy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Senior unsecured notes and secured term loan facility - Railcar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Gaming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payable -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38"/>
        <w:spacing w:after="0" w:line="277" w:lineRule="auto"/>
        <w:rPr>
          <w:sz w:val="20"/>
          <w:szCs w:val="20"/>
          <w:color w:val="auto"/>
        </w:rPr>
      </w:pPr>
      <w:r>
        <w:rPr>
          <w:rFonts w:ascii="Arial" w:cs="Arial" w:eastAsia="Arial" w:hAnsi="Arial"/>
          <w:sz w:val="18"/>
          <w:szCs w:val="18"/>
          <w:color w:val="auto"/>
        </w:rPr>
        <w:t>See Note 10, “Debt,” to the consolidated financial statements contained elsewhere in this Report for additional information concerning terms, restrictions and covenants of our debt. As of September 30, 2013,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Except as discussed below, there have been no material changes to our contractual commitments and contingencies as compared to those reported in our Annual Report on Form 10-K for the year ended December 31, 2012</w:t>
      </w:r>
      <w:r>
        <w:rPr>
          <w:rFonts w:ascii="Arial" w:cs="Arial" w:eastAsia="Arial" w:hAnsi="Arial"/>
          <w:sz w:val="18"/>
          <w:szCs w:val="18"/>
          <w:b w:val="1"/>
          <w:bCs w:val="1"/>
          <w:color w:val="auto"/>
        </w:rPr>
        <w:t>.</w:t>
      </w:r>
    </w:p>
    <w:p>
      <w:pPr>
        <w:spacing w:after="0" w:line="62"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On August 1, 2013, we issued $500 million aggregate principal amount of Senior Notes due 2020 (the “2020 Notes”) in a private placement not registered under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91" w:name="page92"/>
    <w:bookmarkEnd w:id="91"/>
    <w:p>
      <w:pPr>
        <w:ind w:left="420"/>
        <w:spacing w:after="0"/>
        <w:rPr>
          <w:sz w:val="20"/>
          <w:szCs w:val="20"/>
          <w:color w:val="auto"/>
        </w:rPr>
      </w:pPr>
      <w:r>
        <w:rPr>
          <w:rFonts w:ascii="Arial" w:cs="Arial" w:eastAsia="Arial" w:hAnsi="Arial"/>
          <w:sz w:val="16"/>
          <w:szCs w:val="16"/>
          <w:color w:val="auto"/>
        </w:rPr>
        <w:t>In April 2013, AEP Leasing entered into an agreement ("ACF Agreement") with ACF whereby AEP Leasing will purchase 1,050 railcars from ACF in</w:t>
      </w:r>
    </w:p>
    <w:p>
      <w:pPr>
        <w:spacing w:after="0" w:line="46"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2013 and 2014 for an aggregate purchase price of approximately $150 million. See Note 3, "Related Party Transactions - Railcar," to the consolidated financial statements for further discussion.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refer to Note 6, “Financial Instruments,” to the consolidated financial statements contained elsewhere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cash flow information for the nine months ended September 30, 2013 and cash and cash equivalents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for Icahn Enterprises' operating segments and the Holding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Nine Months Ended September 30, 2013</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Provided By (Used In)</w:t>
            </w: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September 30, 2013</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8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958</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The consolidated cash flows of Icahn Enterprises and Icahn Enterprises Holdings are substantially the same. The immaterial differences between Icahn Enterprises' and Icahn Enterprises Holdings' consolidated statements of cash flows primarily relate to non-cash charges for interest expense which is included in net cash provided by operating activities. Therefore, we discuss only the consolidated cash flows of Icahn Enterprises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378"/>
        <w:spacing w:after="0" w:line="286" w:lineRule="auto"/>
        <w:rPr>
          <w:sz w:val="20"/>
          <w:szCs w:val="20"/>
          <w:color w:val="auto"/>
        </w:rPr>
      </w:pPr>
      <w:r>
        <w:rPr>
          <w:rFonts w:ascii="Arial" w:cs="Arial" w:eastAsia="Arial" w:hAnsi="Arial"/>
          <w:sz w:val="17"/>
          <w:szCs w:val="17"/>
          <w:color w:val="auto"/>
        </w:rPr>
        <w:t>Net cash provided by operating activities for the nine months ended September 30, 2013 of $314 million was primarily attributable to our Energy, Automotive and Railcar segments which had net cash provided by operating activities of $274 million, $258 million and $109 million, respectively, primarily due to earnings before depreciation and amortization for each segment offset in part by changes in operating assets and liabilities.</w:t>
      </w:r>
    </w:p>
    <w:p>
      <w:pPr>
        <w:spacing w:after="0" w:line="57" w:lineRule="exact"/>
        <w:rPr>
          <w:sz w:val="20"/>
          <w:szCs w:val="20"/>
          <w:color w:val="auto"/>
        </w:rPr>
      </w:pPr>
    </w:p>
    <w:p>
      <w:pPr>
        <w:ind w:right="520" w:firstLine="378"/>
        <w:spacing w:after="0" w:line="342" w:lineRule="auto"/>
        <w:rPr>
          <w:sz w:val="20"/>
          <w:szCs w:val="20"/>
          <w:color w:val="auto"/>
        </w:rPr>
      </w:pPr>
      <w:r>
        <w:rPr>
          <w:rFonts w:ascii="Arial" w:cs="Arial" w:eastAsia="Arial" w:hAnsi="Arial"/>
          <w:sz w:val="16"/>
          <w:szCs w:val="16"/>
          <w:color w:val="auto"/>
        </w:rPr>
        <w:t>Our Investment segment had net cash used in operating activities of $131 million relating to its investment transactions. Additionally, the Holding Company had net cash used in operating activities of $307 million primarily due to the payments of interest expense on its debt of $291 million.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80" w:firstLine="378"/>
        <w:spacing w:after="0" w:line="302" w:lineRule="auto"/>
        <w:rPr>
          <w:sz w:val="20"/>
          <w:szCs w:val="20"/>
          <w:color w:val="auto"/>
        </w:rPr>
      </w:pPr>
      <w:r>
        <w:rPr>
          <w:rFonts w:ascii="Arial" w:cs="Arial" w:eastAsia="Arial" w:hAnsi="Arial"/>
          <w:sz w:val="16"/>
          <w:szCs w:val="16"/>
          <w:color w:val="auto"/>
        </w:rPr>
        <w:t>Net cash used in investing activities for the nine months ended September 30, 2013 of $790 million was primarily due to consolidated capital expenditures of $785 million, of which $270 million was related to our Automotive segment, $255 million was related to our Railcar segment and $184 million was related to our Energy segment. Capital expenditures for our Railcar segment for the nine months ended September 30, 2013 included $240 million for manufacturing railcars for lease to others, which are included in property, plant and equipment, net in our consolidated balance sheets.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76"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Net cash provided by financing activities for the nine months ended September 30, 2013 of $691 million was primarily attributable to our Energy segment and the Holding Company, off set in part by our Investment segment. Our Energy segment received net proceeds of approximately $1.2 billion from various equity offerings, which excludes $162 million paid by us for investments in connection with these offerings, offset in part by repayments of debt of $244 million and aggregate dividends paid by our Energy segment of $335 million to its common unitholders, excluding dividends paid to the Holding Company. The Holding Company had net proceeds of $317 million in connection with Icahn Enterprises' offering of depositary units, as discussed above. Additionally, the Holding Company received proceeds of $493 million from the offering of its 2020 Notes and repaid its variable rate notes of $556 million, as discussed further in Note 10, "Debt," to the consolidated financial statements.</w:t>
      </w:r>
    </w:p>
    <w:p>
      <w:pPr>
        <w:spacing w:after="0" w:line="70" w:lineRule="exact"/>
        <w:rPr>
          <w:sz w:val="20"/>
          <w:szCs w:val="20"/>
          <w:color w:val="auto"/>
        </w:rPr>
      </w:pPr>
    </w:p>
    <w:p>
      <w:pPr>
        <w:ind w:right="340" w:firstLine="378"/>
        <w:spacing w:after="0" w:line="277" w:lineRule="auto"/>
        <w:rPr>
          <w:sz w:val="20"/>
          <w:szCs w:val="20"/>
          <w:color w:val="auto"/>
        </w:rPr>
      </w:pPr>
      <w:r>
        <w:rPr>
          <w:rFonts w:ascii="Arial" w:cs="Arial" w:eastAsia="Arial" w:hAnsi="Arial"/>
          <w:sz w:val="18"/>
          <w:szCs w:val="18"/>
          <w:color w:val="auto"/>
        </w:rPr>
        <w:t>During the nine months ended September 30, 2013, our Investment segment distributed $185 million to an affiliate of Mr.Icahn in connection with a non-cash transfer of a derivative liability from our Investment segment to an affiliate of Mr. Icahn.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jc w:val="both"/>
        <w:ind w:right="60" w:firstLine="440"/>
        <w:spacing w:after="0" w:line="264" w:lineRule="auto"/>
        <w:rPr>
          <w:sz w:val="20"/>
          <w:szCs w:val="20"/>
          <w:color w:val="auto"/>
        </w:rPr>
      </w:pPr>
      <w:r>
        <w:rPr>
          <w:rFonts w:ascii="Arial" w:cs="Arial" w:eastAsia="Arial" w:hAnsi="Arial"/>
          <w:sz w:val="18"/>
          <w:szCs w:val="18"/>
          <w:color w:val="auto"/>
        </w:rPr>
        <w:t>As of September 30, 2013, the Investment Funds' net notional exposure was 58%. The Investment Funds' long exposure was 152% (146% long equity and 6% long credit) and the Investment Funds' short exposure was 94% (94% short equity). The Investment Funds historically have had access to significant amounts of cash from prime brokers, subject to customary terms and market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As of September 30, 2013 and December 31, 2012, the borrowing availability under the revolving credit facility was $476 million and $451 million, respectively. Federal-Mogul had $39 million and $37 million of letters of credit outstanding as of both September 30, 2013 and December 31, 2012, respectively, pertaining to the term loan credit facility. To the extent letters of credit associated with the revolving credit facility are issued, there is a corresponding decrease in borrowings available under this facility. See Note 10, "Debt - Automotive," to the consolidated financial statements for additional discussion regarding Federal-Mogul's debt facilities.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Federal-Mogul has explored in the past and continues to explore alternatives for refinancing all or a portion of the Debt Facilities.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July 11, 2013, Federal-Mogul received $500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thereby increasing our ownership of Federal-Mogul, for an aggregate additional investment of $434 million, which is eliminated in our consolidated statement of cash flows. As of September 30, 2013, we owned approximately 80.7% of the outstanding common stock of Federal-Mogul.</w:t>
      </w:r>
    </w:p>
    <w:p>
      <w:pPr>
        <w:spacing w:after="0" w:line="80"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 xml:space="preserve">Federal-Mogul's subsidiaries in Brazil, France, Germany, Italy, Japan and the United States are party to accounts receivable factoring and securitization facilities. Gross accounts receivable transferred under these facilities were $274 million and $217 million as of September 30, 2013 and December 31, 2012, respectively. Of those gross amounts, $263 million and $216 million, respectively, qualify as sales as defined in FASB ASC Topic 860, </w:t>
      </w:r>
      <w:r>
        <w:rPr>
          <w:rFonts w:ascii="Arial" w:cs="Arial" w:eastAsia="Arial" w:hAnsi="Arial"/>
          <w:sz w:val="16"/>
          <w:szCs w:val="16"/>
          <w:i w:val="1"/>
          <w:iCs w:val="1"/>
          <w:color w:val="auto"/>
        </w:rPr>
        <w:t>Transfers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Servicing</w:t>
      </w:r>
      <w:r>
        <w:rPr>
          <w:rFonts w:ascii="Arial" w:cs="Arial" w:eastAsia="Arial" w:hAnsi="Arial"/>
          <w:sz w:val="16"/>
          <w:szCs w:val="16"/>
          <w:color w:val="auto"/>
        </w:rPr>
        <w:t>. The remaining transferred receivables were pledged as collateral and accounted for as secured borrowings and recorded in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within accounts receivable, net and debt. Under the terms of these facilities, Federal-Mogul is not obligated to draw cash immediately upon the transfer of accounts receivable. As of both September 30, 2013 and December 31, 2012, Federal-Mogul had no outstanding transferred receivables for which cash had not yet been drawn. Proceeds from the transfers of accounts receivable qualifying as sales were $379 million and $335 million for the three months ended September 30, 2013 and 2012, respectively, and approximately $1.1 billion for each of the nine months ended September 30, 2013 and 2012.</w:t>
      </w:r>
    </w:p>
    <w:p>
      <w:pPr>
        <w:spacing w:after="0" w:line="5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exposures to Federal-Mogul associated with certain of these facilities' terms were $18 million and $19 million at September 30, 2013 and December 31, 2012, respectively. Based on Federal-Mogul's analysis of the creditworthiness of its customers on which such receivables were sold and outstanding as of September 30, 2013 and December 31, 2012, Federal-Mogul estimated the loss to be immaterial.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76"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As of September 30, 2013, CRLLC had availability under the Amended and Restated ABL Credit Facility of $373 million and had letters of credit outstanding of $27 million. There were no borrowings outstanding under the ABL Credit Facility as of September 30, 2013. In addition, as of September 30, 2013, CVR Partners had $25 million availability under its revolving credit facility, with an uncommitted incremental facility of up to $50 million.</w:t>
      </w:r>
    </w:p>
    <w:p>
      <w:pPr>
        <w:spacing w:after="0" w:line="39"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See Note 10, “Debt - Energy," to the consolidated financial statements for further discussion regarding CVR's credit facilities, including the Amended and Restated ABL Credit Facility.</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CVR Refining and CVR Partners have a distribution policy in which they will generally distribute all of their available cash each quarter, within 60 days after the end of each quarter. CVR Refining's distributions began with the quarter ended March 31, 2013 and have been adjusted to exclude the period prior to the CVR Refining IPO from January 1, 2013 through January 22, 2013 (the period preceding the closing of the CVR Refining IPO). The distributions will be made to all common unitholders. CVR currently holds approximately 71% and 53% of CVR Refining's and CVR Partner's common units outstanding, respectively. The amount of each distribution will be determined pursuant to each general partner's calculation of available cash for the applicable quarter. The general partner of each partnership, as a non-economic interest holder, is not entitled to receive cash distributions. As a result of each general partner's distribution policy, funds held by CVR Refining and CVR Partners will not be available for CVR's use, and CVR as a unitholder will receive its applicable percentage of the distribution of funds within 60 days, respectively, following each quarter. CVR Refining and CVR Partners do not have a legal obligation to pay distributions and there is no guarantee that they will pay any distributions on the units in any quarter.</w:t>
      </w:r>
    </w:p>
    <w:p>
      <w:pPr>
        <w:spacing w:after="0" w:line="74" w:lineRule="exact"/>
        <w:rPr>
          <w:sz w:val="20"/>
          <w:szCs w:val="20"/>
          <w:color w:val="auto"/>
        </w:rPr>
      </w:pPr>
    </w:p>
    <w:p>
      <w:pPr>
        <w:ind w:right="200" w:firstLine="378"/>
        <w:spacing w:after="0" w:line="302" w:lineRule="auto"/>
        <w:rPr>
          <w:sz w:val="20"/>
          <w:szCs w:val="20"/>
          <w:color w:val="auto"/>
        </w:rPr>
      </w:pPr>
      <w:r>
        <w:rPr>
          <w:rFonts w:ascii="Arial" w:cs="Arial" w:eastAsia="Arial" w:hAnsi="Arial"/>
          <w:sz w:val="16"/>
          <w:szCs w:val="16"/>
          <w:color w:val="auto"/>
        </w:rPr>
        <w:t>On January 24, 2013, the board of directors of CVR adopted a quarterly cash dividend policy. Subject to declaration by its board of directors, CVR's quarterly dividend is expected to be $0.75 per share, or $3.00 per share on annualized basis, which CVR began paying in the second quarter of 2013. Additionally, CVR declared and paid two special cash dividends during the nine months during ended September 30, 2013. CVR paid an aggregate total of approximately $1.2 billion in dividends, or $13.50 per share, during the nine months ended September 30, 2013, of which $961 million was paid to us.</w:t>
      </w:r>
    </w:p>
    <w:p>
      <w:pPr>
        <w:spacing w:after="0" w:line="46" w:lineRule="exact"/>
        <w:rPr>
          <w:sz w:val="20"/>
          <w:szCs w:val="20"/>
          <w:color w:val="auto"/>
        </w:rPr>
      </w:pPr>
    </w:p>
    <w:p>
      <w:pPr>
        <w:ind w:right="240" w:firstLine="378"/>
        <w:spacing w:after="0" w:line="255" w:lineRule="auto"/>
        <w:rPr>
          <w:sz w:val="20"/>
          <w:szCs w:val="20"/>
          <w:color w:val="auto"/>
        </w:rPr>
      </w:pPr>
      <w:r>
        <w:rPr>
          <w:rFonts w:ascii="Arial" w:cs="Arial" w:eastAsia="Arial" w:hAnsi="Arial"/>
          <w:sz w:val="18"/>
          <w:szCs w:val="18"/>
          <w:color w:val="auto"/>
        </w:rPr>
        <w:t>CVR divides the petroleum business and the nitrogen fertilizer business' capital spending needs into two categories: maintenance and growth. Maintenance capital spending includes only non-discretionary maintenance projects and projects required to comply with environmental, health and safety regulations. CVR undertakes discretionary capital spending based on the expected return on incremental capital employed. Discretionary capital projects generally involve an expansion of existing capacity, improvement in product yields, and/or a reduction in direct operating expenses. Major scheduled turnaround expenses are expensed when incurred. CVR estimates that the total capital spending for the year ending December 31, 2013 to range between approximately $238 million and $273 million.</w:t>
      </w:r>
    </w:p>
    <w:p>
      <w:pPr>
        <w:spacing w:after="0" w:line="85"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The petroleum business and the nitrogen fertilizer business' estimated capital expenditures are subject to change due to unanticipated increases in the cost, scope and completion time for our capital projects. For example, CVR may experience increases in labor or equipment costs necessary to comply with government regulations or to complete projects that sustain or improve the profitability of the refineries or nitrogen fertilizer plant. Capital spending for CVR Partner's nitrogen fertilizer business has been and will be determined by the board of directors of its general partner. Capital spending for CVR Refining's petroleum business will be determined by the board of directors of its general partner.</w:t>
      </w:r>
    </w:p>
    <w:p>
      <w:pPr>
        <w:spacing w:after="0" w:line="64" w:lineRule="exact"/>
        <w:rPr>
          <w:sz w:val="20"/>
          <w:szCs w:val="20"/>
          <w:color w:val="auto"/>
        </w:rPr>
      </w:pPr>
    </w:p>
    <w:p>
      <w:pPr>
        <w:ind w:right="60" w:firstLine="378"/>
        <w:spacing w:after="0" w:line="271" w:lineRule="auto"/>
        <w:rPr>
          <w:sz w:val="20"/>
          <w:szCs w:val="20"/>
          <w:color w:val="auto"/>
        </w:rPr>
      </w:pPr>
      <w:r>
        <w:rPr>
          <w:rFonts w:ascii="Arial" w:cs="Arial" w:eastAsia="Arial" w:hAnsi="Arial"/>
          <w:sz w:val="17"/>
          <w:szCs w:val="17"/>
          <w:color w:val="auto"/>
        </w:rPr>
        <w:t>CVR believes that its cash flows from operations, and existing cash and cash equivalents and improvements in its working capital, together with borrowings under its existing credit facilities as necessary, will be sufficient to satisfy the anticipated cash requirements associated with our existing operations for at least the next twelve months. However, its future capital expenditures and other cash requirements could be higher than CVR currently expects as a result of various factors. Additionally, CVR's ability to generate sufficient cash from its operating activities depends on its future performance, which is subject to general economic, political, financial, competitive, and other factors beyond its control. Depending on the needs of CVR's business contractual limitations and market conditions, it may from time to time seek to use equity securities, incur additional debt, modify the terms of our existing debt, issue debt securities, or otherwise refinance our existing debt. There can be no assurance that CVR will seek to do any of the foregoing or that it will be able to do any of the foregoing on terms acceptable to it or at 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740" w:firstLine="378"/>
        <w:spacing w:after="0" w:line="342" w:lineRule="auto"/>
        <w:rPr>
          <w:sz w:val="20"/>
          <w:szCs w:val="20"/>
          <w:color w:val="auto"/>
        </w:rPr>
      </w:pPr>
      <w:r>
        <w:rPr>
          <w:rFonts w:ascii="Arial" w:cs="Arial" w:eastAsia="Arial" w:hAnsi="Arial"/>
          <w:sz w:val="16"/>
          <w:szCs w:val="16"/>
          <w:color w:val="auto"/>
        </w:rPr>
        <w:t>Except as disclosed below, there have been no material changes to our critical accounting policies and estimates during the nine months ended September 30, 2013 as compared to those reported in our Annual Report on Form 10-K for the year ended December 31, 2012.</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76" w:right="279" w:bottom="1440" w:gutter="0" w:footer="0" w:header="0"/>
        </w:sectPr>
      </w:pPr>
    </w:p>
    <w:bookmarkStart w:id="94" w:name="page95"/>
    <w:bookmarkEnd w:id="94"/>
    <w:p>
      <w:pPr>
        <w:ind w:left="420"/>
        <w:spacing w:after="0"/>
        <w:rPr>
          <w:sz w:val="20"/>
          <w:szCs w:val="20"/>
          <w:color w:val="auto"/>
        </w:rPr>
      </w:pPr>
      <w:r>
        <w:rPr>
          <w:rFonts w:ascii="Arial" w:cs="Arial" w:eastAsia="Arial" w:hAnsi="Arial"/>
          <w:sz w:val="16"/>
          <w:szCs w:val="16"/>
          <w:color w:val="auto"/>
        </w:rPr>
        <w:t>We are currently performing the annual goodwill impairment test for our Automotive segment which will be finalized during the fourth quarter of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goodwill impairment charge that results from this annual impairment test for our Automotive segment will be recorded in the fourth quarter of 2013.</w:t>
      </w:r>
    </w:p>
    <w:p>
      <w:pPr>
        <w:spacing w:after="0" w:line="11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We perform our annual goodwill impairment analysis as of April 30th for our Energy segment, or more frequently if impairment indicators exist, in accordance with the provisions of FASB ASC Topic 350-20-35, </w:t>
      </w:r>
      <w:r>
        <w:rPr>
          <w:rFonts w:ascii="Arial" w:cs="Arial" w:eastAsia="Arial" w:hAnsi="Arial"/>
          <w:sz w:val="17"/>
          <w:szCs w:val="17"/>
          <w:i w:val="1"/>
          <w:iCs w:val="1"/>
          <w:color w:val="auto"/>
        </w:rPr>
        <w:t>Goodwill - Subsequent Measurement</w:t>
      </w:r>
      <w:r>
        <w:rPr>
          <w:rFonts w:ascii="Arial" w:cs="Arial" w:eastAsia="Arial" w:hAnsi="Arial"/>
          <w:sz w:val="17"/>
          <w:szCs w:val="17"/>
          <w:color w:val="auto"/>
        </w:rPr>
        <w:t xml:space="preserve"> and FASB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 These fair values are based upon consideration of various valuation methodologies, including projected future cash flows discounted at rates of return commensurate with the risks involved and pricing multiples of current and future earnings observed for comparable public companies.</w:t>
      </w:r>
    </w:p>
    <w:p>
      <w:pPr>
        <w:spacing w:after="0" w:line="7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All of our Energy reporting units with goodwill passed "Step 1" of the April 30, 2013 goodwill impairment analysis. Petroleum and Fertilizer, representing our Energy segment reporting units, had fair values in excess of carrying values of 37% and 18%, respectively. Based on the results of our "Step 1" goodwill impairment analysis for our Energy segment, we concluded that no impairment existed and therefore "Step 2" of the goodwill impairment analysis was not necessary. As of September 30, 2013, our Petroleum and Fertilizer reporting units had goodwill of $574 million and $356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Updates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No. 2013-04, which amends FASB Accounting Standards Codification ("ASC") Topic 405, </w:t>
      </w:r>
      <w:r>
        <w:rPr>
          <w:rFonts w:ascii="Arial" w:cs="Arial" w:eastAsia="Arial" w:hAnsi="Arial"/>
          <w:sz w:val="17"/>
          <w:szCs w:val="17"/>
          <w:i w:val="1"/>
          <w:iCs w:val="1"/>
          <w:color w:val="auto"/>
        </w:rPr>
        <w:t>Liabilities</w:t>
      </w:r>
      <w:r>
        <w:rPr>
          <w:rFonts w:ascii="Arial" w:cs="Arial" w:eastAsia="Arial" w:hAnsi="Arial"/>
          <w:sz w:val="17"/>
          <w:szCs w:val="17"/>
          <w:color w:val="auto"/>
        </w:rPr>
        <w:t>.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We anticipate that the adoption of this guidance will not have a material impact on our consolidated financial position, results of operations and cash flows.</w:t>
      </w:r>
    </w:p>
    <w:p>
      <w:pPr>
        <w:spacing w:after="0" w:line="70"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 xml:space="preserve">In March 2013, the FASB issued ASU No. 2013-05, which amends FASB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Early adoption is permitted provided that if the entity adopts this guidance early, it is applied as of the beginning of the entity's fiscal year of adoption. The adoption of this ASU will not have a material impact on our consolidated financial position, results of operations or cash flows.</w:t>
      </w:r>
    </w:p>
    <w:p>
      <w:pPr>
        <w:spacing w:after="0" w:line="85"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 xml:space="preserve">In June 2013, the FASB issued ASU No. 2013-08, which amends FASB ASC Topic 946,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This ASU clarifies the characteristics of an investment company, and provides comprehensive guidance for assessing whether an entity is an investment company. This ASU is effective for fiscal years (and interim reporting periods within those years) beginning after December 15, 2013. Earlier adoption is prohibited. The adoption of this ASU will not have any impact on our consolidated financial position, results of operations or cash flows.</w:t>
      </w:r>
    </w:p>
    <w:p>
      <w:pPr>
        <w:spacing w:after="0" w:line="63"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In July 2013, the FASB issued ASU No. 2013-11, which amends FASB ASC Topic 740, Income Taxes. This ASU requires that unrecognized tax benefits, or a portion of an unrecognized tax benefit, should be presented in the financial statements as a reduction to a deferred tax asset for a net operating loss carryforward, a similar tax loss or a tax credit carryforward, except in certain cases. This ASU is effective for fiscal years (and interim reporting periods within those years) beginning after December 15, 2013. Earlier adoption is permitted. The adoption of this ASU will not have any impact on our consolidated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right="60" w:firstLine="378"/>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76" w:right="239" w:bottom="1440" w:gutter="0" w:footer="0" w:header="0"/>
        </w:sectPr>
      </w:pPr>
    </w:p>
    <w:bookmarkStart w:id="95" w:name="page96"/>
    <w:bookmarkEnd w:id="95"/>
    <w:p>
      <w:pPr>
        <w:ind w:right="120" w:firstLine="378"/>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2012 and those set forth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However, the majority of these fair value changes are absorbed by the non-controlling interest holders in the Investment Funds.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September 30, 2013, we estimate that in the event of a 10% adverse change in the fair value of these investments, the fair values of securities owned, securities sold, not yet purchased and derivatives would decrease by $1,183 million, $70 million and $856 million, respectively. However, as of September 30, 2013, we estimate that the impact to our share of the net gain from investment activities reported on our consolidated statement of operations would be significantly less than the change in fair value since we have an investment of approximately 44% in these Investment Funds, and the non-controlling interests in income would correspondingly offset approximately 56% of the change in fair value.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Refer to Note 6, “Financial Instruments-Automotive,” to the consolidated financial statements for discussion regarding our Automotive segment's interest rate risk, commodity price risk and foreign currency risk.</w:t>
      </w:r>
    </w:p>
    <w:p>
      <w:pPr>
        <w:spacing w:after="0" w:line="62"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The translated values of revenue and expense from our Automotive segment's international operations are subject to fluctuations due to changes in currency exchange rates. During the nine months ended September 30, 2013, our Automotive segment derived 37% of its net sales in the United States and 63% internationally. Of these international sales, 57% are denominated in the euro, with no other single currency representing more than 9%.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 Our Automotive segment estimates that a hypothetical 10% adverse movement of all foreign currencies in the same direction against the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76" w:right="239" w:bottom="1440" w:gutter="0" w:footer="0" w:header="0"/>
        </w:sectPr>
      </w:pPr>
    </w:p>
    <w:bookmarkStart w:id="96" w:name="page97"/>
    <w:bookmarkEnd w:id="96"/>
    <w:p>
      <w:pPr>
        <w:ind w:right="340"/>
        <w:spacing w:after="0" w:line="277" w:lineRule="auto"/>
        <w:rPr>
          <w:sz w:val="20"/>
          <w:szCs w:val="20"/>
          <w:color w:val="auto"/>
        </w:rPr>
      </w:pPr>
      <w:r>
        <w:rPr>
          <w:rFonts w:ascii="Arial" w:cs="Arial" w:eastAsia="Arial" w:hAnsi="Arial"/>
          <w:sz w:val="18"/>
          <w:szCs w:val="18"/>
          <w:color w:val="auto"/>
        </w:rPr>
        <w:t>dollar over the nine months ended September 30, 2013 would have decreased net income attributable to Icahn Enterprises for our Automotive segment by approximately $11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73" w:lineRule="exact"/>
        <w:rPr>
          <w:sz w:val="20"/>
          <w:szCs w:val="20"/>
          <w:color w:val="auto"/>
        </w:rPr>
      </w:pPr>
    </w:p>
    <w:p>
      <w:pPr>
        <w:ind w:right="80" w:firstLine="378"/>
        <w:spacing w:after="0" w:line="270"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At September 30, 2013, CVR Refining had open commodity hedging instruments consisting of 20.6 million barrels of crack spreads primarily to fix the margin on a portion of our future gasoline and distillate production. The fair value of the outstanding contracts at September 30, 2013 was a net unrealized gain of $110 million. A change of $1.00 per barrel in the fair value of the crack spread swaps would result in an increase or decrease in the related fair values of commodity hedging instruments of approximately $21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June 30 and July 1, 2011, CRNF entered into two floating-to-fixed interest rate swap agreements for the purpose of hedging the interest rate risk associated with a portion of the nitrogen fertilizer business’ $125.0 million floating rate term debt which matures in April 2016. The aggregate notional amount covered under these agreements, which commenced on August 12, 2011 and expires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 90 days. The effect of these swap agreements is to lock in a fixed rate of interest of approximately 1.96% plus the applicable margin paid to lenders over three month LIBOR as governed by the CRNF credit agreement. At September 30, 2013, the effective rate was approximately 4.6%.The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current interest expense.</w:t>
      </w:r>
    </w:p>
    <w:p>
      <w:pPr>
        <w:spacing w:after="0" w:line="75"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CVR Partners still has exposure to interest rate risk on 50% of its $125 million floating rate term debt. A 1.0% increase over the Eurodollar floor spread of 3.5%, as specified in the credit agreement, would increase interest cost to CVR Partners by less than $1 million on an annualized basis, thus decreasing CVR Partner's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right="140" w:firstLine="378"/>
        <w:spacing w:after="0" w:line="286" w:lineRule="auto"/>
        <w:rPr>
          <w:sz w:val="20"/>
          <w:szCs w:val="20"/>
          <w:color w:val="auto"/>
        </w:rPr>
      </w:pPr>
      <w:r>
        <w:rPr>
          <w:rFonts w:ascii="Arial" w:cs="Arial" w:eastAsia="Arial" w:hAnsi="Arial"/>
          <w:sz w:val="17"/>
          <w:szCs w:val="17"/>
          <w:color w:val="auto"/>
        </w:rPr>
        <w:t>Tropicana's primary exposure to market risk is interest rate risk associated with its senior secured first lien term loan facility ("Tropicana Term Loan") that bears interest based on floating rates. Based on Tropicana's borrowings as of September 30, 2013, assuming a 1% increase over the 7.5% floor specified in the Tropicana Term Loan, Tropicana's annual interest cost would change by approximately $2 million.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33"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60" w:firstLine="378"/>
        <w:spacing w:after="0" w:line="291" w:lineRule="auto"/>
        <w:rPr>
          <w:sz w:val="20"/>
          <w:szCs w:val="20"/>
          <w:color w:val="auto"/>
        </w:rPr>
      </w:pPr>
      <w:r>
        <w:rPr>
          <w:rFonts w:ascii="Arial" w:cs="Arial" w:eastAsia="Arial" w:hAnsi="Arial"/>
          <w:sz w:val="16"/>
          <w:szCs w:val="16"/>
          <w:color w:val="auto"/>
        </w:rPr>
        <w:t>The fair values of our long-term debt and other borrowings will fluctuate in response to changes in market interest rates. Increases and decreases in prevailing interest rates generally translate into decreases and increases in fair values of those instruments. Additionally, fair values of interest rate sensitive instruments may be affected by the creditworthiness of the issuer, relative values of alternative investments, the liquidity of the instrument and other general market conditions. Historically, the Holding Company does not invest in derivative financial instruments, interest rate swaps or other investments that alter interest rate exposure. The Holding Company has predominately long-term fixed interest rate debt. Generally, the fair market value of debt securities with a fixed interest rate will increase as interest rates fall, and the fair market value will decrease as interest rates rise. At September 30, 2013, the impact of a 100 basis point increase or decrease in interest rates on fixed rate debt would have no impact on our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ind w:right="120" w:firstLine="378"/>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820" w:firstLine="378"/>
        <w:spacing w:after="0" w:line="277" w:lineRule="auto"/>
        <w:rPr>
          <w:sz w:val="20"/>
          <w:szCs w:val="20"/>
          <w:color w:val="auto"/>
        </w:rPr>
      </w:pPr>
      <w:r>
        <w:rPr>
          <w:rFonts w:ascii="Arial" w:cs="Arial" w:eastAsia="Arial" w:hAnsi="Arial"/>
          <w:sz w:val="18"/>
          <w:szCs w:val="18"/>
          <w:color w:val="auto"/>
        </w:rPr>
        <w:t>Based on sensitivity analysis for our equity price risks as of September 30, 2013, in the event of a 10% adverse change in the fair value of our derivatives, the fair value of our derivative position would decrease by approximately $163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As of September 30, 2013,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2013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33" w:right="23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firstLine="378"/>
        <w:spacing w:after="0" w:line="308" w:lineRule="auto"/>
        <w:rPr>
          <w:sz w:val="20"/>
          <w:szCs w:val="20"/>
          <w:color w:val="auto"/>
        </w:rPr>
      </w:pPr>
      <w:r>
        <w:rPr>
          <w:rFonts w:ascii="Arial" w:cs="Arial" w:eastAsia="Arial" w:hAnsi="Arial"/>
          <w:sz w:val="17"/>
          <w:szCs w:val="17"/>
          <w:color w:val="auto"/>
        </w:rPr>
        <w:t>See Note 17, “Commitments and Contingencies” to the consolidated financial statements located in Part I, Item I of this Report, which is incorporated by reference into this Part II, Item 1, for a description of the litigation, legal and administrative proceedings and environmental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Except as disclosed below, there have been no other material changes to our risk factors during the nine months ended September 30, 2013 as compared to those reported in our Annual Report on Form 10-K for the year ended December 31, 2012.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drop in the market share and changes in product mix offered by Federal-Mogul's customers can impact Federal-Mogul's revenues.</w:t>
      </w:r>
    </w:p>
    <w:p>
      <w:pPr>
        <w:spacing w:after="0" w:line="117"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Federal-Mogul is dependent on the continued growth, viability and financial stability of Federal-Mogul's customers. Federal-Mogul's customers generally are OEMs in the automotive industry. This industry is subject to rapid technological change, vigorous competition, short product life cycles and cyclical and reduced consumer demand patterns. When Federal-Mogul's customers are adversely affected by these factors, it may be similarly affected to the extent that its customers reduce the volume of orders for its products. As a result of changes impacting Federal-Mogul's customers, including shifts in regional growth, shifts in OEM sales demand, and shifts in consumer demand related to vehicle segment purchases and content penetration, sales mix can shift, which may have either favorable or unfavorable impact on revenue. For instance, a shift in sales demand favoring a particular OEM's vehicle model for which Federal-Mogul does not have a supply contract may negatively impact its revenue. A shift in regional sales demand toward certain markets could favorably impact the sales of those of Federal-Mogul's customers that have a large market share in those regions, which in turn would be expected to have a favorable impact on its revenue. In 2012, sales in Europe shifted away from diesel-powered vehicles, which adversely affected our Automotive segment's operations.</w:t>
      </w:r>
    </w:p>
    <w:p>
      <w:pPr>
        <w:spacing w:after="0" w:line="70" w:lineRule="exact"/>
        <w:rPr>
          <w:sz w:val="20"/>
          <w:szCs w:val="20"/>
          <w:color w:val="auto"/>
        </w:rPr>
      </w:pPr>
    </w:p>
    <w:p>
      <w:pPr>
        <w:jc w:val="both"/>
        <w:ind w:right="180" w:firstLine="378"/>
        <w:spacing w:after="0" w:line="312" w:lineRule="auto"/>
        <w:rPr>
          <w:sz w:val="20"/>
          <w:szCs w:val="20"/>
          <w:color w:val="auto"/>
        </w:rPr>
      </w:pPr>
      <w:r>
        <w:rPr>
          <w:rFonts w:ascii="Arial" w:cs="Arial" w:eastAsia="Arial" w:hAnsi="Arial"/>
          <w:sz w:val="16"/>
          <w:szCs w:val="16"/>
          <w:color w:val="auto"/>
        </w:rPr>
        <w:t>The mix of vehicle offerings by Federal-Mogul's OEM customers also impacts its sales. A decrease in consumer demand for specific types of vehicles where Federal-Mogul has traditionally provided significant content could have a significant effect on its business and financial condition. Federal-Mogul's sales of products in the regions in which its customers operate is also dependent upon the success of those customers in those regions.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Escalating price pressures from customers may adversely affect Federal-Mogul's business.</w:t>
      </w:r>
    </w:p>
    <w:p>
      <w:pPr>
        <w:spacing w:after="0" w:line="117"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Downward pricing pressures by automotive manufacturers is a characteristic of the automotive industry. Virtually all automakers have implemented aggressive price reduction initiatives and objectives with their suppliers, and such actions are expected to continue in the future. In addition, accurately estimating the impact of such pressures is difficult because any price reductions are a result of negotiations and other factors. Accordingly, suppliers must be able to reduce their operating costs in order to maintain profitability. If Federal-Mogul is unable to offset customer price reductions in the future through improved operating efficiencies, new manufacturing processes, sourcing alternatives and other cost reduction initiatives, our Automotive segment's results of operations and financial condition will likely be adversely affected.</w:t>
      </w:r>
    </w:p>
    <w:p>
      <w:pPr>
        <w:spacing w:after="0" w:line="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Employee strikes and labor-related disruptions involving Federal-Mogul or one or more of Federal-Mogul's customers or suppliers may adversely affect its operations.</w:t>
      </w:r>
    </w:p>
    <w:p>
      <w:pPr>
        <w:spacing w:after="0" w:line="62"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Federal-Mogul's business is labor-intensive and many of its employees are represented by unions or work councils. A strike or other form of significant work disruption by Federal-Mogul's employees would likely have an adverse effect on its ability to operate its business. A labor dispute involving Federal-Mogul or one or more of its customers or suppliers or that could otherwise affect its operations could reduce its sales and harm its profitability. A labor dispute involving another supplier to Federal-Mogul's customers that results in a slowdown or a closure of those customers' assembly plants where its products are included in the assembled parts or vehicles could also adversely affect our Automotive segment's business and harm its profitability. In addition, Federal-Mogul's inability or the inability of any of its customers, its suppliers or its customers' suppliers to negotiate an extension of a collective bargaining agreement upon its expiration could reduce Federal-Mogul's sales and harm its profitability. Significant increases in labor costs as a result of the renegotiation of collective bargaining agreements could also adversely affect our Automotive segment's business and harm its profitability.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364" w:right="279" w:bottom="1440" w:gutter="0" w:footer="0" w:header="0"/>
        </w:sectPr>
      </w:pPr>
    </w:p>
    <w:bookmarkStart w:id="99" w:name="page100"/>
    <w:bookmarkEnd w:id="99"/>
    <w:p>
      <w:pPr>
        <w:ind w:right="200"/>
        <w:spacing w:after="0" w:line="375" w:lineRule="auto"/>
        <w:rPr>
          <w:sz w:val="20"/>
          <w:szCs w:val="20"/>
          <w:color w:val="auto"/>
        </w:rPr>
      </w:pPr>
      <w:r>
        <w:rPr>
          <w:rFonts w:ascii="Arial" w:cs="Arial" w:eastAsia="Arial" w:hAnsi="Arial"/>
          <w:sz w:val="15"/>
          <w:szCs w:val="15"/>
          <w:b w:val="1"/>
          <w:bCs w:val="1"/>
          <w:i w:val="1"/>
          <w:iCs w:val="1"/>
          <w:color w:val="auto"/>
        </w:rPr>
        <w:t>Federal-Mogul may not be successful in its efforts to identify, complete or integrate acquisitions, and it may pursue acquisitions or joint ventures that involve inherent risks, any of which may cause it not to realize anticipated benefits and adversely affect our Automotive segment's results of operations.</w:t>
      </w:r>
    </w:p>
    <w:p>
      <w:pPr>
        <w:spacing w:after="0" w:line="1" w:lineRule="exact"/>
        <w:rPr>
          <w:sz w:val="20"/>
          <w:szCs w:val="20"/>
          <w:color w:val="auto"/>
        </w:rPr>
      </w:pPr>
    </w:p>
    <w:p>
      <w:pPr>
        <w:ind w:right="220" w:firstLine="378"/>
        <w:spacing w:after="0" w:line="279" w:lineRule="auto"/>
        <w:rPr>
          <w:sz w:val="20"/>
          <w:szCs w:val="20"/>
          <w:color w:val="auto"/>
        </w:rPr>
      </w:pPr>
      <w:r>
        <w:rPr>
          <w:rFonts w:ascii="Arial" w:cs="Arial" w:eastAsia="Arial" w:hAnsi="Arial"/>
          <w:sz w:val="17"/>
          <w:szCs w:val="17"/>
          <w:color w:val="auto"/>
        </w:rPr>
        <w:t>In the past, Federal-Mogul has grown through acquisitions, and may engage in acquisitions in the future as part of Federal-Mogul's sustainable global profitable growth strategy. The full benefits of these acquisitions, however, require integration of manufacturing, administrative, financial, sales, and marketing approaches and personnel. If Federal-Mogul is unable to successfully integrate its acquisitions, it may not realize the benefits of the acquisitions, the financial results may be negatively affected, or additional cash may be required to integrate such operations.</w:t>
      </w:r>
    </w:p>
    <w:p>
      <w:pPr>
        <w:spacing w:after="0" w:line="63"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In the future, Federal-Mogul may not be able to successfully identify suitable acquisition or joint venture opportunities or complete any particular acquisition, combination, joint venture or other transaction on acceptable terms. Federal-Mogul's identification of suitable acquisition candidates and joint venture opportunities and the integration of acquired business operations involve risks inherent in assessing the values, strengths, weaknesses, risks and profitability of these opportunities. This includes the effects on Federal-Mogul's business, the potential overvaluation of acquisition candidates, diversion of management's attention and risks associated with unanticipated problems or unforeseen liabilities. Moreover, any acquisition may require significant financial resources that would otherwise be used for the ongoing development of Federal-Mogul's business or require it to incur or assume additional indebtedness, resulting in increased leverage. Even if Federal-Mogul identifies suitable acquisition candidates, there may be competition from buyers when trying to acquire these candidates or Federal-Mogul may not be able to successfully negotiate the terms of any definitive agreements. Accordingly, there can be no assurances that Federal-Mogul will be able to acquire such candidates at reasonable prices, on favorable terms or at all.</w:t>
      </w:r>
    </w:p>
    <w:p>
      <w:pPr>
        <w:spacing w:after="0" w:line="74"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Federal-Mogul's failure to identify suitable acquisition or joint venture opportunities may restrict Federal-Mogul's ability to grow its business. If Federal-Mogul is successful in pursuing future acquisitions or joint ventures, Federal-Mogul may be required to expend significant funds, incur additional debt and/or issue additional securities (potentially resulting in dilution to existing stockholders), which may materially adversely affect results of operations. If Federal-Mogul spends significant funds or incurs additional debt, Federal-Mogul's ability to obtain financing for working capital or other purposes could decline and Federal-Mogul may be more vulnerable to economic downturns and competitive pressures. Even if Federal-Mogul overcomes these challenges and risks, it may not realize the anticipated benefits of these acquisitions and there may be other unanticipated or unidentified effects. While Federal-Mogul would typically seek protection through representations and warranties and indemnities, as applicable, significant liabilities may not be identified in due diligence or may come to light only after the expiration of any indemnity periods.</w:t>
      </w:r>
    </w:p>
    <w:p>
      <w:pPr>
        <w:spacing w:after="0" w:line="71" w:lineRule="exact"/>
        <w:rPr>
          <w:sz w:val="20"/>
          <w:szCs w:val="20"/>
          <w:color w:val="auto"/>
        </w:rPr>
      </w:pPr>
    </w:p>
    <w:p>
      <w:pPr>
        <w:ind w:right="80" w:firstLine="378"/>
        <w:spacing w:after="0" w:line="293" w:lineRule="auto"/>
        <w:rPr>
          <w:sz w:val="20"/>
          <w:szCs w:val="20"/>
          <w:color w:val="auto"/>
        </w:rPr>
      </w:pPr>
      <w:r>
        <w:rPr>
          <w:rFonts w:ascii="Arial" w:cs="Arial" w:eastAsia="Arial" w:hAnsi="Arial"/>
          <w:sz w:val="16"/>
          <w:szCs w:val="16"/>
          <w:color w:val="auto"/>
        </w:rPr>
        <w:t>Furthermore, the difficulties of integration may be increased by the necessity of coordinating geographically dispersed organizations, integrating personnel with disparate business backgrounds and combining different corporate cultures. These difficulties could be further increased to the extent Federal-Mogul pursues acquisition or joint venture opportunities internationally. Federal-Mogul may not be effective in retaining key employees or customers of the combined businesses. Federal-Mogul may face integration issues pertaining to the internal controls and operations functions of the acquired companies and also may not realize cost efficiencies or synergies that were anticipated when selecting the acquisition candidates. Federal-Mogul may experience managerial or other conflicts with its joint venture partners. Any of these items could adversely affect our Automotive segment's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Federal-Mogul may not recognize anticipated benefits from any strategic divestiture of portions of our business.</w:t>
      </w:r>
    </w:p>
    <w:p>
      <w:pPr>
        <w:spacing w:after="0" w:line="117"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Federal-Mogul evaluates potential divestiture opportunities with respect to portions of our business from time to time, and may determine to proceed with a divestiture opportunity if and when Federal-Mogul believes such opportunity is consistent with its business strategy and it would be able to realize value for its stockholders in so doing. Federal-Mogul has in the past sold (including its recent sale of F-M Sintertech), and may from time to time in the future sell, one or more portions, or all of its business. Any divestiture or disposition could expose Federal-Mogul to significant risks, including, without limitation, fees for legal and transaction-related services, diversion of management resources, loss of key personnel and reduction in revenue. Further, Federal-Mogul may be required to retain or indemnify a buyer against certain liabilities and obligations in connection with any such divestiture, and it may also become subject to third-party claims arising out of such divestiture. In addition, Federal-Mogul may not achieve the expected price in a divestiture transaction.</w:t>
      </w:r>
    </w:p>
    <w:p>
      <w:pPr>
        <w:spacing w:after="0" w:line="59"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If a divestiture does occur, Federal-Mogul cannot be certain that its business, operating results and financial condition will not be adversely affected. A successful divestiture depends on various factors, including Federal-Mogul's ability to:</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transfer liabilities, contracts, facilities and employees to any purchaser;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and separate the assets (including intangible assets) to be divested from those that it wishes to retain;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fixed costs previously associated with the divested assets or business;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Collect the proceeds from any divestitures.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76" w:right="239" w:bottom="1440" w:gutter="0" w:footer="0" w:header="0"/>
        </w:sectPr>
      </w:pPr>
    </w:p>
    <w:bookmarkStart w:id="100" w:name="page101"/>
    <w:bookmarkEnd w:id="100"/>
    <w:p>
      <w:pPr>
        <w:ind w:right="260" w:firstLine="378"/>
        <w:spacing w:after="0" w:line="277" w:lineRule="auto"/>
        <w:rPr>
          <w:sz w:val="20"/>
          <w:szCs w:val="20"/>
          <w:color w:val="auto"/>
        </w:rPr>
      </w:pPr>
      <w:r>
        <w:rPr>
          <w:rFonts w:ascii="Arial" w:cs="Arial" w:eastAsia="Arial" w:hAnsi="Arial"/>
          <w:sz w:val="18"/>
          <w:szCs w:val="18"/>
          <w:color w:val="auto"/>
        </w:rPr>
        <w:t>If Federal-Mogul does not realize the expected benefits or synergies of any divestiture transaction, it could adversely affect its financial condition and results of operations.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Federal-Mogul's substantial pension obligations and other post-employment benefits could adversely impact our Automotive segment's operating margins and cash flows.</w:t>
      </w:r>
    </w:p>
    <w:p>
      <w:pPr>
        <w:spacing w:after="0" w:line="62" w:lineRule="exact"/>
        <w:rPr>
          <w:sz w:val="20"/>
          <w:szCs w:val="20"/>
          <w:color w:val="auto"/>
        </w:rPr>
      </w:pPr>
    </w:p>
    <w:p>
      <w:pPr>
        <w:ind w:right="220" w:firstLine="378"/>
        <w:spacing w:after="0" w:line="270" w:lineRule="auto"/>
        <w:rPr>
          <w:sz w:val="20"/>
          <w:szCs w:val="20"/>
          <w:color w:val="auto"/>
        </w:rPr>
      </w:pPr>
      <w:r>
        <w:rPr>
          <w:rFonts w:ascii="Arial" w:cs="Arial" w:eastAsia="Arial" w:hAnsi="Arial"/>
          <w:sz w:val="17"/>
          <w:szCs w:val="17"/>
          <w:color w:val="auto"/>
        </w:rPr>
        <w:t>The automotive industry, like other industries, continues to be impacted by the rising cost of providing pension and other post-employment benefits. Federal-Mogul has substantial pension and other post-employment benefit obligations. For the nine months ended September 30, 2013, our Automotive segment had net periodic benefit costs of $6 million and $23 million for United States and non-United States pension plans, respectively, and a net periodic benefit credit related to other post-employment benefits of $30 million, inclusive of $38 million curtailment gains. In addition, Federal-Mogul sponsors certain defined benefit plans worldwide that are underfunded and will require cash payments. As of December 31, 2012, our Automotive segment had unfunded pension obligations of approximately $520 million and $419 million, for United States and non-United States pension plans, respectively. If the performance of the assets in the pension plans does not meet Federal-Mogul's expectations, or other actuarial assumptions are modified, Federal-Mogul's required contributions may be higher than it expects. Federal-Mogul's pension and other post-employment benefit obligations could adversely impact our Automotive segment's operating margins and cash flows.</w:t>
      </w:r>
    </w:p>
    <w:p>
      <w:pPr>
        <w:spacing w:after="0" w:line="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Federal-Mogul may be subject to the pension liabilities of other members of Mr. Icahn's control group which could have a materially adverse effect on Federal-Mogul.</w:t>
      </w:r>
    </w:p>
    <w:p>
      <w:pPr>
        <w:spacing w:after="0" w:line="62" w:lineRule="exact"/>
        <w:rPr>
          <w:sz w:val="20"/>
          <w:szCs w:val="20"/>
          <w:color w:val="auto"/>
        </w:rPr>
      </w:pPr>
    </w:p>
    <w:p>
      <w:pPr>
        <w:ind w:right="100" w:firstLine="378"/>
        <w:spacing w:after="0" w:line="289" w:lineRule="auto"/>
        <w:rPr>
          <w:sz w:val="20"/>
          <w:szCs w:val="20"/>
          <w:color w:val="auto"/>
        </w:rPr>
      </w:pPr>
      <w:r>
        <w:rPr>
          <w:rFonts w:ascii="Arial" w:cs="Arial" w:eastAsia="Arial" w:hAnsi="Arial"/>
          <w:sz w:val="16"/>
          <w:szCs w:val="16"/>
          <w:color w:val="auto"/>
        </w:rPr>
        <w:t>As a result of the more than 80% ownership interest in Federal-Mogul by Mr. Icahn's affiliates, Federal-Mogul and its subsidiaries are subject to the pension liabilities of all entities in which Mr. Icahn has a direct or indirect ownership interest of at least 80%. As members of the controlled group, Federal-Mogul would be liable for any failure of other group companies to make ongoing pension contributions or to pay the unfunded liabilities upon a termination of those pension plans. In addition, other entities now or in the future within the controlled group in which Federal-Mogul is included may have pension plan obligations that are, or may become, underfunded and it would be liable for any failure of such entities to make ongoing pension contributions or to pay the unfunded liabilities upon termination of such plans. Any such liabilities could have a materially adverse effect on our Automotive segment's business, financial condition and results of operations. The current underfunded status of other group pension plans requires those companies to notify the PBGC of certain “reportable events,” such as if Federal-Mogul ceases to be a member of the controlled group, or if it makes certain extraordinary dividends or stock redemptions. The obligation to report could cause Federal-Mogul to seek to delay or reconsider the occurrence of such reportable events.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New ARL has significant amount of indebtedness, which could adversely affect its business, financial condition and results of operations.</w:t>
      </w:r>
    </w:p>
    <w:p>
      <w:pPr>
        <w:spacing w:after="0" w:line="140" w:lineRule="exact"/>
        <w:rPr>
          <w:sz w:val="20"/>
          <w:szCs w:val="20"/>
          <w:color w:val="auto"/>
        </w:rPr>
      </w:pPr>
    </w:p>
    <w:p>
      <w:pPr>
        <w:ind w:right="80" w:firstLine="378"/>
        <w:spacing w:after="0" w:line="286" w:lineRule="auto"/>
        <w:rPr>
          <w:sz w:val="20"/>
          <w:szCs w:val="20"/>
          <w:color w:val="auto"/>
        </w:rPr>
      </w:pPr>
      <w:r>
        <w:rPr>
          <w:rFonts w:ascii="Arial" w:cs="Arial" w:eastAsia="Arial" w:hAnsi="Arial"/>
          <w:sz w:val="16"/>
          <w:szCs w:val="16"/>
          <w:color w:val="auto"/>
        </w:rPr>
        <w:t>The New ARL is significantly leveraged. As a result of an investment in the New ARL, effective on October 2, 2013, the New ARL’s total indebtedness is approximately $1.3 billion, consisting of borrowings under its credit facilities, term loans and bond securitizations. The New ARL’s significant indebtedness could materially impact our Railcar segment’s operations, and could place us at a competitive disadvantage compared to our less leveraged competitors. It may be difficult for the New ARL to satisfy its repayment and other obligations with respect to such indebtedness, and it may not be able to refinance its existing indebtedness as it matures. Significant indebtedness may also increase the New ARL’s vulnerability to adverse general economic, industry or competitive developments or conditions and limit its flexibility in planning for, or reacting to, changes in its business and the industry in which it operates. The New ARL may be limited in its ability to raise additional capital or obtain additional financing to fund its operations, capital expenditures or other growth initiatives, and other general corporate requirements and may be required to dedicate a significant portion of our cash flow from operations to interest and principal payments on its indebtedness. The New ARL is also exposed to the risk of increased interest rates as certain of its borrowings are subject to variable rates of interest. As a consequence of the New ARL’s level of indebtedness, a significant portion of its cash flow from operations may be dedicated to debt service requirements. In addition, the terms of the New ARL’s various credit agreements may contain certain covenants, which if the New ARL fails to comply, may trigger an event of default, whereby the lender could accelerate the repayment of such debt. We cannot assure you that the New ARL would be able to renegotiate, refinance, restructure or otherwise obtain the necessary funds to satisfy its indebtedness.</w:t>
      </w:r>
    </w:p>
    <w:p>
      <w:pPr>
        <w:spacing w:after="0" w:line="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Changes in the credit markets and the financial services industry could adversely affect our Railcar segment’s business, financial condition and results of operations.</w:t>
      </w:r>
    </w:p>
    <w:p>
      <w:pPr>
        <w:spacing w:after="0" w:line="62" w:lineRule="exact"/>
        <w:rPr>
          <w:sz w:val="20"/>
          <w:szCs w:val="20"/>
          <w:color w:val="auto"/>
        </w:rPr>
      </w:pPr>
    </w:p>
    <w:p>
      <w:pPr>
        <w:ind w:right="360" w:firstLine="378"/>
        <w:spacing w:after="0" w:line="259" w:lineRule="auto"/>
        <w:rPr>
          <w:sz w:val="20"/>
          <w:szCs w:val="20"/>
          <w:color w:val="auto"/>
        </w:rPr>
      </w:pPr>
      <w:r>
        <w:rPr>
          <w:rFonts w:ascii="Arial" w:cs="Arial" w:eastAsia="Arial" w:hAnsi="Arial"/>
          <w:sz w:val="18"/>
          <w:szCs w:val="18"/>
          <w:color w:val="auto"/>
        </w:rPr>
        <w:t>The credit markets and the financial services industry continue to experience volatility which may result in tighter availability of credit on more restrictive terms. This could adversely affect our Railcar segment’s liquidity and financial condition if its ability to borrow money to finance operations, obtain credit from trade creditors, offer leasing products to its customers or sell railcar assets to other lessors were to be impaired. In addition, our Railcar segment could also be adversely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76" w:right="239" w:bottom="1440" w:gutter="0" w:footer="0" w:header="0"/>
        </w:sectPr>
      </w:pPr>
    </w:p>
    <w:bookmarkStart w:id="101" w:name="page102"/>
    <w:bookmarkEnd w:id="101"/>
    <w:p>
      <w:pPr>
        <w:ind w:right="200"/>
        <w:spacing w:after="0" w:line="277" w:lineRule="auto"/>
        <w:rPr>
          <w:sz w:val="20"/>
          <w:szCs w:val="20"/>
          <w:color w:val="auto"/>
        </w:rPr>
      </w:pPr>
      <w:r>
        <w:rPr>
          <w:rFonts w:ascii="Arial" w:cs="Arial" w:eastAsia="Arial" w:hAnsi="Arial"/>
          <w:sz w:val="18"/>
          <w:szCs w:val="18"/>
          <w:color w:val="auto"/>
        </w:rPr>
        <w:t>affected by its customers’ ability to purchase or pay for products from it or its suppliers’ ability to provide it with product, either of which could negatively affect our Railcar segment’s operations.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increase in the number of tank cars requiring compliance-based maintenance could negatively impact operations and substantially increase costs.</w:t>
      </w:r>
    </w:p>
    <w:p>
      <w:pPr>
        <w:spacing w:after="0" w:line="62" w:lineRule="exact"/>
        <w:rPr>
          <w:sz w:val="20"/>
          <w:szCs w:val="20"/>
          <w:color w:val="auto"/>
        </w:rPr>
      </w:pPr>
    </w:p>
    <w:p>
      <w:pPr>
        <w:ind w:right="240" w:firstLine="378"/>
        <w:spacing w:after="0" w:line="297" w:lineRule="auto"/>
        <w:rPr>
          <w:sz w:val="20"/>
          <w:szCs w:val="20"/>
          <w:color w:val="auto"/>
        </w:rPr>
      </w:pPr>
      <w:r>
        <w:rPr>
          <w:rFonts w:ascii="Arial" w:cs="Arial" w:eastAsia="Arial" w:hAnsi="Arial"/>
          <w:sz w:val="16"/>
          <w:szCs w:val="16"/>
          <w:color w:val="auto"/>
        </w:rPr>
        <w:t>Our Railcar segment performs a variety of maintenance programs on its full-service tank railcars based upon their service time that are mandated by government regulations and industry rules. New government regulations or industry rules are enacted from time to time, which may affect the number and type of procedures required to be performed. These compliance programs are cyclical in nature and as a result, our Railcar segment can face significant increases in the volume of tank railcars requiring extensive maintenance in any given year. A significant increase in the number of tank cars requiring maintenance may negatively impact our Railcar segment’s operations and substantially increase maintenance and other related costs.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segment’s assets may become obsolete.</w:t>
      </w:r>
    </w:p>
    <w:p>
      <w:pPr>
        <w:spacing w:after="0" w:line="117"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In addition to changes in laws, rules and regulations that may make assets obsolete, our Railcar segment’s operations may be adversely impacted by changes in the preferred method used by their customers to ship their products, changes in demand for particular products, or by a shift by customers toward purchasing assets rather than leasing them from our Railcar segment. The industries in which our Railcar segment’s customers operate are driven by dynamic market forces and trends, which are in turn influenced by economic and political factors in the United States and abroad. Demand for our Railcar segment’s railcars may be significantly affected by changes in the markets in which their customers operate. A significant reduction in customer demand for transportation or manufacture of a particular product or change in the preferred method of transportation used by customers to ship their products could result in the economic obsolescence of our Railcar segment’s assets leased by those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 may incur future asset impairment charges.</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Our Railcar operations regularly review long-lived assets investments for impairment, including when events or changes in circumstances indicate the carrying value of an asset or investment may not be recoverable. Our Railcar segment may be required to recognize asset impairment charges in the future as a result of a weak economic environment, challenging market conditions, events related to particular customers or asset types, or as a result of asset or portfolio sale decisions by management or other factors that affect our Railcar segment’s estimates of expected cash flows to be generated from its long-lived assets.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 may be subject to various types of litigation in the future.</w:t>
      </w:r>
    </w:p>
    <w:p>
      <w:pPr>
        <w:spacing w:after="0" w:line="117"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The nature of Railcar segment’s businesses and assets expose it to the potential for claims and litigation related to personal injury and property damage, environmental claims and various other matters. Certain of our Railcar segment’s railcars may be used by customers to transport hazardous materials, and a rupture of a railcar carrying such materials in an accident could lead to litigation and subject our Railcar segment to the potential for significant liability. Our Railcar segment’s failure to maintain railcars in compliance with governmental regulations and industry rules could expose it to personal injury, property damage and environmental claims. A substantial adverse judgment against our Railcar operations could have a material adverse effect on our Railcar segment’s financial position, results of operations and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 could be liable for physical damage or product liability claims that exceed our insurance coverage.</w:t>
      </w:r>
    </w:p>
    <w:p>
      <w:pPr>
        <w:spacing w:after="0" w:line="117" w:lineRule="exact"/>
        <w:rPr>
          <w:sz w:val="20"/>
          <w:szCs w:val="20"/>
          <w:color w:val="auto"/>
        </w:rPr>
      </w:pPr>
    </w:p>
    <w:p>
      <w:pPr>
        <w:jc w:val="both"/>
        <w:ind w:right="120" w:firstLine="378"/>
        <w:spacing w:after="0" w:line="259" w:lineRule="auto"/>
        <w:rPr>
          <w:sz w:val="20"/>
          <w:szCs w:val="20"/>
          <w:color w:val="auto"/>
        </w:rPr>
      </w:pPr>
      <w:r>
        <w:rPr>
          <w:rFonts w:ascii="Arial" w:cs="Arial" w:eastAsia="Arial" w:hAnsi="Arial"/>
          <w:sz w:val="18"/>
          <w:szCs w:val="18"/>
          <w:color w:val="auto"/>
        </w:rPr>
        <w:t>The nature of our Railcar operations’ business subjects us to physical damage and product liability claims, especially in connection with the repair and manufacture of products that carry hazardous or volatile materials. Although we maintain liability insurance coverage at commercially reasonable levels, an unusually large physical damage or product liability claim or a series of claims based on a failure repeated throughout our production process could exceed our insurance coverage or result in damage to our reputation.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 could be unable to procure adequate insurance on a cost-effective basis in the future.</w:t>
      </w:r>
    </w:p>
    <w:p>
      <w:pPr>
        <w:spacing w:after="0" w:line="117"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Our Railcar segment manages its exposure to risk, in part, by insuring its assets and their associated risks. There is no guarantee that such insurance will be consistently available on a cost-effective basis in the future. If the cost of insurance coverage becomes prohibitively expensive, our Railcar segment could be forced to reduce the amount of coverage and increase the amount of its self-insured risk retention.</w:t>
      </w:r>
    </w:p>
    <w:p>
      <w:pPr>
        <w:spacing w:after="0" w:line="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Any failure by our Railcar segment to comply with regulations imposed by federal and foreign agencies could negatively affect Railcar segment’s financial results.</w:t>
      </w:r>
    </w:p>
    <w:p>
      <w:pPr>
        <w:spacing w:after="0" w:line="62"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Our Railcar segment’s operations and the industry it serves, including its customers, are subject to extensive regulation by governmental, regulatory and industry authorities and by federal and foreign agencies. These organizations establish rules and regulations for the railcar industry, including construction specifications and standards for the design and manufacture of railcars; mechanical, maintenance and related standards; and railroad safety. New regulatory rulings and regulations from these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76" w:right="299" w:bottom="1440" w:gutter="0" w:footer="0" w:header="0"/>
        </w:sectPr>
      </w:pPr>
    </w:p>
    <w:bookmarkStart w:id="102" w:name="page103"/>
    <w:bookmarkEnd w:id="102"/>
    <w:p>
      <w:pPr>
        <w:ind w:right="20"/>
        <w:spacing w:after="0" w:line="264" w:lineRule="auto"/>
        <w:rPr>
          <w:sz w:val="20"/>
          <w:szCs w:val="20"/>
          <w:color w:val="auto"/>
        </w:rPr>
      </w:pPr>
      <w:r>
        <w:rPr>
          <w:rFonts w:ascii="Arial" w:cs="Arial" w:eastAsia="Arial" w:hAnsi="Arial"/>
          <w:sz w:val="18"/>
          <w:szCs w:val="18"/>
          <w:color w:val="auto"/>
        </w:rPr>
        <w:t>entities could impact our Railcar segment’s financial results, demand for our Railcar segment’s products and the economic value of our Railcar segment’s assets. In addition, if our Railcar segment fails to comply with the requirements and regulations of these entities, our Railcar segment could face sanctions and penalties that could negatively affect our Railcar segment’ financial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PSC Metals' business is subject to extensive environmental regulation and risk.</w:t>
      </w:r>
    </w:p>
    <w:p>
      <w:pPr>
        <w:spacing w:after="0" w:line="117"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As disclosed in our Annual Report on Form 10-K for the year ended December 31, 2012, PSC Metals is subject to comprehensive local, state and federal statutory and regulatory environmental requirements. PSC Metals believes that it is currently in material compliance with applicable statutes and regulations governing the protection of human health and the environment, including employee health and safety. We can give no assurance that PSC Metals will continue to be in material compliance or avoid material fines, penalties and expenses associated with compliance issues in the future. In that regard, on April 3, 2013, two citizens groups filed a citizen suit under the Clean Water Act (the “CWA”) for alleged storm water and process water discharges at PSC Metals' Nashville, Tennessee facility that the citizens groups allege violate the CWA and PSC Metals' storm water discharge permit. The CWA requires that in order to maintain a citizen suit, the citizen plaintiff must be able to show that the violations are on-going or are reasonably likely to reoccur. PSC Metals believes, based on its investigation to date, that the citizen plaintiffs cannot meet this burden. Based on reviewing the nature and extent of the allegations, PSC Metals currently cannot reasonably provide an estimate of range of loss. PSC Metals received a subpoena from the Department of Justice regarding information for a criminal investigation. PSC is currently investigating this matter and responding to the subpoena. PSC has not discovered any facts that would, in its opinion, give rise to further proceedings.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carry significant goodwill on our consolidated balance sheets, which is subject to impairment testing and could subject us to significant non-cash charges to earnings if impairment occurs.</w:t>
      </w:r>
    </w:p>
    <w:p>
      <w:pPr>
        <w:spacing w:after="0" w:line="62"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As of September 30, 2013, we had a goodwill balance of approximately $2.1 billion, of which approximately $1.1 billion relates to our Automotive segment and approximately $0.9 billion relates to our Energy segment. Goodwill is not amortized, but is tested for impairment annually or more frequently if an event occurs or circumstances change that would more likely than not reduce the fair value of an operating segment's reporting unit below its carrying amount. Factors that could indicate that an operating segment's goodwill is impaired include, but are not limited to, whether the operating segment's fair value, as measured by its market capitalization, has remained below its net book value for a significant period of time, lower than projected operating results and cash flows, and significant industry deterioration in key geographic regions. If impairment is determined to exist, it may result in a significant non-cash charge to earnings.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the pension liabilities of our affiliates.</w:t>
      </w:r>
    </w:p>
    <w:p>
      <w:pPr>
        <w:spacing w:after="0" w:line="117"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Mr. Icahn, through certain affiliates, owns 100% of Icahn Enterprises GP and approximately 89.4% of Icahn Enterprises' outstanding depositary units as of September 30, 2013.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 As a result of the more than 80% ownership interest in us by Mr. Icahn's affiliates, we and our subsidiaries are subject to the pension liabilities of all entities in which Mr. Icahn has a direct or indirect ownership interest of at least 80%. Two such entities, ACF Industries LLC and Federal-Mogul, are the sponsors of several pension plans. All the minimum funding requirements of the Code and the Employee Retirement Income Security Act of 1974, as amended by the Pension Protection Act of 2006, for these plans have been met as of September 30, 2013. If the plans were voluntarily terminated, they would be underfunded by approximately $703 million.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their pension plans. These results are based on the most recent information provided by the plans' actuaries. These liabilities could increase or decrease, depending on a number of factors, including future changes in benefits, investment returns, and the assumptions used to calculate the liability.</w:t>
      </w:r>
    </w:p>
    <w:p>
      <w:pPr>
        <w:spacing w:after="0" w:line="75" w:lineRule="exact"/>
        <w:rPr>
          <w:sz w:val="20"/>
          <w:szCs w:val="20"/>
          <w:color w:val="auto"/>
        </w:rPr>
      </w:pPr>
    </w:p>
    <w:p>
      <w:pPr>
        <w:ind w:right="80" w:firstLine="378"/>
        <w:spacing w:after="0" w:line="302" w:lineRule="auto"/>
        <w:rPr>
          <w:sz w:val="20"/>
          <w:szCs w:val="20"/>
          <w:color w:val="auto"/>
        </w:rPr>
      </w:pPr>
      <w:r>
        <w:rPr>
          <w:rFonts w:ascii="Arial" w:cs="Arial" w:eastAsia="Arial" w:hAnsi="Arial"/>
          <w:sz w:val="16"/>
          <w:szCs w:val="16"/>
          <w:color w:val="auto"/>
        </w:rPr>
        <w:t>As members of the controlled group, we would be liable for any failure of ACF and Federal-Mogul to make ongoing pension contributions or to pay the unfunded liabilities upon a termination of their pension plans. In addition, other entities now or in the future within the controlled group that includes us may have pension plan obligations that are, or may become, underfunded and we would be liable for any failure of such entities to make ongoing pension contributions or to pay the unfunded liabilities upon a termination of such plans. The current underfunded status of the pension plans of ACF and Federal-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76" w:right="239" w:bottom="1440" w:gutter="0" w:footer="0" w:header="0"/>
        </w:sectPr>
      </w:pPr>
    </w:p>
    <w:bookmarkStart w:id="103" w:name="page104"/>
    <w:bookmarkEnd w:id="103"/>
    <w:p>
      <w:pPr>
        <w:spacing w:after="0" w:line="270" w:lineRule="auto"/>
        <w:rPr>
          <w:sz w:val="20"/>
          <w:szCs w:val="20"/>
          <w:color w:val="auto"/>
        </w:rPr>
      </w:pPr>
      <w:r>
        <w:rPr>
          <w:rFonts w:ascii="Arial" w:cs="Arial" w:eastAsia="Arial" w:hAnsi="Arial"/>
          <w:sz w:val="17"/>
          <w:szCs w:val="17"/>
          <w:color w:val="auto"/>
        </w:rPr>
        <w:t>Mogul requires them to notify the PBGC of certain “reportable events,” such as if we cease to be a member of the ACF or Federal-Mogul controlled group, or if we make certain extraordinary dividends or stock redemptions. The obligation to report could cause us to seek to delay or reconsider the occurrence of such reportable events. 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more than 80% ownership interest in us. Thus, Starfire would not indemnify us for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76" w:right="2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15.1</w:t>
            </w: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Letter of Grant Thornton LLP regarding unaudited interim financial information.</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Exhibit 101</w:t>
            </w:r>
            <w:r>
              <w:rPr>
                <w:rFonts w:ascii="Arial" w:cs="Arial" w:eastAsia="Arial" w:hAnsi="Arial"/>
                <w:sz w:val="18"/>
                <w:szCs w:val="18"/>
                <w:color w:val="auto"/>
                <w:w w:val="92"/>
                <w:vertAlign w:val="superscript"/>
              </w:rPr>
              <w:t>(1)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quarterly period ended September 30, 2013, formatted in XBRL (Extensible Business Reporting Language) includes: (i) the</w:t>
            </w:r>
          </w:p>
        </w:tc>
      </w:tr>
    </w:tbl>
    <w:p>
      <w:pPr>
        <w:jc w:val="both"/>
        <w:ind w:left="1520" w:right="140"/>
        <w:spacing w:after="0" w:line="271" w:lineRule="auto"/>
        <w:rPr>
          <w:sz w:val="20"/>
          <w:szCs w:val="20"/>
          <w:color w:val="auto"/>
        </w:rPr>
      </w:pPr>
      <w:r>
        <w:rPr>
          <w:rFonts w:ascii="Arial" w:cs="Arial" w:eastAsia="Arial" w:hAnsi="Arial"/>
          <w:sz w:val="17"/>
          <w:szCs w:val="17"/>
          <w:color w:val="auto"/>
        </w:rPr>
        <w:t>Consolidated Balance Sheets as of September 30, 2013 and December 31, 2012, (ii) the Consolidated Statements of Operations for the three and nine months ended September 30, 2013 and 2012, (iii) the Consolidated Statements of Comprehensive Income for the three and nine months ended September 30, 2013 and 2012,(iv) the Consolidated Statement of Changes in Equity for the nine months ended September 30, 2013, (v) the Consolidated Statements of Cash Flows for the three and nine months ended September 30, 2013 and 2012 and (vi) the Notes to the Consolidated Financial Statements.</w:t>
      </w:r>
    </w:p>
    <w:p>
      <w:pPr>
        <w:spacing w:after="0" w:line="200" w:lineRule="exact"/>
        <w:rPr>
          <w:sz w:val="20"/>
          <w:szCs w:val="20"/>
          <w:color w:val="auto"/>
        </w:rPr>
      </w:pPr>
    </w:p>
    <w:p>
      <w:pPr>
        <w:spacing w:after="0" w:line="217" w:lineRule="exact"/>
        <w:rPr>
          <w:sz w:val="20"/>
          <w:szCs w:val="20"/>
          <w:color w:val="auto"/>
        </w:rPr>
      </w:pPr>
    </w:p>
    <w:p>
      <w:pPr>
        <w:ind w:left="340" w:hanging="251"/>
        <w:spacing w:after="0" w:line="257" w:lineRule="auto"/>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Pursuant to Rule 406T of Regulation S-T, the Interactive Data Files on Exhibit 101 hereto are deemed not filed or part of a registration statement or prospectus for purposes of Sections 11 or 12 of the Securities Act of 1933, as amended, or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64" w:right="239" w:bottom="1440" w:gutter="0" w:footer="0" w:header="0"/>
        </w:sectPr>
      </w:pPr>
    </w:p>
    <w:bookmarkStart w:id="105" w:name="page106"/>
    <w:bookmarkEnd w:id="10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121" w:right="4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Icahn Enterprises L.P.</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consolidated interim financial statements of Icahn Enterprises L.P. and subsidiaries as of September 30, 2013, and for the three-month and nine-month periods ended September 30, 2013 and 2012, as indicated in our report dated November 4, 2013; because we did not perform an audit, we expressed no opinion on that information.</w:t>
      </w:r>
    </w:p>
    <w:p>
      <w:pPr>
        <w:spacing w:after="0" w:line="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September 30, 2013 is incorporated by reference in Registration Statement on Form S-3 (File No. 333-188360).</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also are aware that the aforementioned report, pursuant to Rule 436(c) under the Securities Act of 1933, is not considered a part of the Registration Statement prepared or certified by an accountant within the meaning of Sections 7 and 11 of that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4, 2013</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A. Ninivaggi, certify that:</w:t>
      </w:r>
    </w:p>
    <w:p>
      <w:pPr>
        <w:spacing w:after="0" w:line="225" w:lineRule="exact"/>
        <w:rPr>
          <w:sz w:val="20"/>
          <w:szCs w:val="20"/>
          <w:color w:val="auto"/>
        </w:rPr>
      </w:pPr>
    </w:p>
    <w:p>
      <w:pPr>
        <w:ind w:left="520" w:hanging="188"/>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L.P. for the period ended September 30,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2013</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 I have reviewed this quarterly report on Form 10-Q of Icahn Enterprises L.P. for the period ended September 30,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2013</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A. Ninivaggi, certify that:</w:t>
      </w:r>
    </w:p>
    <w:p>
      <w:pPr>
        <w:spacing w:after="0" w:line="225" w:lineRule="exact"/>
        <w:rPr>
          <w:sz w:val="20"/>
          <w:szCs w:val="20"/>
          <w:color w:val="auto"/>
        </w:rPr>
      </w:pPr>
    </w:p>
    <w:p>
      <w:pPr>
        <w:ind w:left="520" w:hanging="188"/>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September 30, 2013;</w:t>
      </w:r>
    </w:p>
    <w:p>
      <w:pPr>
        <w:spacing w:after="0" w:line="225" w:lineRule="exact"/>
        <w:rPr>
          <w:rFonts w:ascii="Arial" w:cs="Arial" w:eastAsia="Arial" w:hAnsi="Arial"/>
          <w:sz w:val="18"/>
          <w:szCs w:val="18"/>
          <w:color w:val="auto"/>
        </w:rPr>
      </w:pPr>
    </w:p>
    <w:p>
      <w:pPr>
        <w:jc w:val="both"/>
        <w:ind w:right="360" w:firstLine="332"/>
        <w:spacing w:after="0" w:line="342" w:lineRule="auto"/>
        <w:tabs>
          <w:tab w:leader="none" w:pos="5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332"/>
        <w:spacing w:after="0" w:line="277" w:lineRule="auto"/>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332"/>
        <w:spacing w:after="0" w:line="264" w:lineRule="auto"/>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260" w:firstLine="316"/>
        <w:spacing w:after="0" w:line="264" w:lineRule="auto"/>
        <w:tabs>
          <w:tab w:leader="none" w:pos="8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480" w:firstLine="316"/>
        <w:spacing w:after="0" w:line="264"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880" w:firstLine="316"/>
        <w:spacing w:after="0" w:line="342" w:lineRule="auto"/>
        <w:tabs>
          <w:tab w:leader="none" w:pos="849"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20" w:firstLine="316"/>
        <w:spacing w:after="0" w:line="264"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60" w:firstLine="332"/>
        <w:spacing w:after="0" w:line="308" w:lineRule="auto"/>
        <w:tabs>
          <w:tab w:leader="none" w:pos="50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240" w:firstLine="316"/>
        <w:spacing w:after="0" w:line="277" w:lineRule="auto"/>
        <w:tabs>
          <w:tab w:leader="none" w:pos="8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40" w:firstLine="316"/>
        <w:spacing w:after="0" w:line="277"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2013</w:t>
      </w:r>
    </w:p>
    <w:p>
      <w:pPr>
        <w:sectPr>
          <w:pgSz w:w="11900" w:h="16838" w:orient="portrait"/>
          <w:cols w:equalWidth="0" w:num="1">
            <w:col w:w="11340"/>
          </w:cols>
          <w:pgMar w:left="240" w:top="580"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September 30,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2013</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 Daniel A. Ninivaggi, President and Chief Executive Officer of Icahn Enterprises G.P. Inc., the general partner of Icahn Enterprises L.P., certify that, to the best of my knowledge, based upon a review of the Icahn Enterprises L.P. quarterly report on Form 10-Q for the period ended September 30, 2013:</w:t>
      </w:r>
    </w:p>
    <w:p>
      <w:pPr>
        <w:spacing w:after="0" w:line="124"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2013</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L.P., certify that, to the best of my knowledge, based upon a review of the Icahn Enterprises L.P. quarterly report on Form 10-Q for the period ended September 30, 2013:</w:t>
      </w:r>
    </w:p>
    <w:p>
      <w:pPr>
        <w:spacing w:after="0" w:line="147"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2013</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I, Daniel A. Ninivaggi, President and Chief Executive Officer of Icahn Enterprises G.P. Inc., the general partner of Icahn Enterprises Holdings L.P., certify that, to the best of my knowledge, based upon a review of the Icahn Enterprises Holdings L.P. quarterly report on Form 10-Q for the period ended September 30, 2013:</w:t>
      </w:r>
    </w:p>
    <w:p>
      <w:pPr>
        <w:spacing w:after="0" w:line="181" w:lineRule="exact"/>
        <w:rPr>
          <w:sz w:val="20"/>
          <w:szCs w:val="20"/>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2013</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 SungHwan Cho, Chief Financial Officer of Icahn Enterprises G.P. Inc., the general partner of Icahn Enterprises Holdings L.P., certify that, to the best of my knowledge, based upon a review of the Icahn Enterprises Holdings L.P. quarterly report on Form 10-Q for the period ended September 30, 2013:</w:t>
      </w:r>
    </w:p>
    <w:p>
      <w:pPr>
        <w:spacing w:after="0" w:line="124" w:lineRule="exact"/>
        <w:rPr>
          <w:sz w:val="20"/>
          <w:szCs w:val="20"/>
          <w:color w:val="auto"/>
        </w:rPr>
      </w:pPr>
    </w:p>
    <w:p>
      <w:pPr>
        <w:ind w:left="580" w:hanging="24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4"/>
    </w:lvl>
  </w:abstractNum>
  <w:abstractNum w:abstractNumId="4">
    <w:nsid w:val="4E6AFB66"/>
    <w:multiLevelType w:val="hybridMultilevel"/>
    <w:lvl w:ilvl="0">
      <w:lvlJc w:val="left"/>
      <w:lvlText w:val="%1."/>
      <w:numFmt w:val="decimal"/>
      <w:start w:val="5"/>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8"/>
    </w:lvl>
  </w:abstractNum>
  <w:abstractNum w:abstractNumId="12">
    <w:nsid w:val="436C6125"/>
    <w:multiLevelType w:val="hybridMultilevel"/>
    <w:lvl w:ilvl="0">
      <w:lvlJc w:val="left"/>
      <w:lvlText w:val="(%1)"/>
      <w:numFmt w:val="lowerRoman"/>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4"/>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lvl w:ilvl="1">
      <w:lvlJc w:val="left"/>
      <w:lvlText w:val="%2)"/>
      <w:numFmt w:val="low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2019-12-16T05:25:47Z</dcterms:created>
  <dcterms:modified xsi:type="dcterms:W3CDTF">2019-12-16T05:25:47Z</dcterms:modified>
</cp:coreProperties>
</file>