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51231x10k.htm"/>
        <w:bookmarkStart w:id="1" w:name="kstmb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left"/>
        <w:rPr/>
      </w:pPr>
      <w:r>
        <w:rPr/>
        <w:t>​</w:t>
      </w:r>
    </w:p>
    <w:p>
      <w:pPr>
        <w:pStyle w:val="TextBody"/>
        <w:bidi w:val="0"/>
        <w:spacing w:before="100" w:after="0"/>
        <w:ind w:left="0" w:right="0" w:hanging="0"/>
        <w:jc w:val="center"/>
        <w:rPr>
          <w:rFonts w:ascii="Times New Roman;Times;serif" w:hAnsi="Times New Roman;Times;serif"/>
          <w:b/>
          <w:sz w:val="18"/>
        </w:rPr>
      </w:pPr>
      <w:bookmarkStart w:id="2" w:name="_7556f4e8_3b2c_4c10_9fa5_b58ae2b05323"/>
      <w:bookmarkEnd w:id="2"/>
      <w:r>
        <w:rPr>
          <w:rFonts w:ascii="Times New Roman;Times;serif" w:hAnsi="Times New Roman;Times;serif"/>
          <w:b/>
          <w:sz w:val="18"/>
        </w:rPr>
        <w:t>UNITED STATES SECURITIES AND EXCHANGE COMMISSION</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FORM 10-K</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(Mark one)</w:t>
      </w:r>
    </w:p>
    <w:p>
      <w:pPr>
        <w:pStyle w:val="TextBody"/>
        <w:bidi w:val="0"/>
        <w:spacing w:before="0" w:after="120"/>
        <w:ind w:left="0" w:right="0" w:hanging="0"/>
        <w:jc w:val="left"/>
        <w:rPr/>
      </w:pPr>
      <w:r>
        <w:rPr/>
        <w:t>☒   </w:t>
      </w:r>
      <w:r>
        <w:rPr>
          <w:rFonts w:ascii="Times New Roman;Times;serif" w:hAnsi="Times New Roman;Times;serif"/>
          <w:b/>
          <w:sz w:val="20"/>
        </w:rPr>
        <w:t>ANNUAL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2025</w:t>
      </w:r>
    </w:p>
    <w:p>
      <w:pPr>
        <w:pStyle w:val="TextBody"/>
        <w:pBdr/>
        <w:bidi w:val="0"/>
        <w:spacing w:before="0" w:after="120"/>
        <w:ind w:left="0" w:right="0" w:hanging="360"/>
        <w:jc w:val="left"/>
        <w:rPr/>
      </w:pPr>
      <w:r>
        <w:rPr/>
        <w:t>☐  </w:t>
      </w:r>
      <w:r>
        <w:rPr>
          <w:rFonts w:ascii="Times New Roman;Times;serif" w:hAnsi="Times New Roman;Times;serif"/>
          <w:b/>
          <w:sz w:val="20"/>
        </w:rPr>
        <w:t>TRANSITION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Normal"/>
        <w:bidi w:val="0"/>
        <w:spacing w:before="0" w:after="0"/>
        <w:jc w:val="left"/>
        <w:rPr>
          <w:sz w:val="4"/>
          <w:szCs w:val="4"/>
        </w:rPr>
      </w:pPr>
      <w:r>
        <w:rPr>
          <w:sz w:val="4"/>
          <w:szCs w:val="4"/>
        </w:rPr>
      </w:r>
      <w:bookmarkStart w:id="3" w:name="Tc_xS0HY31huUG7Ga524y1oqA_1_3"/>
      <w:bookmarkStart w:id="4" w:name="Tc_eoQK8QTlvU2VF8QMh7myxg_1_2"/>
      <w:bookmarkStart w:id="5" w:name="Tc_8yJummtKYE25-Pw0SHGGOw_1_1"/>
      <w:bookmarkStart w:id="6" w:name="Tc_9gP08ZIA6Eu6mIcV3CpwZw_1_0"/>
      <w:bookmarkStart w:id="7" w:name="_b9d2631d_f07d_4c80_b00d_1736d57c3f8c"/>
      <w:bookmarkStart w:id="8" w:name="Tc_xS0HY31huUG7Ga524y1oqA_1_3"/>
      <w:bookmarkStart w:id="9" w:name="Tc_eoQK8QTlvU2VF8QMh7myxg_1_2"/>
      <w:bookmarkStart w:id="10" w:name="Tc_8yJummtKYE25-Pw0SHGGOw_1_1"/>
      <w:bookmarkStart w:id="11" w:name="Tc_9gP08ZIA6Eu6mIcV3CpwZw_1_0"/>
      <w:bookmarkStart w:id="12" w:name="_b9d2631d_f07d_4c80_b00d_1736d57c3f8c"/>
      <w:bookmarkEnd w:id="8"/>
      <w:bookmarkEnd w:id="9"/>
      <w:bookmarkEnd w:id="10"/>
      <w:bookmarkEnd w:id="11"/>
      <w:bookmarkEnd w:id="12"/>
    </w:p>
    <w:tbl>
      <w:tblPr>
        <w:tblW w:w="496" w:type="dxa"/>
        <w:jc w:val="left"/>
        <w:tblInd w:w="0" w:type="dxa"/>
        <w:tblLayout w:type="fixed"/>
        <w:tblCellMar>
          <w:top w:w="0" w:type="dxa"/>
          <w:left w:w="0" w:type="dxa"/>
          <w:bottom w:w="0" w:type="dxa"/>
          <w:right w:w="0" w:type="dxa"/>
        </w:tblCellMar>
      </w:tblPr>
      <w:tblGrid>
        <w:gridCol w:w="124"/>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2103120"/>
                      <wp:effectExtent l="0" t="0" r="0" b="0"/>
                      <wp:wrapNone/>
                      <wp:docPr id="1" name="Frame1"/>
                      <a:graphic xmlns:a="http://schemas.openxmlformats.org/drawingml/2006/main">
                        <a:graphicData uri="http://schemas.microsoft.com/office/word/2010/wordprocessingShape">
                          <wps:wsp>
                            <wps:cNvSpPr txBox="1"/>
                            <wps:spPr>
                              <a:xfrm>
                                <a:off x="0" y="0"/>
                                <a:ext cx="78740" cy="21031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(Commission File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5.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(Commission File Number)</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7030085"/>
                      <wp:effectExtent l="0" t="0" r="0" b="0"/>
                      <wp:wrapNone/>
                      <wp:docPr id="2" name="Frame2"/>
                      <a:graphic xmlns:a="http://schemas.openxmlformats.org/drawingml/2006/main">
                        <a:graphicData uri="http://schemas.microsoft.com/office/word/2010/wordprocessingShape">
                          <wps:wsp>
                            <wps:cNvSpPr txBox="1"/>
                            <wps:spPr>
                              <a:xfrm>
                                <a:off x="0" y="0"/>
                                <a:ext cx="69215" cy="70300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ableContents"/>
                                    <w:bidi w:val="0"/>
                                    <w:spacing w:before="0" w:after="30"/>
                                    <w:ind w:left="0" w:right="0" w:hanging="0"/>
                                    <w:jc w:val="center"/>
                                    <w:rPr>
                                      <w:rFonts w:ascii="Times New Roman;Times;serif" w:hAnsi="Times New Roman;Times;serif"/>
                                      <w:sz w:val="16"/>
                                    </w:rPr>
                                  </w:pPr>
                                  <w:r>
                                    <w:rPr>
                                      <w:rFonts w:ascii="Times New Roman;Times;serif" w:hAnsi="Times New Roman;Times;serif"/>
                                      <w:sz w:val="16"/>
                                    </w:rPr>
                                    <w:t>(Telephone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53.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ableContents"/>
                              <w:bidi w:val="0"/>
                              <w:spacing w:before="0" w:after="30"/>
                              <w:ind w:left="0" w:right="0" w:hanging="0"/>
                              <w:jc w:val="center"/>
                              <w:rPr>
                                <w:rFonts w:ascii="Times New Roman;Times;serif" w:hAnsi="Times New Roman;Times;serif"/>
                                <w:sz w:val="16"/>
                              </w:rPr>
                            </w:pPr>
                            <w:r>
                              <w:rPr>
                                <w:rFonts w:ascii="Times New Roman;Times;serif" w:hAnsi="Times New Roman;Times;serif"/>
                                <w:sz w:val="16"/>
                              </w:rPr>
                              <w:t>(Telephone Number)</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5958840"/>
                      <wp:effectExtent l="0" t="0" r="0" b="0"/>
                      <wp:wrapNone/>
                      <wp:docPr id="3" name="Frame3"/>
                      <a:graphic xmlns:a="http://schemas.openxmlformats.org/drawingml/2006/main">
                        <a:graphicData uri="http://schemas.microsoft.com/office/word/2010/wordprocessingShape">
                          <wps:wsp>
                            <wps:cNvSpPr txBox="1"/>
                            <wps:spPr>
                              <a:xfrm>
                                <a:off x="0" y="0"/>
                                <a:ext cx="69215" cy="59588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6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7790" cy="2219960"/>
                      <wp:effectExtent l="0" t="0" r="0" b="0"/>
                      <wp:wrapNone/>
                      <wp:docPr id="4" name="Frame4"/>
                      <a:graphic xmlns:a="http://schemas.openxmlformats.org/drawingml/2006/main">
                        <a:graphicData uri="http://schemas.microsoft.com/office/word/2010/wordprocessingShape">
                          <wps:wsp>
                            <wps:cNvSpPr txBox="1"/>
                            <wps:spPr>
                              <a:xfrm>
                                <a:off x="0" y="0"/>
                                <a:ext cx="97790" cy="22199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7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8740" cy="880110"/>
                      <wp:effectExtent l="0" t="0" r="0" b="0"/>
                      <wp:wrapNone/>
                      <wp:docPr id="5" name="Frame5"/>
                      <a:graphic xmlns:a="http://schemas.openxmlformats.org/drawingml/2006/main">
                        <a:graphicData uri="http://schemas.microsoft.com/office/word/2010/wordprocessingShape">
                          <wps:wsp>
                            <wps:cNvSpPr txBox="1"/>
                            <wps:spPr>
                              <a:xfrm>
                                <a:off x="0" y="0"/>
                                <a:ext cx="78740" cy="88011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1-9516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9.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1-9516</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4498340"/>
                      <wp:effectExtent l="0" t="0" r="0" b="0"/>
                      <wp:wrapNone/>
                      <wp:docPr id="6" name="Frame6"/>
                      <a:graphic xmlns:a="http://schemas.openxmlformats.org/drawingml/2006/main">
                        <a:graphicData uri="http://schemas.microsoft.com/office/word/2010/wordprocessingShape">
                          <wps:wsp>
                            <wps:cNvSpPr txBox="1"/>
                            <wps:spPr>
                              <a:xfrm>
                                <a:off x="0" y="0"/>
                                <a:ext cx="69215" cy="44983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28"/>
                                    </w:rPr>
                                  </w:pPr>
                                  <w:r>
                                    <w:rPr>
                                      <w:rFonts w:ascii="Times New Roman;Times;serif" w:hAnsi="Times New Roman;Times;serif"/>
                                      <w:b/>
                                      <w:sz w:val="28"/>
                                    </w:rPr>
                                    <w:t>ICAHN ENTERPRISES L.P.</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54.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28"/>
                              </w:rPr>
                            </w:pPr>
                            <w:r>
                              <w:rPr>
                                <w:rFonts w:ascii="Times New Roman;Times;serif" w:hAnsi="Times New Roman;Times;serif"/>
                                <w:b/>
                                <w:sz w:val="28"/>
                              </w:rPr>
                              <w:t>ICAHN ENTERPRISES L.P.</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1173480"/>
                      <wp:effectExtent l="0" t="0" r="0" b="0"/>
                      <wp:wrapNone/>
                      <wp:docPr id="7" name="Frame7"/>
                      <a:graphic xmlns:a="http://schemas.openxmlformats.org/drawingml/2006/main">
                        <a:graphicData uri="http://schemas.microsoft.com/office/word/2010/wordprocessingShape">
                          <wps:wsp>
                            <wps:cNvSpPr txBox="1"/>
                            <wps:spPr>
                              <a:xfrm>
                                <a:off x="0" y="0"/>
                                <a:ext cx="69215" cy="117348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9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Delaware</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790" cy="1466850"/>
                      <wp:effectExtent l="0" t="0" r="0" b="0"/>
                      <wp:wrapNone/>
                      <wp:docPr id="8" name="Frame8"/>
                      <a:graphic xmlns:a="http://schemas.openxmlformats.org/drawingml/2006/main">
                        <a:graphicData uri="http://schemas.microsoft.com/office/word/2010/wordprocessingShape">
                          <wps:wsp>
                            <wps:cNvSpPr txBox="1"/>
                            <wps:spPr>
                              <a:xfrm>
                                <a:off x="0" y="0"/>
                                <a:ext cx="97790" cy="146685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13-3398766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13-3398766</w:t>
                            </w:r>
                          </w:p>
                        </w:txbxContent>
                      </v:textbox>
                      <w10:wrap type="none"/>
                    </v:rect>
                  </w:pict>
                </mc:Fallback>
              </mc:AlternateConten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16690 Collins Avenue,</w:t>
      </w:r>
      <w:r>
        <w:rPr>
          <w:rFonts w:ascii="Times New Roman;Times;serif" w:hAnsi="Times New Roman;Times;serif"/>
          <w:sz w:val="20"/>
        </w:rPr>
        <w:t xml:space="preserve"> </w:t>
      </w:r>
      <w:r>
        <w:rPr>
          <w:rFonts w:ascii="Times New Roman;Times;serif" w:hAnsi="Times New Roman;Times;serif"/>
          <w:b/>
          <w:sz w:val="20"/>
        </w:rPr>
        <w:t>PH-1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Sunny Isles Beach,</w:t>
      </w:r>
      <w:r>
        <w:rPr>
          <w:rFonts w:ascii="Times New Roman;Times;serif" w:hAnsi="Times New Roman;Times;serif"/>
          <w:sz w:val="20"/>
        </w:rPr>
        <w:t xml:space="preserve"> </w:t>
      </w:r>
      <w:r>
        <w:rPr>
          <w:rFonts w:ascii="Times New Roman;Times;serif" w:hAnsi="Times New Roman;Times;serif"/>
          <w:b/>
          <w:sz w:val="20"/>
        </w:rPr>
        <w:t>FL</w:t>
      </w:r>
      <w:r>
        <w:rPr>
          <w:rFonts w:ascii="Times New Roman;Times;serif" w:hAnsi="Times New Roman;Times;serif"/>
          <w:sz w:val="20"/>
        </w:rPr>
        <w:t xml:space="preserve"> </w:t>
      </w:r>
      <w:r>
        <w:rPr>
          <w:rFonts w:ascii="Times New Roman;Times;serif" w:hAnsi="Times New Roman;Times;serif"/>
          <w:b/>
          <w:sz w:val="20"/>
        </w:rPr>
        <w:t>33160</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(305) 422-4100</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3" w:name="Tc_Y8wUXqmgfEOAA_0qokBEwg_2_4"/>
      <w:bookmarkStart w:id="14" w:name="Tc_7iI6xNnUnkS_s9aYPMr2MQ_1_4"/>
      <w:bookmarkStart w:id="15" w:name="Tc_MPwca-Z4qkySLP-IW2IkEw_1_2"/>
      <w:bookmarkStart w:id="16" w:name="Tc_y6CfRYWgTkOuEwDg8z34zw_1_0"/>
      <w:bookmarkStart w:id="17" w:name="_f4744c72_de18_49ed_9e1c_125569985e85"/>
      <w:bookmarkStart w:id="18" w:name="Tc_Y8wUXqmgfEOAA_0qokBEwg_2_4"/>
      <w:bookmarkStart w:id="19" w:name="Tc_7iI6xNnUnkS_s9aYPMr2MQ_1_4"/>
      <w:bookmarkStart w:id="20" w:name="Tc_MPwca-Z4qkySLP-IW2IkEw_1_2"/>
      <w:bookmarkStart w:id="21" w:name="Tc_y6CfRYWgTkOuEwDg8z34zw_1_0"/>
      <w:bookmarkStart w:id="22" w:name="_f4744c72_de18_49ed_9e1c_125569985e85"/>
      <w:bookmarkEnd w:id="18"/>
      <w:bookmarkEnd w:id="19"/>
      <w:bookmarkEnd w:id="20"/>
      <w:bookmarkEnd w:id="21"/>
      <w:bookmarkEnd w:id="22"/>
    </w:p>
    <w:tbl>
      <w:tblPr>
        <w:tblW w:w="9950" w:type="dxa"/>
        <w:jc w:val="left"/>
        <w:tblInd w:w="0" w:type="dxa"/>
        <w:tblLayout w:type="fixed"/>
        <w:tblCellMar>
          <w:top w:w="0" w:type="dxa"/>
          <w:left w:w="0" w:type="dxa"/>
          <w:bottom w:w="0" w:type="dxa"/>
          <w:right w:w="0" w:type="dxa"/>
        </w:tblCellMar>
      </w:tblPr>
      <w:tblGrid>
        <w:gridCol w:w="3541"/>
        <w:gridCol w:w="346"/>
        <w:gridCol w:w="1696"/>
        <w:gridCol w:w="346"/>
        <w:gridCol w:w="4021"/>
      </w:tblGrid>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vAlign w:val="center"/>
          </w:tcPr>
          <w:p>
            <w:pPr>
              <w:pStyle w:val="TableContents"/>
              <w:bidi w:val="0"/>
              <w:spacing w:before="0" w:after="0"/>
              <w:ind w:left="0" w:right="0" w:hanging="0"/>
              <w:jc w:val="left"/>
              <w:rPr/>
            </w:pPr>
            <w:r>
              <w:rPr/>
              <w:t>  ​ ​ ​</w:t>
            </w:r>
          </w:p>
        </w:tc>
        <w:tc>
          <w:tcPr>
            <w:tcW w:w="1696" w:type="dxa"/>
            <w:tcBorders/>
            <w:vAlign w:val="center"/>
          </w:tcPr>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46" w:type="dxa"/>
            <w:tcBorders/>
            <w:vAlign w:val="center"/>
          </w:tcPr>
          <w:p>
            <w:pPr>
              <w:pStyle w:val="TableContents"/>
              <w:bidi w:val="0"/>
              <w:spacing w:before="0" w:after="40"/>
              <w:ind w:left="0" w:right="0" w:hanging="0"/>
              <w:jc w:val="center"/>
              <w:rPr/>
            </w:pPr>
            <w:r>
              <w:rPr/>
              <w:t>  ​ ​ ​</w:t>
            </w:r>
          </w:p>
        </w:tc>
        <w:tc>
          <w:tcPr>
            <w:tcW w:w="4021" w:type="dxa"/>
            <w:tcBorders/>
            <w:vAlign w:val="center"/>
          </w:tcPr>
          <w:p>
            <w:pPr>
              <w:pStyle w:val="TableContents"/>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4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Depositary Units of Icahn Enterprises L.P. </w:t>
              <w:br/>
              <w:t>Representing Limited Partner Interests</w:t>
            </w:r>
          </w:p>
        </w:tc>
        <w:tc>
          <w:tcPr>
            <w:tcW w:w="346" w:type="dxa"/>
            <w:tcBorders/>
            <w:vAlign w:val="center"/>
          </w:tcPr>
          <w:p>
            <w:pPr>
              <w:pStyle w:val="TableContents"/>
              <w:bidi w:val="0"/>
              <w:spacing w:before="0" w:after="240"/>
              <w:ind w:left="0" w:right="0" w:hanging="0"/>
              <w:jc w:val="left"/>
              <w:rPr/>
            </w:pPr>
            <w:r>
              <w:rPr/>
              <w:t>​</w:t>
            </w:r>
          </w:p>
        </w:tc>
        <w:tc>
          <w:tcPr>
            <w:tcW w:w="169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IEP</w:t>
            </w:r>
          </w:p>
        </w:tc>
        <w:tc>
          <w:tcPr>
            <w:tcW w:w="346" w:type="dxa"/>
            <w:tcBorders/>
            <w:vAlign w:val="center"/>
          </w:tcPr>
          <w:p>
            <w:pPr>
              <w:pStyle w:val="TableContents"/>
              <w:bidi w:val="0"/>
              <w:spacing w:before="0" w:after="40"/>
              <w:ind w:left="0" w:right="0" w:hanging="0"/>
              <w:jc w:val="center"/>
              <w:rPr/>
            </w:pPr>
            <w:r>
              <w:rPr/>
              <w:t> </w:t>
            </w:r>
          </w:p>
        </w:tc>
        <w:tc>
          <w:tcPr>
            <w:tcW w:w="402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17"/>
        </w:rPr>
      </w:pPr>
      <w:r>
        <w:rPr>
          <w:rFonts w:ascii="Times New Roman;Times;serif" w:hAnsi="Times New Roman;Times;serif"/>
          <w:sz w:val="17"/>
        </w:rPr>
        <w:t>Securities registered pursuant to Section 12(g) of the Act: None</w:t>
      </w:r>
    </w:p>
    <w:p>
      <w:pPr>
        <w:pStyle w:val="TextBody"/>
        <w:bidi w:val="0"/>
        <w:spacing w:before="0" w:after="120"/>
        <w:ind w:left="0" w:right="0" w:hanging="0"/>
        <w:jc w:val="left"/>
        <w:rPr>
          <w:rFonts w:ascii="Times New Roman;Times;serif" w:hAnsi="Times New Roman;Times;serif"/>
          <w:sz w:val="24"/>
        </w:rPr>
      </w:pPr>
      <w:r>
        <w:rPr>
          <w:rFonts w:ascii="Times New Roman;Times;serif" w:hAnsi="Times New Roman;Times;serif"/>
          <w:sz w:val="17"/>
        </w:rPr>
        <w:t>Indicate by check mark if the registrant is a well-known seasoned issuer, as defined in Rule 405 of the Securities Act. Yes</w:t>
      </w:r>
      <w:r>
        <w:rPr>
          <w:rFonts w:ascii="Times New Roman;Times;serif" w:hAnsi="Times New Roman;Times;serif"/>
          <w:sz w:val="24"/>
        </w:rPr>
        <w:t xml:space="preserve"> ⌧ </w:t>
      </w:r>
      <w:r>
        <w:rPr>
          <w:rFonts w:ascii="Times New Roman;Times;serif" w:hAnsi="Times New Roman;Times;serif"/>
          <w:sz w:val="17"/>
        </w:rPr>
        <w:t xml:space="preserve">No </w:t>
      </w:r>
      <w:r>
        <w:rPr>
          <w:rFonts w:ascii="Times New Roman;Times;serif" w:hAnsi="Times New Roman;Times;serif"/>
          <w:sz w:val="24"/>
        </w:rPr>
        <w:t>☐</w:t>
      </w:r>
    </w:p>
    <w:p>
      <w:pPr>
        <w:pStyle w:val="TextBody"/>
        <w:bidi w:val="0"/>
        <w:spacing w:before="0" w:after="120"/>
        <w:ind w:left="0" w:right="0" w:hanging="0"/>
        <w:jc w:val="left"/>
        <w:rPr>
          <w:rFonts w:ascii="Times New Roman;Times;serif" w:hAnsi="Times New Roman;Times;serif"/>
          <w:sz w:val="24"/>
        </w:rPr>
      </w:pPr>
      <w:r>
        <w:rPr>
          <w:rFonts w:ascii="Times New Roman;Times;serif" w:hAnsi="Times New Roman;Times;serif"/>
          <w:sz w:val="17"/>
        </w:rPr>
        <w:t xml:space="preserve">Indicate by check mark if the registrant is not required to file reports pursuant to Section 13 or 15(d) of the Exchange Act. Yes </w:t>
      </w:r>
      <w:r>
        <w:rPr>
          <w:rFonts w:ascii="Times New Roman;Times;serif" w:hAnsi="Times New Roman;Times;serif"/>
          <w:sz w:val="24"/>
        </w:rPr>
        <w:t xml:space="preserve">☐ </w:t>
      </w:r>
      <w:r>
        <w:rPr>
          <w:rFonts w:ascii="Times New Roman;Times;serif" w:hAnsi="Times New Roman;Times;serif"/>
          <w:sz w:val="17"/>
        </w:rPr>
        <w:t>No</w:t>
      </w:r>
      <w:r>
        <w:rPr>
          <w:rFonts w:ascii="Times New Roman;Times;serif" w:hAnsi="Times New Roman;Times;serif"/>
          <w:sz w:val="24"/>
        </w:rPr>
        <w:t xml:space="preserve"> ⌧</w:t>
      </w:r>
    </w:p>
    <w:p>
      <w:pPr>
        <w:pStyle w:val="TextBody"/>
        <w:bidi w:val="0"/>
        <w:spacing w:before="0" w:after="120"/>
        <w:ind w:left="0" w:right="0" w:hanging="0"/>
        <w:jc w:val="left"/>
        <w:rPr>
          <w:rFonts w:ascii="Times New Roman;Times;serif" w:hAnsi="Times New Roman;Times;serif"/>
          <w:sz w:val="24"/>
        </w:rPr>
      </w:pPr>
      <w:r>
        <w:rPr>
          <w:rFonts w:ascii="Times New Roman;Times;serif" w:hAnsi="Times New Roman;Times;serif"/>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4"/>
        </w:rPr>
        <w:t xml:space="preserve"> ⌧ </w:t>
      </w:r>
      <w:r>
        <w:rPr>
          <w:rFonts w:ascii="Times New Roman;Times;serif" w:hAnsi="Times New Roman;Times;serif"/>
          <w:sz w:val="17"/>
        </w:rPr>
        <w:t xml:space="preserve">No </w:t>
      </w:r>
      <w:r>
        <w:rPr>
          <w:rFonts w:ascii="Times New Roman;Times;serif" w:hAnsi="Times New Roman;Times;serif"/>
          <w:sz w:val="24"/>
        </w:rPr>
        <w:t>☐</w:t>
      </w:r>
    </w:p>
    <w:p>
      <w:pPr>
        <w:pStyle w:val="TextBody"/>
        <w:bidi w:val="0"/>
        <w:spacing w:before="0" w:after="120"/>
        <w:ind w:left="0" w:right="0" w:hanging="0"/>
        <w:jc w:val="left"/>
        <w:rPr>
          <w:rFonts w:ascii="Times New Roman;Times;serif" w:hAnsi="Times New Roman;Times;serif"/>
          <w:sz w:val="24"/>
        </w:rPr>
      </w:pPr>
      <w:r>
        <w:rPr>
          <w:rFonts w:ascii="Times New Roman;Times;serif" w:hAnsi="Times New Roman;Times;serif"/>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4"/>
        </w:rPr>
        <w:t xml:space="preserve"> ⌧ </w:t>
      </w:r>
      <w:r>
        <w:rPr>
          <w:rFonts w:ascii="Times New Roman;Times;serif" w:hAnsi="Times New Roman;Times;serif"/>
          <w:sz w:val="17"/>
        </w:rPr>
        <w:t xml:space="preserve">No </w:t>
      </w:r>
      <w:r>
        <w:rPr>
          <w:rFonts w:ascii="Times New Roman;Times;serif" w:hAnsi="Times New Roman;Times;serif"/>
          <w:sz w:val="24"/>
        </w:rPr>
        <w:t>☐</w:t>
      </w:r>
    </w:p>
    <w:p>
      <w:pPr>
        <w:pStyle w:val="TextBody"/>
        <w:bidi w:val="0"/>
        <w:spacing w:before="0" w:after="120"/>
        <w:ind w:left="0" w:right="0" w:hanging="0"/>
        <w:jc w:val="left"/>
        <w:rPr>
          <w:rFonts w:ascii="Times New Roman;Times;serif" w:hAnsi="Times New Roman;Times;serif"/>
          <w:sz w:val="17"/>
        </w:rPr>
      </w:pPr>
      <w:r>
        <w:rPr>
          <w:rFonts w:ascii="Times New Roman;Times;serif" w:hAnsi="Times New Roman;Times;serif"/>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3" w:name="Tc_Z3MAUrS1mkWEomOr81TZow_2_3"/>
      <w:bookmarkStart w:id="24" w:name="Tc_72l3uVGFSkOXY5neF3toxw_2_1"/>
      <w:bookmarkStart w:id="25" w:name="Tc__jTK2ncm1k6nsfMpLllckg_2_0"/>
      <w:bookmarkStart w:id="26" w:name="Tc_Z8tmxpqJtk-zb5tv2JjdHQ_1_7"/>
      <w:bookmarkStart w:id="27" w:name="Tc_wG9EST_nrke2MPVABkojqg_1_6"/>
      <w:bookmarkStart w:id="28" w:name="Tc_7PJZbgywiE62f_jVj_rcWw_1_4"/>
      <w:bookmarkStart w:id="29" w:name="Tc_Y_jCAsxw50q-rLB0EQpSZQ_1_3"/>
      <w:bookmarkStart w:id="30" w:name="Tc_RL04XBgwhUW9K7ptAqjN8w_1_1"/>
      <w:bookmarkStart w:id="31" w:name="_e44363ad_26e6_45d2_9dff_47cdb7aae3c4"/>
      <w:bookmarkStart w:id="32" w:name="Tc_Z3MAUrS1mkWEomOr81TZow_2_3"/>
      <w:bookmarkStart w:id="33" w:name="Tc_72l3uVGFSkOXY5neF3toxw_2_1"/>
      <w:bookmarkStart w:id="34" w:name="Tc__jTK2ncm1k6nsfMpLllckg_2_0"/>
      <w:bookmarkStart w:id="35" w:name="Tc_Z8tmxpqJtk-zb5tv2JjdHQ_1_7"/>
      <w:bookmarkStart w:id="36" w:name="Tc_wG9EST_nrke2MPVABkojqg_1_6"/>
      <w:bookmarkStart w:id="37" w:name="Tc_7PJZbgywiE62f_jVj_rcWw_1_4"/>
      <w:bookmarkStart w:id="38" w:name="Tc_Y_jCAsxw50q-rLB0EQpSZQ_1_3"/>
      <w:bookmarkStart w:id="39" w:name="Tc_RL04XBgwhUW9K7ptAqjN8w_1_1"/>
      <w:bookmarkStart w:id="40" w:name="_e44363ad_26e6_45d2_9dff_47cdb7aae3c4"/>
      <w:bookmarkEnd w:id="32"/>
      <w:bookmarkEnd w:id="33"/>
      <w:bookmarkEnd w:id="34"/>
      <w:bookmarkEnd w:id="35"/>
      <w:bookmarkEnd w:id="36"/>
      <w:bookmarkEnd w:id="37"/>
      <w:bookmarkEnd w:id="38"/>
      <w:bookmarkEnd w:id="39"/>
      <w:bookmarkEnd w:id="40"/>
    </w:p>
    <w:tbl>
      <w:tblPr>
        <w:tblW w:w="7124" w:type="dxa"/>
        <w:jc w:val="left"/>
        <w:tblInd w:w="0" w:type="dxa"/>
        <w:tblLayout w:type="fixed"/>
        <w:tblCellMar>
          <w:top w:w="0" w:type="dxa"/>
          <w:left w:w="0" w:type="dxa"/>
          <w:bottom w:w="0" w:type="dxa"/>
          <w:right w:w="0" w:type="dxa"/>
        </w:tblCellMar>
      </w:tblPr>
      <w:tblGrid>
        <w:gridCol w:w="1741"/>
        <w:gridCol w:w="316"/>
        <w:gridCol w:w="109"/>
        <w:gridCol w:w="2086"/>
        <w:gridCol w:w="316"/>
        <w:gridCol w:w="109"/>
        <w:gridCol w:w="2086"/>
        <w:gridCol w:w="361"/>
      </w:tblGrid>
      <w:tr>
        <w:trPr/>
        <w:tc>
          <w:tcPr>
            <w:tcW w:w="17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Emerging Growth Company</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120"/>
              <w:ind w:left="0" w:right="0" w:hanging="0"/>
              <w:jc w:val="right"/>
              <w:rPr>
                <w:rFonts w:ascii="Times New Roman;Times;serif" w:hAnsi="Times New Roman;Times;serif"/>
                <w:sz w:val="17"/>
              </w:rPr>
            </w:pPr>
            <w:r>
              <w:rPr>
                <w:rFonts w:ascii="Times New Roman;Times;serif" w:hAnsi="Times New Roman;Times;serif"/>
                <w:sz w:val="17"/>
              </w:rPr>
              <w:t>Non-accelerated Filer</w:t>
            </w:r>
          </w:p>
        </w:tc>
        <w:tc>
          <w:tcPr>
            <w:tcW w:w="316"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120"/>
              <w:ind w:left="0" w:right="0" w:hanging="0"/>
              <w:jc w:val="right"/>
              <w:rPr>
                <w:rFonts w:ascii="Times New Roman;Times;serif" w:hAnsi="Times New Roman;Times;serif"/>
                <w:sz w:val="17"/>
              </w:rPr>
            </w:pPr>
            <w:r>
              <w:rPr>
                <w:rFonts w:ascii="Times New Roman;Times;serif" w:hAnsi="Times New Roman;Times;serif"/>
                <w:sz w:val="17"/>
              </w:rPr>
              <w:t>Smaller Reporting Company</w:t>
            </w:r>
          </w:p>
        </w:tc>
        <w:tc>
          <w:tcPr>
            <w:tcW w:w="316"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bl>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6"/>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7"/>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7"/>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7"/>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Times;serif" w:hAnsi="Times New Roman;Times;serif"/>
          <w:sz w:val="16"/>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7"/>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7"/>
        </w:rPr>
        <w:t xml:space="preserve">No </w:t>
      </w:r>
      <w:r>
        <w:rPr>
          <w:rFonts w:ascii="Times New Roman;Times;serif" w:hAnsi="Times New Roman;Times;serif"/>
          <w:sz w:val="20"/>
        </w:rPr>
        <w:t xml:space="preserve">⌧ </w:t>
      </w:r>
    </w:p>
    <w:p>
      <w:pPr>
        <w:pStyle w:val="TextBody"/>
        <w:bidi w:val="0"/>
        <w:spacing w:before="0" w:after="100"/>
        <w:ind w:left="0" w:right="0" w:firstLine="360"/>
        <w:jc w:val="left"/>
        <w:rPr>
          <w:rFonts w:ascii="Times New Roman;Times;serif" w:hAnsi="Times New Roman;Times;serif"/>
          <w:sz w:val="16"/>
        </w:rPr>
      </w:pPr>
      <w:r>
        <w:rPr>
          <w:rFonts w:ascii="Times New Roman;Times;serif" w:hAnsi="Times New Roman;Times;serif"/>
          <w:sz w:val="17"/>
        </w:rPr>
        <w:t>The aggregate market value of Icahn Enterprises’ depositary units held by non-affiliates of the registrant as of June 30, 2025, the last business day of the registrant’s most recently completed second fiscal quarter, based upon the closing price of depositary units on the Nasdaq Global Select Market (“Nasdaq”) on such date was $630</w:t>
      </w:r>
      <w:r>
        <w:rPr>
          <w:rFonts w:ascii="Times New Roman;Times;serif" w:hAnsi="Times New Roman;Times;serif"/>
          <w:sz w:val="16"/>
        </w:rPr>
        <w:t xml:space="preserve"> </w:t>
      </w:r>
      <w:r>
        <w:rPr>
          <w:rFonts w:ascii="Times New Roman;Times;serif" w:hAnsi="Times New Roman;Times;serif"/>
          <w:sz w:val="17"/>
        </w:rPr>
        <w:t>million. As of February 25, 2026, there were 637,209,452</w:t>
      </w:r>
      <w:r>
        <w:rPr>
          <w:rFonts w:ascii="Times New Roman;Times;serif" w:hAnsi="Times New Roman;Times;serif"/>
          <w:sz w:val="16"/>
        </w:rPr>
        <w:t xml:space="preserve"> </w:t>
      </w:r>
      <w:r>
        <w:rPr>
          <w:rFonts w:ascii="Times New Roman;Times;serif" w:hAnsi="Times New Roman;Times;serif"/>
          <w:sz w:val="17"/>
        </w:rPr>
        <w:t>depositary units outstanding</w:t>
      </w:r>
      <w:r>
        <w:rPr>
          <w:rFonts w:ascii="Times New Roman;Times;serif" w:hAnsi="Times New Roman;Times;serif"/>
          <w:sz w:val="20"/>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_8f237c82_421c_48cd_9c04_045e4ea52ad1"/>
      <w:bookmarkEnd w:id="41"/>
      <w:r>
        <w:rPr>
          <w:rFonts w:ascii="Times New Roman;Times;serif" w:hAnsi="Times New Roman;Times;serif"/>
          <w:b/>
          <w:sz w:val="20"/>
        </w:rPr>
        <w:t xml:space="preserve">FORWARD-LOOKING STATEMENTS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Report contains certain statements that are, or may be deemed to be, “forward-looking statements” within the meaning of Section 27A of the Securities Act of 1933, as amended, and Section 21E of the Securities Exchange Act of 1934, as amended (the “Exchange Act”), or by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Forward-looking statements include certain statements made under the caption, “Management’s Discussion and Analysis of Financial Condition and Results of Operations,” under Item 7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risks related to our investment activities, including the nature of the investments made by the private funds in which we invest, including the impact of the use of leverage through options, short sales, swaps, forwards and other derivative instruments; risks related to our ability to comply with the covenants in our senior notes and the risk of foreclosure on the assets securing our notes; declines in the fair value of our investments, losses in the private funds and loss of key employees; risks related to our ability to continue to conduct our activities in a manner so as to not be deemed an investment company under the Investment Company Act of 1940, as amended, or to be taxed as a corporation; risks relating to short sellers and associated litigation and regulatory inquiries; risks related to our general partner and controlling unitholder; pledges of our units by our controlling unitholder; risks related to our energy business, including the volatility and availability of crude oil, other feed stocks and refined products, declines in global demand for crude oil, refined products and liquid transportation fuels, unfavorable refining margin (crack spread), interrupted access to pipelines, significant fluctuations in nitrogen fertilizer demand in the agricultural industry and seasonality of results; volatile commodity pricing and higher industry utilization and oversupply risks relating to potential strategic transactions involving our Energy segment, and the impact of tariffs; risks related to our automotive activities and exposure to adverse conditions in the automotive industry, including as a result of the Chapter 11 filing of our automotive parts subsidiary;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interest rate increases; labor shortages and workforce availability; risks related to our real estate activities, including the extent of any tenant bankruptcies and insolvencies; risks related to our home fashion operations, including changes in the availability and price of raw materials, manufacturing disruptions, and changes in transportation costs and delivery times; the impacts from the Russia/Ukraine conflict, conflict in the Middle East and recent developments in Venezuela, including economic volatility and the impacts of export controls and other economic sanctions; and political and regulatory uncertainty, including changing economic policy and the imposition of tariffs. These risks and uncertainties also include the risks and uncertainties described elsewhere in this Report, including under the caption “Risk Factors,” under Item 1A of this Report. Additionally, there may be other factors not presently known to us or which we currently consider to be immaterial that may cause our actual results to differ materially from the forward-looking statements. Except as required by law, we undertake no obligation to publicly update or review any forward-looking statements, whether as a result of new information, future developments or otherwise, after the date of this Report.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center"/>
        <w:rPr>
          <w:rFonts w:ascii="Times New Roman;Times;serif" w:hAnsi="Times New Roman;Times;serif"/>
          <w:b/>
          <w:sz w:val="20"/>
        </w:rPr>
      </w:pPr>
      <w:r>
        <w:rPr>
          <w:rFonts w:ascii="Times New Roman;Times;serif" w:hAnsi="Times New Roman;Times;serif"/>
          <w:b/>
          <w:sz w:val="20"/>
        </w:rPr>
        <w:t xml:space="preserve">SUMMARY RISK FACTORS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Investing in our securities involves certain risks. Before investing in any of our securities, you should carefully consider the following summary of the principal factors that make an investment in our securities speculative or risky as well as the risks described under the caption “Risk Factors,” under Item 1A of this Report. If any of these risks actually occurs, it could have a material adverse effect on our businesses. The risks described below and under the caption “Risk Factors,” under Item 1A of this Report are not the only risks that affect our businesses. Additional risks that are unknown or not presently deemed significant may also have a material adverse effect on our businesses. The following is a summary of our risk factors that appear in Item 1A of this Report.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Relating to Our Structure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partner, and its control person, has significant influence over us, and sales by our controlling unitholder pursuant to a margin call or otherwise could cause our unit price or the value of our assets in the Investment Funds to decline or otherwise impact our liquidity;</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and in the future may engage, in transactions with our affiliates;</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risk of becoming an investment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structure transactions in a less advantageous manner to avoid becoming subject to the Investment Company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taxable as a corporation if we are no longer treated as a partnership for U.S. federal income tax purposes;</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negatively impacted by the potential for changes in tax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depositary units may be required to pay tax on their share of our income even if they did not receive cash distributions from us;</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gain or loss on the disposition of our depositary units could be more or less than expected;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may recognize unrelated business taxable income they receive from holding our units, and may face other unique issues specific to their U.S. federal income tax classification;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persons may be subject to withholding regimes and U.S. federal income tax on certain income they may earn from holding or disposing of our units;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liable for any underwithholding by nominees on our distributions or on transfers of our units made after January 1, 2023;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unitholders likely will be subject to state and local taxes and return filing or withholding requirements in states in which they do not live as a result of investing in our units;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prorate our items of income, gain, loss and deduction between transferors and transferees of our units based upon the ownership of our units at the close of business on the last day of each month, instead of on the basis of the date a particular unit is transferred. The IRS may challenge this treatment, which could change the allocation of items of income, gain, loss and deduction among our unitholders;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unitholder whose units are loaned to a “short seller” to cover a short sale of units may be considered as having disposed of those units. If so, such unitholder would no longer be treated for U.S. federal income tax purposes as a partner with respect to those units during the period of the loan and may recognize gain or loss from the disposition;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IRS makes audit adjustments to our income tax returns for tax years beginning after 2017, it (and some states) may collect any resulting taxes (including any applicable penalties and interest) directly from us, in which case our cash available to service debt or pay distributions to our unitholders, if and when resumed, could be substantially reduced;</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the pension liabilities of our affiliates;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limited partnership and a “controlled company” within the meaning of the Nasdaq rules and as such are exempt from certain corporate governance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members of our management team may be involved in other business activities that may involve conflicts of interest;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Icahn Enterprises’ depositary units have limited voting rights, including rights to participate in our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Icahn Enterprises’ depositary units may not have limited liability in certain circumstances and may be personally liable for the return of distributions that cause our liabilities to exceed our assets; </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1" w:type="dxa"/>
        <w:jc w:val="left"/>
        <w:tblInd w:w="0" w:type="dxa"/>
        <w:tblLayout w:type="fixed"/>
        <w:tblCellMar>
          <w:top w:w="28" w:type="dxa"/>
          <w:left w:w="28" w:type="dxa"/>
          <w:bottom w:w="28" w:type="dxa"/>
          <w:right w:w="28" w:type="dxa"/>
        </w:tblCellMar>
      </w:tblPr>
      <w:tblGrid>
        <w:gridCol w:w="124"/>
        <w:gridCol w:w="25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are a limited partnership, you may not be able to pursue legal claims against us in U.S. federal courts;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become subject to, and may in the future be subject to, short selling strategies driving down the market price of our depositary units and increasing the volatility of the trading market for our depositary units, as well as regulatory investigations and litigation.</w:t>
            </w:r>
          </w:p>
        </w:tc>
      </w:tr>
    </w:tbl>
    <w:p>
      <w:pPr>
        <w:pStyle w:val="TextBody"/>
        <w:bidi w:val="0"/>
        <w:spacing w:before="0" w:after="0"/>
        <w:ind w:left="720" w:right="0" w:hanging="0"/>
        <w:jc w:val="left"/>
        <w:rPr/>
      </w:pPr>
      <w:r>
        <w:rPr/>
        <w:t>​</w:t>
      </w:r>
    </w:p>
    <w:p>
      <w:pPr>
        <w:pStyle w:val="TextBody"/>
        <w:bidi w:val="0"/>
        <w:spacing w:before="0" w:after="180"/>
        <w:ind w:left="0" w:right="0" w:hanging="0"/>
        <w:jc w:val="center"/>
        <w:rPr>
          <w:rFonts w:ascii="Times New Roman;Times;serif" w:hAnsi="Times New Roman;Times;serif"/>
          <w:b/>
          <w:sz w:val="20"/>
        </w:rPr>
      </w:pPr>
      <w:r>
        <w:rPr>
          <w:rFonts w:ascii="Times New Roman;Times;serif" w:hAnsi="Times New Roman;Times;serif"/>
          <w:b/>
          <w:sz w:val="20"/>
        </w:rPr>
        <w:t>Risks Relating to Liquidity and Capital Requirements</w:t>
      </w:r>
    </w:p>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and depend on the businesses of our subsidiaries to satisfy our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service our indebtedness, we will require a significant amount of cash. Our ability to maintain our current cash position or generate cash depends on many factors beyond our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covenants contained under any of our debt instruments, including the indentures governing our senior notes (including our failure to comply as a result of events beyond our control), could result in an event of default or a foreclosure on the collateral securing the notes that would materially and adversely affect our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sufficient funds necessary to finance a change of control offer that may be required by the indentures governing our senior notes;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significant investments in the Investment Funds and negative performance of the Investment Funds may result in a significant decline in the value of our investments; and</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cash distributions to Icahn Enterprises’ unitholders, if any, can be affected by numerous factors.</w:t>
            </w:r>
          </w:p>
        </w:tc>
      </w:tr>
    </w:tbl>
    <w:p>
      <w:pPr>
        <w:pStyle w:val="TextBody"/>
        <w:bidi w:val="0"/>
        <w:spacing w:before="0" w:after="0"/>
        <w:ind w:left="810" w:right="0" w:hanging="0"/>
        <w:jc w:val="left"/>
        <w:rPr/>
      </w:pPr>
      <w:r>
        <w:rPr/>
        <w:t>​</w:t>
      </w:r>
    </w:p>
    <w:p>
      <w:pPr>
        <w:pStyle w:val="TextBody"/>
        <w:bidi w:val="0"/>
        <w:spacing w:before="0" w:after="180"/>
        <w:ind w:left="0" w:right="0" w:hanging="0"/>
        <w:jc w:val="center"/>
        <w:rPr>
          <w:rFonts w:ascii="Times New Roman;Times;serif" w:hAnsi="Times New Roman;Times;serif"/>
          <w:b/>
          <w:sz w:val="20"/>
        </w:rPr>
      </w:pPr>
      <w:r>
        <w:rPr>
          <w:rFonts w:ascii="Times New Roman;Times;serif" w:hAnsi="Times New Roman;Times;serif"/>
          <w:b/>
          <w:sz w:val="20"/>
        </w:rPr>
        <w:t>Risks Relating to Our Investment Segment</w:t>
      </w:r>
    </w:p>
    <w:tbl>
      <w:tblPr>
        <w:tblW w:w="5391" w:type="dxa"/>
        <w:jc w:val="left"/>
        <w:tblInd w:w="0" w:type="dxa"/>
        <w:tblLayout w:type="fixed"/>
        <w:tblCellMar>
          <w:top w:w="28" w:type="dxa"/>
          <w:left w:w="28" w:type="dxa"/>
          <w:bottom w:w="28" w:type="dxa"/>
          <w:right w:w="28"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investments may be subject to significant uncertainties;</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information for the Investment Funds is not necessarily indicative of its future performance;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identify suitable investments, and our investments may not result in favorable returns or may result in losses;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execution of our activist investment activities involves many risks, certain of which are outside of our control;</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make investments in companies we do not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leverage in investments by the Investment Funds may pose a significant degree of risk and may enhance the possibility of significant loss in the value of the investments in the Investment Funds;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of increased regulation could result in additional burdens on our Investment segment;</w:t>
            </w:r>
          </w:p>
        </w:tc>
      </w:tr>
    </w:tbl>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hedge investments successfully is subject to numerous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invest in distressed securities, as well as bank loans, asset backed securities and mortgage-backed securities;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may invest in companies that are based outside of the United States, which may expose the Investment Funds to additional risks not typically associated with investing in companies that are based in the United States.</w:t>
            </w:r>
          </w:p>
        </w:tc>
      </w:tr>
    </w:tbl>
    <w:p>
      <w:pPr>
        <w:pStyle w:val="TextBody"/>
        <w:bidi w:val="0"/>
        <w:spacing w:before="0" w:after="0"/>
        <w:ind w:left="720" w:right="0" w:hanging="0"/>
        <w:jc w:val="left"/>
        <w:rPr/>
      </w:pPr>
      <w:r>
        <w:rPr/>
        <w:t>​</w:t>
      </w:r>
    </w:p>
    <w:p>
      <w:pPr>
        <w:pStyle w:val="TextBody"/>
        <w:bidi w:val="0"/>
        <w:spacing w:before="0" w:after="180"/>
        <w:ind w:left="0" w:right="0" w:hanging="0"/>
        <w:jc w:val="center"/>
        <w:rPr>
          <w:rFonts w:ascii="Times New Roman;Times;serif" w:hAnsi="Times New Roman;Times;serif"/>
          <w:b/>
          <w:sz w:val="20"/>
        </w:rPr>
      </w:pPr>
      <w:r>
        <w:rPr>
          <w:rFonts w:ascii="Times New Roman;Times;serif" w:hAnsi="Times New Roman;Times;serif"/>
          <w:b/>
          <w:sz w:val="20"/>
        </w:rPr>
        <w:t>Risks Relating to our Consolidated Operating Subsidiaries</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Our consolidated operating subsidiaries are subject to various risks, including but not limited to:</w:t>
      </w:r>
    </w:p>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regulations and regulatory actions;</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disruptions, damage to property, injury to persons or environmental and legal liability;</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health or safety laws and regulations;</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investor and market interest in environmental, social and governance (“ESG”) matters;</w:t>
            </w:r>
          </w:p>
        </w:tc>
      </w:tr>
    </w:tbl>
    <w:tbl>
      <w:tblPr>
        <w:tblW w:w="3096" w:type="dxa"/>
        <w:jc w:val="left"/>
        <w:tblInd w:w="0" w:type="dxa"/>
        <w:tblLayout w:type="fixed"/>
        <w:tblCellMar>
          <w:top w:w="28" w:type="dxa"/>
          <w:left w:w="28" w:type="dxa"/>
          <w:bottom w:w="28" w:type="dxa"/>
          <w:right w:w="28" w:type="dxa"/>
        </w:tblCellMar>
      </w:tblPr>
      <w:tblGrid>
        <w:gridCol w:w="124"/>
        <w:gridCol w:w="256"/>
        <w:gridCol w:w="2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of commodity prices;</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 U.S. Environmental Protection Agency Renewable Fuel Standard;</w:t>
            </w:r>
          </w:p>
        </w:tc>
      </w:tr>
    </w:tbl>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Climate change laws and regulations;</w:t>
            </w:r>
          </w:p>
        </w:tc>
      </w:tr>
    </w:tbl>
    <w:tbl>
      <w:tblPr>
        <w:tblW w:w="3456" w:type="dxa"/>
        <w:jc w:val="left"/>
        <w:tblInd w:w="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in foreign countries; and</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labor disputes involving any of our businesses or one or more of their customers or suppliers.</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787"/>
        <w:gridCol w:w="8846"/>
        <w:gridCol w:w="572"/>
      </w:tblGrid>
      <w:tr>
        <w:trPr/>
        <w:tc>
          <w:tcPr>
            <w:tcW w:w="787" w:type="dxa"/>
            <w:tcBorders/>
            <w:vAlign w:val="center"/>
          </w:tcPr>
          <w:p>
            <w:pPr>
              <w:pStyle w:val="TableContents"/>
              <w:bidi w:val="0"/>
              <w:spacing w:before="0" w:after="0"/>
              <w:ind w:left="0" w:right="0" w:hanging="0"/>
              <w:jc w:val="left"/>
              <w:rPr/>
            </w:pPr>
            <w:r>
              <w:rPr/>
              <w:t>​</w:t>
            </w:r>
          </w:p>
        </w:tc>
        <w:tc>
          <w:tcPr>
            <w:tcW w:w="8846" w:type="dxa"/>
            <w:tcBorders/>
            <w:vAlign w:val="center"/>
          </w:tcPr>
          <w:p>
            <w:pPr>
              <w:pStyle w:val="TableContents"/>
              <w:bidi w:val="0"/>
              <w:spacing w:before="0" w:after="0"/>
              <w:ind w:left="0" w:right="0" w:hanging="0"/>
              <w:jc w:val="left"/>
              <w:rPr/>
            </w:pPr>
            <w:r>
              <w:rPr/>
              <w:t>​</w:t>
            </w:r>
          </w:p>
        </w:tc>
        <w:tc>
          <w:tcPr>
            <w:tcW w:w="572"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Page</w:t>
              <w:br/>
              <w:t>No</w:t>
            </w:r>
            <w:r>
              <w:rPr>
                <w:rFonts w:ascii="Times New Roman;Times;serif" w:hAnsi="Times New Roman;Times;serif"/>
                <w:sz w:val="20"/>
              </w:rPr>
              <w:t>.</w:t>
            </w:r>
          </w:p>
        </w:tc>
      </w:tr>
      <w:tr>
        <w:trPr/>
        <w:tc>
          <w:tcPr>
            <w:tcW w:w="787" w:type="dxa"/>
            <w:tcBorders/>
            <w:shd w:fill="CCEEFF" w:val="clear"/>
            <w:vAlign w:val="center"/>
          </w:tcPr>
          <w:p>
            <w:pPr>
              <w:pStyle w:val="TableContents"/>
              <w:bidi w:val="0"/>
              <w:spacing w:before="0" w:after="0"/>
              <w:ind w:left="0" w:right="0" w:hanging="0"/>
              <w:jc w:val="left"/>
              <w:rPr/>
            </w:pPr>
            <w:r>
              <w:rPr/>
              <w:t>​</w:t>
            </w:r>
          </w:p>
        </w:tc>
        <w:tc>
          <w:tcPr>
            <w:tcW w:w="8846" w:type="dxa"/>
            <w:tcBorders/>
            <w:shd w:fill="CCEEFF" w:val="clear"/>
            <w:vAlign w:val="center"/>
          </w:tcPr>
          <w:p>
            <w:pPr>
              <w:pStyle w:val="TableContents"/>
              <w:bidi w:val="0"/>
              <w:spacing w:before="0" w:after="30"/>
              <w:ind w:left="0" w:right="0" w:hanging="0"/>
              <w:jc w:val="center"/>
              <w:rPr/>
            </w:pPr>
            <w:hyperlink w:anchor="PARTI_913001">
              <w:r>
                <w:rPr>
                  <w:rStyle w:val="InternetLink"/>
                  <w:rFonts w:ascii="Times New Roman;Times;serif" w:hAnsi="Times New Roman;Times;serif"/>
                  <w:b/>
                  <w:i w:val="false"/>
                  <w:caps w:val="false"/>
                  <w:smallCaps w:val="false"/>
                  <w:sz w:val="20"/>
                </w:rPr>
                <w:t>PART I</w:t>
              </w:r>
            </w:hyperlink>
          </w:p>
        </w:tc>
        <w:tc>
          <w:tcPr>
            <w:tcW w:w="572" w:type="dxa"/>
            <w:tcBorders>
              <w:top w:val="single" w:sz="8" w:space="0" w:color="000000"/>
            </w:tcBorders>
            <w:shd w:fill="CCEEFF" w:val="clear"/>
            <w:tcMar>
              <w:top w:w="28" w:type="dxa"/>
            </w:tcMar>
            <w:vAlign w:val="center"/>
          </w:tcPr>
          <w:p>
            <w:pPr>
              <w:pStyle w:val="TableContents"/>
              <w:bidi w:val="0"/>
              <w:spacing w:before="0" w:after="0"/>
              <w:ind w:left="0" w:right="0" w:hanging="0"/>
              <w:jc w:val="center"/>
              <w:rPr/>
            </w:pPr>
            <w:r>
              <w:rPr/>
              <w:t>​</w:t>
            </w:r>
          </w:p>
        </w:tc>
      </w:tr>
      <w:tr>
        <w:trPr/>
        <w:tc>
          <w:tcPr>
            <w:tcW w:w="787" w:type="dxa"/>
            <w:tcBorders/>
            <w:vAlign w:val="center"/>
          </w:tcPr>
          <w:p>
            <w:pPr>
              <w:pStyle w:val="TableContents"/>
              <w:bidi w:val="0"/>
              <w:spacing w:before="0" w:after="30"/>
              <w:ind w:left="0" w:right="0" w:hanging="0"/>
              <w:jc w:val="left"/>
              <w:rPr/>
            </w:pPr>
            <w:hyperlink w:anchor="Item1Business_683799">
              <w:r>
                <w:rPr>
                  <w:rStyle w:val="InternetLink"/>
                  <w:rFonts w:ascii="Times New Roman;Times;serif" w:hAnsi="Times New Roman;Times;serif"/>
                  <w:b w:val="false"/>
                  <w:i w:val="false"/>
                  <w:caps w:val="false"/>
                  <w:smallCaps w:val="false"/>
                  <w:sz w:val="20"/>
                </w:rPr>
                <w:t>Item 1.</w:t>
              </w:r>
            </w:hyperlink>
          </w:p>
        </w:tc>
        <w:tc>
          <w:tcPr>
            <w:tcW w:w="8846" w:type="dxa"/>
            <w:tcBorders/>
            <w:vAlign w:val="center"/>
          </w:tcPr>
          <w:p>
            <w:pPr>
              <w:pStyle w:val="TableContents"/>
              <w:bidi w:val="0"/>
              <w:spacing w:before="0" w:after="30"/>
              <w:ind w:left="0" w:right="0" w:hanging="0"/>
              <w:jc w:val="left"/>
              <w:rPr/>
            </w:pPr>
            <w:hyperlink w:anchor="Item1Business_683799">
              <w:r>
                <w:rPr>
                  <w:rStyle w:val="InternetLink"/>
                  <w:rFonts w:ascii="Times New Roman;Times;serif" w:hAnsi="Times New Roman;Times;serif"/>
                  <w:b w:val="false"/>
                  <w:i w:val="false"/>
                  <w:caps w:val="false"/>
                  <w:smallCaps w:val="false"/>
                  <w:sz w:val="20"/>
                </w:rPr>
                <w:t>Business</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787" w:type="dxa"/>
            <w:tcBorders/>
            <w:shd w:fill="CCEEFF" w:val="clear"/>
            <w:vAlign w:val="center"/>
          </w:tcPr>
          <w:p>
            <w:pPr>
              <w:pStyle w:val="TableContents"/>
              <w:bidi w:val="0"/>
              <w:spacing w:before="0" w:after="30"/>
              <w:ind w:left="0" w:right="0" w:hanging="0"/>
              <w:jc w:val="left"/>
              <w:rPr/>
            </w:pPr>
            <w:hyperlink w:anchor="Item1ARiskFactors_232091">
              <w:r>
                <w:rPr>
                  <w:rStyle w:val="InternetLink"/>
                  <w:rFonts w:ascii="Times New Roman;Times;serif" w:hAnsi="Times New Roman;Times;serif"/>
                  <w:b w:val="false"/>
                  <w:i w:val="false"/>
                  <w:caps w:val="false"/>
                  <w:smallCaps w:val="false"/>
                  <w:sz w:val="20"/>
                </w:rPr>
                <w:t>Item 1A.</w:t>
              </w:r>
            </w:hyperlink>
          </w:p>
        </w:tc>
        <w:tc>
          <w:tcPr>
            <w:tcW w:w="8846" w:type="dxa"/>
            <w:tcBorders/>
            <w:shd w:fill="CCEEFF" w:val="clear"/>
            <w:vAlign w:val="center"/>
          </w:tcPr>
          <w:p>
            <w:pPr>
              <w:pStyle w:val="TableContents"/>
              <w:bidi w:val="0"/>
              <w:spacing w:before="0" w:after="30"/>
              <w:ind w:left="0" w:right="0" w:hanging="0"/>
              <w:jc w:val="left"/>
              <w:rPr/>
            </w:pPr>
            <w:hyperlink w:anchor="Item1ARiskFactors_232091">
              <w:r>
                <w:rPr>
                  <w:rStyle w:val="InternetLink"/>
                  <w:rFonts w:ascii="Times New Roman;Times;serif" w:hAnsi="Times New Roman;Times;serif"/>
                  <w:b w:val="false"/>
                  <w:i w:val="false"/>
                  <w:caps w:val="false"/>
                  <w:smallCaps w:val="false"/>
                  <w:sz w:val="20"/>
                </w:rPr>
                <w:t>Risk Factors</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787" w:type="dxa"/>
            <w:tcBorders/>
            <w:vAlign w:val="center"/>
          </w:tcPr>
          <w:p>
            <w:pPr>
              <w:pStyle w:val="TableContents"/>
              <w:bidi w:val="0"/>
              <w:spacing w:before="0" w:after="30"/>
              <w:ind w:left="0" w:right="0" w:hanging="0"/>
              <w:jc w:val="left"/>
              <w:rPr/>
            </w:pPr>
            <w:hyperlink w:anchor="Item1BUnresolvedStaffComments_887340">
              <w:r>
                <w:rPr>
                  <w:rStyle w:val="InternetLink"/>
                  <w:rFonts w:ascii="Times New Roman;Times;serif" w:hAnsi="Times New Roman;Times;serif"/>
                  <w:b w:val="false"/>
                  <w:i w:val="false"/>
                  <w:caps w:val="false"/>
                  <w:smallCaps w:val="false"/>
                  <w:sz w:val="20"/>
                </w:rPr>
                <w:t>Item 1B.</w:t>
              </w:r>
            </w:hyperlink>
          </w:p>
        </w:tc>
        <w:tc>
          <w:tcPr>
            <w:tcW w:w="8846" w:type="dxa"/>
            <w:tcBorders/>
            <w:vAlign w:val="center"/>
          </w:tcPr>
          <w:p>
            <w:pPr>
              <w:pStyle w:val="TableContents"/>
              <w:bidi w:val="0"/>
              <w:spacing w:before="0" w:after="30"/>
              <w:ind w:left="0" w:right="0" w:hanging="0"/>
              <w:jc w:val="left"/>
              <w:rPr/>
            </w:pPr>
            <w:hyperlink w:anchor="Item1BUnresolvedStaffComments_887340">
              <w:r>
                <w:rPr>
                  <w:rStyle w:val="InternetLink"/>
                  <w:rFonts w:ascii="Times New Roman;Times;serif" w:hAnsi="Times New Roman;Times;serif"/>
                  <w:b w:val="false"/>
                  <w:i w:val="false"/>
                  <w:caps w:val="false"/>
                  <w:smallCaps w:val="false"/>
                  <w:sz w:val="20"/>
                </w:rPr>
                <w:t>Unresolved Staff Comments</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787" w:type="dxa"/>
            <w:tcBorders/>
            <w:shd w:fill="CCEEFF" w:val="clear"/>
            <w:vAlign w:val="center"/>
          </w:tcPr>
          <w:p>
            <w:pPr>
              <w:pStyle w:val="TableContents"/>
              <w:bidi w:val="0"/>
              <w:spacing w:before="0" w:after="30"/>
              <w:ind w:left="0" w:right="0" w:hanging="0"/>
              <w:jc w:val="left"/>
              <w:rPr/>
            </w:pPr>
            <w:hyperlink w:anchor="Item1CCybersecurity_592601">
              <w:r>
                <w:rPr>
                  <w:rStyle w:val="InternetLink"/>
                  <w:rFonts w:ascii="Times New Roman;Times;serif" w:hAnsi="Times New Roman;Times;serif"/>
                  <w:b w:val="false"/>
                  <w:i w:val="false"/>
                  <w:caps w:val="false"/>
                  <w:smallCaps w:val="false"/>
                  <w:sz w:val="20"/>
                </w:rPr>
                <w:t>Item 1C.</w:t>
              </w:r>
            </w:hyperlink>
          </w:p>
        </w:tc>
        <w:tc>
          <w:tcPr>
            <w:tcW w:w="8846" w:type="dxa"/>
            <w:tcBorders/>
            <w:shd w:fill="CCEEFF" w:val="clear"/>
            <w:vAlign w:val="center"/>
          </w:tcPr>
          <w:p>
            <w:pPr>
              <w:pStyle w:val="TableContents"/>
              <w:bidi w:val="0"/>
              <w:spacing w:before="0" w:after="30"/>
              <w:ind w:left="0" w:right="0" w:hanging="0"/>
              <w:jc w:val="left"/>
              <w:rPr/>
            </w:pPr>
            <w:hyperlink w:anchor="Item1CCybersecurity_592601">
              <w:r>
                <w:rPr>
                  <w:rStyle w:val="InternetLink"/>
                  <w:rFonts w:ascii="Times New Roman;Times;serif" w:hAnsi="Times New Roman;Times;serif"/>
                  <w:b w:val="false"/>
                  <w:i w:val="false"/>
                  <w:caps w:val="false"/>
                  <w:smallCaps w:val="false"/>
                  <w:sz w:val="20"/>
                </w:rPr>
                <w:t>Cybersecurity</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787" w:type="dxa"/>
            <w:tcBorders/>
            <w:vAlign w:val="center"/>
          </w:tcPr>
          <w:p>
            <w:pPr>
              <w:pStyle w:val="TableContents"/>
              <w:bidi w:val="0"/>
              <w:spacing w:before="0" w:after="30"/>
              <w:ind w:left="0" w:right="0" w:hanging="0"/>
              <w:jc w:val="left"/>
              <w:rPr/>
            </w:pPr>
            <w:hyperlink w:anchor="Item2Properties_65482">
              <w:r>
                <w:rPr>
                  <w:rStyle w:val="InternetLink"/>
                  <w:rFonts w:ascii="Times New Roman;Times;serif" w:hAnsi="Times New Roman;Times;serif"/>
                  <w:b w:val="false"/>
                  <w:i w:val="false"/>
                  <w:caps w:val="false"/>
                  <w:smallCaps w:val="false"/>
                  <w:sz w:val="20"/>
                </w:rPr>
                <w:t>Item 2.</w:t>
              </w:r>
            </w:hyperlink>
          </w:p>
        </w:tc>
        <w:tc>
          <w:tcPr>
            <w:tcW w:w="8846" w:type="dxa"/>
            <w:tcBorders/>
            <w:vAlign w:val="center"/>
          </w:tcPr>
          <w:p>
            <w:pPr>
              <w:pStyle w:val="TableContents"/>
              <w:bidi w:val="0"/>
              <w:spacing w:before="0" w:after="30"/>
              <w:ind w:left="0" w:right="0" w:hanging="0"/>
              <w:jc w:val="left"/>
              <w:rPr/>
            </w:pPr>
            <w:hyperlink w:anchor="Item2Properties_65482">
              <w:r>
                <w:rPr>
                  <w:rStyle w:val="InternetLink"/>
                  <w:rFonts w:ascii="Times New Roman;Times;serif" w:hAnsi="Times New Roman;Times;serif"/>
                  <w:b w:val="false"/>
                  <w:i w:val="false"/>
                  <w:caps w:val="false"/>
                  <w:smallCaps w:val="false"/>
                  <w:sz w:val="20"/>
                </w:rPr>
                <w:t>Properties</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33</w:t>
            </w:r>
          </w:p>
        </w:tc>
      </w:tr>
      <w:tr>
        <w:trPr/>
        <w:tc>
          <w:tcPr>
            <w:tcW w:w="787" w:type="dxa"/>
            <w:tcBorders/>
            <w:shd w:fill="CCEEFF" w:val="clear"/>
            <w:vAlign w:val="center"/>
          </w:tcPr>
          <w:p>
            <w:pPr>
              <w:pStyle w:val="TableContents"/>
              <w:bidi w:val="0"/>
              <w:spacing w:before="0" w:after="30"/>
              <w:ind w:left="0" w:right="0" w:hanging="0"/>
              <w:jc w:val="left"/>
              <w:rPr/>
            </w:pPr>
            <w:hyperlink w:anchor="Item3LegalProceedings_718175">
              <w:r>
                <w:rPr>
                  <w:rStyle w:val="InternetLink"/>
                  <w:rFonts w:ascii="Times New Roman;Times;serif" w:hAnsi="Times New Roman;Times;serif"/>
                  <w:b w:val="false"/>
                  <w:i w:val="false"/>
                  <w:caps w:val="false"/>
                  <w:smallCaps w:val="false"/>
                  <w:sz w:val="20"/>
                </w:rPr>
                <w:t>Item 3.</w:t>
              </w:r>
            </w:hyperlink>
          </w:p>
        </w:tc>
        <w:tc>
          <w:tcPr>
            <w:tcW w:w="8846" w:type="dxa"/>
            <w:tcBorders/>
            <w:shd w:fill="CCEEFF" w:val="clear"/>
            <w:vAlign w:val="center"/>
          </w:tcPr>
          <w:p>
            <w:pPr>
              <w:pStyle w:val="TableContents"/>
              <w:bidi w:val="0"/>
              <w:spacing w:before="0" w:after="30"/>
              <w:ind w:left="0" w:right="0" w:hanging="0"/>
              <w:jc w:val="left"/>
              <w:rPr/>
            </w:pPr>
            <w:hyperlink w:anchor="Item3LegalProceedings_718175">
              <w:r>
                <w:rPr>
                  <w:rStyle w:val="InternetLink"/>
                  <w:rFonts w:ascii="Times New Roman;Times;serif" w:hAnsi="Times New Roman;Times;serif"/>
                  <w:b w:val="false"/>
                  <w:i w:val="false"/>
                  <w:caps w:val="false"/>
                  <w:smallCaps w:val="false"/>
                  <w:sz w:val="20"/>
                </w:rPr>
                <w:t>Legal Proceedings</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787" w:type="dxa"/>
            <w:tcBorders/>
            <w:vAlign w:val="center"/>
          </w:tcPr>
          <w:p>
            <w:pPr>
              <w:pStyle w:val="TableContents"/>
              <w:bidi w:val="0"/>
              <w:spacing w:before="0" w:after="30"/>
              <w:ind w:left="0" w:right="0" w:hanging="0"/>
              <w:jc w:val="left"/>
              <w:rPr/>
            </w:pPr>
            <w:hyperlink w:anchor="Item4MineSafetyDisclosures_184198">
              <w:r>
                <w:rPr>
                  <w:rStyle w:val="InternetLink"/>
                  <w:rFonts w:ascii="Times New Roman;Times;serif" w:hAnsi="Times New Roman;Times;serif"/>
                  <w:b w:val="false"/>
                  <w:i w:val="false"/>
                  <w:caps w:val="false"/>
                  <w:smallCaps w:val="false"/>
                  <w:sz w:val="20"/>
                </w:rPr>
                <w:t>Item 4.</w:t>
              </w:r>
            </w:hyperlink>
          </w:p>
        </w:tc>
        <w:tc>
          <w:tcPr>
            <w:tcW w:w="8846" w:type="dxa"/>
            <w:tcBorders/>
            <w:vAlign w:val="center"/>
          </w:tcPr>
          <w:p>
            <w:pPr>
              <w:pStyle w:val="TableContents"/>
              <w:bidi w:val="0"/>
              <w:spacing w:before="0" w:after="30"/>
              <w:ind w:left="0" w:right="0" w:hanging="0"/>
              <w:jc w:val="left"/>
              <w:rPr/>
            </w:pPr>
            <w:hyperlink w:anchor="Item4MineSafetyDisclosures_184198">
              <w:r>
                <w:rPr>
                  <w:rStyle w:val="InternetLink"/>
                  <w:rFonts w:ascii="Times New Roman;Times;serif" w:hAnsi="Times New Roman;Times;serif"/>
                  <w:b w:val="false"/>
                  <w:i w:val="false"/>
                  <w:caps w:val="false"/>
                  <w:smallCaps w:val="false"/>
                  <w:sz w:val="20"/>
                </w:rPr>
                <w:t>Mine Safety Disclosures</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787" w:type="dxa"/>
            <w:tcBorders/>
            <w:shd w:fill="CCEEFF" w:val="clear"/>
            <w:vAlign w:val="center"/>
          </w:tcPr>
          <w:p>
            <w:pPr>
              <w:pStyle w:val="TableContents"/>
              <w:bidi w:val="0"/>
              <w:spacing w:before="0" w:after="0"/>
              <w:ind w:left="0" w:right="0" w:hanging="0"/>
              <w:jc w:val="left"/>
              <w:rPr/>
            </w:pPr>
            <w:r>
              <w:rPr/>
              <w:t>​</w:t>
            </w:r>
          </w:p>
        </w:tc>
        <w:tc>
          <w:tcPr>
            <w:tcW w:w="8846"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left"/>
              <w:rPr/>
            </w:pPr>
            <w:r>
              <w:rPr/>
              <w:t>​</w:t>
            </w:r>
          </w:p>
        </w:tc>
      </w:tr>
      <w:tr>
        <w:trPr/>
        <w:tc>
          <w:tcPr>
            <w:tcW w:w="787" w:type="dxa"/>
            <w:tcBorders/>
            <w:vAlign w:val="center"/>
          </w:tcPr>
          <w:p>
            <w:pPr>
              <w:pStyle w:val="TableContents"/>
              <w:bidi w:val="0"/>
              <w:spacing w:before="0" w:after="0"/>
              <w:ind w:left="0" w:right="0" w:hanging="0"/>
              <w:jc w:val="left"/>
              <w:rPr/>
            </w:pPr>
            <w:r>
              <w:rPr/>
              <w:t>​</w:t>
            </w:r>
          </w:p>
        </w:tc>
        <w:tc>
          <w:tcPr>
            <w:tcW w:w="8846" w:type="dxa"/>
            <w:tcBorders/>
            <w:vAlign w:val="center"/>
          </w:tcPr>
          <w:p>
            <w:pPr>
              <w:pStyle w:val="TableContents"/>
              <w:bidi w:val="0"/>
              <w:spacing w:before="0" w:after="30"/>
              <w:ind w:left="0" w:right="0" w:hanging="0"/>
              <w:jc w:val="center"/>
              <w:rPr/>
            </w:pPr>
            <w:hyperlink w:anchor="PARTII_623845">
              <w:r>
                <w:rPr>
                  <w:rStyle w:val="InternetLink"/>
                  <w:rFonts w:ascii="Times New Roman;Times;serif" w:hAnsi="Times New Roman;Times;serif"/>
                  <w:b/>
                  <w:i w:val="false"/>
                  <w:caps w:val="false"/>
                  <w:smallCaps w:val="false"/>
                  <w:sz w:val="20"/>
                </w:rPr>
                <w:t>PART II</w:t>
              </w:r>
            </w:hyperlink>
          </w:p>
        </w:tc>
        <w:tc>
          <w:tcPr>
            <w:tcW w:w="572" w:type="dxa"/>
            <w:tcBorders/>
            <w:vAlign w:val="center"/>
          </w:tcPr>
          <w:p>
            <w:pPr>
              <w:pStyle w:val="TableContents"/>
              <w:bidi w:val="0"/>
              <w:spacing w:before="0" w:after="0"/>
              <w:ind w:left="0" w:right="0" w:hanging="0"/>
              <w:jc w:val="center"/>
              <w:rPr/>
            </w:pPr>
            <w:r>
              <w:rPr/>
              <w:t>​</w:t>
            </w:r>
          </w:p>
        </w:tc>
      </w:tr>
      <w:tr>
        <w:trPr/>
        <w:tc>
          <w:tcPr>
            <w:tcW w:w="787" w:type="dxa"/>
            <w:tcBorders/>
            <w:shd w:fill="CCEEFF" w:val="clear"/>
            <w:vAlign w:val="center"/>
          </w:tcPr>
          <w:p>
            <w:pPr>
              <w:pStyle w:val="TableContents"/>
              <w:bidi w:val="0"/>
              <w:spacing w:before="0" w:after="3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8846" w:type="dxa"/>
            <w:tcBorders/>
            <w:shd w:fill="CCEEFF" w:val="clear"/>
            <w:vAlign w:val="center"/>
          </w:tcPr>
          <w:p>
            <w:pPr>
              <w:pStyle w:val="TableContents"/>
              <w:pBdr/>
              <w:bidi w:val="0"/>
              <w:spacing w:before="0" w:after="3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Security Holder Matters and Issuer Purchases of Equity Securities</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787" w:type="dxa"/>
            <w:tcBorders/>
            <w:vAlign w:val="center"/>
          </w:tcPr>
          <w:p>
            <w:pPr>
              <w:pStyle w:val="TableContents"/>
              <w:bidi w:val="0"/>
              <w:spacing w:before="0" w:after="30"/>
              <w:ind w:left="0" w:right="0" w:hanging="0"/>
              <w:jc w:val="left"/>
              <w:rPr/>
            </w:pPr>
            <w:hyperlink w:anchor="Item6SelectedFinancialData">
              <w:r>
                <w:rPr>
                  <w:rStyle w:val="InternetLink"/>
                  <w:rFonts w:ascii="Times New Roman;Times;serif" w:hAnsi="Times New Roman;Times;serif"/>
                  <w:b w:val="false"/>
                  <w:i w:val="false"/>
                  <w:caps w:val="false"/>
                  <w:smallCaps w:val="false"/>
                  <w:sz w:val="20"/>
                </w:rPr>
                <w:t>Item 6.</w:t>
              </w:r>
            </w:hyperlink>
          </w:p>
        </w:tc>
        <w:tc>
          <w:tcPr>
            <w:tcW w:w="8846" w:type="dxa"/>
            <w:tcBorders/>
            <w:vAlign w:val="center"/>
          </w:tcPr>
          <w:p>
            <w:pPr>
              <w:pStyle w:val="TableContents"/>
              <w:bidi w:val="0"/>
              <w:spacing w:before="0" w:after="30"/>
              <w:ind w:left="0" w:right="0" w:hanging="0"/>
              <w:jc w:val="left"/>
              <w:rPr/>
            </w:pPr>
            <w:hyperlink w:anchor="Item6SelectedFinancialData">
              <w:r>
                <w:rPr>
                  <w:rStyle w:val="InternetLink"/>
                  <w:rFonts w:ascii="Times New Roman;Times;serif" w:hAnsi="Times New Roman;Times;serif"/>
                  <w:b w:val="false"/>
                  <w:i w:val="false"/>
                  <w:caps w:val="false"/>
                  <w:smallCaps w:val="false"/>
                  <w:sz w:val="20"/>
                </w:rPr>
                <w:t>Reserved</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35</w:t>
            </w:r>
          </w:p>
        </w:tc>
      </w:tr>
      <w:tr>
        <w:trPr/>
        <w:tc>
          <w:tcPr>
            <w:tcW w:w="787" w:type="dxa"/>
            <w:tcBorders/>
            <w:shd w:fill="CCEEFF" w:val="clear"/>
            <w:vAlign w:val="center"/>
          </w:tcPr>
          <w:p>
            <w:pPr>
              <w:pStyle w:val="TableContents"/>
              <w:bidi w:val="0"/>
              <w:spacing w:before="0" w:after="3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846" w:type="dxa"/>
            <w:tcBorders/>
            <w:shd w:fill="CCEEFF" w:val="clear"/>
            <w:vAlign w:val="center"/>
          </w:tcPr>
          <w:p>
            <w:pPr>
              <w:pStyle w:val="TableContents"/>
              <w:bidi w:val="0"/>
              <w:spacing w:before="0" w:after="3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35</w:t>
            </w:r>
          </w:p>
        </w:tc>
      </w:tr>
      <w:tr>
        <w:trPr/>
        <w:tc>
          <w:tcPr>
            <w:tcW w:w="787" w:type="dxa"/>
            <w:tcBorders/>
            <w:vAlign w:val="center"/>
          </w:tcPr>
          <w:p>
            <w:pPr>
              <w:pStyle w:val="TableContents"/>
              <w:bidi w:val="0"/>
              <w:spacing w:before="0" w:after="3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846" w:type="dxa"/>
            <w:tcBorders/>
            <w:vAlign w:val="center"/>
          </w:tcPr>
          <w:p>
            <w:pPr>
              <w:pStyle w:val="TableContents"/>
              <w:bidi w:val="0"/>
              <w:spacing w:before="0" w:after="3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60</w:t>
            </w:r>
          </w:p>
        </w:tc>
      </w:tr>
      <w:tr>
        <w:trPr/>
        <w:tc>
          <w:tcPr>
            <w:tcW w:w="787" w:type="dxa"/>
            <w:tcBorders/>
            <w:shd w:fill="CCEEFF" w:val="clear"/>
            <w:vAlign w:val="center"/>
          </w:tcPr>
          <w:p>
            <w:pPr>
              <w:pStyle w:val="TableContents"/>
              <w:bidi w:val="0"/>
              <w:spacing w:before="0" w:after="3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8846" w:type="dxa"/>
            <w:tcBorders/>
            <w:shd w:fill="CCEEFF" w:val="clear"/>
            <w:vAlign w:val="center"/>
          </w:tcPr>
          <w:p>
            <w:pPr>
              <w:pStyle w:val="TableContents"/>
              <w:bidi w:val="0"/>
              <w:spacing w:before="0" w:after="3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63</w:t>
            </w:r>
          </w:p>
        </w:tc>
      </w:tr>
      <w:tr>
        <w:trPr/>
        <w:tc>
          <w:tcPr>
            <w:tcW w:w="787" w:type="dxa"/>
            <w:tcBorders/>
            <w:vAlign w:val="center"/>
          </w:tcPr>
          <w:p>
            <w:pPr>
              <w:pStyle w:val="TableContents"/>
              <w:bidi w:val="0"/>
              <w:spacing w:before="0" w:after="3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846" w:type="dxa"/>
            <w:tcBorders/>
            <w:vAlign w:val="center"/>
          </w:tcPr>
          <w:p>
            <w:pPr>
              <w:pStyle w:val="TableContents"/>
              <w:bidi w:val="0"/>
              <w:spacing w:before="0" w:after="3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125</w:t>
            </w:r>
          </w:p>
        </w:tc>
      </w:tr>
      <w:tr>
        <w:trPr/>
        <w:tc>
          <w:tcPr>
            <w:tcW w:w="787" w:type="dxa"/>
            <w:tcBorders/>
            <w:shd w:fill="CCEEFF" w:val="clear"/>
            <w:vAlign w:val="center"/>
          </w:tcPr>
          <w:p>
            <w:pPr>
              <w:pStyle w:val="TableContents"/>
              <w:bidi w:val="0"/>
              <w:spacing w:before="0" w:after="30"/>
              <w:ind w:left="0" w:right="0" w:hanging="0"/>
              <w:jc w:val="left"/>
              <w:rPr/>
            </w:pPr>
            <w:hyperlink w:anchor="Item9AControlsandProcedures_361524">
              <w:r>
                <w:rPr>
                  <w:rStyle w:val="InternetLink"/>
                  <w:rFonts w:ascii="Times New Roman;Times;serif" w:hAnsi="Times New Roman;Times;serif"/>
                  <w:b w:val="false"/>
                  <w:i w:val="false"/>
                  <w:caps w:val="false"/>
                  <w:smallCaps w:val="false"/>
                  <w:sz w:val="20"/>
                </w:rPr>
                <w:t>Item 9A</w:t>
              </w:r>
            </w:hyperlink>
          </w:p>
        </w:tc>
        <w:tc>
          <w:tcPr>
            <w:tcW w:w="8846" w:type="dxa"/>
            <w:tcBorders/>
            <w:shd w:fill="CCEEFF" w:val="clear"/>
            <w:vAlign w:val="center"/>
          </w:tcPr>
          <w:p>
            <w:pPr>
              <w:pStyle w:val="TableContents"/>
              <w:bidi w:val="0"/>
              <w:spacing w:before="0" w:after="30"/>
              <w:ind w:left="0" w:right="0" w:hanging="0"/>
              <w:jc w:val="left"/>
              <w:rPr/>
            </w:pPr>
            <w:hyperlink w:anchor="Item9AControlsandProcedures_361524">
              <w:r>
                <w:rPr>
                  <w:rStyle w:val="InternetLink"/>
                  <w:rFonts w:ascii="Times New Roman;Times;serif" w:hAnsi="Times New Roman;Times;serif"/>
                  <w:b w:val="false"/>
                  <w:i w:val="false"/>
                  <w:caps w:val="false"/>
                  <w:smallCaps w:val="false"/>
                  <w:sz w:val="20"/>
                </w:rPr>
                <w:t>Controls and Procedures</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125</w:t>
            </w:r>
          </w:p>
        </w:tc>
      </w:tr>
      <w:tr>
        <w:trPr/>
        <w:tc>
          <w:tcPr>
            <w:tcW w:w="787" w:type="dxa"/>
            <w:tcBorders/>
            <w:vAlign w:val="center"/>
          </w:tcPr>
          <w:p>
            <w:pPr>
              <w:pStyle w:val="TableContents"/>
              <w:bidi w:val="0"/>
              <w:spacing w:before="0" w:after="30"/>
              <w:ind w:left="0" w:right="0" w:hanging="0"/>
              <w:jc w:val="left"/>
              <w:rPr/>
            </w:pPr>
            <w:hyperlink w:anchor="Item9BOtherInformation_186097">
              <w:r>
                <w:rPr>
                  <w:rStyle w:val="InternetLink"/>
                  <w:rFonts w:ascii="Times New Roman;Times;serif" w:hAnsi="Times New Roman;Times;serif"/>
                  <w:b w:val="false"/>
                  <w:i w:val="false"/>
                  <w:caps w:val="false"/>
                  <w:smallCaps w:val="false"/>
                  <w:sz w:val="20"/>
                </w:rPr>
                <w:t>Item 9B.</w:t>
              </w:r>
            </w:hyperlink>
          </w:p>
        </w:tc>
        <w:tc>
          <w:tcPr>
            <w:tcW w:w="8846" w:type="dxa"/>
            <w:tcBorders/>
            <w:vAlign w:val="center"/>
          </w:tcPr>
          <w:p>
            <w:pPr>
              <w:pStyle w:val="TableContents"/>
              <w:bidi w:val="0"/>
              <w:spacing w:before="0" w:after="30"/>
              <w:ind w:left="0" w:right="0" w:hanging="0"/>
              <w:jc w:val="left"/>
              <w:rPr/>
            </w:pPr>
            <w:hyperlink w:anchor="Item9BOtherInformation_186097">
              <w:r>
                <w:rPr>
                  <w:rStyle w:val="InternetLink"/>
                  <w:rFonts w:ascii="Times New Roman;Times;serif" w:hAnsi="Times New Roman;Times;serif"/>
                  <w:b w:val="false"/>
                  <w:i w:val="false"/>
                  <w:caps w:val="false"/>
                  <w:smallCaps w:val="false"/>
                  <w:sz w:val="20"/>
                </w:rPr>
                <w:t>Other Information</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127</w:t>
            </w:r>
          </w:p>
        </w:tc>
      </w:tr>
      <w:tr>
        <w:trPr/>
        <w:tc>
          <w:tcPr>
            <w:tcW w:w="787" w:type="dxa"/>
            <w:tcBorders/>
            <w:shd w:fill="CCEEFF" w:val="clear"/>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8846" w:type="dxa"/>
            <w:tcBorders/>
            <w:shd w:fill="CCEEFF" w:val="clear"/>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7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127</w:t>
            </w:r>
          </w:p>
        </w:tc>
      </w:tr>
      <w:tr>
        <w:trPr/>
        <w:tc>
          <w:tcPr>
            <w:tcW w:w="787" w:type="dxa"/>
            <w:tcBorders/>
            <w:vAlign w:val="center"/>
          </w:tcPr>
          <w:p>
            <w:pPr>
              <w:pStyle w:val="TableContents"/>
              <w:bidi w:val="0"/>
              <w:spacing w:before="0" w:after="0"/>
              <w:ind w:left="0" w:right="0" w:hanging="0"/>
              <w:jc w:val="left"/>
              <w:rPr/>
            </w:pPr>
            <w:r>
              <w:rPr/>
              <w:t>​</w:t>
            </w:r>
          </w:p>
        </w:tc>
        <w:tc>
          <w:tcPr>
            <w:tcW w:w="88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left"/>
              <w:rPr/>
            </w:pPr>
            <w:r>
              <w:rPr/>
              <w:t>​</w:t>
            </w:r>
          </w:p>
        </w:tc>
      </w:tr>
      <w:tr>
        <w:trPr/>
        <w:tc>
          <w:tcPr>
            <w:tcW w:w="787" w:type="dxa"/>
            <w:tcBorders/>
            <w:shd w:fill="CCEEFF" w:val="clear"/>
            <w:vAlign w:val="center"/>
          </w:tcPr>
          <w:p>
            <w:pPr>
              <w:pStyle w:val="TableContents"/>
              <w:bidi w:val="0"/>
              <w:spacing w:before="0" w:after="0"/>
              <w:ind w:left="0" w:right="0" w:hanging="0"/>
              <w:jc w:val="left"/>
              <w:rPr/>
            </w:pPr>
            <w:r>
              <w:rPr/>
              <w:t>​</w:t>
            </w:r>
          </w:p>
        </w:tc>
        <w:tc>
          <w:tcPr>
            <w:tcW w:w="8846" w:type="dxa"/>
            <w:tcBorders/>
            <w:shd w:fill="CCEEFF" w:val="clear"/>
            <w:vAlign w:val="center"/>
          </w:tcPr>
          <w:p>
            <w:pPr>
              <w:pStyle w:val="TableContents"/>
              <w:bidi w:val="0"/>
              <w:spacing w:before="0" w:after="30"/>
              <w:ind w:left="0" w:right="0" w:hanging="0"/>
              <w:jc w:val="center"/>
              <w:rPr/>
            </w:pPr>
            <w:hyperlink w:anchor="PARTIII_200542">
              <w:r>
                <w:rPr>
                  <w:rStyle w:val="InternetLink"/>
                  <w:rFonts w:ascii="Times New Roman;Times;serif" w:hAnsi="Times New Roman;Times;serif"/>
                  <w:b/>
                  <w:i w:val="false"/>
                  <w:caps w:val="false"/>
                  <w:smallCaps w:val="false"/>
                  <w:sz w:val="20"/>
                </w:rPr>
                <w:t>PART III</w:t>
              </w:r>
            </w:hyperlink>
          </w:p>
        </w:tc>
        <w:tc>
          <w:tcPr>
            <w:tcW w:w="572" w:type="dxa"/>
            <w:tcBorders/>
            <w:shd w:fill="CCEEFF" w:val="clear"/>
            <w:vAlign w:val="center"/>
          </w:tcPr>
          <w:p>
            <w:pPr>
              <w:pStyle w:val="TableContents"/>
              <w:bidi w:val="0"/>
              <w:spacing w:before="0" w:after="0"/>
              <w:ind w:left="0" w:right="0" w:hanging="0"/>
              <w:jc w:val="center"/>
              <w:rPr/>
            </w:pPr>
            <w:r>
              <w:rPr/>
              <w:t>​</w:t>
            </w:r>
          </w:p>
        </w:tc>
      </w:tr>
      <w:tr>
        <w:trPr/>
        <w:tc>
          <w:tcPr>
            <w:tcW w:w="787" w:type="dxa"/>
            <w:tcBorders/>
            <w:vAlign w:val="center"/>
          </w:tcPr>
          <w:p>
            <w:pPr>
              <w:pStyle w:val="TableContents"/>
              <w:bidi w:val="0"/>
              <w:spacing w:before="0" w:after="3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8846" w:type="dxa"/>
            <w:tcBorders/>
            <w:vAlign w:val="center"/>
          </w:tcPr>
          <w:p>
            <w:pPr>
              <w:pStyle w:val="TableContents"/>
              <w:bidi w:val="0"/>
              <w:spacing w:before="0" w:after="3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127</w:t>
            </w:r>
          </w:p>
        </w:tc>
      </w:tr>
      <w:tr>
        <w:trPr/>
        <w:tc>
          <w:tcPr>
            <w:tcW w:w="787" w:type="dxa"/>
            <w:tcBorders/>
            <w:shd w:fill="CCEEFF" w:val="clear"/>
            <w:vAlign w:val="center"/>
          </w:tcPr>
          <w:p>
            <w:pPr>
              <w:pStyle w:val="TableContents"/>
              <w:bidi w:val="0"/>
              <w:spacing w:before="0" w:after="30"/>
              <w:ind w:left="0" w:right="0" w:hanging="0"/>
              <w:jc w:val="left"/>
              <w:rPr/>
            </w:pPr>
            <w:hyperlink w:anchor="Item11ExecutiveCompensation_557069">
              <w:r>
                <w:rPr>
                  <w:rStyle w:val="InternetLink"/>
                  <w:rFonts w:ascii="Times New Roman;Times;serif" w:hAnsi="Times New Roman;Times;serif"/>
                  <w:b w:val="false"/>
                  <w:i w:val="false"/>
                  <w:caps w:val="false"/>
                  <w:smallCaps w:val="false"/>
                  <w:sz w:val="20"/>
                </w:rPr>
                <w:t>Item 11.</w:t>
              </w:r>
            </w:hyperlink>
          </w:p>
        </w:tc>
        <w:tc>
          <w:tcPr>
            <w:tcW w:w="8846" w:type="dxa"/>
            <w:tcBorders/>
            <w:shd w:fill="CCEEFF" w:val="clear"/>
            <w:vAlign w:val="center"/>
          </w:tcPr>
          <w:p>
            <w:pPr>
              <w:pStyle w:val="TableContents"/>
              <w:bidi w:val="0"/>
              <w:spacing w:before="0" w:after="30"/>
              <w:ind w:left="0" w:right="0" w:hanging="0"/>
              <w:jc w:val="left"/>
              <w:rPr/>
            </w:pPr>
            <w:hyperlink w:anchor="Item11ExecutiveCompensation_557069">
              <w:r>
                <w:rPr>
                  <w:rStyle w:val="InternetLink"/>
                  <w:rFonts w:ascii="Times New Roman;Times;serif" w:hAnsi="Times New Roman;Times;serif"/>
                  <w:b w:val="false"/>
                  <w:i w:val="false"/>
                  <w:caps w:val="false"/>
                  <w:smallCaps w:val="false"/>
                  <w:sz w:val="20"/>
                </w:rPr>
                <w:t>Executive Compensation</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131</w:t>
            </w:r>
          </w:p>
        </w:tc>
      </w:tr>
      <w:tr>
        <w:trPr/>
        <w:tc>
          <w:tcPr>
            <w:tcW w:w="787" w:type="dxa"/>
            <w:tcBorders/>
            <w:vAlign w:val="center"/>
          </w:tcPr>
          <w:p>
            <w:pPr>
              <w:pStyle w:val="TableContents"/>
              <w:bidi w:val="0"/>
              <w:spacing w:before="0" w:after="3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846" w:type="dxa"/>
            <w:tcBorders/>
            <w:vAlign w:val="center"/>
          </w:tcPr>
          <w:p>
            <w:pPr>
              <w:pStyle w:val="TableContents"/>
              <w:pBdr/>
              <w:bidi w:val="0"/>
              <w:spacing w:before="0" w:after="3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Security Holder Matters</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140</w:t>
            </w:r>
          </w:p>
        </w:tc>
      </w:tr>
      <w:tr>
        <w:trPr/>
        <w:tc>
          <w:tcPr>
            <w:tcW w:w="787" w:type="dxa"/>
            <w:tcBorders/>
            <w:shd w:fill="CCEEFF" w:val="clear"/>
            <w:vAlign w:val="center"/>
          </w:tcPr>
          <w:p>
            <w:pPr>
              <w:pStyle w:val="TableContents"/>
              <w:bidi w:val="0"/>
              <w:spacing w:before="0" w:after="3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8846" w:type="dxa"/>
            <w:tcBorders/>
            <w:shd w:fill="CCEEFF" w:val="clear"/>
            <w:vAlign w:val="center"/>
          </w:tcPr>
          <w:p>
            <w:pPr>
              <w:pStyle w:val="TableContents"/>
              <w:bidi w:val="0"/>
              <w:spacing w:before="0" w:after="3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142</w:t>
            </w:r>
          </w:p>
        </w:tc>
      </w:tr>
      <w:tr>
        <w:trPr/>
        <w:tc>
          <w:tcPr>
            <w:tcW w:w="787" w:type="dxa"/>
            <w:tcBorders/>
            <w:vAlign w:val="center"/>
          </w:tcPr>
          <w:p>
            <w:pPr>
              <w:pStyle w:val="TableContents"/>
              <w:bidi w:val="0"/>
              <w:spacing w:before="0" w:after="3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w:t>
              </w:r>
            </w:hyperlink>
          </w:p>
        </w:tc>
        <w:tc>
          <w:tcPr>
            <w:tcW w:w="8846" w:type="dxa"/>
            <w:tcBorders/>
            <w:vAlign w:val="center"/>
          </w:tcPr>
          <w:p>
            <w:pPr>
              <w:pStyle w:val="TableContents"/>
              <w:bidi w:val="0"/>
              <w:spacing w:before="0" w:after="3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Principal Accountant Fees and Services</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145</w:t>
            </w:r>
          </w:p>
        </w:tc>
      </w:tr>
      <w:tr>
        <w:trPr/>
        <w:tc>
          <w:tcPr>
            <w:tcW w:w="787" w:type="dxa"/>
            <w:tcBorders/>
            <w:shd w:fill="CCEEFF" w:val="clear"/>
            <w:vAlign w:val="center"/>
          </w:tcPr>
          <w:p>
            <w:pPr>
              <w:pStyle w:val="TableContents"/>
              <w:bidi w:val="0"/>
              <w:spacing w:before="0" w:after="0"/>
              <w:ind w:left="0" w:right="0" w:hanging="0"/>
              <w:jc w:val="left"/>
              <w:rPr/>
            </w:pPr>
            <w:r>
              <w:rPr/>
              <w:t>​</w:t>
            </w:r>
          </w:p>
        </w:tc>
        <w:tc>
          <w:tcPr>
            <w:tcW w:w="8846"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left"/>
              <w:rPr/>
            </w:pPr>
            <w:r>
              <w:rPr/>
              <w:t>​</w:t>
            </w:r>
          </w:p>
        </w:tc>
      </w:tr>
      <w:tr>
        <w:trPr/>
        <w:tc>
          <w:tcPr>
            <w:tcW w:w="787" w:type="dxa"/>
            <w:tcBorders/>
            <w:vAlign w:val="center"/>
          </w:tcPr>
          <w:p>
            <w:pPr>
              <w:pStyle w:val="TableContents"/>
              <w:bidi w:val="0"/>
              <w:spacing w:before="0" w:after="0"/>
              <w:ind w:left="0" w:right="0" w:hanging="0"/>
              <w:jc w:val="left"/>
              <w:rPr/>
            </w:pPr>
            <w:r>
              <w:rPr/>
              <w:t>​</w:t>
            </w:r>
          </w:p>
        </w:tc>
        <w:tc>
          <w:tcPr>
            <w:tcW w:w="8846" w:type="dxa"/>
            <w:tcBorders/>
            <w:vAlign w:val="center"/>
          </w:tcPr>
          <w:p>
            <w:pPr>
              <w:pStyle w:val="TableContents"/>
              <w:bidi w:val="0"/>
              <w:spacing w:before="0" w:after="30"/>
              <w:ind w:left="0" w:right="0" w:hanging="0"/>
              <w:jc w:val="center"/>
              <w:rPr/>
            </w:pPr>
            <w:hyperlink w:anchor="PARTIV_693017">
              <w:r>
                <w:rPr>
                  <w:rStyle w:val="InternetLink"/>
                  <w:rFonts w:ascii="Times New Roman;Times;serif" w:hAnsi="Times New Roman;Times;serif"/>
                  <w:b/>
                  <w:i w:val="false"/>
                  <w:caps w:val="false"/>
                  <w:smallCaps w:val="false"/>
                  <w:sz w:val="20"/>
                </w:rPr>
                <w:t>PART IV</w:t>
              </w:r>
            </w:hyperlink>
          </w:p>
        </w:tc>
        <w:tc>
          <w:tcPr>
            <w:tcW w:w="572" w:type="dxa"/>
            <w:tcBorders/>
            <w:vAlign w:val="center"/>
          </w:tcPr>
          <w:p>
            <w:pPr>
              <w:pStyle w:val="TableContents"/>
              <w:bidi w:val="0"/>
              <w:spacing w:before="0" w:after="0"/>
              <w:ind w:left="0" w:right="0" w:hanging="0"/>
              <w:jc w:val="center"/>
              <w:rPr/>
            </w:pPr>
            <w:r>
              <w:rPr/>
              <w:t>​</w:t>
            </w:r>
          </w:p>
        </w:tc>
      </w:tr>
      <w:tr>
        <w:trPr/>
        <w:tc>
          <w:tcPr>
            <w:tcW w:w="787" w:type="dxa"/>
            <w:tcBorders/>
            <w:shd w:fill="CCEEFF" w:val="clear"/>
            <w:vAlign w:val="center"/>
          </w:tcPr>
          <w:p>
            <w:pPr>
              <w:pStyle w:val="TableContents"/>
              <w:bidi w:val="0"/>
              <w:spacing w:before="0" w:after="3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w:t>
              </w:r>
            </w:hyperlink>
          </w:p>
        </w:tc>
        <w:tc>
          <w:tcPr>
            <w:tcW w:w="8846" w:type="dxa"/>
            <w:tcBorders/>
            <w:shd w:fill="CCEEFF" w:val="clear"/>
            <w:vAlign w:val="center"/>
          </w:tcPr>
          <w:p>
            <w:pPr>
              <w:pStyle w:val="TableContents"/>
              <w:bidi w:val="0"/>
              <w:spacing w:before="0" w:after="3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572" w:type="dxa"/>
            <w:tcBorders/>
            <w:shd w:fill="CCEEFF" w:val="cle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146</w:t>
            </w:r>
          </w:p>
        </w:tc>
      </w:tr>
      <w:tr>
        <w:trPr/>
        <w:tc>
          <w:tcPr>
            <w:tcW w:w="787" w:type="dxa"/>
            <w:tcBorders/>
            <w:vAlign w:val="center"/>
          </w:tcPr>
          <w:p>
            <w:pPr>
              <w:pStyle w:val="TableContents"/>
              <w:bidi w:val="0"/>
              <w:spacing w:before="0" w:after="30"/>
              <w:ind w:left="0" w:right="0" w:hanging="0"/>
              <w:jc w:val="left"/>
              <w:rPr/>
            </w:pPr>
            <w:hyperlink w:anchor="Item16Form10KSummary_621161">
              <w:r>
                <w:rPr>
                  <w:rStyle w:val="InternetLink"/>
                  <w:rFonts w:ascii="Times New Roman;Times;serif" w:hAnsi="Times New Roman;Times;serif"/>
                  <w:b w:val="false"/>
                  <w:i w:val="false"/>
                  <w:caps w:val="false"/>
                  <w:smallCaps w:val="false"/>
                  <w:sz w:val="20"/>
                </w:rPr>
                <w:t>Item 16.</w:t>
              </w:r>
            </w:hyperlink>
          </w:p>
        </w:tc>
        <w:tc>
          <w:tcPr>
            <w:tcW w:w="8846" w:type="dxa"/>
            <w:tcBorders/>
            <w:vAlign w:val="center"/>
          </w:tcPr>
          <w:p>
            <w:pPr>
              <w:pStyle w:val="TableContents"/>
              <w:bidi w:val="0"/>
              <w:spacing w:before="0" w:after="30"/>
              <w:ind w:left="0" w:right="0" w:hanging="0"/>
              <w:jc w:val="left"/>
              <w:rPr/>
            </w:pPr>
            <w:hyperlink w:anchor="Item16Form10KSummary_621161">
              <w:r>
                <w:rPr>
                  <w:rStyle w:val="InternetLink"/>
                  <w:rFonts w:ascii="Times New Roman;Times;serif" w:hAnsi="Times New Roman;Times;serif"/>
                  <w:b w:val="false"/>
                  <w:i w:val="false"/>
                  <w:caps w:val="false"/>
                  <w:smallCaps w:val="false"/>
                  <w:sz w:val="20"/>
                </w:rPr>
                <w:t>Form 10-K Summary</w:t>
              </w:r>
            </w:hyperlink>
          </w:p>
        </w:tc>
        <w:tc>
          <w:tcPr>
            <w:tcW w:w="572"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43" w:name="_5f9e5a01_e685_4b7a_9c2a_43e6184091ef"/>
      <w:bookmarkEnd w:id="43"/>
      <w:r>
        <w:rPr/>
        <w:t>​</w:t>
      </w:r>
    </w:p>
    <w:p>
      <w:pPr>
        <w:pStyle w:val="TextBody"/>
        <w:bidi w:val="0"/>
        <w:spacing w:before="0" w:after="0"/>
        <w:ind w:left="0" w:right="0" w:hanging="0"/>
        <w:jc w:val="center"/>
        <w:rPr>
          <w:rFonts w:ascii="Times New Roman;Times;serif" w:hAnsi="Times New Roman;Times;serif"/>
          <w:b/>
          <w:sz w:val="20"/>
        </w:rPr>
      </w:pPr>
      <w:bookmarkStart w:id="44" w:name="PARTI_913001"/>
      <w:bookmarkEnd w:id="44"/>
      <w:r>
        <w:rPr>
          <w:rFonts w:ascii="Times New Roman;Times;serif" w:hAnsi="Times New Roman;Times;serif"/>
          <w:b/>
          <w:sz w:val="20"/>
        </w:rPr>
        <w:t>PART I</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5" w:name="Item1Business_683799"/>
      <w:bookmarkEnd w:id="45"/>
      <w:r>
        <w:rPr>
          <w:rFonts w:ascii="Times New Roman;Times;serif" w:hAnsi="Times New Roman;Times;serif"/>
          <w:b/>
          <w:sz w:val="20"/>
        </w:rPr>
        <w:t>Item 1.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References to “we,” “our” or “us” herein include Icahn Enterprises and its subsidiaries, unless the context otherwise requires.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December 31, 2025, representing an aggregate 1.99% general partner interest in Icahn Enterprises Holdings and us. Mr. Icahn and his affiliates owned approximately 86% of our outstanding depositary units as of December 31,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Business Strategy and Core Strengths</w:t>
      </w:r>
    </w:p>
    <w:p>
      <w:pPr>
        <w:pStyle w:val="TextBody"/>
        <w:pBdr/>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The Icahn Strategy</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sz w:val="20"/>
        </w:rPr>
        <w:t>Across all of our businesses, our success is based on a simple formula: we seek to find undervalued companies in the Graham &amp; Dodd tradition, a methodology for valuing stocks that primarily looks for deeply depressed prices. However, while the typical Graham &amp; Dodd value investor purchases undervalued securities and waits for results, we often become actively involved in the companies we target. That activity may involve a broad range of approaches, from influencing the management of a target to take steps to improve shareholder value, to acquiring a controlling interest or outright ownership of the target company in order to implement changes that we believe are required to improve its business, and then operating and expanding that business. This activism has typically brought about very strong returns over the years.</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sz w:val="20"/>
        </w:rPr>
        <w:t xml:space="preserve">Today, we are a diversified holding company owning subsidiaries engaged in seven diversified reporting segments. As of December 31, 2025, through our Investment segment, we have significant positions in various investments, which include American Electric Power Company, Inc. (AEP), Southwest Gas Holdings, Inc. (SWX), EchoStar Corp. (SATS), Centuri Holdings, Inc. (CTRI) and International Flavors and Fragrances Inc. (IFF). </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sz w:val="20"/>
        </w:rPr>
        <w:t xml:space="preserve">Several of our operating businesses started out as investment positions in debt or equity securities, held either directly by us or Mr. Icahn. Those positions ultimately resulted in control or complete ownership of the target company. For example, in 2012, we acquired a controlling interest in CVR Energy, Inc. (“CVR Energy”), which started out as a position in our Investment segment and is now an operating subsidiary that comprises our Energy segment. The acquisition of CVR Energy, like our other operating subsidiaries, reflects our opportunistic approach to value creation, through which returns may be obtained by, among other things, promoting change through minority positions at targeted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companies in our Investment segment or by acquiring control of those target companies that we believe we could run more profitably ourselves.</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sz w:val="20"/>
        </w:rPr>
        <w:t>During the next several years, we see a favorable opportunity to follow an activist strategy that centers on the purchase of target stock and the subsequent removal of any barriers that might interfere with a friendly purchase offer from a strong buyer. Alternatively, in appropriate circumstances, we or our subsidiaries may become the buyer of target companies, adding them to our portfolio of operating subsidiaries, thereby expanding our operations through such opportunistic acquisitions. We believe that the companies that we target for our activist activities are undervalued for many reasons, often including inept management. Unfortunately for the individual investor, in particular, and the economy, in general, many poor management teams and boards of directors are often unaccountable and very difficult to remove.</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sz w:val="20"/>
        </w:rPr>
        <w:t>Unlike the individual investor, we have the wherewithal to purchase companies that we feel we can operate more effectively than incumbent management. In addition, through our Investment segment, we are in a position to pursue our activist strategy by purchasing stock or debt positions and trying to promulgate change through a variety of activist approaches, ranging from speaking and negotiating with boards of directors and Chief Executive Officers (“CEOs”) to proxy fights, tender offers and acquiring control. We work diligently to enhance value for all shareholders and we believe that the best way to do this is to make underperforming management teams and Boards of Directors accountable or to replace them.</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sz w:val="20"/>
        </w:rPr>
        <w:t xml:space="preserve">The Chairman of the Board of Directors of our general partner, Carl C. Icahn, has been an activist investor since 1980. Mr. Icahn believes that the current environment continues to be conducive to activism. We often find investment opportunities when companies execute value destructive acquisitions or fail to unlock their own “hidden jewels” through separation transactions. Companies also find themselves listening to the advice of conflicted advisors and pursue complex, costly and never-ending litigation when acceptable quick fixes can be found. Management teams often fail to improve their operations and profitability, relying on lax oversight from an overly friendly board of directors. </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sz w:val="20"/>
        </w:rPr>
        <w:t>It is our belief that our strategy will continue to produce strong results into the future. We believe that the strong cash flow and asset coverage from our operating subsidiaries will allow us to maintain a strong balance sheet and ample liquidity.</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Core Strengths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sz w:val="20"/>
        </w:rPr>
        <w:t>We believe that our core strengths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sz w:val="20"/>
        </w:rPr>
        <w:t>The key elements of our business strategy include the following:</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i/>
          <w:sz w:val="20"/>
        </w:rPr>
        <w:t>Capitalize on Growth Opportunities in our Existing Businesses.</w:t>
      </w:r>
      <w:r>
        <w:rPr>
          <w:rFonts w:ascii="Times New Roman;Times;serif" w:hAnsi="Times New Roman;Times;serif"/>
          <w:sz w:val="20"/>
        </w:rPr>
        <w:t>  We believe that we have developed a strong portfolio of businesses with experienced management teams. We may expand our existing businesses if appropriate opportunities are identified, as well as use our established businesses as a platform for additional acquisitions in the same or related areas.</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i/>
          <w:sz w:val="20"/>
        </w:rPr>
        <w:t>Drive Accountability and Financial Discipline in the Management of our Business.</w:t>
      </w:r>
      <w:r>
        <w:rPr>
          <w:rFonts w:ascii="Times New Roman;Times;serif" w:hAnsi="Times New Roman;Times;serif"/>
          <w:sz w:val="20"/>
        </w:rPr>
        <w:t>  Our CEO is accountable directly to our Board of Directors of our general partner, including the Chairman, Carl C. Icahn, and has day-to-day responsibility, in consultation with our Chairman, for general oversight of our business segments. We continually evaluate our operating subsidiaries with a view towards maximizing value and cost efficiencies, bringing an owner’s perspective to our operating businesses. In each of these businesses, we assemble senior management teams with the expertise to run their businesses and boards of directors to oversee the management of those businesses. Each management team is responsible for the day-to-day operations of its businesses and directly accountable to its board of directors.</w:t>
      </w:r>
    </w:p>
    <w:p>
      <w:pPr>
        <w:pStyle w:val="TextBody"/>
        <w:shd w:fill="FFFFFF" w:val="clear"/>
        <w:bidi w:val="0"/>
        <w:spacing w:before="0" w:after="0"/>
        <w:ind w:left="0" w:right="0" w:firstLine="405"/>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i/>
          <w:sz w:val="20"/>
        </w:rPr>
        <w:t>Seek to Acquire Undervalued Assets.</w:t>
      </w:r>
      <w:r>
        <w:rPr>
          <w:rFonts w:ascii="Times New Roman;Times;serif" w:hAnsi="Times New Roman;Times;serif"/>
          <w:sz w:val="20"/>
        </w:rPr>
        <w:t>  We intend to continue to make investments in businesses that we believe are undervalued and have potential for growth. We also seek to capitalize on investment opportunities arising from market inefficiencies, economic or market trends that have not been identified and reflected in market value, or complex or special situations. Certain opportunities may arise from companies that experience disappointing financial results, liquidity or capital needs, lowered credit ratings, revised industry forecasts or legal complications. We may acquire businesses or assets directly or we may establish an ownership position through the purchase of debt or equity securities in the open market or in privately negotiated transactions.</w:t>
      </w:r>
    </w:p>
    <w:p>
      <w:pPr>
        <w:pStyle w:val="TextBody"/>
        <w:shd w:fill="FFFFFF" w:val="clear"/>
        <w:bidi w:val="0"/>
        <w:spacing w:before="0" w:after="0"/>
        <w:ind w:left="0" w:right="0" w:firstLine="405"/>
        <w:jc w:val="left"/>
        <w:rPr/>
      </w:pPr>
      <w:r>
        <w:rPr/>
        <w:t>​</w:t>
      </w:r>
    </w:p>
    <w:p>
      <w:pPr>
        <w:pStyle w:val="TextBody"/>
        <w:shd w:fill="FFFFFF" w:val="clear"/>
        <w:bidi w:val="0"/>
        <w:spacing w:before="0" w:after="0"/>
        <w:ind w:left="0" w:right="0" w:firstLine="405"/>
        <w:jc w:val="left"/>
        <w:rPr>
          <w:rFonts w:ascii="Times New Roman;Times;serif" w:hAnsi="Times New Roman;Times;serif"/>
          <w:sz w:val="20"/>
        </w:rPr>
      </w:pPr>
      <w:r>
        <w:rPr>
          <w:rFonts w:ascii="Times New Roman;Times;serif" w:hAnsi="Times New Roman;Times;serif"/>
          <w:i/>
          <w:sz w:val="20"/>
        </w:rPr>
        <w:t>Use Activism to Unlock Value.</w:t>
      </w:r>
      <w:r>
        <w:rPr>
          <w:rFonts w:ascii="Times New Roman;Times;serif" w:hAnsi="Times New Roman;Times;serif"/>
          <w:sz w:val="20"/>
        </w:rPr>
        <w:t> As described above, we become actively involved in companies in which we invest. Such activism may involve a broad range of activities, from trying to influence management in a proxy fight, to taking outright control of a company in order to bring about the change we think is required to unlock value. The key is flexibility, permanent capital and the willingness and ability to have a long-term investment horizon.</w:t>
      </w:r>
    </w:p>
    <w:p>
      <w:pPr>
        <w:pStyle w:val="TextBody"/>
        <w:shd w:fill="FFFFFF" w:val="clear"/>
        <w:bidi w:val="0"/>
        <w:spacing w:before="0" w:after="0"/>
        <w:ind w:left="0" w:right="0" w:firstLine="405"/>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Description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began as American Real Estate Partners L.P. in 1987 and currently operates a portfolio of seven diversified reporting segments. With the exception of our Investment segment, our operating segments primarily comprise independently operated businesses that we have obtained a controlling interest in through execution of our business strategy. Our Investment segment derives revenues from gains and losses from investment transactions. Our other operating segments derive revenues principally from net sales of various products, primarily within our Energy and Automotive segments, which together accounted for the significant majority of our consolidated net sales for each of the three years in the period ended December 31, 2025. Our other operating segments’ revenues are also derived through various other revenue streams which primarily consist of automotive services and real estate leasing operations. The majority of our consolidated revenues are derived from customers in the United States. Our Food Packaging segment accounted for the majority of our consolidated revenues derived from customers outside the United States.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seek to invest our available cash and cash equivalents in liquid investments with a view to enhancing returns as we continue to assess further acquisitions of, or investments in, operating businesses. As of December 31, 2025, we had investments with a fair market value of approximately $2.7 billion in the Investment Funds, as defined below.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Strategy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strategy of the Investment Funds is set and led by Mr. Icahn. The Investment Funds seek to acquire securities in companies that trade at a discount to inherent value as determined by various metrics, including replacement cost, break-up value, cash flow and earnings power and liquidation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utilize a process-oriented, research-intensive, value-based investment approach. This approach generally involves three critical steps: (i) fundamental credit, valuation and capital structure analysis; (ii) intense legal and tax analysis of fulcrum issues such as litigation and regulation that often affect valuation; and (iii) combined business valuation analysis and legal and tax review to establish a strategy for gaining an attractive risk-adjusted investment position. This approach focuses on exploiting market dislocations or misjudgments that may result from market euphoria, litigation, complex contingent liabilities, corporate malfeasance and weak corporate governance, general economic conditions or market cycles and complex and inappropriate capital structures.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often act as activist investors ready to take the steps necessary to seek to unlock value, including through tender offers, proxy contests and demands for management accountability. The Investment Funds may employ a number of strategies and are permitted to invest across a variety of industries and types of securities, including long and short equities, long and short bonds, bank debt and other corporate obligations, options, swaps and other derivative instruments thereof, risk arbitrage and capital structure arbitrage and other special situations. The Investment Funds invest a material portion of their capital in publicly traded equity and debt securities of companies that they believe to be undervalued by the marketplace. The Investment Funds often take significant positions in the companies in which they invest.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 segment’s income or loss is driven by the amount of funds allocated to the Investment Funds and the performance of the underlying investments in the Investment Funds. Funds allocated to the Investment Funds are based on the net contributions and redemptions by our Holding Company, by Mr. Icahn and his affiliates and by Brett Icahn.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Affiliate Investments</w:t>
      </w:r>
      <w:r>
        <w:rPr>
          <w:rFonts w:ascii="Times New Roman;Times;serif" w:hAnsi="Times New Roman;Times;serif"/>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and Mr. Icahn, along with the Investment Funds, have entered into a covered affiliate agreement, which was amended on March 31, 2011, pursuant to which Mr. Icahn agreed (on behalf of himself and certain of his affiliates, excluding Icahn Enterprises, and subsidiaries) to be bound by certain restrictions on their investments in any assets that we deem suitable for the Investment Funds, other than government and agency bonds and cash equivalents, unless otherwise approved by our audit committee. In addition, Mr. Icahn and such affiliates continue to have the right to co-invest with the Investment Funds. We have no interest in, nor do we generate any income from, any such co-investments, which have been and may continue to be substantial.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Energy segment through our majority owned subsidiary, CVR Energy, Inc. (“CVR Energy”), along with a 3% interest in common units of CVR Partners, LP (“CVR Partners”) held outside of CVR Energy. CVR Energy is headquartered in Sugar Land, Texas. CVR Energy is a reporting company under the Exchange Act and files annual, quarterly and current reports, proxy statements and other information with the SEC that are publicly available.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CVR Energy is a diversified holding company primarily engaged in the petroleum refining and marketing businesses, the renewable fuels businesses as well as in the nitrogen fertilizer manufacturing and distribution businesses through its holdings in CVR Partners. CVR Energy is an independent petroleum refiner and is a marketer of high value transportation fuels primarily in the form of gasoline, diesel, jet fuel and distillates. The renewables business refines renewable feedstocks, such as soybean oil, corn oil, and other related renewable feedstocks, into renewable diesel, and markets renewable products. CVR Partners produces and markets nitrogen fertilizers in the form of urea ammonium nitrate (“UAN”) and ammonia. CVR Energy held 100% of the general partner interest and approximately 37% of the outstanding common units of CVR Partners as of December 31, 2025. As of December 31, 2025, we owned approximately 70% of the total outstanding common stock of CVR Energy and 3% of the outstanding common units of CVR Partners.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Energy segment’s net sales for each of the years ended December 31, 2025, 2024 and 2023 represented approximately 83% consolidated net sales, primarily from the sale of its petroleum products.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Products, Raw Materials, Supply and Customers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CVR Energy’s refining business has the capability to process a variety of crude oil blends. Its oil refineries in Coffeyville, Kansas and Wynnewood, Oklahoma have a combined capacity of approximately 206,500 barrels per day (“bpd”). In April 2022, CVR Energy converted its Wynnewood refinery’s hydrocracker to a renewable diesel unit (“RDU”), which RDU is also capable of being returned to hydrocarbon service. In addition to the use of third-party pipelines for the supply of crude oil, CVR Energy has an extensive gathering system consisting of logistics assets that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are owned, leased or part of a joint venture operation. In December 2025, our Energy segment reverted the RDU back to hydrocarbon processing service, considering the unfavorable economics of the renewables business and to optimize feedstock and relieve certain logistical constraints within the refining business. CVR Energy maintains the option to switch back to renewable diesel service if market conditions make it economically favorable to do so.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Petroleum refining product yield includes gasoline, diesel fuel, pet coke and other refined products such as natural gas liquids, asphalt and jet fuel among other products. Customers for the refining business primarily include retailers, railroads, farm cooperatives and other refiners/marketers. The refining business’s top customer represented 12% and 13% of its net sales for the years ended December 31, 2025 and 2024, respectively, and its top two customers represented 27% of its net sales for the year ended December 31, 2023.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CVR Partners produces and distributes nitrogen fertilizer products, which are used by farmers to improve the yield and quality of their crops. The principal products are UAN and ammonia. CVR Partners’ Coffeyville, Kansas facility uses pet coke to produce nitrogen fertilizer and is supplied by its adjacent crude oil refinery pursuant to a renewable long-term agreement with CVR Energy, as well as by third parties. Historically, the Coffeyville nitrogen fertilizer plant has obtained the remainder of its pet coke requirements from third parties such as other Midwestern refineries or pet coke brokers at spot-prices. CVR Partners’ East Dubuque, Illinois facility uses natural gas to produce nitrogen fertilizer. The East Dubuque facility is able to purchase natural gas at competitive prices due to its connection to the Northern Natural Gas interstate pipeline system, which is within one mile of the facility, and a third-party owned and operated pipeline. Retailers and distributors are the main customers for UAN, and more broadly, the industrial and agriculture sectors are the recipients of its ammonia products. CVR Partners’ top two customers represented 28% and 25% of its net sales for the years ended December 31, 2025 and 2023, respectively, and its top customer represented 14% of its net sales for the years ended December 31, 2024.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Environmental Regulations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CVR Energy’s businesses are subject to extensive and frequently changing federal, state and local, environmental, health and safety laws and regulations governing the emission, discharge, transportation, storage, handling, use, treatment, disposal and release of regulated materials, substances or wastes, including waste-water and storm water, petroleum, renewable and nitrogen products, gasoline, diesel fuels, renewable fuels, UAN and ammonia. These laws and regulations and the enforcement thereof impact CVR Energy’s businesses and their operations by imposing:</w:t>
      </w:r>
    </w:p>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operations or the need to install and operate enhanced or additional control and monitoring equipment;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for the investigation and remediation of contaminated environmental media, including soil and groundwater on, in, at, under or from current and former facilities (if any) and for off-site waste disposal locations;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specifications for the products marketed by the petroleum, renewables and the nitrogen fertilizer businesses, primarily gasoline, diesel and aviation fuels, renewable diesel, UAN and ammonia.</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CVR Energy’s operations require numerous permits, licenses and authorizations. Failure to comply with these permits, licenses, authorizations, or environmental, health and safety laws, rules and regulations could result in fines, penalties or other sanctions or liabilities or a revocation of CVR Energy’s permits, licenses or authorizations. In addition, the laws, rules, and regulations to which CVR Energy is subject to are often evolving and some of them have or could become more stringent or have or could become subject to more stringent interpretation or enforcement by federal, state or local agencies or courts. These laws and regulations could result in increased capital, operating and compliance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CVR Energy’s businesses are also subject to, or impacted by, various other environmental laws and regulations such as the federal Clean Air Act, the federal Clean Water Act, the federal Comprehensive Environmental Response, Compensation and Liability Act (CERCLA), the federal Resource Conversation and Recovery Act (RCRA), federal release reporting requirements relating to the release of hazardous substances into the environment, certain fuel regulations, renewable fuel standards, as discussed below, and various other laws and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Renewable Fuel Standard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CVR Energy’s subsidiaries, Coffeyville Resource Refining &amp; Marketing, LLC (“CRRM”) and Wynnewood Refining Company, LLC (“WRC” and together with CRRM the “obligated-party subsidiaries”) are subject to the Clean Air Act’s renewable fuel standard (“RFS”) which requires obligated parties whose obligations under the RFS are not otherwise waived or exempted to either blend “renewable fuels” with their transportation fuels or purchase renewable fuel credits, known as renewable identification numbers, in lieu of blending. See Item 1A, “Risk Factors” and Note 19, “Commitments and Contingencies,” to the consolidated financial statements for further discussion.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Automotive segment through our wholly owned subsidiary, Icahn Automotive Group LLC (“Icahn Automotive”). The Automotive segment is headquartered in Bala Cynwyd, Pennsylvania. The Automotive segment is engaged in providing a full range of automotive repair and maintenance services, along with the sale of any installed parts or materials related to automotive services (“Automotive Services”) to its customers, as well as sales of automotive aftermarket parts and retailed merchandise (“Aftermarket Parts”). We exited the Aftermarket Parts business in the first quarter of 2025. In addition to its primary businesses, the Automotive segment leases available and excess real estate in certain locations under long-term operating leases.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October and November of 2025, our Automotive segment completed the transfer of $465 million of owned real estate properties to our Real Estate segment. Following the transfer, the Real Estate segment assumed control of the properties and will manage and lease them as part of its ongoing operations. The Automotive segment entered into fair market value leases with the Real Estate segment for the locations in which it will continue to operate the Automotive Services business. The Real Estate segment also assumed the existing leases with third party tenants from the transferred properties.</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January 31, 2023, a subsidiary of Icahn Automotive, IEH Auto Parts Holding LLC and its subsidiaries (collectively “Auto Plus”), an Aftermarket Parts distributor held within our Automotive segment, filed voluntary petitions (the “Chapter 11 Cases”) in the United States Bankruptcy Court for the Southern District of Texas (the “Bankruptcy Court”). As a result of Auto Plus’s filings for bankruptcy protections on January 31, 2023, we no longer controlled the operations of Auto Plus, and therefore, we deconsolidated Auto Plus as of January 31, 2023. See Note 3, “Subsidiary Bankruptcy and Deconsolidation”, for a detailed discussion of the Auto Plus bankruptcy and deconsolidation.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segment’s net sales for the years ended December 31, 2025, 2024 and 2023 represented approximately 10%, 10% and 9%, respectively, of our consolidated net sales.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Products, Services and Customers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automotive aftermarket industry is in the mature stage of its life cycle. Over the past decade, consumers have moved away from do-it-yourself (retail) toward do-it-for-me (services) due to increasing vehicle complexity and electronic content, as well as decreasing availability of diagnostic equipment and know-how. The Automotive segment seeks to provide (i) an extensive selection of tire and automotive service offerings, (ii) competitive pricing, and (iii) exceptional in-store service experience.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Suppliers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Automotive segment purchases parts from manufacturers and other distributors for sale in the aftermarket. Purchases are made based on current inventory or operational needs and are fulfilled by suppliers within short periods of time. During 2025, the Automotive segment’s ten largest suppliers accounted for approximately 86% of the merchandise purchased and its two largest suppliers accounted for approximately 36% of the merchandise purchased. The Automotive segment believes that the relationships that it has established with its suppliers are generally positive. In the past, the Automotive segment has not experienced difficulty in obtaining satisfactory sources of supply and it believes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that adequate alternative sources of supply exist, at similar cost, for the types of merchandise used in delivery of its services.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Operating Segments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Food Packaging segment through our majority owned subsidiary, Viskase Companies, Inc. (“Viskase”). Viskase is a producer of cellulosic, fibrous and plastic casings used to prepare and package processed meat products. Approximately 71% of Viskase’s net sales during 2025 were derived from customers outside the United States.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March, September and December 2025 and January 2026, Viskase completed equity private placements whereby we acquired an aggregate of 57,288,561 additional shares of Viskase common stock for an aggregate of $45 million. As of December 31, 2025, we owned approximately 93% of the total outstanding common stock of Viskase. Viskase's previously announced merger with Enzon Pharmaceuticals, Inc. is anticipated to close in the first quarter of 2026.</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Real Estate segment through various wholly owned subsidiaries. Our Real Estate segment primarily consists of investment properties which includes land, retail, office and industrial properties leased to corporate tenants, the development and sale of single-family homes and the operations of a resort and a country club.</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October and November of 2025, our Automotive segment completed the transfer of $465 million of owned real estate properties to our Real Estate segment. Following the transfer, the Real Estate segment assumed control of the properties and will manage and lease them as part of its ongoing operations. The Automotive segment entered into fair market value leases with the Real Estate segment for the locations in which it will continue to operate the Automotive Services business. The Real Estate segment also assumed the existing leases with third party tenants from the transferred properties.</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August 2025, our Real Estate segment sold certain properties for total consideration of $247 million, including loan origination fees, resulting in a pre-tax gain on disposition of assets of $223 million. The transaction included seller financing, which is included in related party notes receivable, and a preferred equity method investment included in investments, in our condensed consolidated balance sheet as of December 31, 2025.</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Home Fashion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Home Fashion segment through our wholly owned subsidiary, WestPoint Home LLC (“WPH”). WPH’s business consists of manufacturing, sourcing, marketing, distributing and selling home fashion consumer products. WPH’s operations include a manufacturing and distribution facility in Chipley, Florida and a manufacturing facility in Bahrain, both of which are owned facilities.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Pharma</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conduct our Pharma segment through our wholly owned subsidiary, Vivus LLC, formerly Vivus, Inc. (“Vivus”). Vivus is a specialty pharmaceutical company with two approved therapies: one for chronic weight management and the other for the treatment of exocrine pancreatic insufficiency. In addition, Vivus has two product candidates in active clinical development and two product candidates in early-stage development.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Employees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have an aggregate of 47 employees at our Holding Company and Investment segment. Our other reporting segments employ an aggregate of approximately 13,500 employees, of which approximately 55% are employed within our Automotive segment, 15% are employed within our Food Packaging segment, 13% are employed within our Home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Fashion segment, 11% are employed within our Energy segment and 3% or less are employed at each of our other segments. Approximately 26% of our employees are employed internationally, primarily within our Food Packaging and Home Fashion segments.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Icahn Enterprises maintains a website at </w:t>
      </w:r>
      <w:r>
        <w:rPr>
          <w:rFonts w:ascii="Times New Roman;Times;serif" w:hAnsi="Times New Roman;Times;serif"/>
          <w:i/>
          <w:sz w:val="20"/>
        </w:rPr>
        <w:t>www.ielp.com</w:t>
      </w:r>
      <w:r>
        <w:rPr>
          <w:rFonts w:ascii="Times New Roman;Times;serif" w:hAnsi="Times New Roman;Times;serif"/>
          <w:sz w:val="20"/>
        </w:rPr>
        <w:t xml:space="preserve">. We provide access to our annual reports on Form 10-K, quarterly reports on Form 10-Q, current reports on Form 8-K and all amendments to those reports free of charge through this website as soon as reasonably practicable after such material is electronically filed with the SEC. Paper copies of annual and periodic reports filed with the SEC may be obtained free of charge upon written request by contacting our headquarters at the address located on the front cover of this report or under Contact Us on our website. In addition, our corporate governance guidelines, including Code of Ethics and Business Conduct and audit committee charter, are available on our website (under Corporate Governance) and are available in print without charge to any stockholder requesting them. Any amendment or waiver of the provisions of our Code of Ethics will be posted on our website. The SEC maintains a website that contains reports, information statements, and other information regarding issuers like us who file electronically with the SEC. The SEC’s website is located at </w:t>
      </w:r>
      <w:r>
        <w:rPr>
          <w:rFonts w:ascii="Times New Roman;Times;serif" w:hAnsi="Times New Roman;Times;serif"/>
          <w:i/>
          <w:sz w:val="20"/>
        </w:rPr>
        <w:t>www.sec.gov</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bookmarkStart w:id="46" w:name="Item1ARiskFactors_232091"/>
      <w:bookmarkStart w:id="47" w:name="_ade6caf3_1be1_451e_94c4_721b14f5084b"/>
      <w:bookmarkEnd w:id="46"/>
      <w:bookmarkEnd w:id="47"/>
      <w:r>
        <w:rPr>
          <w:rFonts w:ascii="Times New Roman;Times;serif" w:hAnsi="Times New Roman;Times;serif"/>
          <w:b/>
          <w:sz w:val="20"/>
        </w:rPr>
        <w:t xml:space="preserve">Item 1A. Risk Factors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Investing in our securities involves certain risks. Before investing in any of our securities, you should carefully consider the following risks. If any of these risks actually occurs, it could have a material adverse effect on our business. The risks described below are not the only risks that affect our businesses. Additional risks that are unknown or not presently deemed significant may also have a material adverse effect on our businesses.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Relating to Our Structure</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Our general partner, and its control person, has significant influence over us, and sales by our controlling unitholder pursuant to a margin call or otherwise could cause our unit price or the value of our assets in the Investment Funds to decline or otherwise impact our liquidity.</w:t>
      </w:r>
      <w:r>
        <w:rPr>
          <w:rFonts w:ascii="Times New Roman;Times;serif" w:hAnsi="Times New Roman;Times;serif"/>
          <w:sz w:val="20"/>
        </w:rPr>
        <w:t xml:space="preserve"> </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Mr. Icahn, through affiliates, owns 100% of Icahn Enterprises GP, the general partner of Icahn Enterprises, and approximately 86% of Icahn Enterprises’ outstanding depositary units as of December 31, 2025, and, as a result, has the ability to influence many aspects of our operations and affairs.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Mr. Icahn’s estate plan has been designed to assure the stability and continuation of Icahn Enterprises and to minimize the need to monetize his interests for estate tax or other purposes. In the event of Mr. Icahn’s death, a substantial majority of Mr. Icahn’s interests in Icahn Enterprises and its general partner are expected to pass to trusts or charitable organizations that will be under the control of a group that will include Icahn family members and current or former senior Icahn Enterprises executives. However, there can be no assurance that such planning will be effective. Furthermore, if upon Mr. Icahn’s death control of Icahn Enterprises GP is not given to Brett Icahn, Brett Icahn will have the right to terminate the manager agreement between Brett Icahn and Icahn Enterprises. In addition, it is currently anticipated that Brett Icahn will succeed Carl Icahn as Chairman of the board of Icahn Enterprises GP and as Chief Executive Officer of the Investment segment following the end of the 7-year term of the manager agreement or earlier if Carl Icahn should so determine.</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in past years through the present, Mr. Icahn from time to time has had and currently has borrowings from lenders and has pledged assets he owns personally, directly or through his affiliates, to secure these loans, which pledged assets include Icahn Enterprises depositary units and interests in the Investment Funds. The number of depositary units and the amount of interests in the Investment Funds owned personally by Mr. Icahn, directly or through his affiliates, pledged to secure these loans has been substantial and has fluctuated over time as a result of the amount of outstanding principal amount of the loans, the market price of the depositary units, the value of the Investment Fund interests, and other factors. As of December 31, 2025, Mr. Icahn and his affiliates have pledged 549,400,539 depositary units and approximately $568 million of interests in the Investment Funds. Neither Icahn Enterprises nor any of its subsidiaries are party to these loans. Mr. Icahn amended and restated his loan agreements in July of 2023 (as amended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and restated, the “Loan Agreement”). On August 13, 2025, Mr. Icahn and his affiliates entered into Amendment No. 3 to the Loan Agreement (“Amendment No. 3”). Among other changes, Amendment No. 3 extended the maturity of the Loan Agreement to July 2028 and correspondingly extended the payment due dates under the Loan Agreement and amended certain covenants. In connection with Amendment No. 3, Mr. Icahn paid approximately $300 million to the principal of the loan. As of the date of Amendment No. 3, in connection with the Loan Agreement, Mr. Icahn has pledged (i) depositary units of IEP owned by Mr. Icahn, (ii) interests owned by Mr. Icahn in the Investment Funds, and (iii) certain other collateral unrelated to IEP or the Investment Funds. Neither IEP nor any of its subsidiaries is a party to the Loan Agreement or the amendments to the Loan Agreement. The terms of the Loan Agreement require that distributions paid upon, or proceeds from sales of, pledged depositary units be used to prepay the loans or be pledged as additional collateral. Pursuant to the terms of the Loan Agreement, a margin call may only be triggered in the event that the loan-to-value ratio set forth in the Loan Agreement is not maintained. </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Unlike the previous loan agreements, for purposes of the loan-to-value ratio set forth in the Loan Agreement, the value of the pledged depositary units will be calculated based upon the Company’s indicative net asset value rather than the market price of the depositary units. Only a significant decline in the Company’s indicative net asset value, or the value of the interests in the Investment Funds, could result in margin calls. Declines in the trading price of the Company’s depositary units will no longer require Mr. Icahn to deposit additional funds or securities with the lenders or suffer foreclosure on or a forced sale of Mr. Icahn’s depositary units or other assets. While we are confident in our investment strategy and ability to continue to grow our investment portfolio through a refocused activist strategy, and in the effectiveness of our hedges, which are designed to avoid fluctuations in the value of our portfolio, successful execution of our activist investment activities and other aspects of our business involves many risks (including those set forth herein), some of which are out of our control.</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Mr. Icahn may sell depositary units or make withdrawals from the Investment Funds in order to satisfy payment obligations under the Loan Agreement. Mr. Icahn has made withdrawals from the Investment Funds in recent months, and may make additional withdrawals in the future, in order to repay a portion of his loans and for other purposes. In the event Mr. Icahn makes withdrawal requests from the Investment Funds, the Investment Funds may satisfy such withdrawal requests with cash or cash equivalents on hand, proceeds from sales of assets held by the Investment Funds or capital contributions from the Company, which could adversely affect the value of the assets held by the Investment Funds as well as the liquidity available to the Company.</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affirmative vote of unitholders holding more than 75% of the total number of all depositary units then outstanding, including depositary units held by Icahn Enterprises GP and its affiliates, is required to remove Icahn Enterprises GP as the general partner of Icahn Enterprises. Mr. Icahn, through affiliates, holds approximately 86% of Icahn Enterprises’ outstanding depositary units. If sales of depositary units held by Mr. Icahn and his affiliates, as a result of a margin call, foreclosure, changes in tax laws, changes to his estate, or otherwise, were to cause Mr. Icahn and his affiliates to no longer hold at least 25% of the outstanding depositary units, Icahn Enterprises GP could potentially be removed as the general partner of Icahn Enterprises without Mr. Icahn’s consent.</w:t>
      </w:r>
    </w:p>
    <w:p>
      <w:pPr>
        <w:pStyle w:val="TextBody"/>
        <w:shd w:fill="FFFFFF" w:val="clear"/>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Sales of a substantial number of depositary units held by Mr. Icahn and his affiliates could have a negative impact on the market price of our depositary units. Likewise, the market may anticipate sales by Mr. Icahn or his estate even if Mr. Icahn or his estate is not selling, or has no plans to sell, depositary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engaged, and in the future may engage, in transactions with our affiliates.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invested and may in the future invest in entities in which Mr. Icahn also invests. We also have purchased and may in the future purchase entities or investments from him or his affiliates. Although Icahn Enterprises GP has never received fees in connection with our investments, our partnership agreement allows for the payment of these fees. Mr. Icahn may pursue other business opportunities in industries in which we compete and there is no requirement that any additional business opportunities be presented to us. We continuously identify, evaluate and engage in discussions concerning potential investments and acquisitions, including potential investments in and acquisitions of affiliates of Mr. Icahn. There cannot be any assurance that any potential transactions that we consider will be completed.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We are subject to the risk of becoming an investment company. </w:t>
      </w:r>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we are a holding company and a significant portion of our assets may, from time to time, consist of investments in companies in which we own less than a 50% interest, we run the risk of inadvertently becoming an investment company that is required to register under the Investment Company Act. 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we are unsuccessful, then we will be required to register as a registered investment company and will be subject to extensive, restrictive and potentially adverse regulations relating to, among other things, operating methods, management, capital structure, dividends and transactions with affiliates. Registered investment companies are not permitted to operate their business in the manner in which we currently operate our business, nor are registered investment companies permitted to have many of the relationships that we have with our affiliated companies. In addition, if we become required to register under the Investment Company Act, it is likely that we would be treated as a corporation for U.S. federal income tax purposes and would be subject to the tax consequences described below under the caption, “We may become taxable as a corporation if we are no longer treated as a partnership for U.S. federal income tax purposes.”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If it were established that we were an investment company and did not register as an investment company when required to do so, there would be a risk, among other material adverse consequences, that we could become subject to monetary penalties or injunctive relief, or both, in an action brought by the SEC, that we would be unable to enforce contracts with third parties or that third parties could seek to obtain rescission of transactions with us undertaken during the period it was established that we were an unregistered investment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structure transactions in a less advantageous manner to avoid becoming subject to the Investment Company 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order not to become an investment company required to register under the Investment Company Act, we monitor the value of our investments and structure transactions with an eye toward the Investment Company Act. As a result, we may structure transactions in a less advantageous manner than if we did not have Investment Company Act concerns, or we may avoid otherwise economically desirable transactions due to those concerns.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become taxable as a corporation if we are no longer treated as a partnership for U.S. federal income tax purposes.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believe that we have been and are properly treated as a partnership for U.S. federal income tax purposes. This allows us to pass through our income and deductions to our partners. However, the Internal Revenue Service (“IRS”) could challenge our partnership status and we could fail to qualify as a partnership for past years as well as future years. Qualification as a partnership involves the application of highly technical and complex provisions of the Internal Revenue Code, as amended. For example, a publicly traded partnership is generally taxable as a corporation unless 90% or more of its gross income is “qualifying” income, which includes interest, dividends, oil and gas revenues and certain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income from minerals, natural resources and specified energy resources, real property rents, gains from the sale or other disposition of real property, gain from the sale or other disposition of capital assets held for the production of interest or dividends, and certain other items. We believe that in all prior years of our existence at least 90% of our gross income was “qualifying” income and we intend to structure our business in a manner such that at least 90% of our gross income will constitute “qualifying” income this year and in the future. However, there can be no assurance that such structuring will be effective in all events to avoid the receipt of more than 10% of non-qualifying income. We have repurchased certain of our outstanding senior notes, and the board of directors has approved the repurchase by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of up to an additional $500 million of our outstanding senior notes, and if such debt is repurchased at a discount, we may recognize cancellation of indebtedness (“COD”) income, which, in some circumstances, may not be considered “qualifying” income. If less than 90% of our gross income constitutes “qualifying” income, we may be subject to corporate tax on our net income plus possible state taxes. Further, if less than 90% of our gross income constituted “qualifying” income for past years, we may be subject to corporate level tax plus interest and possibly penalties. In addition, if we become required to register under the Investment Company Act, it is likely that we would be treated as a corporation for U.S. federal income tax purposes. The cost of paying federal and possibly state income tax, either for past years or going forward could be a significant liability and would reduce our funds available to make distributions to holders of units, and to make interest and principal payments on our debt securities. To meet the “qualifying” income test, we may structure transactions in a manner which is less advantageous than if this were not a consideration, or we may avoid otherwise economically desirable transactions.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negatively impacted by the potential for changes in tax laws.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 strategy considers various tax related impacts. Past or future legislative proposals have been or may be introduced that, if enacted, could have a material and adverse effect on us. For example, past proposals have included taxing publicly traded partnerships, such as us, as corporations and introducing substantive changes to the definition of “qualifying” income, which could make it more difficult or impossible for us to meet the exception that allows publicly traded partnerships generating “qualifying” income to be treated as partnerships (rather than corporations) for U.S. federal income tax purposes. If certain proposals were enacted, Mr. Icahn or his estate could become subject to additional U.S. federal income tax. The imposition of such additional tax, or the potential for such additional tax to be implemented, may result in Mr. Icahn or his estate selling our depositary units. Further, the market may anticipate sales by Mr. Icahn or his estate even if Mr. Icahn or his estate is not selling, or has no plans to sell, our depositary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July 4, 2025, the One Big Beautiful Bill Act (“OBBBA”) was enacted in the United States. The OBBBA includes significant provisions, such as the permanent extension of certain expiring provisions of the Tax Cuts and Jobs Act, modifications to the international tax framework,</w:t>
      </w:r>
      <w:r>
        <w:rPr>
          <w:rFonts w:ascii="Times New Roman;Times;serif" w:hAnsi="Times New Roman;Times;serif"/>
          <w:sz w:val="20"/>
          <w:shd w:fill="FFFFFF" w:val="clear"/>
        </w:rPr>
        <w:t xml:space="preserve"> </w:t>
      </w:r>
      <w:r>
        <w:rPr>
          <w:rFonts w:ascii="Times New Roman;Times;serif" w:hAnsi="Times New Roman;Times;serif"/>
          <w:sz w:val="20"/>
        </w:rPr>
        <w:t xml:space="preserve">and the restoration of tax treatment for certain business provisions. As regulations in respect of OBBBA develop in the future, we will continue to assess the impact on us.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Organization for Economic Cooperation and Development (“OECD”) has published “Pillar Two” model rules, which adopt a 15% global corporate minimum tax for multinational enterprises with average revenues in excess of €750 million. Countries may implement the OECD Pillar Two model rules as issued, in a modified form or not at all. A number of countries have passed legislation enacting certain parts of the OECD’s Pillar Two model rules effective as of January 1, 2024 and January 1, 2025. OECD Pillar Two could have a material impact on our effective tax rate and result in higher cash tax liabilities depending on which countries enact minimum tax legislation and in what manner. We are continuing to evaluate the Pillar Two model rules and related developments and their potential impact on future periods, including the side-by-side safe harbor package for U.S.-based multinationals released by the OECD/G20 Inclusive Framework in January 2026, which offers a streamlined compliance pathway for large multinational enterprises.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Holders of depositary units may be required to pay tax on their share of our income even if they did not receive cash distributions from 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we are treated as a partnership for income tax purposes, unitholders generally are required to pay U.S. federal income tax, and, in some cases, state or local income tax, on the portion of our taxable income allocated to them, whether or not such income is distributed. Accordingly, it is possible that holders of depositary units may not receive cash distributions from us equal to their share of our taxable income, or even equal to their tax liability on the portion of our income allocated to them.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Tax gain or loss on the disposition of our depositary units could be more or less than expected.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If our unitholders sell their units, they will recognize a gain or loss equal to the difference between the amount realized and their tax basis in those units. Any distributions to our unitholders that were in excess of the total net taxable income our unitholders were allocated for a unit will decrease their tax basis in that unit. As a result of the reduced basis, a unitholder will recognize a greater amount of income if the unit is later sold for an amount greater than such unit’s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basis. A portion of the amount realized, whether or not representing gain, may be ordinary income to the selling unitholder due to potential recapture items. In addition, because the amount realized includes a unitholder’s share of our nonrecourse liabilities, a unitholder who sells units may incur a tax liability in excess of the amount of cash received from the sale.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Tax-exempt entities may recognize unrelated business taxable income they receive from holding our units, and may face other unique issues specific to their U.S. federal income tax classification.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 in units by tax-exempt entities, such as individual retirement accounts (known as IRAs), pension plans, and non-U.S. persons raises issues unique to them. For example, some portion of our income allocated to organizations exempt from U.S. federal income tax, particularly income arising from our debt-financed transactions, will likely be unrelated business taxable income and will be taxable to them.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Non-U.S. persons may be subject to withholding regimes and U.S. federal income tax on certain income they may earn from holding or disposing of our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Distributions to non-U.S. persons will be reduced by withholding taxes at the highest applicable effective tax rate, and non-U.S. persons will be required to file U.S. federal income tax returns and pay tax on their share of our taxable income. Withholding taxes may also apply to proceeds received from a sale, exchange or other disposition of our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liable for any underwithholding by nominees on our distributions or on transfers of our units made after January 1,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distributions made after January 1, 2023, a publicly traded partnership must post on its primary public website (and keep accessible for ten years), and deliver to any registered holder that is a nominee, a qualified notice that states the amount of a distribution that is attributable to each type of income group specified in the final regulations published by the IRS on November 30, 2020. If the qualified notice is incorrect such that it causes a broker to underwithhold with respect to an amount in excess of cumulative net income, the publicly traded partnership is liable for any underwithholding on such amount.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transfers, including a sale, exchange or other disposition of units, that occur on or after January 1, 2023, a publicly traded partnership may be liable for any underwithholding by a broker that relies on a qualified notice for which the publicly traded partnership failed to make a reasonable estimate of the amounts required for determining the applicability of the “10 percent exception.” The “10 percent exception” applies if, either (1) the publicly traded partnership was not engaged in a U.S. trade or business during a specified time period, or (2) upon a hypothetical sale of the publicly traded partnership’s assets at fair market value, (i) the amount of net gain that would have been effectively connected with the conduct of a U.S. trade or business would be less than 10% of the total net gain, or (ii) no gain would have been effectively connected with the conduct of a U.S. trade or business.</w:t>
      </w:r>
    </w:p>
    <w:p>
      <w:pPr>
        <w:pStyle w:val="TextBody"/>
        <w:bidi w:val="0"/>
        <w:spacing w:before="0" w:after="240"/>
        <w:ind w:left="0" w:right="0" w:hanging="0"/>
        <w:jc w:val="left"/>
        <w:rPr>
          <w:rFonts w:ascii="Times New Roman;Times;serif" w:hAnsi="Times New Roman;Times;serif"/>
          <w:b/>
          <w:i/>
          <w:sz w:val="20"/>
        </w:rPr>
      </w:pPr>
      <w:bookmarkStart w:id="48" w:name="_Hlk191297293"/>
      <w:bookmarkEnd w:id="48"/>
      <w:r>
        <w:rPr>
          <w:rFonts w:ascii="Times New Roman;Times;serif" w:hAnsi="Times New Roman;Times;serif"/>
          <w:b/>
          <w:i/>
          <w:sz w:val="20"/>
        </w:rPr>
        <w:t>Our unitholders likely will be subject to state and local taxes and return filing or withholding requirements in states in which they do not live as a result of investing in our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U.S. federal income taxes, our unitholders will likely be subject to other taxes, such as state and local income taxes, unincorporated business taxes and estate, inheritance, or intangible taxes that are imposed by the various jurisdictions in which we do business or own property. Our unitholders may be required to file state and local income tax returns and pay state and local income taxes in certain of these various jurisdictions. Further, our unitholders may be subject to penalties for failure to comply with those requirements. We own property and conduct business in Florida, Massachusetts, Nevada and New York. It is each unitholder’s responsibility to file all federal, state and local tax returns. Our counsel has not rendered an opinion on the state and local tax consequences of an investment in our units.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prorate our items of income, gain, loss and deduction between transferors and transferees of our units based upon the ownership of our units at the close of business on the last day of each month, instead of on the basis of the date a particular unit is transferred. The IRS may challenge this treatment, which could change the allocation of items of income, gain, loss and deduction among our unitholders.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prorate our items of income, gain, loss and deduction between transferors and transferees of our units based upon the ownership of our units on the first business day of each month, instead of on the basis of the date a particular unit is transferred. The U.S. Treasury Department adopted final Treasury regulations that provide that publicly traded partnerships may use a similar monthly simplifying convention to allocate tax items among transferor and transferee unitholders. Nonetheless, the final regulations do not specifically authorize the use of the proration method we have adopted. If the IRS were to challenge this method, we may be required to change the allocation of items of income, gain, loss and deduction among our unitholders.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unitholder whose units are loaned to a “short seller” to cover a short sale of units may be considered as having disposed of those units. If so, such unitholder would no longer be treated for U.S. federal income tax purposes as a partner with respect to those units during the period of the loan and may recognize gain or loss from the disposition.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a unitholder whose units are loaned to a “short seller” to cover a short sale of units may be considered as having disposed of the loaned units, he or she may no longer be treated for U.S. federal income tax purposes as a partner with respect to those units during the period of the loan to the short seller and the unitholder may recognize gain or loss from such disposition. Moreover, during the period of the loan to the short seller, any of our income, gain, loss or deduction with respect to those units may not be reportable by the unitholder and any cash distributions received by the unitholder as to those units could be fully taxable as ordinary income. Our counsel has not rendered an opinion regarding the treatment of a unitholder where units are loaned to a short seller to cover a short sale of units; therefore, unitholders desiring to assure their status as partners and avoid the risk of gain recognition from a loan to a short seller are urged to modify any applicable brokerage account agreements to prohibit their brokers from borrowing their units.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the IRS makes audit adjustments to our income tax returns for tax years beginning after 2017, it (and some states) may collect any resulting taxes (including any applicable penalties and interest) directly from us, in which case our cash available to service debt or pay distributions to our unitholders, if and when resumed, could be substantially reduced.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respect to tax years beginning after December 31, 2017, if the IRS makes audit adjustments to our income tax returns, it (and some states) may assess and collect any resulting taxes (including any applicable penalties and interest) resulting from such audit adjustment directly from us. Generally, we will have the option to seek to collect tax liability from our unitholders in accordance with their percentage interests during the year under audit, but there can be no assurance that we will elect to do so or be able to do so under all circumstances. If we do not collect such tax liability from our unitholders in accordance with their percentage interests in the tax year under audit, our net income and the available cash for quarterly distributions to current unitholders may be substantially reduced. Accordingly, our current unitholders may bear some or all of the tax liability resulting from such audit adjustment, even if such unitholders did not own units during the tax year under audit. In particular, as a publicly traded partnership, our Partnership Representative (as defined below) may, in certain instances, request that any “imputed underpayment” resulting from an audit be adjusted by amounts of certain of our passive losses. If we successfully make such a request, we would have to reduce suspended passive loss carryovers in a manner which is binding on the partners.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required to and have designated a partner, or other person, with a substantial presence in the United States as the partnership representative (“Partnership Representative”). The Partnership Representative will have the sole authority to act on our behalf for purposes of, among other things, U.S. federal income tax audits and judicial review of administrative adjustments by the IRS. Any actions taken by us or by the Partnership Representative on our behalf with respect to, among other things, U.S. federal income tax audits and judicial review of administrative adjustments by the IRS, will be binding on us and our unitholders.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the pension liabilities of our affiliates.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Icahn, through certain affiliates, owns 100% of Icahn Enterprises GP and approximately 86% of Icahn Enterprises’ outstanding depositary units as of December 31, 2025.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prior to their termination, of ACF Industries LLC (“ACF”), as further described below). All the minimum funding requirements of the Internal Revenue Code, as amended, and the Employee Retirement Income Security Act of 1974, as amended, for the Viskase plans have been met as of December 31, 2025. If the plans were voluntarily terminated, the Viskase plan would be underfunded by approximately $19 million as of December 31, 2025.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to make ongoing pension contributions or to pay the unfunded liabilities upon a termination of the Viskase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current underfunded status of the pension plans of Viskase requires them to notify the PBGC of certain “reportable events,” such as if we cease to be a member of the Viskase controlled group, or if we make certain extraordinary dividends or stock redemptions. The obligation to report could cause us to seek to delay or reconsider the occurrence of such reportable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Starfire Holding Corporation (“Starfire”), which is 99.6% owned by Mr. Icahn as of December 31, 2025,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With respect to the ACF pension plans, on January 31, 2025, the Executive Committee of ACF approved a resolution to terminate its qualified pension plans, which were frozen and no longer accrued benefits. As of December 31, 2024, the fair value of this plan’s assets exceeded its benefit obligations. The termination of the plan was effective January 31, 2025 and liquidation of the plan is expected to be completed in 2026 or early 2027. </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limited partnership and a “controlled company” within the meaning of the Nasdaq rules and as such are exempt from certain corporate governance requirements.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are a limited partnership and “controlled company” pursuant to Rule 5615(c) of the Nasdaq listing rules. As such we have elected, and intend to continue to elect, not to comply with certain corporate governance requirements of the Nasdaq listing rules, including the requirements that a majority of the board of directors consist of independent directors and that independent directors determine the compensation of executive officers and the selection of nominees to the board of directors. We do not maintain a compensation or nominating committee and do not have a majority of independent directors. Accordingly, while we remain a controlled company and during any transition period following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time when we are no longer a controlled company, the Nasdaq listing rules do not provide the same corporate governance protections applicable to stockholders of companies that are subject to all of the Nasdaq listing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Certain members of our management team may be involved in other business activities that may involve conflicts of interest.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individual members of our management team may, from time to time, be involved in the management of other businesses, including those owned or controlled by Mr. Icahn and his affiliates. Accordingly, these individuals may focus a portion of their time and attention on managing these other businesses. Conflicts may arise in the future between our interests and the interests of the other entities and business activities in which such individuals are involved.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Holders of Icahn Enterprises’ depositary units have limited voting rights, including rights to participate in our management.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general partner manages and operates Icahn Enterprises. Unlike the holders of common stock in a corporation, holders of Icahn Enterprises’ outstanding depositary units have only limited voting rights on matters affecting our business. Holders of depositary units have no right to elect the general partner on an annual or other continuing basis, and our general partner generally may not be removed except pursuant to the vote of the holders of not less than 75% of the outstanding depositary units. In addition, removal of the general partner may result in a default under the indentures governing our senior notes. As a result, holders of our depositary units have limited say in matters affecting our operations and others may find it difficult to attempt to gain control or influence our activities.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Holders of Icahn Enterprises’ depositary units may not have limited liability in certain circumstances and may be personally liable for the return of distributions that cause our liabilities to exceed our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businesses through Icahn Enterprises Holdings in several states. Maintenance of limited liability will require compliance with legal requirements of those states. We are the sole limited partner of Icahn Enterprises Holdings. Limitations on the liability of a limited partner for the obligations of a limited partnership have not clearly been established in several states. If it were determined that Icahn Enterprises Holdings has been conducting business in any state without compliance with the applicable limited partnership statute or the possession or exercise of the right by the partnership, as limited partner of Icahn Enterprises Holdings, to remove its general partner, to approve certain amendments to the Icahn Enterprises Holdings partnership agreement or to take other action pursuant to the Icahn Enterprises Holdings partnership agreement, constituted “control” of Icahn Enterprises Holdings’ business for the purposes of the statutes of any relevant state, Icahn Enterprises and/or its unitholders, under certain circumstances, might be held personally liable for Icahn Enterprises Holdings’ obligations to the same extent as our general partner. Further, under the laws of certain states, Icahn Enterprises might be liable for the amount of distributions made to Icahn Enterprises by Icahn Enterprises Holdings.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Holders of Icahn Enterprises’ depositary units may also be required to repay Icahn Enterprises amounts wrongfully distributed to them. Under Delaware law, we may not make a distribution to holders of our depositary units if the distribution causes our liabilities to exceed the fair value of our assets. Liabilities to partners on account of their partnership interests and nonrecourse liabilities are not counted for purposes of 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under Delaware law an assignee who becomes a substituted limited partner of a limited partnership is liable for the obligations, if any, of the assignor to make contributions to the partnership. However, such an assignee is not obligated for liabilities unknown to him or her at the time he or she became a limited partner if the liabilities could not be determined from the partnership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Since we are a limited partnership, you may not be able to pursue legal claims against us in U.S. federal courts.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limited partnership organized under the laws of the state of Delaware. Under the federal rules of civil procedure, you may not be able to sue us in federal court on claims other than those based solely on federal law, because of lack of complete diversity. Case law applying diversity jurisdiction deems us to have the citizenship of each of our limited partners. Because we are a publicly traded limited partnership, it may not be possible for you to sue us in a federal court because we have citizenship in all 50 U.S. states and operations in many states. Accordingly, you will be limited to bringing any claims in state court.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become subject to, and may in the future be subject to, short selling strategies driving down the market price of our depositary units and increasing the volatility of the trading market for our depositary units, as well as regulatory investigations and litigation.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2, 2023, a firm published a report making allegations about the Company in an attempt to drive down the market price of our depositary units, and the price of our depositary units declined significantly after the publication of this report, has continued to trade at lower prices than before the report, and the market for our depositary units has been highly volatile since the publication of the report.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securities to decline, many short sellers (sometimes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have allowed many disclosed shorts to publicly attack a company’s credibility, strategy and veracity by means of so-called “research reports” that mimic the type of investment analysis performed by large Wall Street firms and independent research analysts. These short attacks have, in the past, led to selling of securities in the market. Further, these short seller publications are not regulated by any governmental, self-regulatory organization or other official authority in the U.S. and they are not subject to certification requirements imposed by the SEC. Companies that are subject to unfavorable allegations, even if untrue, may have to expend a significant amount of resources to investigate such allegations and/or defend themselves, including securityholder suits against the company that may be prompted by such allegations, and we have already expended significant resources and management time in response to the short seller report. As further described below, as a result of the short seller report, we have become the subject of suits and government inquiries prompted by the allegations made by the short seller, and future short seller reports could prompt additional lawsuits or investigations.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received previously, and may receive in the future securities class action lawsuits, derivative complaints, or inquiries from the SEC, the U.S. Attorney’s office, or other regulators. Such actions and investigations could result in administrative orders against us, the imposition of penalties and/or fines against us, damages awards against us, and/or the imposition of sanctions against certain of the Company’s current or former officers, directors and/or employees. Resolution of these types of matters can be prolonged and costly, and the ultimate results or judgments are uncertain due to the inherent uncertainty in the outcomes of litigation and other proceedings.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Relating to Liquidity and Capital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holding company and depend on the businesses of our subsidiaries to satisfy our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holding company. In addition to cash and cash equivalents, U.S. government and agency obligations, marketable equity and debt securities and other short-term investments, our assets consist primarily of investments in our subsidiaries. Moreover, if we make significant investments in new operating businesses, it is likely that we will reduce our liquid assets in order to fund those investments and the ongoing operations of our subsidiaries. Consequently, our cash flow and our ability to meet our debt service obligations and make distributions with respect to depositary units likely will depend on the cash flow of our subsidiaries and the payment of funds to us by our subsidiaries in the form of dividends, distributions, loans or otherwise.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operating results of our subsidiaries may not be sufficient to make distributions to us. In addition, our subsidiaries are not obligated to make funds available to us and distributions and intercompany transfers from our subsidiaries to us may be restricted by applicable law or covenants contained in debt agreements and other agreements to which these subsidiaries may be subject or enter into in the future.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terms of certain borrowing agreements of our subsidiaries, or other entities in which we own equity, may restrict dividends, distributions or loans to us. To the degree any distributions and transfers are impaired or prohibited, our ability to make payments on our debt and to make distributions on our depositary units will be limited.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 service our indebtedness, we will require a significant amount of cash. Our ability to maintain our current cash position or generate cash depends on many factors beyond our control.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ability to make payments on and to refinance our indebtedness, and to fund operations will depend on existing cash balances and our ability to generate cash in the future. This, to a certain extent, is subject to general economic, financial, competitive, regulatory and other factors that are beyond our control. Our current businesses and businesses that we acquire may not generate sufficient cash to service our outstanding indebtedness. In addition, we may not generate sufficient cash flow from operations or investments and future borrowings may not be available to us in an amount sufficient to enable us to service our outstanding indebtedness or to fund our other liquidity needs. We may need to refinance all or a portion of our outstanding indebtedness on or before maturity. We cannot assure you that we will be able to refinance any of our outstanding indebtedness on commercially reasonable terms or at all.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notes include a maintenance covenant that requires us to maintain a specified ratio of unencumbered assets compared to our total outstanding principal amount of unsecured indebtedness. However, all of our notes are secured and, as a result, are excluded from the calculation of the ratio test under these maintenance covenants, and we do not have a material amount of unsecured indebtedness. As a result, we and our subsidiaries have substantially more capacity under these maintenance covenants to incur additional unsecured indebtedness than we would if our notes were unsecured (but subject to the other covenants in the indentures governing our senior notes that restrict our ability and that of the guarantor of the notes, as well as the ability of our non-guarantor subsidiaries, to incur incremental indebtedness).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failure to comply with the covenants contained under any of our debt instruments, including the indentures governing our senior notes (including our failure to comply as a result of events beyond our control), could result in an event of default or a foreclosure upon the collateral securing the notes that would materially and adversely affect our financial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failure to comply with the covenants under any of our debt instruments, including our indentures governing our senior notes (including our failure to comply as a result of events beyond our control, including the change in the fair value of our investment in the Investment Funds) may trigger a default or event of default under such instruments, and the collateral agent for the noteholders may proceed against the collateral securing the notes. In addition, any event of default or declaration of acceleration under one debt instrument could result in an event of default and declaration of acceleration under one or more of our other debt instruments. It is possible that, if the defaulted debt is accelerated, our assets and cash flow may not be sufficient to fully repay borrowings under our outstanding debt instruments and we cannot assure you that we would be able to refinance or restructure the payments on those debt securities, or avoid a foreclosure against the assets securing the notes.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have sufficient funds necessary to finance a change of control offer that may be required by the indentures governing our senior notes.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Mr. Icahn, through affiliates, as of December 31, 2025, owned 100% of Icahn Enterprises GP and approximately 86% of our outstanding depositary units. If Mr. Icahn were to sell, or otherwise transfer, some or all of his interests in us to an unrelated party or group, as a result of a merger, foreclosure, changes in tax laws, changes to his estate, or otherwise, a change of control could be deemed to have occurred under the terms of the indentures governing our senior notes, which would require us to offer to repurchase all outstanding senior notes at 101% of their principal amount plus accrued and unpaid interest, special interest, if any, and liquidated damages, if any, to the date of repurchase. However,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it is possible that we will not have sufficient funds at the time of the change of control to make the required repurchase of notes.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made significant investments in the Investment Funds and negative performance of the Investment Funds may result in a significant decline in the value of our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we had investments in the Investment Funds with a fair market value of approximately $2.7 billion, which may be accessed on short notice to satisfy our liquidity needs. However, if the Investment Funds experience negative performance, the value of these investments will be negatively impacted, which could have a material adverse effect on our operating results, cash flows and financial position.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Future cash distributions to Icahn Enterprises’ unitholders, if any, can be affected by numerous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we made cash distributions to Icahn Enterprises’ unitholders in each of the four quarters of 2025, the payment of future distributions will be determined by the board of directors of Icahn Enterprises GP, our general partner, quarterly, based on a review of a number of factors, including those described below and other factors that it deems relevant at the time that declaration of a distribution is considered.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ability to pay distributions will depend on numerous factors, including the availability of adequate cash flow from operations; the proceeds, if any, from divestitures; our capital requirements and other obligations; restrictions contained in our financing arrangements, including the indentures governing our senior notes; and our issuances of additional equity and debt securities. As of December 31, 2025, Mr. Icahn and his affiliates owned approximately 86% of our outstanding depositary units, and he has generally elected to take his quarterly distribution in units instead of cash. For the quarterly distribution paid in December of 2025, Mr. Icahn elected to take his distributions in a mix of cash and units, and we anticipate that Mr. Icahn will elect to take his distributions in a mix of cash and units with respect to future distributions, which could further reduce the ability of the Company to maintain its current or historical cash distribution amounts. The availability of cash flow in the future depends as well upon events and circumstances outside our control, including prevailing economic and industry conditions and financial, business and similar factors. No assurance can be given that we will be able to make distributions or as to the timing of any distribution. Even if distributions are made, there can be no assurance that holders of depositary units will not be required to recognize taxable income in excess of cash distributions made in respect of the period in which a distribution is made.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Relating to Our Investment Segment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investments may be subject to significant uncertainties.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investments may not be successful for many reasons, including, but not limited to:</w:t>
      </w:r>
    </w:p>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of or sustained increases in interest rates;</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control in minority investments;</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worsening of general economic and market conditions;</w:t>
            </w:r>
          </w:p>
        </w:tc>
      </w:tr>
    </w:tbl>
    <w:tbl>
      <w:tblPr>
        <w:tblW w:w="2376" w:type="dxa"/>
        <w:jc w:val="left"/>
        <w:tblInd w:w="0" w:type="dxa"/>
        <w:tblLayout w:type="fixed"/>
        <w:tblCellMar>
          <w:top w:w="28" w:type="dxa"/>
          <w:left w:w="28" w:type="dxa"/>
          <w:bottom w:w="28" w:type="dxa"/>
          <w:right w:w="28" w:type="dxa"/>
        </w:tblCellMar>
      </w:tblPr>
      <w:tblGrid>
        <w:gridCol w:w="124"/>
        <w:gridCol w:w="256"/>
        <w:gridCol w:w="1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diversification;</w:t>
            </w:r>
          </w:p>
        </w:tc>
      </w:tr>
    </w:tbl>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success of the Investment Funds’ activist strategies;</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tariffs or other impacts on global trade;</w:t>
            </w:r>
          </w:p>
        </w:tc>
      </w:tr>
    </w:tbl>
    <w:tbl>
      <w:tblPr>
        <w:tblW w:w="2466" w:type="dxa"/>
        <w:jc w:val="left"/>
        <w:tblInd w:w="0" w:type="dxa"/>
        <w:tblLayout w:type="fixed"/>
        <w:tblCellMar>
          <w:top w:w="28" w:type="dxa"/>
          <w:left w:w="28" w:type="dxa"/>
          <w:bottom w:w="28" w:type="dxa"/>
          <w:right w:w="28" w:type="dxa"/>
        </w:tblCellMar>
      </w:tblPr>
      <w:tblGrid>
        <w:gridCol w:w="124"/>
        <w:gridCol w:w="25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inflationary conditions;</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of U.S. dollar exchange rates; and</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legal and regulatory developments that may affect particular businesses.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historical financial information for the Investment Funds is not necessarily indicative of its future performance.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Investment segment’s financial information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affiliates and by Brett Icahn, son of Mr. Icahn.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Additionally, future returns may be affected by additional risks, including risks of the industries and businesses in which a particular fund invests. </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Investment segment’s revenue depends on the investments made by the Investment Funds. There are numerous and significant risks associated with these investments, certain of which are described in this risk factor and in other risk factors set forth herein and in our other filings with the SEC.</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Certain investment positions held by the Investment Funds may be illiquid. The Investment Funds may own restricted or non-publicly traded securities and securities traded on foreign exchanges. We may also have significant influence with respect to certain companies owned by the Investment Funds, including representation on the board of directors of certain companies, and may be subject to trading restrictions with respect to specific positions in the Investment Funds at any particular time. These investments and trading restrictions could prevent the Investment Funds from liquidating unfavorable positions promptly and subject the Investment Funds to substantial losses.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At any given time, the Investment Funds’ assets may become highly concentrated within a particular company, industry, asset category, trading style or financial or economic market, and the level of concentration can be increased through the use of swaps or other derivative instruments. In that event, the Investment Funds’ investment portfolio will be more susceptible to fluctuations in value resulting from adverse events, developments or economic conditions affecting the performance of that particular company, industry, asset category, trading style or economic market than a less concentrated portfolio would be. As a result, the Investment Funds’ investment portfolio’s aggregate returns may be volatile and may be affected substantially by the performance of only one or a few holdings. </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Typically, our top holdings in the Investment Funds represent a significant percentage of our assets under management for the Investment Segment. Therefore, a significant decline in the fair market values of our larger positions may have a material adverse impact on our consolidated financial position, results of operations or cash flows and the trading price of our depositary units. Certain of the companies in our Investment Funds file annual, quarterly and current reports with the SEC, which are publicly available, and contain additional risk factors with respect to such companies.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Investment Funds seek to invest in securities that are undervalued. The identification of investment opportunities in undervalued securities is challenging, and there are no assurances that such opportunities will be successfully recognized or acquired. While investments in undervalued securities offer the opportunity for above-average capital appreciation, these investments involve a high degree of financial risk and can result in substantial losses. Returns generated from the Investment Funds’ investments may not adequately compensate for the business and financial risks assumed.</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From time to time, the Investment Funds may invest in bonds or other fixed income securities, such as commercial paper and higher yielding (and, therefore, higher risk) debt securities. It is likely that a major economic recession could severely disrupt the market for such securities and may have a material adverse impact on the value of such securities. In addition, it is likely that any such economic downturn could adversely affect the ability of the issuers of such securities to repay principal and pay interest thereon and increase the incidence of default for such securities.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reasons not necessarily attributable to any of the risks set forth in this Report (e.g., supply/demand imbalances or other market forces), the prices of the securities in which the Investment Funds invest may decline substantially. In particular, purchasing assets at what may appear to be undervalued levels is no guarantee that these assets will not be trading at even more undervalued or otherwise lower levels at a future time of valuation or at the time of sale.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prices of financial instruments in which the Investment Funds may invest can be highly volatile. Price movements of forward and other derivative contracts in which the Investment Funds’ assets may be invested are influenced by, among other things, interest rates, changing supply and demand relationships, trade, fiscal, tariffs, monetary and exchange control programs and policies of governments, and national and international political and economic events and policies. Pursuant to the terms of our swap and other derivative agreements, certain events, including a voluntary or involuntary bankruptcy filing involving the company issuing the securities referenced by such agreements or a delisting of such referenced securities, could give our derivative counterparties termination rights that would result in the closing of our swap positions and the realization of any and all losses, even if the referenced securities are not extinguished and thereafter appreciate in value. The Investment Funds are subject to the risk of failure of any of the exchanges on which their positions trade or of their clearinghouses.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identify suitable investments, and our investments may not result in favorable returns or may result in losses.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partnership agreement allows us to take advantage of investment opportunities we believe exist outside of our operating businesses. The equity securities in which we may invest may include common stock, preferred stock and securities convertible into common stock, as well as warrants to purchase these securities. The debt securities in which we may invest may include bonds, debentures, notes or non-rated mortgage-related securities, municipal obligations, bank debt and mezzanine loans. Certain of these securities may include lower rated or non-rated securities, which may provide the potential for higher yields and therefore may entail higher risk and may include the securities of bankrupt or distressed companies. In addition, we have and may continue to engage in various investment techniques, including derivatives, options and futures transactions, foreign currency transactions, “short” sales and leveraging for either hedging or other purposes. We have reduced our market short positions in recent months, but may increase those positions in the future. We may concentrate our activities by owning significant or controlling interests in certain investments. We may not be successful in finding suitable opportunities to invest our cash and our strategy of investing in undervalued assets may expose us to numerous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Successful execution of our activist investment activities involves many risks, certain of which are outside of our control.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success of our investment strategy may require, among other things: (i) that we properly identify companies whose securities prices can be improved through corporate and/or strategic action or successful restructuring of their operations; (ii) that we acquire sufficient securities of such companies at a sufficiently attractive price; (iii) that we avoid triggering anti-takeover and regulatory obstacles while aggregating our positions; (iv) that management of portfolio companies and other security holders respond positively to our proposals; and (v) that the market price of portfolio companies’ securities increases in response to any actions taken by the portfolio companies. We cannot assure you that any of the foregoing will succeed.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success of the Investment Funds depends upon the ability of our Investment segment to successfully develop and implement investment strategies that achieve the Investment Funds’ objectives. Subjective decisions made by employees of our Investment segment may cause the Investment Funds to incur losses or to miss profit opportunities on which the Investment Funds would otherwise have capitalized. In addition, in the event that Mr. Icahn ceases to participate in the management of the Investment Funds, the consequences to the Investment Funds and our interest in them could be material and adverse and could lead to the premature termination of the Investment Funds.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Investment Funds make investments in companies we do not control.</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Investments by the Investment Funds include investments in debt or equity securities of publicly traded companies that we do not control. Such investments may be acquired by the Investment Funds through open market trading activities or through purchases of securities from the issuer. These investments will be subject to the risk that the company in which the investment is made may make business, financial or management decisions with which our Investment segment disagree or that the majority of stakeholders or the management of the company may take risks or otherwise act in a manner that does not serve the best interests of the Investment Funds. In addition, the Investment Funds may make investments in which it shares control over the investment with co-investors, which may make it more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difficult for it to implement its investment approach or exit the investment when it otherwise would. If any of the foregoing were to occur, the values of the investments by the Investment Funds could decrease and our Investment segment revenues could suffer as a result.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use of leverage in investments by the Investment Funds may pose a significant degree of risk and may enhance the possibility of significant loss in the value of the investments in the Investment Funds.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Investment Funds may leverage their capital if their general partners believe that the use of leverage may enable the Investment Funds to achieve a higher rate of return. Accordingly, the Investment Funds may pledge their securities in order to borrow additional funds for investment purposes. The Investment Funds may also leverage their investment return with options, short sales, swaps, forwards and other derivative instruments. The amount of borrowings that the Investment Funds may have outstanding at any time may be substantial in relation to their capital. While leverage may present opportunities for increasing the Investment Funds’ total return, leverage may increase losses as well. Accordingly, any event that adversely affects the value of an investment by the Investment Funds would be magnified to the extent such fund is leveraged, and the value of derivatives or other instruments used to provide leverage may not always be correlated to the value of the reference equity security, which could lead to increased losses in circumstances when the value of the reference security remains higher than that of the derivative. The cumulative effect of the use of leverage by the Investment Funds in a market that moves adversely to the Investment Funds’ investments could result in a substantial loss to the Investment Funds that would be greater than if the Investment Funds were not leveraged. There is no assurance that leverage will be available on acceptable terms, if at all. </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general, the use of short-term margin borrowings results in certain additional risks to the Investment Funds. For example, should the securities pledged to brokers to secure any Investment Fund’s margin accounts decline in value, the Investment Funds could be subject to a “margin call,” pursuant to which it must either deposit additional funds or securities with the broker, or suffer mandatory liquidation of the pledged securities to compensate for the decline in value. In the event of a sudden drop in the value of any of the Investment Funds’ assets, the Investment Funds might not be able to liquidate assets quickly enough to satisfy its margin requirements.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Investment Funds may enter into repurchase and reverse repurchase agreements. When the Investment Fund enters into a repurchase agreement, it “sells” securities issued by the U.S. or a non-U.S. government, or agencies thereof, to a broker-dealer or financial institution, and agrees to repurchase such securities for the price paid by the broker-dealer or financial institution, plus interest at a negotiated rate. In a reverse repurchase transaction, the Investment Fund “buys” securities issued by the U.S. or a non-U.S. government, or agencies thereof, from a broker-dealer or financial institution, subject to the obligation of the broker-dealer or financial institution to repurchase such securities at the price paid by the Investment Funds, plus interest at a negotiated rate. The use of repurchase and reverse repurchase agreements by any of the Investment Funds involves certain risks. For example, if the seller of securities to the Investment Funds under a reverse repurchase agreement defaults on its obligation to repurchase the underlying securities, as a result of its bankruptcy or otherwise, the Investment Funds will seek to dispose of such securities, which action could involve costs or delays. If the seller becomes insolvent and subject to liquidation or reorganization under applicable bankruptcy or other laws, the Investment Funds’ ability to dispose of the underlying securities may be restricted. Finally, if a seller defaults on its obligation to repurchase securities under a reverse repurchase agreement, the Investment Funds may suffer a loss to the extent it is forced to liquidate its position in the market, and proceeds from the sale of the underlying securities are less than the repurchase price agreed to by the defaulting seller.</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financing used by the Investment Funds to leverage its portfolio will be extended by securities brokers and dealers in the marketplace in which the Investment Funds invest. While the Investment Funds will attempt to negotiate the terms of these financing arrangements with such brokers and dealers, its ability to do so will be limited. The Investment Funds are therefore subject to changes in the value that the broker-dealer ascribes to a given security or position, the amount of margin required to support such security or position, the borrowing rate to finance such security or position and/or such broker-dealer’s willingness to continue to provide any such credit to the Investment Funds. Because the Investment Funds currently have no alternative credit facility which could be used to finance its portfolio in the absence of financing from broker-dealers, it could be forced to liquidate its portfolio on short notice to meet its financing obligations. The forced liquidation of all or a portion of the Investment Funds’ portfolios at distressed prices could result in significant losses to the Investment Funds.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possibility of increased regulation could result in additional burdens on our Investment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Dodd-Frank Wall Street Reform and Consumer Protection Act (the “Reform Act”), enacted into law in July 2010, resulted in regulations affecting almost every part of the financial services industry.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regulatory environment in which our Investment segment operates is subject to further regulation in addition to the rules already promulgated, including the Reform Act. Our Investment segment may be adversely affected by the enactment of new or revised regulations, or changes in the interpretation or enforcement of rules and regulations imposed by the SEC, other U.S. or foreign governmental regulatory authorities or self-regulatory organizations that supervise the financial markets. The new U.S. presidential administration has different regulatory priorities than the prior administration, which could lead to changes to the regulations impacting our business or the enforcement priorities of the agencies charged with enforcing those regulations. Such changes may limit the scope of investment activities that may be undertaken by the Investment Funds’ managers. Any such changes could increase the cost of our Investment segment doing business and/or materially adversely impact its profitability. Additionally, the securities and futures markets are subject to comprehensive statutes, regulations and margin requirements. The SEC, other regulators and self-regulatory organizations and exchanges have taken and are authorized to take extraordinary actions in the event of market emergencies. The regulation of derivatives transactions and funds that engage in such transactions is an evolving area of law and is subject to modification by government and judicial action. The effect of any future regulatory change on the Investment Funds and the Investment segment could be substantial and adverse.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ability to hedge investments successfully is subject to numerous risks.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utilize financial instruments, both for investment purposes and for risk management purposes in order to (i) protect against possible changes in the market value of the Investment Funds’ investment portfolios resulting from fluctuations in the securities markets and changes in interest rates; (ii) protect the Investment Funds’ unrealized gains in the value of its investment portfolios; (iii) facilitate the sale of any such investments; (iv) enhance or preserve returns, spreads or gains on any investment in the Investment Funds’ portfolio; (v) hedge the interest rate or currency exchange rate on any of the Investment Funds’ liabilities or assets; (vi) protect against any increase in the price of any securities our Investment segment anticipates purchasing at a later date; or (vii) for any other reason that our Investment segment deems appropriate.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success of any hedging activities will depend, in part, upon the degree of correlation between the performance of the instruments used in the hedging strategy and the performance of the portfolio investments being hedged. However, hedging techniques may not always be possible or effective in limiting potential risks of loss. Since the characteristics of many securities change as markets change or time passes, the success of our Investment segment’s hedging strategy will also be subject to the ability of our Investment segment to continually recalculate, readjust and execute hedges in an efficient and timely manner. While the Investment Funds may enter into hedging transactions to seek to reduce risk, such transactions may result in a poorer overall performance for the Investment Funds than if it had not engaged in such hedging transactions. For a variety of reasons, the Investment Funds may not seek to establish a perfect correlation between the hedging instruments utilized and the portfolio holdings being hedged. Such an imperfect correlation may prevent the Investment Funds from achieving the intended hedge or expose the Investment Funds to risk of loss. The Investment Funds do not intend to seek to hedge every position and may determine not to hedge against a particular risk for various reasons, including, but not limited to, because they do not foresee the occurrence of the risk or because they do not regard the probability of the risk occurring to be sufficiently high as to justify the cost of the hedge.</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Investment Funds invest in distressed securities, as well as bank loans, asset backed securities and mortgage-backed securities.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Investment Funds may invest in securities of U.S. and non-U.S. issuers in weak financial condition, experiencing poor operating results, having substantial capital needs or negative net worth, facing special competitive or product obsolescence problems, or that are involved in bankruptcy or reorganization proceedings. Investments of this type may involve substantial financial, legal and business risks that can result in substantial, or at times even total, losses. The market prices of such securities are subject to abrupt and erratic market movements and above-average price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volatility. It may take a number of years for the market price of such securities to reflect their intrinsic value. In liquidation (both in and out of bankruptcy) and other forms of corporate insolvency and reorganization, there exists the risk that the reorganization either will be unsuccessful (due to, for example, failure to obtain requisite approvals), will be delayed (for example, until various liabilities, actual or contingent, have been satisfied) or will result in a distribution of cash, assets or a new security the value of which will be less than the purchase price to the Investment Funds of the security in respect to which such distribution was made and the terms of which may render such security illiquid.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Investment Funds may invest in companies that are based outside of the United States, which may expose the Investment Funds to additional risks not typically associated with investing in companies that are based in the United States.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Investments in securities of non-U.S. issuers (including non-U.S. governments) and securities denominated or whose prices are quoted in non-U.S. currencies pose, to the extent not successfully hedged, currency exchange risks (including blockage, devaluation and non-exchangeability), as well as a range of other potential risks, which could include expropriation, confiscatory taxation, imposition of withholding or other taxes on dividends, interest, capital gains or other income, political or social instability, illiquidity, price volatility and market manipulation. In addition, less information may be available regarding securities of non-U.S. issuers, and non-U.S. issuers may not be subject to accounting, auditing and financial reporting standards and requirements comparable to, or as uniform as, those of U.S. issuers. Transaction costs of investing in non-U.S. securities markets are generally higher than in the United States. There is generally less government supervision and regulation of exchanges, brokers and issuers than there is in the United States. The Investment Funds may have greater difficulty taking appropriate legal action in non-U.S. courts. Non-U.S. markets also have different clearance and settlement procedures which in some markets have at times failed to keep pace with the volume of transactions, thereby creating substantial delays and settlement failures that could adversely affect the Investment Funds’ performance. Investments in non-U.S. markets may result in imposition of non-U.S. taxes or withholding on income and gains recognized with respect to such securities. There can be no assurance that adverse developments with respect to such risks will not materially adversely affect the Investment Funds’ investments that are held in certain countries or the returns from these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Investment Funds’ investments are subject to numerous additional risks including those described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there are few limitations set forth in the governing documents of the Investment Funds on the execution of their investment activities, which are subject to the sole discretion of our Investment segment.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may buy or sell (or write) both call options and put options, and when it writes options, it may do so on a covered or an uncovered basis. When the Investment Funds sell (or write) an option, the risk can be substantially greater than when it buys an option. The seller of an uncovered call option bears the risk of an increase in the market price of the underlying security above the exercise price. The risk is theoretically unlimited unless the option is covered. Swaps and certain options and other custom instruments are subject to the risk of non-performance by the swap counterparty, including risks relating to the creditworthiness of the swap counterparty, market risk, liquidity risk and operations risk.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may engage in short-selling, which is subject to a theoretically unlimited risk of loss because there is no limit on how much the price of a security may appreciate before the short position is closed out. The Investment Funds may be subject to losses if a security lender demands return of the borrowed securities and an alternative lending source cannot be found or if the Investment Funds are otherwise unable to borrow securities that are necessary to hedge its positions. There can be no assurance that the Investment Funds will be able to maintain the ability to borrow securities sold short. There also can be no assurance that the securities necessary to cover a short position will be available for purchase at or near prices quoted in the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Investment Funds to execute a short selling strategy may be materially adversely impacted by temporary and/or new permanent rules, interpretations, prohibitions and restrictions adopted in response to adverse market events. Regulatory authorities may from time-to-time impose restrictions that adversely affect the Investment Funds’ ability to borrow certain securities in connection with short sale transactions. In addition, traditional lenders of securities might be less likely to lend securities under certain market conditions. As a result, the Investment Funds may not be able to effectively pursue a short selling strategy due to a limited supply of securities available for borrowing.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may effect transactions through over-the-counter or inter-dealer markets. The participants in such markets are typically not subject to credit evaluation and regulatory oversight as are members of exchange-based markets. This exposes the Investment Funds to the risk that a counterparty will not settle a transaction in accordance with its terms and conditions because of a dispute over the terms of the contract (whether or not bona fide) or because of a credit or liquidity problem, thus causing the Investment Fund to suffer a loss. Such “counterparty risk” is accentuated for contracts with longer maturities where events may intervene to prevent settlement, or where the Investment Funds have concentrated their transactions with a single or small group of their counterparties. The Investment Funds are not restricted from dealing with any particular counterparty or from concentrating any or all of the Investment Funds’ transactions with one counterparty.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may arise through a default by one of several large institutions that are dependent on one another to meet their liquidity or operational needs, so that a default by one institution causes a series of defaults by other institutions. This systemic risk may materially adversely affect the financial intermediaries (such as prime brokers, clearing agencies, clearing houses, banks, securities firms and exchanges) with which the Investment Funds interact on a daily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of investment and trading strategies depends largely on the ability to establish and maintain an overall market position in a combination of financial instruments. The Investment Funds’ trading orders may not be executed in a timely and efficient manner due to various circumstances, including systems failures or human error. In such event, the Investment Funds might only be able to acquire some but not all of the components of the position, or if the overall positions were to need adjustment, the Investment Funds might not be able to make such adjustment. As a result, the Investment Funds may not be able to achieve the market position selected by our Investment segment and might incur a loss in liquidating their position.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assets may be held in one or more accounts maintained for the Investment Fund by its prime brokers or at other brokers or custodian banks, which may be located in various jurisdictions. The prime broker, other brokers (including those acting as sub-custodians)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local brokers, custodian banks or clearing corporations may result in the loss of all or a substantial portion of the Investment Funds’ assets or in a significant delay in the Investment Funds having access to those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Funds may invest in synthetic instruments with various counterparties. In the event of the insolvency of any counterparty, the Investment Funds’ recourse will be limited to the collateral, if any, posted by the counterparty and, in the absence of collateral, the Investment Funds will be treated as a general creditor of the counterparty. While the Investment Funds expect that returns on a synthetic financial instrument may reflect those of each related reference security, as a result of the terms of the synthetic financial instrument and the assumption of the credit risk of the counterparty, a synthetic financial instrument may have a different expected return. The Investment Funds may also invest in credit default swaps.</w:t>
            </w:r>
          </w:p>
        </w:tc>
      </w:tr>
    </w:tbl>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Relating to our Consolidated Operating Subsidiaries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regulations and regulatory actions can adversely affect our operating results and our ability to allocate capital.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recent years, regulatory authorities have increased their regulation and scrutiny of businesses partially in response to financial markets crises, global economic recessions, and social and environmental issues. These initiatives may impact our operating subsidiaries, particularly those within our Energy segment. Changes in regulation and regulatory actions, or the enforcement priorities of the government authorities charged with enforcing those regulations, may increase our compliance costs and may require changes to how our operating subsidiaries conduct their businesses. Any regulatory changes could have a significant negative impact on our financial condition, results of operations or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operating subsidiaries operate businesses which are subject to the risk of operational disruptions, damage to property, injury to persons or environmental and legal liability. Our operating subsidiaries could incur potentially significant costs to the extent there are unforeseen events which are not fully insured.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operating subsidiaries, particularly within our Energy segment, may become subject to catastrophic loss, which may cause operations to shut down or become significantly impaired. Our operating subsidiaries may also be subject to liability for hazards for which they cannot be insured, which could exceed policy limits or against which they may elect not to be insured due to high premium costs. Examples of such risks include but are not limited to industrial accidents, environmental hazards, power outages, equipment failures, structural failures, flooding, unusual or unexpected geological conditions and extreme weather conditions, among others. Such risks have become even more heightened in recent years as a result of the effects of climate change. These events may damage or destroy properties, production facilities, transport facilities and equipment, as well as lead to personal injury or death, environmental damage, including natural resource damage, waste from intermediary products or resources, production or transportation delays and monetary losses or legal liability. Such damages are not limited to our operations or our employees and could significantly impact the surrounding areas. Operations at our subsidiaries could be curtailed, limited or completely shut down for an extended period of time, or indefinitely, as a result of one or more unforeseen events and circumstances, which may or may not be within our control, and which may not be adequately insured. Any one of these events and circumstances could have a material adverse impact on our operations, financial condition and cash flows.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laws and regulations could require our operating subsidiaries to make substantial capital expenditures to remain in compliance or to remediate current or future contamination that could give rise to material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Several of our subsidiaries are subject to a variety of federal, state and local environmental laws and regulations relating to the protection of the environment, including those governing the emission, release, discharge, use, generation, treatment, storage, transportation, disposal, investigation and remediation of hazardous or toxic substances, materials or wastes, solid wastes, petroleum, pollutants or contaminants into the environment, and product specifications and labeling. Violations of these laws and regulations or environmental permit conditions can result in substantial costs, including for penalties, cleanup, injunctive orders compelling installation of additional controls, and civil and criminal sanctions, as well as permit revocations and/or facility shutdowns.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new environmental laws and regulations, new interpretations of existing laws and regulations, increased governmental enforcement of laws and regulations or other developments could require our businesses to make additional unforeseen expenditures. Measures to address climate change and reduce greenhouse gases (“GHGs”) could affect our operations by requiring increased operating and capital costs, limiting GHG emissions and/or increasing taxes on GHG emissions. In addition, on the state level, in October 2023, California enacted the Climate Corporate Data Accountability Act and the Climate-Related Financial Risk Act that is being challenged in court but if the state prevails would impose broad climate-related disclosure obligations on certain companies doing business in California, starting in 2026. Other states, like New York, have started to take steps to promulgate similar climate-related disclosure laws. There is also increased regulatory interest in per- and polyfluoroalkyl substances (“PFAS”). In April 2024,, the U.S. Environmental Protection Agency (“EPA”) finalized a rule designating two PFAS compounds as hazardous substances under CERCLA, which became effective on July 8, 2024, though it remains subject to challenge in the D.C. Circuit Court of Appeals by several industry groups. The outcome of that litigation is uncertain and could affect the scope or implementation of the rule. In addition, on February 8, 2024, EPA had proposed to amend RCRA to include nine PFAS, their salts and their structural isomers to its list of hazardous constituents. That proposal has not yet been finalized. As a result of the CERCLA designation, and if additional PFAS compounds are designated as hazardous substances under CERCLA or are listed as hazardous constituents or otherwise become regulated under RCRA, EPA may have expanded the authority to order the investigation and remediation of those compounds, and to reopen closed sites which are shown to be impacted by these PFAS compounds, which could result in increased monitoring obligations and potential related liabilities. If we are subject to those additional requirements and need to incur additional cost in connection therewith, if we are unable to maintain sales of our products at a price that reflects such increased costs, or if there is a reduced demand for our products, there could be a material adverse effect on our business, financial condition and results of operations. Many of these climate change and environmental laws and regulations are becoming increasingly stringent, and new or revised laws and regulations or new interpretations of existing laws and regulations, such as those related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climate change and GHG emissions, could affect the operation of our properties or result in significant additional expense and restrictions on our business operations, including as a result of the cost of compliance with these requirements, which can be expected to increase over time. The requirements to be met, as well as the technology and length of time available to meet those requirements, continue to develop and change. These expenditures or costs for environmental compliance could have a material adverse effect on our operating subsidiaries’ results of operations, financial condition and profitability. Certain of our subsidiaries’ facilities operate under a number of federal and state environmental permits, licenses and approvals with terms and conditions containing a significant number of prescriptive limits and performance standards in order to operate. These environmental permits, licenses, approvals, limits and standards require a significant amount of monitoring, record keeping and reporting in order to demonstrate compliance with the underlying permit, license, approval, limit or standard. Non-compliance or incomplete documentation of our subsidiaries’ compliance status may result in the imposition of fines, penalties and injunctive relief. Additionally, there may be times when certain of our subsidiaries are unable to meet the standards and terms and conditions of our environmental permits, licenses and approvals due to operational upsets or malfunctions, which may lead to the imposition of fines and penalties or operating restrictions that may have a material adverse effect on their ability to operate their facilities and accordingly on our consolidated financial position, results of operations or cash flows. Refer to Note 19, “Commitments and Contingencies,” to the consolidated financial statements for additional discussion of environmental matters affecting our businesses.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Energy segment’s businesses are, and commodity prices are, cyclical and highly volatile, which could have a material adverse effect on our results of operations, financial condition and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Energy segment’s petroleum business’ financial results are primarily affected by the margin between refined product prices and the prices for crude oil and other feedstocks. Historically, refining margins have been volatile and vary by region, and are expected to continue to be volatile in the future. The petroleum business’ cost to acquire feedstocks and the price at which it can ultimately sell refined products depend upon several factors beyond its control, including regional and global supply of and demand for crude oil, gasoline, diesel and other feedstocks and refined products. These in turn depend on, among other things, the availability and quantity of imports, the production levels of U.S. and international suppliers, levels of refined petroleum product inventories, productivity and growth (or the lack thereof) of U.S. and global economies, U.S. relationships with foreign governments, political affairs and the extent of governmental regulation. Profitability of some of the products, like renewable diesel, are also dependent upon government subsidiaries including carbon and tax credits, which may be reduced or eliminated.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CVR Energy does not produce crude oil and must purchase all of the crude oil it refines long before it refines it and sells the refined products. Price level changes during the period between purchasing feedstocks and selling the refined products from these feedstocks could have a significant effect on our Energy segment’s financial results and a decline in market prices of these feedstocks and refined products may negatively impact the carrying value of its inventories.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Profitability is also impacted by the ability to purchase crude oil at a discount to benchmark crude oils, such as West Texas Intermediate (“WTI”). Crude oil differentials can fluctuate significantly based upon overall economic and crude oil market conditions. Adverse changes in crude oil differentials can adversely impact refining margins, earnings and cash flows. In addition, the petroleum business’ purchases of crude oil, although based on WTI prices, have historically been at a discount to WTI because of the proximity of the refineries to the sources, existing logistics infrastructure and quality differences. Any changes to these factors could result in a reduction of the petroleum business’ historical discount to WTI and may result in a reduction of our Energy segment’s cost advantage.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Volatile prices for natural gas and electricity affect the petroleum business’ manufacturing and operating costs. Natural gas and electricity prices have been, and will continue to be, affected by supply and demand for fuel and utility services in both local and regional markets.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Compliance with the U.S. Environmental Protection Agency Renewable Fuel Standard, with respect to our Energy segment, could have a material adverse effect on our financial condition and results of operations.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EPA promulgated the Renewable Fuel Standards (“RFS”), which requires refiners to either blend “renewable fuels,” such as ethanol and biofuel, into their transportation fuels or purchase renewable fuel credits, known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renewable identification numbers (“RINs”), in lieu of blending. Under the RFS, the volume of renewable fuels that refineries like Coffeyville and Wynnewood are obligated to blend into their finished petroleum products is adjusted annually by the EPA. The petroleum business is not able to blend the substantial majority of its transportation fuels, so it has to purchase RINs on the open market as well as waiver credits for cellulosic biofuels from the EPA, or receive exemptions in order to comply with the RFS. The price of RINs became extremely volatile when the EPA’s proposed renewable fuel volume mandates approached and exceeded the “blend wall.” The blend wall refers to the point at which the amount of ethanol blended into the transportation fuel supply exceeds the demand for transportation fuel containing such levels of ethanol. The blend wall is generally considered to be reached when more than 10% ethanol by volume (“E10”) is blended into gasoline transportation fuel.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Recent regulatory developments, including EPA’s rescission of the GHG endangerment finding under the Clean Air Act and related actions affecting EPA’s authority to regulate GHG emissions, have introduced additional uncertainty regarding the scope of EPA’s authority and the manner in which it administers programs that rely in part on lifecycle GHG analyses, including the RFS. Although the RFS program remains in effect as a statutory mandate, changes in EPA’s interpretation of its authority, judicial decisions addressing EPA’s GHG regulatory authority, or future legislative or regulatory actions could affect the manner in which renewable volume obligations are established, fuel pathways are evaluated, or other aspects of the RFS are implemented. We cannot predict the ultimate outcome or the impact of these developments on our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petroleum business cannot predict the future prices of RINs. The price of RINs has been extremely volatile in the past.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the refineries and downstream terminals, all of which can vary significantly from period to period. However, the costs to obtain the necessary number of RINs and waiver credits fluctuates and could be material, if the price for RINs and waiver credits increases. Additionally, because the petroleum business does not produce renewable fuels, increasing the volume of renewable fuels that must be blended into its products displaces an increasing volume of the refineries’ product pool, potentially resulting in lower earnings and materially adversely affecting the petroleum business’ cash flows. If the demand for the petroleum business’ transportation fuel decreases as a result of the use of increasing volumes of renewable fuels, increased fuel economy as a result of new EPA fuel economy standards, or other factors, the impact on our Energy segment’s business could be material. If sufficient RINs are unavailable for purchase, if the petroleum business has to pay a significantly higher price for RINs or if the petroleum business is otherwise unable to meet the EPA’s RFS mandates, or if the RFS program is modified, curtailed or subject to further regulatory or judicial changes, our Energy segment’s business, financial condition and results of operations could be materially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Commodity derivative contracts, particularly with respect to our Energy segment, may limit our potential gains, exacerbate potential losses and involve other risks.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Energy segment’s petroleum business may enter into both short- and long-term commodity derivatives contracts to mitigate crack spread with respect to a portion of its expected refined products production. However, its hedging arrangements, if it is able to procure them, may fail to fully achieve this objective for a variety of reasons, including its failure to have adequate hedging contracts, if any, in effect at any particular time and the failure of its hedging arrangements to produce the anticipated results. Moreover, such transactions may limit its ability to benefit from favorable changes in margins. In addition, the petroleum business’ hedging activities may expose it to the risk of financial loss in certain circumstances, including instances in which:</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volumes of its actual use of crude oil or production of the applicable refined products is less than the volumes subject to the hedging arrangement;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accidents, interruptions in transportation, inclement weather or other events cause unscheduled shutdowns or otherwise adversely affect its refinery or suppliers or customers;</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counterparties to its futures contracts fail to perform under the contracts; or</w:t>
            </w:r>
          </w:p>
        </w:tc>
      </w:tr>
    </w:tbl>
    <w:tbl>
      <w:tblPr>
        <w:tblW w:w="9816" w:type="dxa"/>
        <w:jc w:val="left"/>
        <w:tblInd w:w="0" w:type="dxa"/>
        <w:tblLayout w:type="fixed"/>
        <w:tblCellMar>
          <w:top w:w="28" w:type="dxa"/>
          <w:left w:w="28" w:type="dxa"/>
          <w:bottom w:w="28" w:type="dxa"/>
          <w:right w:w="28" w:type="dxa"/>
        </w:tblCellMar>
      </w:tblPr>
      <w:tblGrid>
        <w:gridCol w:w="124"/>
        <w:gridCol w:w="256"/>
        <w:gridCol w:w="9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sudden, unexpected event materially impacts the commodity or crack spread subject to the hedging arrangement.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CVR Energy’s risk mitigation strategy and activities could have a material adverse impact on our Energy segment’s financial results and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subsidiaries’ competitors may be larger and have greater financial resources and operational capabilities than our subsidiaries do, which may require them or us to invest significant additional capital in order to effectively compete. Our investments, or our subsidiaries’ investments, may not achieve desired results and may become impaired.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operating subsidiaries face competitive pressures within markets in which they operate. We manage our subsidiaries with the objective of growing their value over time by, among other means, investing in and strengthening our subsidiaries’ competitive advantages. Many factors, including availability of financial resources, supply chain capabilities and local market changes, may limit our ability to strengthen our subsidiaries’ competitive advantages. In addition, competitors may be significantly larger than our subsidiaries are and may have greater financial resources and operational capabilities. Accordingly, our subsidiaries may require significant additional resources, which may not be available to them through internally generated cash flows, and a decline in these businesses could result in an impairment charge. With respect to our Automotive segment, we have invested significant resources in various initiatives to remain competitive and stimulate growth. Despite these efforts, in January 2023, Auto Plus filed the Chapter 11 Cases in Bankruptcy Court. As a result of this filing, the Company has determined that it no longer controls Auto Plus and has deconsolidated its investment in Auto Plus effective as of January 31, 2023 resulting in a non-cash charge of $246 million recorded in the year ended December 31, 2023 and determined that our remaining equity investment in Auto Plus is now worth $0. Such events have had and continue to have a negative impact on the results of operations and balance sheet of our Automotive segment. If we are unable to implement these initiatives efficiently and effectively, or if these initiatives are unsuccessful, our consolidated financial condition, results of operations and cash flows could be adversely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Certain of our subsidiaries have operations in foreign countries which expose them to risks related to economic and political conditions, currency fluctuations, import/export restrictions, regulatory and other risks.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of our subsidiaries are global businesses and have manufacturing and distribution facilities in many countries. International operations are subject to certain risks including:</w:t>
      </w:r>
    </w:p>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local economic conditions;</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local political conditions (including the risk of seizure of assets by foreign governments);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 fluctuations (including, but not limited to, material exchange rate fluctuations, such as devaluations) and currency controls;</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tariffs or changes in tariff policies, or changes to trade agreements;</w:t>
            </w:r>
          </w:p>
        </w:tc>
      </w:tr>
    </w:tbl>
    <w:tbl>
      <w:tblPr>
        <w:tblW w:w="2991" w:type="dxa"/>
        <w:jc w:val="left"/>
        <w:tblInd w:w="0" w:type="dxa"/>
        <w:tblLayout w:type="fixed"/>
        <w:tblCellMar>
          <w:top w:w="28" w:type="dxa"/>
          <w:left w:w="28" w:type="dxa"/>
          <w:bottom w:w="28" w:type="dxa"/>
          <w:right w:w="28" w:type="dxa"/>
        </w:tblCellMar>
      </w:tblPr>
      <w:tblGrid>
        <w:gridCol w:w="124"/>
        <w:gridCol w:w="25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 and import restrictions;</w:t>
            </w:r>
          </w:p>
        </w:tc>
      </w:tr>
    </w:tbl>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ability to repatriate foreign earnings;</w:t>
            </w:r>
          </w:p>
        </w:tc>
      </w:tr>
    </w:tbl>
    <w:tbl>
      <w:tblPr>
        <w:tblW w:w="1896" w:type="dxa"/>
        <w:jc w:val="left"/>
        <w:tblInd w:w="0" w:type="dxa"/>
        <w:tblLayout w:type="fixed"/>
        <w:tblCellMar>
          <w:top w:w="28" w:type="dxa"/>
          <w:left w:w="28" w:type="dxa"/>
          <w:bottom w:w="28" w:type="dxa"/>
          <w:right w:w="28" w:type="dxa"/>
        </w:tblCellMar>
      </w:tblPr>
      <w:tblGrid>
        <w:gridCol w:w="124"/>
        <w:gridCol w:w="256"/>
        <w:gridCol w:w="1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unrest;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U.S. laws such as the Foreign Corrupt Practices Act, and local laws prohibiting inappropriate payments.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likelihood of such occurrences and their potential effect on our businesses are unpredictable and vary from country-to-country.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of changes to U.S. trade policy, there may be changes to existing trade agreements, the imposition of new tariffs and greater restrictions on trade generally. A protracted and wide-ranging trade conflict between the United States and its trading partners, including China, Canada and Mexico, or the imposition of tariffs or other trade protection measures, could adversely affect global economic growth.</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Certain of our businesses’ operating entities report their financial condition and results of operations in currencies other than the U.S. Dollar. The reported results of these entities are translated into U.S. Dollars at the applicable exchange rates for reporting in our consolidated financial statements. As a result, fluctuations in the U.S. Dollar against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foreign currencies will affect the value at which the results of these entities are included within our consolidated results. Our businesses are exposed to a risk of loss from changes in foreign exchange rates whenever they, or one of their foreign subsidiaries, enters into a purchase or sales agreement in a currency other than its functional currency. Such changes in exchange rates could affect our businesses’ financial condition or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Certain of our businesses have substantial indebtedness, which could restrict their business activities and/or could subject them to significant interest rate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subsidiaries’ inability to generate sufficient cash flow to satisfy their debt obligations, or to refinance their debt obligations on commercially reasonable terms, would have a material adverse effect on their businesses, financial condition, and results of operations. In addition, covenants in debt instruments could limit their ability to engage in certain transactions and pursue their business strategies, which could adversely affect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subsidiaries’ indebtedness could: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their ability to borrow money for working capital, capital expenditures, debt service requirements or other corporate purposes, guarantee additional debt or issue redeemable, convertible or preferred equity;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their ability to make distributions or prepay their debt, incur liens, enter into agreements that restrict distributions from restricted subsidiaries, sell or otherwise dispose of assets (including capital stock of subsidiaries), enter into transactions with affiliates and merge, consolidate or sell substantially all of their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them to dedicate a substantial portion of their cash flow to payments on indebtedness, which would reduce the amount of cash flow available to fund working capital, capital expenditures, product development, and other corporate requirements;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their vulnerability to general adverse economic and industry conditions; and</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their ability to respond to business opportunities.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January of 2023, Auto Plus filed a voluntary Chapter 11 petition in Bankruptcy Court, pursuant to which it sold substantially all of its assets and has and will continue to use the proceeds to satisfy its obligations to creditors.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of our subsidiaries’ indebtedness accrue interest at variable rates. To the extent market interest rates rise, the cost of their debt would increase, adversely affecting their financial condition, results of operations and cash flows.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A significant labor dispute involving any of our businesses or one or more of their customers or suppliers or that could otherwise affect our operations could adversely affect our financial performance.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substantial number of our operating subsidiaries’ employees and the employees of its largest customers and suppliers are represented by labor unions under collective bargaining agreements. There can be no assurances that future negotiations with the unions will be resolved favorably or that our subsidiaries will not experience a work stoppage or disruption that could adversely affect its financial condition, operating results and cash flows. A labor dispute involving any of our businesses, particularly within our Energy segment, any of its customers or suppliers or any other suppliers to its customers or that otherwise affects our subsidiaries’ operations, or the inability by it, any of its customers or suppliers or any other suppliers to its customers to negotiate, upon the expiration of a labor agreement, an extension of such agreement or a new agreement on satisfactory terms could adversely affect our financial condition, operating results and cash flows. In addition, if any of our subsidiaries’ significant customers experience a material work stoppage, the customer may halt or limit the purchase of its products. This could require certain businesses to shut down or significantly reduce production at facilities relating to such products, which could adversely affect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of our businesses are subject to the effects of the following:</w:t>
      </w:r>
    </w:p>
    <w:tbl>
      <w:tblPr>
        <w:tblW w:w="2871" w:type="dxa"/>
        <w:jc w:val="left"/>
        <w:tblInd w:w="0" w:type="dxa"/>
        <w:tblLayout w:type="fixed"/>
        <w:tblCellMar>
          <w:top w:w="28" w:type="dxa"/>
          <w:left w:w="28" w:type="dxa"/>
          <w:bottom w:w="28" w:type="dxa"/>
          <w:right w:w="28" w:type="dxa"/>
        </w:tblCellMar>
      </w:tblPr>
      <w:tblGrid>
        <w:gridCol w:w="124"/>
        <w:gridCol w:w="256"/>
        <w:gridCol w:w="2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threat of terrorism or war;</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epidemics or pandemics (or expectations about them);</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any of our or our subsidiaries’ key personnel;</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unavailability, as needed, of additional financing;</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sustained inflationary conditions;</w:t>
            </w:r>
          </w:p>
        </w:tc>
      </w:tr>
    </w:tbl>
    <w:tbl>
      <w:tblPr>
        <w:tblW w:w="3066" w:type="dxa"/>
        <w:jc w:val="left"/>
        <w:tblInd w:w="0" w:type="dxa"/>
        <w:tblLayout w:type="fixed"/>
        <w:tblCellMar>
          <w:top w:w="28" w:type="dxa"/>
          <w:left w:w="28" w:type="dxa"/>
          <w:bottom w:w="28" w:type="dxa"/>
          <w:right w:w="28" w:type="dxa"/>
        </w:tblCellMar>
      </w:tblPr>
      <w:tblGrid>
        <w:gridCol w:w="124"/>
        <w:gridCol w:w="256"/>
        <w:gridCol w:w="2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or volatile interest rates;</w:t>
            </w:r>
          </w:p>
        </w:tc>
      </w:tr>
    </w:tbl>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competition, varying by industry and geographic markets;</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unavailability of insurance at acceptable rates; and</w:t>
            </w:r>
          </w:p>
        </w:tc>
      </w:tr>
    </w:tbl>
    <w:tbl>
      <w:tblPr>
        <w:tblW w:w="9036" w:type="dxa"/>
        <w:jc w:val="left"/>
        <w:tblInd w:w="0" w:type="dxa"/>
        <w:tblLayout w:type="fixed"/>
        <w:tblCellMar>
          <w:top w:w="28" w:type="dxa"/>
          <w:left w:w="28" w:type="dxa"/>
          <w:bottom w:w="28" w:type="dxa"/>
          <w:right w:w="28" w:type="dxa"/>
        </w:tblCellMar>
      </w:tblPr>
      <w:tblGrid>
        <w:gridCol w:w="124"/>
        <w:gridCol w:w="256"/>
        <w:gridCol w:w="8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not in the ordinary course of business (see Item 3 of Part I, “Legal Proceedings,” of this Report).</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need qualified personnel to manage and operate our various businesses.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our decentralized business model, we need qualified and competent management to direct day-to-day business activities of our operating subsidiaries. Our operating subsidiaries also need qualified and competent personnel in executing their business plans and serving their customers, suppliers and other stakeholders. Changes in demographics, training requirements and the unavailability of qualified personnel could negatively impact one or more of our significant operating subsidiaries’ ability to meet demands of customers to supply goods and services. Recruiting and retaining qualified personnel is important to all of our operations. Although we have adequate personnel for the current business environment, unpredictable increases in demand for goods and services may exacerbate the risk of not having sufficient numbers of trained personnel, which could have a negative impact on our consolidated financial condition, results of operations or 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Future pandemics may have a material adverse impact on our and our subsidiaries’ operations and financial performance, as well as on the operations and financial performance of many of the customers and suppliers in our operating segments. We are unable to predict the extent to which future pandemics and related impacts will adversely impact our business operations, financial performance, results of operations, and financial position</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Future pandemics may also have the effect of heightening many of the other risks described in the risk factors set forth herein. In particular, see the risk factors: “We are a holding company and depend on the businesses of our subsidiaries to satisfy our obligations”; “To service our indebtedness, we will require a significant amount of cash. Our ability to maintain our current cash position or generate cash depends on many factors beyond our control”; “We have made significant investments in the Investment Funds and negative performance of the Investment Funds may result in a significant decline in the value of our investments”; “We need qualified personnel to manage and operate our various businesses”; “Global economic conditions may have adverse impacts on our businesses and financial condition”; and “Our Energy segment’s businesses are, and commodity prices are, cyclical and highly volatile, which could have a material adverse effect on our results of operations, financial condition and cash flows.”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extent to which any future pandemic may negatively impact our business and operations will depend on the severity, location, and duration of the effects and spread of such pandemic and the emergence of new variants, the actions undertaken by national, regional, and local governments and health officials to contain such virus or remedy its effects, and if, how quickly and to what extent economic conditions recover and normal business and operating conditions resume. Further, future pandemics may affect our operating and financial results in a manner that is not presently known to us or that we currently do not expect to present significant risks to our operations or financial results.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Global economic conditions may have adverse impacts on our businesses and financial condition.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Changes in economic conditions could adversely affect our financial condition and results of operations. A number of economic factors, including, but not limited to, consumer interest rates, tariffs and global trade policies, consumer confidence and debt levels, retail trends, housing starts, sales of existing homes, the level and availability of mortgage refinancing, and commodity prices, may generally adversely affect our businesses, financial condition and results of operations. Recessionary economic cycles, higher and protracted unemployment rates, increased fuel and other energy and commodity costs, rising costs of transportation and increased tax rates and general inflationary pressures can have a material adverse impact on our businesses, and may adversely affect demand for sales of our businesses’ products, or the costs of materials and services utilized in their operations, and the performance of our Investment Funds. The conflicts in Ukraine and the Middle East have exacerbated many of these issues, including leading to increased prices of gasoline and distillates as a result of the global increase in commodity prices, which for example, has impacted, and may continue to impact, the input costs for our Energy segment. These factors could have a material adverse effect on our revenues, income from operations and our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 increase in inflation could have adverse effects on our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Inflation has fluctuated in recent years and remains subject to volatility, due to a range of macroeconomic and geopolitical factors. An increase in inflation as a result of these or other factors could adversely affect our operating costs, pricing, consumer demand, purchasing power, and overall cost structure, and could have a material adverse effect on our consolidated financial condition, results of operations or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and our subsidiaries are subject to cybersecurity and other technological risks that could disrupt our information technology systems and adversely affect our financial performance.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Threats to information technology systems associated with cybersecurity and other technological risks and cyber incidents or attacks continue to grow. We and our subsidiaries depend on the accuracy, capacity and security of our information technology systems and those used by our third-party service providers. In addition, we and our subsidiaries collect, process and retain sensitive and confidential information in the normal course of business, including information about our employees, customers and other third parties. Despite the security measures we have in place and any additional measures we may implement in the future, our facilities, systems, and networks, and those of our third-party service providers, could be vulnerable to security breaches, computer viruses, lost or misplaced data, programming errors, human errors, employee misconduct, malicious attacks, acts of vandalism or other events. In addition, hardware, software or applications we develop or obtain from third parties may contain defects in design or manufacture or other problems that could result in security breaches or disruptions. Moreover, cyberattacks are expected to accelerate on a global basis in both frequency and magnitude as threat actors are becoming increasingly sophisticated in using techniques and tools (including artificial intelligence) that circumvent controls, evade detection and even remove forensic evidence of the infiltration. The United States government has warned of the potential risk of Russian cyberattacks stemming from the ongoing Russian/Ukraine conflict. These events or any other disruption or compromise of our or our third-party service providers’ information technology systems could negatively impact our business operations or result in the misappropriation, loss or other unauthorized disclosure of sensitive and confidential information. Such events could damage our reputation, expose us to the risks of litigation and liability, disrupt our business or otherwise affect our results of operations, any of which could adversely affect our financial performance. Refer to “Item 1C. Cybersecurity” in this Annual Report on Form 10-K.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Software implementation and upgrades at certain of our subsidiaries may result in complications that adversely impact the timeliness, accuracy and reliability of internal and external reporting.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operating subsidiaries are operated and managed on a decentralized basis and their software is not integrated with each other or with us. Certain of our subsidiaries are currently undergoing, or in the future may undergo, software implementation and/or upgrades. Software implementation and upgrades are complex, time consuming and require significant resources. Failure to properly implement or upgrade software, including failure to recruit/retain appropriate experts, train employees, implement processes and properly bridge to legacy software, among other things, may negatively impact our subsidiaries’ ability to properly operate their businesses and to report internally and externally,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including reporting to us. As a result, we may not adequately assess the performance of our subsidiaries, properly allocate resources or report timely and accurate financial results.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Investor and market sentiment towards climate change, fossil fuels, GHG emissions, environmental justice, and other Environmental, Social and Governance (“ESG”) matters could adversely affect our business and cost of capital.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efforts in recent years aimed at the investment community, including investment advisors, sovereign wealth funds, public pension funds, universities, and other groups, to promote the divestment of securities of companies in the energy industry, as well as to pressure lenders and other financial services companies to limit or curtail activities with companies in the energy industry. As a result, some financial intermediaries, investors, and other capital markets participants have reduced or ceased lending to, or investing in, companies that operate in industries with higher perceived environmental exposure, such as the energy industry, although in recent years “anti-ESG” sentiment has gained momentum, with several states and Congress having proposed or enacted “anti-ESG” policies, legislation, or initiatives, and investors and investor groups changing their ESG priorities. If we and our Energy segment are unable to meet the ESG standards or investment, lending, ratings, or other policies set by these parties as they continue to fluctuate or change, we may lose investors, investors may allocate a portion of their capital away from us, our cost of capital may increase, the price of our securities may be negatively impacted and our reputation may also be negatively affected.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or our subsidiaries may pursue acquisitions or other affiliations that involve inherent risks, any of which may cause us not to realize anticipated benefits, and we may have difficulty integrating the operations of any companies that may be acquired, which may adversely affect our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expand our existing businesses if appropriate opportunities are identified, as well as use our established businesses as a platform for additional acquisitions in the same or related areas. We and our operating subsidiaries have at times grown through acquisitions and may make additional acquisitions in the future as part of our business strategy. The full benefits of these acquisitions, however, require integration of manufacturing, administrative, financial, sales, and marketing approaches and personnel. We may invest significant resources towards realizing benefits. If we or our operating subsidiaries are unable to successfully integrate acquired businesses, we may not realize the benefits of the acquisitions, our financial results may be negatively affected, and additional cash may be required to integrate such operations. Additionally, any such acquisition, if consummated, could involve risks not presently faced by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existence of a material weakness in internal control over financial reporting of us or one of our consolidated subsidiaries or a recently acquired entity may adversely affect our ability to provide timely and reliable financial information necessary for the conduct of our business and satisfaction of our reporting obligations under the federal securities laws.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 the extent that any material weakness or significant deficiency exists in internal control over financial reporting of us or one of our consolidated subsidiaries or a recently acquired entity, such material weakness or significant deficiency may adversely affect our ability to provide timely and reliable financial information necessary for the conduct of our business and satisfaction of our reporting obligations under the federal securities laws, that could affect our ability to remain listed on Nasdaq. Ineffective internal and disclosure controls could cause investors to lose confidence in our reported financial information, which could have a negative effect on the trading price of our depositary units or the rating of our debt.</w:t>
      </w:r>
    </w:p>
    <w:p>
      <w:pPr>
        <w:pStyle w:val="TextBody"/>
        <w:bidi w:val="0"/>
        <w:spacing w:before="0" w:after="240"/>
        <w:ind w:left="0" w:right="0" w:hanging="0"/>
        <w:jc w:val="left"/>
        <w:rPr>
          <w:rFonts w:ascii="Times New Roman;Times;serif" w:hAnsi="Times New Roman;Times;serif"/>
          <w:b/>
          <w:sz w:val="20"/>
        </w:rPr>
      </w:pPr>
      <w:bookmarkStart w:id="49" w:name="Item1BUnresolvedStaffComments_887340"/>
      <w:bookmarkStart w:id="50" w:name="_6d549900_0a6f_47bf_bfe8_3d4e2cdc9529"/>
      <w:bookmarkEnd w:id="49"/>
      <w:bookmarkEnd w:id="50"/>
      <w:r>
        <w:rPr>
          <w:rFonts w:ascii="Times New Roman;Times;serif" w:hAnsi="Times New Roman;Times;serif"/>
          <w:b/>
          <w:sz w:val="20"/>
        </w:rPr>
        <w:t>Item 1B. Unresolved Staff Comments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51" w:name="Item1CCybersecurity_592601"/>
      <w:bookmarkStart w:id="52" w:name="_708ab66c_58ad_4a5c_a475_cf3f31ef5446"/>
      <w:bookmarkEnd w:id="51"/>
      <w:bookmarkEnd w:id="52"/>
      <w:r>
        <w:rPr>
          <w:rFonts w:ascii="Times New Roman;Times;serif" w:hAnsi="Times New Roman;Times;serif"/>
          <w:b/>
          <w:sz w:val="20"/>
        </w:rPr>
        <w:t>Item 1C. Cybersecurity</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Risk Management and Strategy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recognize the critical importance of maintaining the safety and security of our systems and data and have a holistic process for overseeing and managing cybersecurity and related risks. We and our subsidiaries depend on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accuracy, capacity, and security of our information technology systems and those used by our third-party service providers. To protect the confidentiality, integrity, and availability of our critical systems and information, we have developed and implemented a cybersecurity risk management program that includes a cybersecurity incident response plan. Our operating subsidiaries operate and manage on a decentralized basis, and their software is not integrated with each other or with us. Our cybersecurity risk management program covers our businesses and is crafted following frameworks established by the National Institute of Standards and Technology (NIST). While using these frameworks guides our approach to identifying, assessing, and managing cybersecurity risks relevant to our business, it does not imply compliance with any specific technical standards, specifications or requirements. The program is integrated</w:t>
      </w:r>
      <w:r>
        <w:rPr>
          <w:rFonts w:ascii="Times New Roman;Times;serif" w:hAnsi="Times New Roman;Times;serif"/>
          <w:sz w:val="24"/>
        </w:rPr>
        <w:t xml:space="preserve"> </w:t>
      </w:r>
      <w:r>
        <w:rPr>
          <w:rFonts w:ascii="Times New Roman;Times;serif" w:hAnsi="Times New Roman;Times;serif"/>
          <w:sz w:val="20"/>
        </w:rPr>
        <w:t>into our overall enterprise risk management program, and shares common methodologies, reporting channels and governance processes that apply across the enterprise risk management program to other legal, compliance, strategic, operational, and financial risk areas. In addition, our program emphasizes the maintenance of controls and procedures for the prompt escalation of certain cybersecurity incidents, conducting cybersecurity risk assessments, regularly assessing and deploying technical safeguards, establishing incident response and recovery plans, and mandating annual privacy and cybersecurity training for employees to enhance awareness and response to cybersecurity threats.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maintain that no identified risks from known cybersecurity threats, including as a result of any prior cybersecurity incidents, have materially affected or are reasonably likely to materially affect our operations, business strategy, results of operations, or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Governance</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Board of Directors of the General Partner, along with the Board’s Audit Committee, oversees the management of cybersecurity risks, receiving regular reports from management on the prevention, detection, mitigation, and remediation of cybersecurity incidents, as well as on material security risks and vulnerabilities. The Audit Committee is updated on cybersecurity risks, risk reduction initiatives, external auditor feedback, control maturity assessments, and relevant cybersecurity incidents within our industry. The Audit Committee reports to the full Board of Directors regarding its activities, including those related to cybersecurity. Board members receive presentations on cybersecurity topics from our Chief Information Officer (CIO), internal security staff or external experts as part of the Board of Directors’ continuing education on topics that impact public companies.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cybersecurity governance committee led by our management team and our CIO with 18 years of experience in cybersecurity and a CISSP certification, bears the primary responsibility for assessing and managing material cybersecurity risks. Regular meetings are held to review security performance metrics, identify security risks, assess the status of security enhancements, and make recommendations on security policies, procedures, service requirements, and risk mitigation strategies.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3" w:name="Item2Properties_65482"/>
      <w:bookmarkStart w:id="54" w:name="_cd6cee14_3567_4328_a720_823424b24ca3"/>
      <w:bookmarkEnd w:id="53"/>
      <w:bookmarkEnd w:id="54"/>
      <w:r>
        <w:rPr>
          <w:rFonts w:ascii="Times New Roman;Times;serif" w:hAnsi="Times New Roman;Times;serif"/>
          <w:b/>
          <w:sz w:val="20"/>
        </w:rPr>
        <w:t>Item 2. Properties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Holding Company and Investment segment lease office space in Sunny Isles Beach, Florida. The principal physical properties at our other operating segments are as follows: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CVR Energy’s subsidiaries own and operate two oil refineries in Coffeyville, Kansas and Wynnewood, Oklahoma and a renewable plant in Wynnewood, Oklahoma, which was reverted to hydrocarbon service in December 2025, as well as office buildings located in each of Coffeyville, Kansas and Wynnewood, Oklahoma. CVR Partners subsidiaries also own and operate a fertilizer plant in both Coffeyville, Kansas and East Dubuque, Illinois. CVR Energy subsidiaries own crude oil and refined product storage facilities in Kansas and Oklahoma, and CVR Partners subsidiaries own fertilizer storage facilities at their Coffeyville, Kansas and East Dubuque, Illinois fertilizer plant locations. CVR Energy also leases additional crude oil storage facilities.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Automotive segment’s operations include approximately 820 company operated store locations of which 181 properties are owned by our Real Estate segment, 727 franchise locations and 13 distributions centers throughout the United States. The vast majority of the Automotive segment’s facilities are leased with only a minimal number of owned locations.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Viskase’s operations include nine manufacturing facilities throughout North America, Europe, South America and Asia.</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Real Estate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Real Estate segment’s net lease operations consist of 202 commercial real estate properties in the United States. There are 5 regional distribution centers in New York, Indiana, Georgia, Texas, and Alabama. We own a 1.5 million square foot office tower and retail complex in Midtown Atlanta, Georgia, and 196 net lease commercial locations.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Real Estate segment’s club and development properties include development properties in Pinehurst, North Carolina, Cape Cod, Massachusetts and Vero Beach, Florida. Golf club operations in Pinehurst, North Carolina, a resort property in Aruba, and ocean front land in Atlantic City, New Jersey, which was formerly a casino that ceased operations in 2014.</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55" w:name="Item3LegalProceedings_718175"/>
      <w:bookmarkStart w:id="56" w:name="_d72bc9b4_717a_4008_adce_9e462f3108d3"/>
      <w:bookmarkEnd w:id="55"/>
      <w:bookmarkEnd w:id="56"/>
      <w:r>
        <w:rPr>
          <w:rFonts w:ascii="Times New Roman;Times;serif" w:hAnsi="Times New Roman;Times;serif"/>
          <w:b/>
          <w:sz w:val="20"/>
        </w:rPr>
        <w:t>Item 3.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and will continue to be, subject to litigation from time to time in the ordinary course of our business. We also incorporate by reference into this Item 3 of this Report, the information regarding the lawsuits and proceedings described and referenced in Note 19, “Commitments and Contingencies,” to the consolidated financial statements as set forth in Item 8 of this Report.</w:t>
      </w:r>
    </w:p>
    <w:p>
      <w:pPr>
        <w:pStyle w:val="TextBody"/>
        <w:bidi w:val="0"/>
        <w:spacing w:before="0" w:after="240"/>
        <w:ind w:left="0" w:right="0" w:hanging="0"/>
        <w:jc w:val="left"/>
        <w:rPr>
          <w:rFonts w:ascii="Times New Roman;Times;serif" w:hAnsi="Times New Roman;Times;serif"/>
          <w:b/>
          <w:sz w:val="20"/>
        </w:rPr>
      </w:pPr>
      <w:bookmarkStart w:id="57" w:name="Item4MineSafetyDisclosures_184198"/>
      <w:bookmarkStart w:id="58" w:name="_bb38789b_53eb_4b99_97a0_7f5a1d5c569c"/>
      <w:bookmarkEnd w:id="57"/>
      <w:bookmarkEnd w:id="58"/>
      <w:r>
        <w:rPr>
          <w:rFonts w:ascii="Times New Roman;Times;serif" w:hAnsi="Times New Roman;Times;serif"/>
          <w:b/>
          <w:sz w:val="20"/>
        </w:rPr>
        <w:t>Item 4. 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Not applicable. </w:t>
      </w:r>
    </w:p>
    <w:p>
      <w:pPr>
        <w:pStyle w:val="TextBody"/>
        <w:bidi w:val="0"/>
        <w:spacing w:before="0" w:after="0"/>
        <w:ind w:left="0" w:right="0" w:hanging="0"/>
        <w:jc w:val="center"/>
        <w:rPr>
          <w:rFonts w:ascii="Times New Roman;Times;serif" w:hAnsi="Times New Roman;Times;serif"/>
          <w:b/>
          <w:sz w:val="20"/>
        </w:rPr>
      </w:pPr>
      <w:bookmarkStart w:id="59" w:name="PARTII_623845"/>
      <w:bookmarkStart w:id="60" w:name="_3eaaef0e_85c5_4c89_85a1_9b492774359e"/>
      <w:bookmarkEnd w:id="59"/>
      <w:bookmarkEnd w:id="60"/>
      <w:r>
        <w:rPr>
          <w:rFonts w:ascii="Times New Roman;Times;serif" w:hAnsi="Times New Roman;Times;serif"/>
          <w:b/>
          <w:sz w:val="20"/>
        </w:rPr>
        <w:t>PART II</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1" w:name="Item5MarketforRegistrantsCommonEquityRel"/>
      <w:bookmarkEnd w:id="61"/>
      <w:r>
        <w:rPr>
          <w:rFonts w:ascii="Times New Roman;Times;serif" w:hAnsi="Times New Roman;Times;serif"/>
          <w:b/>
          <w:sz w:val="20"/>
        </w:rPr>
        <w:t>Item 5. Market for Registrant’s Common Equity, Related Security Holder Matters and Issuer Purchases of Equity Securities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Purchases of Equity Securities by the Issuer and Affiliated Purchasers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did not repurchase any depositary units pursuant to our approved repurchase program discussed below during the year ended December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Market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depositary units are traded on the Nasdaq Global Select Market under the symbol “IEP.”</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Holders of Record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there were approximately 2,100 record holders of Icahn Enterprises’ depositary units including multiple beneficial holders at depositories, banks and brokers listed as a single record holder in the street name of each respective depository, bank or broker.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2" w:name="Item6SelectedFinancialData"/>
      <w:bookmarkStart w:id="63" w:name="_e2296894_c30e_4b97_aba6_612b7293522b"/>
      <w:bookmarkEnd w:id="62"/>
      <w:bookmarkEnd w:id="63"/>
      <w:r>
        <w:rPr>
          <w:rFonts w:ascii="Times New Roman;Times;serif" w:hAnsi="Times New Roman;Times;serif"/>
          <w:b/>
          <w:sz w:val="20"/>
        </w:rPr>
        <w:t>Item 6. Reserved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64" w:name="Item7ManagementsDiscussionandAnalysisofF"/>
      <w:bookmarkStart w:id="65" w:name="_6d883ee7_6695_4277_b23a_7b1f656b8ee2"/>
      <w:bookmarkEnd w:id="64"/>
      <w:bookmarkEnd w:id="65"/>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The following discussion is intended to assist you in understanding our present business and the results of operations together with our present financial condition. This section should be read in conjunction with our consolidated financial statements and the accompanying notes contained in this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Overview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Introduction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References to “we,” “our,” “us” or “the Company” herein include Icahn Enterprises and its subsidiaries, unless the context otherwise requires.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December 31, 2025, representing an aggregate 1.99% general partner interest in Icahn Enterprises Holdings and us. Mr. Icahn and his affiliates owned approximately 86% of Icahn Enterprises’ outstanding depositary units as of December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Transactions and Developments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Energy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February 2026, CVR Energy completed the issuance of $1 billion aggregate principal amount of senior notes, consisting of $600 million of 7.50% senior notes due February 2031 and $400 million of 7.875% senior notes due February 2034. The proceeds from the issuance of these notes were used to (i) fund the redemption in full of CVR Energy’s existing $600 million in aggregate principal amount of 8.50% senior unsecured notes due 2029 at a redemption price equal to 104.250% of the principal amount in February 2026, resulting in a $28 million loss on extinguishment of debt in the first quarter of 2026, (ii) fund the partial redemption of $217 million of CVR Energy’s existing $400 million in aggregate principal amount of 5.75% senior unsecured notes due 2028 at par in February 2026, resulting in a less than $1 million loss on extinguishment of debt in the first quarter of 2026, and (iii) repaid the aggregate principal balance of CVR Energy’s senior secured term loan facility (the “Term Loan”), resulting in a $3 million loss on extinguishment in the first quarter of 2026.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December 2025, our Energy segment reverted the renewable diesel unit (“RDU”) back to hydrocarbon processing service, considering unfavorable economics of the renewables business and to optimize feedstock and relieve certain logistical constraints within the refining business. CVR Energy maintains the option to switch back to renewable diesel service if economically incentivized to do so.</w:t>
      </w:r>
    </w:p>
    <w:p>
      <w:pPr>
        <w:pStyle w:val="TextBody"/>
        <w:bidi w:val="0"/>
        <w:spacing w:before="0" w:after="0"/>
        <w:ind w:left="0" w:right="0" w:firstLine="360"/>
        <w:jc w:val="left"/>
        <w:rPr>
          <w:rFonts w:ascii="TimesNewRoman" w:hAnsi="TimesNewRoman"/>
          <w:sz w:val="20"/>
        </w:rPr>
      </w:pPr>
      <w:r>
        <w:rPr>
          <w:rFonts w:ascii="TimesNewRoman" w:hAnsi="TimesNewRoman"/>
          <w:sz w:val="20"/>
        </w:rPr>
        <w:t xml:space="preserve">In August 2025, the U.S. Environmental Protection Agency (the “EPA”) issued a decision document to a subsidiary of our Energy segment, Wynnewood Refining Company, LLC (“WRC”), affirming the validity of its previous grant of WRC’s petitions for small refinery hardship relief under the Renewal Fuel Standards (“RFS”) for WRC’s 2017 and 2018 compliance periods, granting 100 percent waivers for WRC’s 2019 and 2021 compliance periods and granting 50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NewRoman" w:hAnsi="TimesNewRoman"/>
          <w:sz w:val="20"/>
        </w:rPr>
        <w:t xml:space="preserve">percent waivers for its 2020, 2022, 2023 and 2024 compliance periods (the “2025 SRE Decision”). Based on this decision, WRC’s obligation for the 2020 through 2024 compliance periods were reduced by more than 424 million renewable fuel credits, known as renewable identification numbers (“RINs”), representing approximately $488 million. Refer to Note 19 “Commitments and Contingencies” </w:t>
      </w:r>
      <w:r>
        <w:rPr>
          <w:rFonts w:ascii="Times New Roman;Times;serif" w:hAnsi="Times New Roman;Times;serif"/>
          <w:sz w:val="20"/>
        </w:rPr>
        <w:t>of these condensed consolidated financial statements for further discussion.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Viskase Private Placement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March, September and December 2025 and January 2026, Viskase Companies (“</w:t>
      </w:r>
      <w:r>
        <w:rPr>
          <w:rFonts w:ascii="TimesNewRoman" w:hAnsi="TimesNewRoman"/>
          <w:sz w:val="20"/>
        </w:rPr>
        <w:t xml:space="preserve">Viskase”) </w:t>
      </w:r>
      <w:r>
        <w:rPr>
          <w:rFonts w:ascii="Times New Roman;Times;serif" w:hAnsi="Times New Roman;Times;serif"/>
          <w:sz w:val="20"/>
        </w:rPr>
        <w:t>completed equity private placements whereby we acquired an aggregate of 57,288,561 additional shares of Viskase common stock for an aggregate of $45 million. As of December 31, 2025, we owned approximately 93% of the total outstanding common stock of Viskase. Viskase's previously announced merger with Enzon Pharmaceuticals, Inc. (“</w:t>
      </w:r>
      <w:r>
        <w:rPr>
          <w:rFonts w:ascii="TimesNewRoman" w:hAnsi="TimesNewRoman"/>
          <w:sz w:val="20"/>
        </w:rPr>
        <w:t xml:space="preserve">Enzon”) </w:t>
      </w:r>
      <w:r>
        <w:rPr>
          <w:rFonts w:ascii="Times New Roman;Times;serif" w:hAnsi="Times New Roman;Times;serif"/>
          <w:sz w:val="20"/>
        </w:rPr>
        <w:t>is anticipated to close in the first quarter of 2026.</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Viskase Merger Agreement</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bookmarkStart w:id="66" w:name="_Hlk212467912"/>
      <w:bookmarkEnd w:id="66"/>
      <w:r>
        <w:rPr>
          <w:rFonts w:ascii="Times New Roman;Times;serif" w:hAnsi="Times New Roman;Times;serif"/>
          <w:sz w:val="20"/>
        </w:rPr>
        <w:t>On June 20, 2025, Viskase, our majority owned subsidiary, entered into an Agreement and Plan of Merger (as amended, the “Merger Agreement”) with Enzon, of which we own 36,056,636 shares of common stock, which represents approximately 49% of the outstanding common stock of Enzon, and 39,277 shares of Enzon’s Series C Non-Convertible Redeemable Preferred Stock, which represents approximately 98% of the outstanding shares of such preferred stock, and Icahn Enterprises Holdings and certain of its affiliates entered into a Support Agreement (as amended, the “Support Agreement”) pursuant to which, among other things, it agreed to vote its shares of Enzon and Viskase in favor of the merger. On October 24, 2025, Enzon and Viskase entered into Amendment No. 1 to the Merger Agreement, and Enzon, Viskase and Icahn Enterprises Holdings entered into Amendment No 1. to the Support Agreement. Pursuant to the Merger Agreement and the Support Agreement, each share of Viskase common stock and each share of Enzon’s Series C Non-Convertible Redeemable Preferred Stock held by us will be converted into shares of Enzon common stock at the closing of the merger. Following the consummation of the merger, it is anticipated that the combined company will operate under the name “Viskase Holdings, Inc.” The merger is expected to close in the first quarter of 2026, subject to customary closing conditions. Following the completion of the merger, we anticipate that we will own between approximately 92% and 93% of the combined company, with our ultimate ownership percentage dependent upon the number of shares of Enzon Series C Non-Convertible Redeemable Preferred Stock elected to be converted into shares of Enzon common stock by holders other than us.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August 2025, our Real Estate segment sold certain properties for total consideration, including loan origination fees, of $247 million, resulting in a pre-tax gain on disposition of assets of $223 million. Refer to Note 2 “Basis of Presentation and Summary of Significant Accounting Policies” and Note 4 “Related Party Transactions” of these condensed consolidated financial statements for further discussion.</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Automotive Real Estate</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October and November 2025, our Automotive segment completed the transfer of a group of owned real estate properties to our Real Estate segment. Refer to Note 1 “Business” of these condensed consolidated financial statements for further discussion.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Potential Strategic Transactions</w:t>
      </w:r>
    </w:p>
    <w:p>
      <w:pPr>
        <w:pStyle w:val="TextBody"/>
        <w:bidi w:val="0"/>
        <w:spacing w:before="0" w:after="0"/>
        <w:ind w:left="0" w:right="0" w:firstLine="360"/>
        <w:jc w:val="left"/>
        <w:rPr>
          <w:rFonts w:ascii="Times New Roman;Times;serif" w:hAnsi="Times New Roman;Times;serif"/>
          <w:sz w:val="20"/>
        </w:rPr>
      </w:pPr>
      <w:bookmarkStart w:id="67" w:name="_Hlk196311725"/>
      <w:bookmarkEnd w:id="67"/>
      <w:r>
        <w:rPr>
          <w:rFonts w:ascii="Times New Roman;Times;serif" w:hAnsi="Times New Roman;Times;serif"/>
          <w:sz w:val="20"/>
        </w:rPr>
        <w:t xml:space="preserve">As previously disclosed, we are considering, with CVR Energy, Inc. (“CVR Energy”), potential strategic transactions available to CVR Energy and its subsidiaries, which may include the acquisition of additional entities, assets or businesses, including the acquisition of material amounts of refining assets through negotiated mergers and/or stock or asset purchase agreements by CVR Energy or its subsidiaries, and/or strategic options involving CVR Partners, LP, a controlled subsidiary of CVR Energy (“CVR Partners”). There is no assurance that any of the aforementioned or previously disclosed or other transactions will develop or materialize, or if they do, as to their timing. As of December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 2025 we own approximately 70% of the total outstanding common stock of CVR Energy and approximately 3% of the total outstanding common units of CVR Partners. As of December 31, 2025, CVR Energy, through its subsidiaries, held approximately 37% of CVR Partners’ outstanding common units and 100% of CVR Partners’ general partner interests.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i/>
          <w:sz w:val="20"/>
        </w:rPr>
      </w:pPr>
      <w:bookmarkStart w:id="68" w:name="_Hlk222137860"/>
      <w:bookmarkEnd w:id="68"/>
      <w:r>
        <w:rPr>
          <w:rFonts w:ascii="Times New Roman;Times;serif" w:hAnsi="Times New Roman;Times;serif"/>
          <w:i/>
          <w:sz w:val="20"/>
        </w:rPr>
        <w:t xml:space="preserve">Senior Notes Redemption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January 27, 2026, the trustee sent on our behalf a notice of full redemption to holders of our outstanding 6.250% Senior Notes due 2026 (the “2026 Notes”), with the redemption scheduled for February 26, 2026. The redemption price will be equal to 100.000% of the principal amount of the remaining 2026 Notes, plus accrued and unpaid interest thereon to, but not including, the redemption date. Upon the redemption of the 2026 Notes, none of the 2026 Notes will remain outstanding. We expect to use cash on hand to pay the redemption price for the 2026 Notes.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Fund Redemption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See “Investment Funds Redemptions and Distributions” below under “Investment Segment Liquidity.”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Financial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In addition to the summarized financial results below, refer to Note 15, “Segment and Geographic Reporting,” to the consolidated financial statements for a reconciliation of each of our reporting segment’s results of continuing operations to our consolidated results.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Potential supply chain disruptions, geopolitical and economic instability, volatility in energy prices, the impacts of</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increasing electric vehicles and liquid natural gas and other improvements in fuel efficiencies and changes in regulatory policies could adversely affect operations, in particular in our Energy segment. Our ability to generate sufficient cash from our operating activities in the current commodity price environment, sell non-core assets, access capital markets, incur additional debt or take any other action to improve our liquidity is subject to the risks discussed in this Annual Report on Form 10-K and elsewhere in our periodic reports and the other risks and uncertainties that exist in our industry, and depends on our future operational performance, which is subject to general economic, political, financial, competitive, and other factors, some of which may be beyond our control. Furthermore, shifts in demand and tightening credit market conditions could impact our financial stability. Increased tariffs, both by the U.S. and globally, ongoing and future trade conflicts and changes in U.S. economic trade policy, and economic uncertainly has led to increased volatility. The impact of tariffs and associated impacts on global trade have not significantly affected our operating businesses as of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comparability of our summarized consolidated financial results presented below is affected primarily by (i) the performance of the Investment Funds (as defined below), (ii) the results of operations of our Energy segment, impacted by the demand and pricing for its products and (iii) the deconsolidation of Auto Plus within our Automotive segment. Refer to our respective segment discussions and “Other Consolidated Results of Operations” below for further discussion.</w:t>
      </w:r>
    </w:p>
    <w:tbl>
      <w:tblPr>
        <w:tblW w:w="11233" w:type="dxa"/>
        <w:jc w:val="left"/>
        <w:tblInd w:w="0" w:type="dxa"/>
        <w:tblLayout w:type="fixed"/>
        <w:tblCellMar>
          <w:top w:w="0" w:type="dxa"/>
          <w:left w:w="0" w:type="dxa"/>
          <w:bottom w:w="0" w:type="dxa"/>
          <w:right w:w="0" w:type="dxa"/>
        </w:tblCellMar>
      </w:tblPr>
      <w:tblGrid>
        <w:gridCol w:w="1216"/>
        <w:gridCol w:w="346"/>
        <w:gridCol w:w="211"/>
        <w:gridCol w:w="571"/>
        <w:gridCol w:w="346"/>
        <w:gridCol w:w="211"/>
        <w:gridCol w:w="676"/>
        <w:gridCol w:w="346"/>
        <w:gridCol w:w="211"/>
        <w:gridCol w:w="676"/>
        <w:gridCol w:w="346"/>
        <w:gridCol w:w="211"/>
        <w:gridCol w:w="481"/>
        <w:gridCol w:w="346"/>
        <w:gridCol w:w="211"/>
        <w:gridCol w:w="481"/>
        <w:gridCol w:w="346"/>
        <w:gridCol w:w="211"/>
        <w:gridCol w:w="631"/>
        <w:gridCol w:w="346"/>
        <w:gridCol w:w="211"/>
        <w:gridCol w:w="481"/>
        <w:gridCol w:w="346"/>
        <w:gridCol w:w="211"/>
        <w:gridCol w:w="481"/>
        <w:gridCol w:w="346"/>
        <w:gridCol w:w="211"/>
        <w:gridCol w:w="526"/>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72160" cy="175260"/>
                      <wp:effectExtent l="0" t="0" r="0" b="0"/>
                      <wp:wrapNone/>
                      <wp:docPr id="9" name="Frame9"/>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62585" cy="175260"/>
                      <wp:effectExtent l="0" t="0" r="0" b="0"/>
                      <wp:wrapNone/>
                      <wp:docPr id="12" name="Frame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29260" cy="175260"/>
                      <wp:effectExtent l="0" t="0" r="0" b="0"/>
                      <wp:wrapNone/>
                      <wp:docPr id="15" name="Frame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29260" cy="175260"/>
                      <wp:effectExtent l="0" t="0" r="0" b="0"/>
                      <wp:wrapNone/>
                      <wp:docPr id="18" name="Frame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05435" cy="175260"/>
                      <wp:effectExtent l="0" t="0" r="0" b="0"/>
                      <wp:wrapNone/>
                      <wp:docPr id="21" name="Frame21"/>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05435" cy="175260"/>
                      <wp:effectExtent l="0" t="0" r="0" b="0"/>
                      <wp:wrapNone/>
                      <wp:docPr id="24" name="Frame2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00685" cy="175260"/>
                      <wp:effectExtent l="0" t="0" r="0" b="0"/>
                      <wp:wrapNone/>
                      <wp:docPr id="27" name="Frame2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05435" cy="175260"/>
                      <wp:effectExtent l="0" t="0" r="0" b="0"/>
                      <wp:wrapNone/>
                      <wp:docPr id="30" name="Frame3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05435" cy="175260"/>
                      <wp:effectExtent l="0" t="0" r="0" b="0"/>
                      <wp:wrapNone/>
                      <wp:docPr id="33" name="Frame3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34010" cy="175260"/>
                      <wp:effectExtent l="0" t="0" r="0" b="0"/>
                      <wp:wrapNone/>
                      <wp:docPr id="36" name="Frame3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813"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Income (Loss) From</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813"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Continuing Operations</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18"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Income (Loss) From</w:t>
            </w:r>
          </w:p>
        </w:tc>
        <w:tc>
          <w:tcPr>
            <w:tcW w:w="346" w:type="dxa"/>
            <w:tcBorders/>
            <w:vAlign w:val="center"/>
          </w:tcPr>
          <w:p>
            <w:pPr>
              <w:pStyle w:val="TableContents"/>
              <w:bidi w:val="0"/>
              <w:spacing w:before="0" w:after="0"/>
              <w:ind w:left="0" w:right="0" w:hanging="0"/>
              <w:jc w:val="left"/>
              <w:rPr/>
            </w:pPr>
            <w:r>
              <w:rPr/>
              <w:t>​</w:t>
            </w:r>
          </w:p>
        </w:tc>
        <w:tc>
          <w:tcPr>
            <w:tcW w:w="2813"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Attributable to Icahn</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4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Revenues</w:t>
            </w:r>
          </w:p>
        </w:tc>
        <w:tc>
          <w:tcPr>
            <w:tcW w:w="346" w:type="dxa"/>
            <w:tcBorders/>
            <w:vAlign w:val="center"/>
          </w:tcPr>
          <w:p>
            <w:pPr>
              <w:pStyle w:val="TableContents"/>
              <w:bidi w:val="0"/>
              <w:spacing w:before="0" w:after="0"/>
              <w:ind w:left="0" w:right="0" w:hanging="0"/>
              <w:jc w:val="left"/>
              <w:rPr/>
            </w:pPr>
            <w:r>
              <w:rPr/>
              <w:t>​</w:t>
            </w:r>
          </w:p>
        </w:tc>
        <w:tc>
          <w:tcPr>
            <w:tcW w:w="291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Continuing Operations</w:t>
            </w:r>
          </w:p>
        </w:tc>
        <w:tc>
          <w:tcPr>
            <w:tcW w:w="346" w:type="dxa"/>
            <w:tcBorders/>
            <w:vAlign w:val="center"/>
          </w:tcPr>
          <w:p>
            <w:pPr>
              <w:pStyle w:val="TableContents"/>
              <w:bidi w:val="0"/>
              <w:spacing w:before="0" w:after="0"/>
              <w:ind w:left="0" w:right="0" w:hanging="0"/>
              <w:jc w:val="left"/>
              <w:rPr/>
            </w:pPr>
            <w:r>
              <w:rPr/>
              <w:t>​</w:t>
            </w:r>
          </w:p>
        </w:tc>
        <w:tc>
          <w:tcPr>
            <w:tcW w:w="28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Enterprises</w:t>
            </w:r>
            <w:r>
              <w:rPr>
                <w:rFonts w:ascii="Times New Roman;Times;serif" w:hAnsi="Times New Roman;Times;serif"/>
                <w:sz w:val="20"/>
              </w:rPr>
              <w:t>  </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4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c>
          <w:tcPr>
            <w:tcW w:w="346" w:type="dxa"/>
            <w:tcBorders/>
            <w:vAlign w:val="center"/>
          </w:tcPr>
          <w:p>
            <w:pPr>
              <w:pStyle w:val="TableContents"/>
              <w:bidi w:val="0"/>
              <w:spacing w:before="0" w:after="0"/>
              <w:ind w:left="0" w:right="0" w:hanging="0"/>
              <w:jc w:val="left"/>
              <w:rPr/>
            </w:pPr>
            <w:r>
              <w:rPr/>
              <w:t>​</w:t>
            </w:r>
          </w:p>
        </w:tc>
        <w:tc>
          <w:tcPr>
            <w:tcW w:w="291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c>
          <w:tcPr>
            <w:tcW w:w="346" w:type="dxa"/>
            <w:tcBorders/>
            <w:vAlign w:val="center"/>
          </w:tcPr>
          <w:p>
            <w:pPr>
              <w:pStyle w:val="TableContents"/>
              <w:bidi w:val="0"/>
              <w:spacing w:before="0" w:after="0"/>
              <w:ind w:left="0" w:right="0" w:hanging="0"/>
              <w:jc w:val="left"/>
              <w:rPr/>
            </w:pPr>
            <w:r>
              <w:rPr/>
              <w:t>​</w:t>
            </w:r>
          </w:p>
        </w:tc>
        <w:tc>
          <w:tcPr>
            <w:tcW w:w="28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11233"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71" w:type="dxa"/>
            <w:gridSpan w:val="26"/>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Holding Company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r>
      <w:tr>
        <w:trPr/>
        <w:tc>
          <w:tcPr>
            <w:tcW w:w="12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Segments: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  ​</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Pharma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segments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rFonts w:ascii="Times New Roman;Times;serif" w:hAnsi="Times New Roman;Times;serif"/>
          <w:sz w:val="20"/>
        </w:rPr>
        <w:t xml:space="preserve">Management’s Discussion and Analysis of Results of Operations discusses the comparisons between the years ended December 31, 2025 and 2024. Certain discussions of results of operations for the comparisons between the years ended December 31, 2024 and 2023 are not included in this Report. Refer to “Management’s Discussion and Analysis of Financial Condition and Results of Operations” in Item 7 of our </w:t>
      </w:r>
      <w:hyperlink r:id="rId2">
        <w:r>
          <w:rPr>
            <w:rStyle w:val="InternetLink"/>
            <w:rFonts w:ascii="Times New Roman;Times;serif" w:hAnsi="Times New Roman;Times;serif"/>
            <w:b w:val="false"/>
            <w:i w:val="false"/>
            <w:caps w:val="false"/>
            <w:smallCaps w:val="false"/>
            <w:sz w:val="20"/>
          </w:rPr>
          <w:t>Annual Report on Form 10-K for the fiscal year ended December 31, 2024, filed on February 26, 2025</w:t>
        </w:r>
      </w:hyperlink>
      <w:r>
        <w:rPr>
          <w:rFonts w:ascii="Times New Roman;Times;serif" w:hAnsi="Times New Roman;Times;serif"/>
          <w:sz w:val="20"/>
        </w:rPr>
        <w:t>, which is incorporated by reference herein, for such discussions.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invest our proprietary capital through various private investment funds (the “Investment Funds”). As of December 31, 2025 and 2024, we had investments with a fair market value of approximately $2.7 billion in the Investment Funds. As of December 31, 2025 and 2024, the total fair market value of investments in the Investment Funds made by Mr. Icahn and his affiliates (excluding us and Brett Icahn) was approximately $908 million and $1.5 billion, respectively. Mr. Icahn and his affiliates (excluding us and Brett Icahn) redeemed $508 million and $250 million from the Investment Funds for the years ended December 31, 2025 and 2024, respectively. In addition, during the year ended December 31, 2024, the Investment Funds issued a pro-rata distribution of $650 million, including $256 million to Mr. Icahn and his affiliates (excluding us and Brett Icahn) and $394 million to the Holding Company. As of December 31, 2025, Mr. Icahn and his affiliates have pledged $568 million of interests in the Investment Funds.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Investment segment’s results of operations are reflected in net income (loss) in the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December 31, 2025.</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the years ended December 31, 2025, 2024 and 2023, our Investment Funds’ returns were 0.4%, (3.5)%, and (16.9)%, respectively. Our Investment Funds’ returns represent a weighted-average composite of the average returns, net of expenses. The Other category is primarily comprised of interest income earned on cash balances, collateral posted to counterparties and short rebates.</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tables set forth the performance attribution and net income (loss) for the Investment Funds’ returns for the years ended December 31, 2025, 2024 and 2023, respectively, and includes performance of all investment and derivative position types including the impact of the use of leverage through options, short sales, swaps, forwards and other derivative investments.</w:t>
      </w:r>
    </w:p>
    <w:tbl>
      <w:tblPr>
        <w:tblW w:w="4433" w:type="dxa"/>
        <w:jc w:val="left"/>
        <w:tblInd w:w="0" w:type="dxa"/>
        <w:tblLayout w:type="fixed"/>
        <w:tblCellMar>
          <w:top w:w="0" w:type="dxa"/>
          <w:left w:w="0" w:type="dxa"/>
          <w:bottom w:w="0" w:type="dxa"/>
          <w:right w:w="0" w:type="dxa"/>
        </w:tblCellMar>
      </w:tblPr>
      <w:tblGrid>
        <w:gridCol w:w="1351"/>
        <w:gridCol w:w="346"/>
        <w:gridCol w:w="586"/>
        <w:gridCol w:w="361"/>
        <w:gridCol w:w="526"/>
        <w:gridCol w:w="361"/>
        <w:gridCol w:w="586"/>
        <w:gridCol w:w="31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857885" cy="175260"/>
                      <wp:effectExtent l="0" t="0" r="0" b="0"/>
                      <wp:wrapNone/>
                      <wp:docPr id="37" name="Frame37"/>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72110" cy="175260"/>
                      <wp:effectExtent l="0" t="0" r="0" b="0"/>
                      <wp:wrapNone/>
                      <wp:docPr id="39" name="Frame3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29235" cy="175260"/>
                      <wp:effectExtent l="0" t="0" r="0" b="0"/>
                      <wp:wrapNone/>
                      <wp:docPr id="40" name="Frame4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34010" cy="175260"/>
                      <wp:effectExtent l="0" t="0" r="0" b="0"/>
                      <wp:wrapNone/>
                      <wp:docPr id="41" name="Frame41"/>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29235" cy="175260"/>
                      <wp:effectExtent l="0" t="0" r="0" b="0"/>
                      <wp:wrapNone/>
                      <wp:docPr id="42" name="Frame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72110" cy="175260"/>
                      <wp:effectExtent l="0" t="0" r="0" b="0"/>
                      <wp:wrapNone/>
                      <wp:docPr id="43" name="Frame4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0660" cy="175260"/>
                      <wp:effectExtent l="0" t="0" r="0" b="0"/>
                      <wp:wrapNone/>
                      <wp:docPr id="44" name="Frame4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c>
          <w:tcPr>
            <w:tcW w:w="316" w:type="dxa"/>
            <w:tcBorders/>
            <w:vAlign w:val="center"/>
          </w:tcPr>
          <w:p>
            <w:pPr>
              <w:pStyle w:val="TableContents"/>
              <w:bidi w:val="0"/>
              <w:spacing w:before="0" w:after="1"/>
              <w:ind w:left="0" w:right="0" w:hanging="0"/>
              <w:jc w:val="left"/>
              <w:rPr/>
            </w:pPr>
            <w:r>
              <w:rPr/>
              <w:t> </w:t>
            </w:r>
          </w:p>
        </w:tc>
      </w:tr>
      <w:tr>
        <w:trPr/>
        <w:tc>
          <w:tcPr>
            <w:tcW w:w="13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1"/>
              <w:ind w:left="0" w:right="0" w:hanging="0"/>
              <w:jc w:val="left"/>
              <w:rPr/>
            </w:pPr>
            <w:r>
              <w:rPr/>
              <w:t>  ​ ​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1" w:type="dxa"/>
            <w:tcBorders/>
            <w:vAlign w:val="center"/>
          </w:tcPr>
          <w:p>
            <w:pPr>
              <w:pStyle w:val="TableContents"/>
              <w:bidi w:val="0"/>
              <w:spacing w:before="0" w:after="1"/>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16" w:type="dxa"/>
            <w:tcBorders/>
            <w:vAlign w:val="center"/>
          </w:tcPr>
          <w:p>
            <w:pPr>
              <w:pStyle w:val="TableContents"/>
              <w:bidi w:val="0"/>
              <w:spacing w:before="0" w:after="1"/>
              <w:ind w:left="0" w:right="0" w:hanging="0"/>
              <w:jc w:val="left"/>
              <w:rPr/>
            </w:pPr>
            <w:r>
              <w:rPr/>
              <w:t> </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 positions</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 positions</w:t>
            </w:r>
          </w:p>
        </w:tc>
        <w:tc>
          <w:tcPr>
            <w:tcW w:w="34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tbl>
      <w:tblPr>
        <w:tblW w:w="4840" w:type="dxa"/>
        <w:jc w:val="left"/>
        <w:tblInd w:w="0" w:type="dxa"/>
        <w:tblLayout w:type="fixed"/>
        <w:tblCellMar>
          <w:top w:w="0" w:type="dxa"/>
          <w:left w:w="0" w:type="dxa"/>
          <w:bottom w:w="0" w:type="dxa"/>
          <w:right w:w="0" w:type="dxa"/>
        </w:tblCellMar>
      </w:tblPr>
      <w:tblGrid>
        <w:gridCol w:w="1351"/>
        <w:gridCol w:w="346"/>
        <w:gridCol w:w="211"/>
        <w:gridCol w:w="541"/>
        <w:gridCol w:w="346"/>
        <w:gridCol w:w="211"/>
        <w:gridCol w:w="541"/>
        <w:gridCol w:w="346"/>
        <w:gridCol w:w="211"/>
        <w:gridCol w:w="73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857885" cy="175260"/>
                      <wp:effectExtent l="0" t="0" r="0" b="0"/>
                      <wp:wrapNone/>
                      <wp:docPr id="45" name="Frame45"/>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43535" cy="175260"/>
                      <wp:effectExtent l="0" t="0" r="0" b="0"/>
                      <wp:wrapNone/>
                      <wp:docPr id="48" name="Frame4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43535" cy="175260"/>
                      <wp:effectExtent l="0" t="0" r="0" b="0"/>
                      <wp:wrapNone/>
                      <wp:docPr id="51" name="Frame5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67360" cy="175260"/>
                      <wp:effectExtent l="0" t="0" r="0" b="0"/>
                      <wp:wrapNone/>
                      <wp:docPr id="54" name="Frame5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484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43" w:type="dxa"/>
            <w:gridSpan w:val="8"/>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 positions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positions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year ended December 31, 2025, the Investment Funds’ performance was primarily driven by net gains in long positions, offset in part by net losses in short positions. The performance of our Investment segment’s long positions was driven primarily by net gains from the communications and utilities sectors of $620 million, offset in part by net losses from the healthcare, industrial and materials sectors of $260 million. The performance of our Investment segment’s short positions was primarily driven by net losses from broad market hedges of $227 million and the energy sector of $222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the year ended December 31, 2024, the Investment Funds’ performance </w:t>
      </w:r>
      <w:r>
        <w:rPr>
          <w:rFonts w:ascii="Times New Roman;Times;serif" w:hAnsi="Times New Roman;Times;serif"/>
          <w:sz w:val="20"/>
          <w:shd w:fill="FFFFFF" w:val="clear"/>
        </w:rPr>
        <w:t>was driven by net losses in both our short and long positions. The performance of our Investment segment’s short positions was driven primarily by losses in broad market hedge of $261 million, net losses in the utilities, materials and industrials sectors of $222 million and net losses of certain credit default swap positions of $62 million, offset in part by gains in the energy sector of $302 million. The performance of our Investment segment’s long positions was driven primarily by losses in the energy and consumer cyclical sectors of $375 million, offset in part by gains in the utilities sector of $190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Energy segment is primarily engaged in the petroleum refining, renewable fuels and nitrogen fertilizer manufacturing businesses. The petroleum business accounted for approximately 90%, 91% and 89% of our Energy segment’s net sales for the years ended December 31, 2025, 2024 and 2023, respectively.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oil and other feedstocks and the price for which Refined Products are ultimately sold depend on factors beyond our Energy segment’s control, including the supply of and demand for crude oil, as well as gasoline, distillate, and other refined products, which, in turn, depend on, among other factors, changes in domestic and foreign economies, driving habits, weather conditions, domestic and foreign political affairs, production levels, the availability or permissibility of imports and exports, the marketing of competitive fuels and the extent of government regulations. Because the petroleum business applies first-in, first-out accounting to value its inventory, crude oil price movements may impact gross margin as a result of changes in the value of its unhedged inventory. The effect of changes in crude oil prices on the petroleum business’ results of operations is also influenced by the rate at which the processing of Refined Products adjusts to reflect these changes.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geopolitical conditions, including continued conflicts and tensions in the Middle East, the impact of the Russia/Ukraine conflict and recent developments in Venezuela, including continued political and economic uncertainty and sanctions-related constraints, long-term factors such as increased tariffs, ongoing and future trade conflicts and changes in U.S. economic trade policy that may impact the demand for and inventory of refined products. These factors include mandated renewable fuels standards, proposed and enacted climate change laws and regulations, and increased mileage and emissions standards for vehicles. The petroleum business is also subject to the EPA’s Renewable Fuel Standard (“RFS”), which, each year, absent exemptions or waivers, requires the operating companies in our Energy segment to blend “renewable fuels” with their transportation fuels, purchase RINs, to the extent available, in lieu of blending, or face liability. The price of RINs has been extremely volatile and the future cost of RINs for the petroleum business is difficult to estimate. Additionally, the cost of RINs is dependent upon a variety of factors, which include but are not limited to the availability of RINs for purchase, the actions of RINs market participants including non-obligated parties, transportation fuel and renewable diesel production levels and pricing, the availability of alternative or supportive credits for renewable fuel producers, the mix of the petroleum business’ petroleum products, the refining margin of the petroleum business and other factors, all of which can vary significantly from period to period, as well as certain waivers or exemptions to which the petroleum business’ obligated-party subsidiaries may be entitled. The costs to comply with the RFS are also impacted by, and dependent upon the outcome of, the numerous lawsuits filed by multiple refiners including the petroleum business’ obligated-party subsidiaries, biofuels groups and others. Refer to Note 19, “Commitments and Contingencies,” to the consolidated financial statements for further discussion of RINs.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Ongoing and recently proposed changes to the U.S. global trade policy, along with actual and potential international retaliatory measures, have continued to cause volatility in global markets and uncertainty around short and long-term economic impacts in the U.S. and around the globe, including concerns over inflation, recession and slowing growth. In addition, the ongoing Russian/Ukraine war and Middle East conflicts and tensions continue to present significant geopolitical risks with direct implications to the global oil, fertilizer, and agriculture markets. Such conflicts pose significant geopolitical risks to global markets, raise concerns of major implications, such as enforcement of sanctions, can contribute to further oil price and inventory volatility, and can disrupt the production and trade of fertilizer, grains, and feedstock supply through several means, including trade restrictions and supply chain disruptions. The ultimate outcome of these conflicts and any associated market disruptions are difficult to predict and may affect our business, operations, and cash flows in unforeseen ways.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our Energy segment’s net sales, cost of goods sold and gross profit:</w:t>
      </w:r>
    </w:p>
    <w:tbl>
      <w:tblPr>
        <w:tblW w:w="5125" w:type="dxa"/>
        <w:jc w:val="left"/>
        <w:tblInd w:w="0" w:type="dxa"/>
        <w:tblLayout w:type="fixed"/>
        <w:tblCellMar>
          <w:top w:w="0" w:type="dxa"/>
          <w:left w:w="0" w:type="dxa"/>
          <w:bottom w:w="0" w:type="dxa"/>
          <w:right w:w="0" w:type="dxa"/>
        </w:tblCellMar>
      </w:tblPr>
      <w:tblGrid>
        <w:gridCol w:w="1636"/>
        <w:gridCol w:w="346"/>
        <w:gridCol w:w="211"/>
        <w:gridCol w:w="571"/>
        <w:gridCol w:w="346"/>
        <w:gridCol w:w="211"/>
        <w:gridCol w:w="571"/>
        <w:gridCol w:w="346"/>
        <w:gridCol w:w="211"/>
        <w:gridCol w:w="67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038860" cy="175260"/>
                      <wp:effectExtent l="0" t="0" r="0" b="0"/>
                      <wp:wrapNone/>
                      <wp:docPr id="55" name="Frame55"/>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62585" cy="175260"/>
                      <wp:effectExtent l="0" t="0" r="0" b="0"/>
                      <wp:wrapNone/>
                      <wp:docPr id="58" name="Frame5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62585" cy="175260"/>
                      <wp:effectExtent l="0" t="0" r="0" b="0"/>
                      <wp:wrapNone/>
                      <wp:docPr id="61" name="Frame6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29260" cy="175260"/>
                      <wp:effectExtent l="0" t="0" r="0" b="0"/>
                      <wp:wrapNone/>
                      <wp:docPr id="64" name="Frame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4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512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43"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9,247</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8,019</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1,228</w:t>
            </w:r>
          </w:p>
        </w:tc>
      </w:tr>
    </w:tbl>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Net sales for our Energy segment decreased by approximately $448 million (6%) for the year ended December 31, 2025 as compared to prior year due to a decrease in our petroleum business’ net sales by $493 million and a decrease in the renewable business’ net sales by $36 million, offset in part by an increase in our nitrogen fertilizer business’ net sales by $81 million over the comparable period. The decrease in the petroleum business’ net sales was primarily due to lower throughput volumes as a result of the 2025 Coffeyville Refinery Turnaround combined with lower gasoline and distillate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prices, offset in part by higher revenue from the sales of crude oil in the 2025 period as compared to the 2024 period due to selling crude to manage inventory during the 2025 Coffeyville Refinery Turnaround. Our renewables business’ net sales decreased due to the expiration of the blenders tax credit, offset in part by increased biodiesel RIN prices combined with increased production and sales volumes for the year ended December 31, 2025 as compared to the prior year. Our nitrogen fertilizer business’ net sales increased primarily due to favorable UAN and ammonia pricing conditions, offset in part by unfavorable sales volumes for the year ended December 31, 2025 as compared to the prior year.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Cost of goods sold for our Energy segment decreased by approximately $590 million (8%) for the year ended December 31, 2025 as compared to prior year. The decrease was primarily due to declines in our petroleum business, mainly due to favorable RFS impacts in the current year and lower production as a result of the 2025 Coffeyville Refinery Turnaround, offset in part by accelerated depreciation caused by the RDU reversion. Gross profit for our Energy segment increased by $142 million for the year ended December 31, 2025 as compared to prior year. Gross margin as a percentage of net sales was 4% and 2% for the year ended December 31, 2025 and 2024, respectively. The increase in gross margin for the Energy segment was primarily attributable to the petroleum business, mainly due to favorable RFS impacts and higher refining margins driven by improved gasoline and distillate crack spreads, as well as lower inventory levels and favorable derivative impacts in the current year, offset in part by lower sales volumes and unfavorable inventory valuation impacts in the current year.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segment’s results of operations are generally driven by the demand for automotive service and maintenance, which is impacted by general economic factors, vehicle miles traveled, and the average age of vehicles on the road, among other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 has been in the process of a multi-year transformation plan. As part of this plan, our Automotive segment completed the separation of certain of its Automotive Services and Aftermarket Parts businesses into two separate operating companies. Auto Plus, which operated the majority of our Aftermarket Parts business, began operating in locations owned and leased by the Automotive Services business from 2021 until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January 2023, Auto Plus filed a voluntary bankruptcy petition seeking relief under Chapter 11 of the Bankruptcy Code, resulting in its cessation of operations and deconsolidation, which reduced our Automotive segment’s assets. Following the bankruptcy, Auto Plus exited the Automotive Services locations within which it operated. We fully exited the Aftermarket Parts business in the first quarter of 2025.</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its transformation plan, the Automotive segment leases available and excess real estate in certain locations under long-term operating leases previously utilized by the Aftermarket Parts business. During this multi-year transformation plan, the Automotive segment has continued investing capital to repurpose these locations for future multi-tenant use. In October and November 2025, we executed on the next phase of the transformation plan in which the Automotive segment transferred the majority of its owned real estate to the Real Estate segment. The Real Estate segment also assumed the existing leases with third party tenants from the transferred properties.</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Automotive Services business entered into fair market value lease agreements with the Real Estate segment, which will not impact consolidated cash flows or consolidated operating expenses but will result in increased cash outflows from the Automotive segment to the Real Estate segment. We believe this will reduce the Automotive Services business’s focus on real estate activities and allow it to focus on managing its core business and executing its strategy.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During the fourth quarter of 2024, the Automotive segment entered into an agreement with a tenant to terminate a group of leases, effective March 31, 2025. As a result of this termination, the segment received a lump sum termination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fee and had additional excess real estate available to lease, which has resulted in reduced cash flows during the anticipated lease-up period.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segment’s priorities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Positioning the Automotive Services broad offerings to take advantage of opportunities in the do-it-for-me market and vehicle fleets;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Evolving our current store footprint to keep pace with shifting market dynamics, with strategic investment in opening new locations with attractive growth potential and simultaneously closing our lowest and underperforming locations;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and strategic review of, capital projects to increase leasing revenue, restructure lease liabilities, and reduce occupancy costs;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Optimization of Store and Distribution Center network while improving inventory and cost position;</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to improve the overall customer experience through process, facilities and automation;</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employees with focus on training and career development;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process improvements and sharing best practices through investments in people, technology, and our overall supply chain.</w:t>
            </w:r>
          </w:p>
        </w:tc>
      </w:tr>
    </w:tbl>
    <w:p>
      <w:pPr>
        <w:pStyle w:val="TextBody"/>
        <w:bidi w:val="0"/>
        <w:spacing w:before="0" w:after="0"/>
        <w:ind w:left="90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presents our Automotive segment’s net sales and other revenue from operations, cost of goods sold and other expenses from operations and gross profit. Our Automotive segment’s results of operations include Automotive Services labor along with the sale of any installed parts or materials related to Automotive Services. Automotive Services labor revenues are included in other revenues from operations in our consolidated statements of operations, however, the sales of any installed parts or materials related to Automotive Services are included in net sales. Rental revenues and related expenses for properties leased to third parties, which are included in other revenues from operations and related expenses which are included in other expenses in our consolidated statements of operations, are excluded from the table below. Therefore, we discuss the combined results of our Automotive net sales and Automotive Services labor revenues below. </w:t>
      </w:r>
    </w:p>
    <w:tbl>
      <w:tblPr>
        <w:tblW w:w="7975" w:type="dxa"/>
        <w:jc w:val="left"/>
        <w:tblInd w:w="0" w:type="dxa"/>
        <w:tblLayout w:type="fixed"/>
        <w:tblCellMar>
          <w:top w:w="0" w:type="dxa"/>
          <w:left w:w="0" w:type="dxa"/>
          <w:bottom w:w="0" w:type="dxa"/>
          <w:right w:w="0" w:type="dxa"/>
        </w:tblCellMar>
      </w:tblPr>
      <w:tblGrid>
        <w:gridCol w:w="4546"/>
        <w:gridCol w:w="346"/>
        <w:gridCol w:w="211"/>
        <w:gridCol w:w="571"/>
        <w:gridCol w:w="346"/>
        <w:gridCol w:w="211"/>
        <w:gridCol w:w="571"/>
        <w:gridCol w:w="346"/>
        <w:gridCol w:w="211"/>
        <w:gridCol w:w="616"/>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886710" cy="175260"/>
                      <wp:effectExtent l="0" t="0" r="0" b="0"/>
                      <wp:wrapNone/>
                      <wp:docPr id="65" name="Frame65"/>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62585" cy="175260"/>
                      <wp:effectExtent l="0" t="0" r="0" b="0"/>
                      <wp:wrapNone/>
                      <wp:docPr id="68" name="Frame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62585" cy="175260"/>
                      <wp:effectExtent l="0" t="0" r="0" b="0"/>
                      <wp:wrapNone/>
                      <wp:docPr id="71" name="Frame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91160" cy="175260"/>
                      <wp:effectExtent l="0" t="0" r="0" b="0"/>
                      <wp:wrapNone/>
                      <wp:docPr id="74" name="Frame7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8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4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797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83"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and other revenue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 and other expenses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489</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and other revenues from operations for our Automotive segment for the year ended December 31, 2025 decreased by $44 million (3%) as compared to the comparable prior year period. The decrease was attributable to the strategic closure of underperforming locations of $40 million and the exit of the Aftermarket Parts business of $23 million which was completed in the first quarter of 2025, offset in part by increased product pricing of $20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Cost of goods sold and other expenses from operations for the year ended December 31, 2025 decreased by $17 million (2%) as compared to the comparable prior year period. The decrease was attributable to reduced costs from closed stores of $29 million, the exit of the Aftermarket Parts business of $16 million, offset in part by increased service labor costs of $33 million. Gross profit on net sales and other revenue from operations for the year ended December 31, 2025 decreased by $27 million (7%) as compared to the comparable prior year period. Gross profit as a percentage of net sales and other revenue from operations was 25% and 26% for the years ended December 31, 2025 and 2024,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first quarter of 2025, the segment commenced implementation of a restructuring plan designed to enhance operational efficiency and margin performance. The plan includes the consolidation of our North American facilities into a single, centralized location, along with investments in upgraded equipment at that facility. These actions are intended to support increased production volumes while reducing costs and waste. Implementation of the plan is causing interim disruption, but its objective is to maintain global production capability while achieving improved cost structure. The restructuring activities are expected to be substantially completed during the first half of 2026. However, we do not expect the segment to realize the efficiency and performance gains from the restructuring until later in 2026, if at all. During the year ended December 31, 2025, the segment has recognized $9 million of restructuring expenses, which include employee severance costs and facility consolidation expenses, as well as $15 million of asset impairment charges. During the year ended December 31, 2025, we provided an aggregate of $30 million of investments through private placement offerings to our Food Packaging segment, and in January 2026 we provided an additional $15 million investment. If we had not provided additional capital the segment would not have met its debt obligations. The segment may require additional funding to meet future debt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year ended December 31, 2025 decreased $40 million (10%) as compared to the comparable prior year period. The decrease was due to a decrease of $9 million in price and a decrease of $37 million due to lower volume, offset in part by favorable effects of foreign exchange of $6 million. Cost of goods sold for the year ended December 31, 2025 decreased by $9 million (3%) as compared to the comparable prior year period due to lower absorption of manufacturing costs resulting from lower sales volume. Gross margin as a percentage of net sales was 10% and 17% for the year ended December 31, 2025 and 2024,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Real Estate segment consists of investment properties which includes land, retail, office and industrial properties leased to commercial tenants, the development and sale of single-family homes, and the operations of a resort and a country club. Sales of single-family homes and investment properties are included in net sales in our consolidated statements of operations. Results from operations at investment properties and our country club are included in other revenues from operations in our consolidated statements of operations. Net sales and other revenues from operations for the year ended December 31, 2025 was primarily derived from resort and country club operations. Net sales and other revenues from operations for the year ended December 31, 2024 was primarily derived from the sales of single-family homes, resort and country club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Real Estate segment is actively marketing certain properties for sale. In June 2025, we closed on the sale of a country club which resulted in a gain of $47 million. The country club generated approximately $33 million of other revenues from operations in the full year of 2024. In August 2025, we closed on the sale of certain properties, which resulted in a gain of $223 million. These properties generated approximately $3 million in annual lease revenue included in other revenues from operations. As a result of these sales, we expect a corresponding reduction in other revenues from operations on an annualized basis.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October and November 2025, our Automotive segment completed the transfer of a group of owned real estate properties to our Real Estate segment. Following the transfer, the Real Estate segment assumed control of the properties and will manage and lease them as part of its ongoing operations. The Real Estate segment will lease properties to the Automotive segment, which will not impact consolidated cash flows or other revenues from operations but will result in increased cash inflows to the Real Estate segment. The Real Estate segment also assumed the existing leases with third party tenants from the transferred properties.</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year ended December 31, 2025 decreased by $20 million (95%) as compared to the comparable prior year period. The decrease was due to a decrease in single-family home sales. Cost of goods sold for the year ended December 31, 2025 decreased $14 million (93%) compared to the prior year period due to a decrease in single-family home sales. Gross margin as a percentage of net sales was 0% and 29% for the years ended December 31, 2025 and 2024, respectively.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Other revenues from operations for the year ended December 31, 2025 decreased by $17 million (23%) as compared to the comparable prior year period primarily due to the sale of a country club in the second quarter of 2025.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expenses from operations for the year ended December 31, 2025 decreased $5 million (7%) compared to the comparable prior year period primarily due to the sale of a country club in the second quarter of 2025.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Home Fashion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Home Fashion segment is significantly influenced by the overall economic environment, including consumer spending, at the retail level, for home textile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Net sales for the year ended December 31, 2025 decreased by $6 million (3%) compared to the comparable prior year period mostly due to lower demand from our retail business. Cost of goods sold for the year ended December 31, 2025 increased $4 million (3%) compared to the comparable prior year period mostly due to higher material costs and unfavorable manufacturing variances. Gross margin as a percentage of net sales was 18% and 23% for the years ended December 31, 2025 and 2024,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Pharma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Pharma segment derives revenues primarily from the sale of its products directly to customers, wholesalers and pharmacies. Drugs in active clinical development may generate positive cash flow if successful, but there is also the risk that these drugs may not progress through clinical trials, resulting in no return. Additionally, we incur research and development costs associated with these drugs.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Pursuant to previously announced settlement agreements, in 2025, two competitors launched competing generic products to the patent protected weight loss treatment sold within our Pharma segment in the United States, which has caused, and we anticipate will continue to cause, a moderate reduction of prescription volume in the retail pharmacy market in the United States. The Pharma segment has launched its weight loss treatment in the UAE and in several EU countries including Poland, Denmark, Finland, Sweden and Iceland. Additionally, launches in twelve other European countries and six additional countries in the Middle East are planned. We anticipate these new launches will eventually offset the lost revenue in the US.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sales for the year ended December 31, 2025 decreased by $6 million (6%) compared to the comparable prior year period primarily due to increased generic competition in the anti-obesity market resulting in decreased sales.</w:t>
      </w:r>
      <w:r>
        <w:rPr>
          <w:rFonts w:ascii="Times New Roman;Times;serif" w:hAnsi="Times New Roman;Times;serif"/>
          <w:sz w:val="20"/>
          <w:shd w:fill="FFFF00" w:val="clear"/>
        </w:rPr>
        <w:t xml:space="preserve"> </w:t>
      </w:r>
      <w:r>
        <w:rPr>
          <w:rFonts w:ascii="Times New Roman;Times;serif" w:hAnsi="Times New Roman;Times;serif"/>
          <w:sz w:val="20"/>
        </w:rPr>
        <w:t xml:space="preserve">Cost of goods sold for the year ended December 31, 2025 increased $5 million (9%) compared to the comparable prior year period primarily due to product mix. Gross margin as a percentage of net sales was 39% and 48% for the years ended December 31, 2025 and 2024,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Holding Company’s results of operations primarily reflect the interest expense on its senior notes for the years ended December 31, 2025 and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Consolidated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Selling, General and Administrative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selling, general and administrative costs during the year ended December 31, 2025 increased by $54 million (7%) as compared to the comparable prior year period primarily due to higher expenses of our Automotive segment of $41 million (10%) mostly related to increased marketing and payroll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discussed in Note 10, "Property, Plant and Equipment, net, " to the consolidated financial statements, we had impairment in our Automotive segment related to property, plant and equipment, net of $25 million for the year ended December 31, 2025.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consolidated interest expense during the year ended December 31, 2025 decreased by $19 million (4%) as compared to the comparable prior year period. The decrease was primarily due to lower interest expense for our Investment segment of $63 million attributable to changes in short exposure composition. The decrease was offset in part by higher interest expense in our Holding Company segment of $23 million and Energy segment of $21 million, mainly due to the refinancing of our and our Energy segment’s senior notes at higher interest rates than the prior year.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of our subsidiaries are partnerships not subject to taxation in our consolidated financial statements and certain other subsidiaries are corporations, or subsidiaries of corporations, subject to taxation in our consolidated financial statements. Therefore, our consolidated effective tax rate generally differs from the statutory federal tax rate. Refer to Note 16, “Income Taxes,” to the consolidated financial statements for a discussion of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in accordance with FASB ASC Topic 740, </w:t>
      </w:r>
      <w:r>
        <w:rPr>
          <w:rFonts w:ascii="Times New Roman;Times;serif" w:hAnsi="Times New Roman;Times;serif"/>
          <w:i/>
          <w:sz w:val="20"/>
        </w:rPr>
        <w:t>Income Taxes</w:t>
      </w:r>
      <w:r>
        <w:rPr>
          <w:rFonts w:ascii="Times New Roman;Times;serif" w:hAnsi="Times New Roman;Times;serif"/>
          <w:sz w:val="20"/>
        </w:rPr>
        <w:t>, we analyze all positive and negative evidence and maintain a valuation allowance on deferred tax assets that are not considered more likely than not to be realized.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holding company. Our cash flow and our ability to meet our debt service obligations and make distributions with respect to depositary units depends on the cash flow resulting from divestitures, equity offerings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October 2024, CVR Energy, our subsidiary in our Energy segment, elected to suspend payment of its cash dividend, and it continued to not pay dividends in the year ended December 31, 2025, which reduced our cash flow for the relevant period. In addition, our subsidiaries are not obligated to make funds available to us and distributions and intercompany transfers from our subsidiaries to us may be restricted by applicable law or covenants contained in debt and other agreements.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our Holding Company had cash and cash equivalents of approximately $839 million and total debt of approximately $4.7 billion. As of December 31, 2025, our Holding Company had investments in the Investment Funds with a total fair market value of approximately $2.7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Holding Company Borrowings and Availability</w:t>
      </w:r>
    </w:p>
    <w:tbl>
      <w:tblPr>
        <w:tblW w:w="7281" w:type="dxa"/>
        <w:jc w:val="left"/>
        <w:tblInd w:w="0" w:type="dxa"/>
        <w:tblLayout w:type="fixed"/>
        <w:tblCellMar>
          <w:top w:w="0" w:type="dxa"/>
          <w:left w:w="0" w:type="dxa"/>
          <w:bottom w:w="0" w:type="dxa"/>
          <w:right w:w="0" w:type="dxa"/>
        </w:tblCellMar>
      </w:tblPr>
      <w:tblGrid>
        <w:gridCol w:w="5326"/>
        <w:gridCol w:w="211"/>
        <w:gridCol w:w="571"/>
        <w:gridCol w:w="346"/>
        <w:gridCol w:w="211"/>
        <w:gridCol w:w="616"/>
      </w:tblGrid>
      <w:tr>
        <w:trPr/>
        <w:tc>
          <w:tcPr>
            <w:tcW w:w="5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382010" cy="175260"/>
                      <wp:effectExtent l="0" t="0" r="0" b="0"/>
                      <wp:wrapNone/>
                      <wp:docPr id="75" name="Frame75"/>
                      <a:graphic xmlns:a="http://schemas.openxmlformats.org/drawingml/2006/main">
                        <a:graphicData uri="http://schemas.microsoft.com/office/word/2010/wordprocessingShape">
                          <wps:wsp>
                            <wps:cNvSpPr txBox="1"/>
                            <wps:spPr>
                              <a:xfrm>
                                <a:off x="0" y="0"/>
                                <a:ext cx="3382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62585" cy="175260"/>
                      <wp:effectExtent l="0" t="0" r="0" b="0"/>
                      <wp:wrapNone/>
                      <wp:docPr id="77" name="Frame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91160" cy="175260"/>
                      <wp:effectExtent l="0" t="0" r="0" b="0"/>
                      <wp:wrapNone/>
                      <wp:docPr id="80" name="Frame8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26" w:type="dxa"/>
            <w:tcBorders/>
            <w:vAlign w:val="center"/>
          </w:tcPr>
          <w:p>
            <w:pPr>
              <w:pStyle w:val="TableContents"/>
              <w:bidi w:val="0"/>
              <w:spacing w:before="0" w:after="0"/>
              <w:ind w:left="0" w:right="0" w:hanging="0"/>
              <w:jc w:val="left"/>
              <w:rPr/>
            </w:pPr>
            <w:r>
              <w:rPr/>
              <w:t>​</w:t>
            </w:r>
          </w:p>
        </w:tc>
        <w:tc>
          <w:tcPr>
            <w:tcW w:w="19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5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2025</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281"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5326" w:type="dxa"/>
            <w:tcBorders/>
            <w:vAlign w:val="center"/>
          </w:tcPr>
          <w:p>
            <w:pPr>
              <w:pStyle w:val="TableContents"/>
              <w:bidi w:val="0"/>
              <w:spacing w:before="0" w:after="0"/>
              <w:ind w:left="0" w:right="0" w:hanging="0"/>
              <w:jc w:val="left"/>
              <w:rPr/>
            </w:pPr>
            <w:r>
              <w:rPr/>
              <w:t>​</w:t>
            </w:r>
          </w:p>
        </w:tc>
        <w:tc>
          <w:tcPr>
            <w:tcW w:w="1955"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6.250% senior notes due 2026</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5.250% senior notes due 2027</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4.375% senior notes due 2029</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9.750% senior notes due 2029</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5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10.000% senior notes due 2029</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9.000% senior notes due 2030</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r>
      <w:tr>
        <w:trPr/>
        <w:tc>
          <w:tcPr>
            <w:tcW w:w="5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4,905</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discounts, premiums, and debt issuance costs</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53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Less: Notes held in treasury </w:t>
            </w:r>
            <w:r>
              <w:rPr>
                <w:rFonts w:ascii="Times New Roman;Times;serif" w:hAnsi="Times New Roman;Times;serif"/>
                <w:sz w:val="15"/>
              </w:rPr>
              <w:t>(1)</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4,699</w:t>
            </w:r>
          </w:p>
        </w:tc>
      </w:tr>
      <w:tr>
        <w:trPr/>
        <w:tc>
          <w:tcPr>
            <w:tcW w:w="5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At December 31, 2025 total debt is net of notes held in treasury of $10 million aggregate principal amount of our 6.250% senior notes due 2026, $73 million aggregate principal amount of our 5.250% senior notes due 2027, $92 million aggregate principal amount of our 4.375% senior notes due 2029, and $50 million aggregate principal amount of our 9.000% senior notes due 2030. At December 31, 2024 total debt is net of notes held in treasury of $31 million aggregate principal amount of our 6.250% senior notes due 2026, $73 million aggregate principal amount of our 5.250% senior notes due 2027, and $92 million aggregate principal amount of our 4.375% senior notes due 2029.</w:t>
            </w:r>
          </w:p>
        </w:tc>
      </w:tr>
    </w:tbl>
    <w:p>
      <w:pPr>
        <w:pStyle w:val="TextBody"/>
        <w:bidi w:val="0"/>
        <w:spacing w:before="0" w:after="0"/>
        <w:ind w:left="72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Holding Company debt consists of various issues of fixed-rate senior notes issued by Icahn Enterprises and Icahn Enterprises Finance Corp. (together the “Issuers”) and guaranteed by Icahn Enterprises Holdings (the “Guarantor”). Interest on each tranche of senior notes is payable semi-annually.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August 2025, the Issuers issued an additional $500 million in aggregate principal amount of our existing 10.000% senior secured notes due 2029. The net proceeds from the issuance, together with cash on hand, were used to partially redeem $500 million of the outstanding 6.250% senior secured notes due 2026 on September 5, 2025. The redemption included $21 million of notes held in treasury, resulting in a net debt extinguishment of $479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of our senior notes and the related guarantees are the senior obligations of the Issuers and rank equally with all of the Issuers’ and the Guarantor’s existing and future senior indebtedness and senior to all of the Issuers’ and the Guarantor’s existing and future subordinated indebtedness. Each of our senior notes and the related guarantees are effectively subordinated to the Issuers’ and the Guarantor’s existing and future secured indebtedness to the extent of the collateral securing such indebtedness. Each of our senior notes and the related guarantees are also effectively subordinated to all indebtedness and other liabilities of the Issuers’ subsidiaries other than the Guarantor.</w:t>
      </w:r>
    </w:p>
    <w:p>
      <w:pPr>
        <w:pStyle w:val="TextBody"/>
        <w:bidi w:val="0"/>
        <w:spacing w:before="0" w:after="240"/>
        <w:ind w:left="0" w:right="0" w:firstLine="360"/>
        <w:jc w:val="left"/>
        <w:rPr>
          <w:rFonts w:ascii="Times New Roman;Times;serif" w:hAnsi="Times New Roman;Times;serif"/>
          <w:sz w:val="20"/>
        </w:rPr>
      </w:pPr>
      <w:bookmarkStart w:id="69" w:name="_Hlk191140442"/>
      <w:bookmarkEnd w:id="69"/>
      <w:r>
        <w:rPr>
          <w:rFonts w:ascii="Times New Roman;Times;serif" w:hAnsi="Times New Roman;Times;serif"/>
          <w:sz w:val="20"/>
        </w:rPr>
        <w:t>The indentures governing our senior notes described above restrict the payment of cash distributions, the purchase of equity interests or the purchase, redemption, defeasance or acquisition of debt subordinated to the senior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Upon the closing of our secured debt offering in November of 2024, all of our notes are now secured and, as a result, will be excluded from the calculation of the ratio test under these covenants. As a result, we no longer have a material amount of unsecured indebtedness, and we and our subsidiaries have substantially more capacity under these covenants to incur additional unsecured indebtedness (but subject to the other covenants in the indentures governing our senior notes that restrict the ability of the Issuers and the Guarantors, as well as the ability of our non-guarantor subsidiaries, to incur incremental indebtedness). The indentures also restrict the creation of liens, mergers, consolidations and sales of substantially all of our assets, and transactions with affiliates. Additionally, each of the 5.250% senior notes due 2027, the 4.375% senior notes due 2029, the 10.000% senior notes due 2029 and the 9.000% senior notes due 2030 are subject to optional redemption premiums in the event we redeem any of the notes prior to six months before maturity. The 9.750% senior notes due 2029 are subject to optional redemption premiums in the event we redeem these notes prior to three months before maturity.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and 2024, we were in compliance with all covenants, including maintaining certain minimum financial ratios, as defined in the indentures. Additionally, as of December 31, 2025, based on covenants in the indentures governing our senior notes, we are not permitted to incur additional indebtedness; however, we are permitted to issue new notes in connection with debt refinancings of existing notes. </w:t>
      </w:r>
    </w:p>
    <w:p>
      <w:pPr>
        <w:pStyle w:val="TextBody"/>
        <w:bidi w:val="0"/>
        <w:spacing w:before="0" w:after="24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Debt Repurchases</w:t>
      </w:r>
    </w:p>
    <w:p>
      <w:pPr>
        <w:pStyle w:val="TextBody"/>
        <w:bidi w:val="0"/>
        <w:spacing w:before="0" w:after="240"/>
        <w:ind w:left="0" w:right="0" w:firstLine="360"/>
        <w:jc w:val="left"/>
        <w:rPr>
          <w:rFonts w:ascii="TimesNRMTPro" w:hAnsi="TimesNRMTPro"/>
          <w:sz w:val="20"/>
        </w:rPr>
      </w:pPr>
      <w:r>
        <w:rPr>
          <w:rFonts w:ascii="TimesNRMTPro" w:hAnsi="TimesNRMTPro"/>
          <w:sz w:val="20"/>
        </w:rPr>
        <w:t>During the year ended December 31, 2025, we repurchased in the open market approximately $50 million aggregate principal amount of our 9.000% senior notes due 2030 for total cash paid of $46 million. The repurchased notes were extinguished but were not retired and are held in treasury.</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Senior Notes Redemption </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January 27, 2026, the trustee sent on our behalf a notice of full redemption to holders of our outstanding 2026 Notes, with the redemption scheduled for February 26, 2026. The redemption price will be equal to 100.000% of the principal amount of the remaining 2026 Notes, plus accrued and unpaid interest thereon to, but not including, the redemption date and will be net of notes held in treasury. Upon the redemption of the 2026 Notes, none of the 2026 Notes will remain outstanding. We expect to use cash on hand to pay the redemption price for the 2026 Notes.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Future Debt Service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payments on our Holding Company’s senior notes will be approximately $337 million for 2026, $296 million for 2027, $260 million for 2028, $212 million for 2029 and $32 million for 2030.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At-The-Market Offerings</w:t>
      </w:r>
    </w:p>
    <w:p>
      <w:pPr>
        <w:pStyle w:val="TextBody"/>
        <w:bidi w:val="0"/>
        <w:spacing w:before="0" w:after="240"/>
        <w:ind w:left="0" w:right="0" w:firstLine="360"/>
        <w:jc w:val="left"/>
        <w:rPr>
          <w:rFonts w:ascii="TimesNRMTPro" w:hAnsi="TimesNRMTPro"/>
          <w:sz w:val="20"/>
        </w:rPr>
      </w:pPr>
      <w:r>
        <w:rPr>
          <w:rFonts w:ascii="TimesNRMTPro" w:hAnsi="TimesNRMTPro"/>
          <w:sz w:val="20"/>
        </w:rPr>
        <w:t>From time to time Icahn Enterprises enters into Open Market Sale Agreements providing for the sale of depositary units under its ongoing “at-the-market” offering program. During the year ended December 31, 2025, Icahn Enterprises sold 10,067,399 depositary units for aggregate gross proceeds of $84 million. During the year ended December 31, 2024, Icahn Enterprises sold 5,806,986 depositary units for aggregate gross proceeds of $102 million. As of December 31, 2025, Icahn Enterprises sold the maximum aggregate amount permitted under the Open Market Sale Agreement entered into on November 21, 2022. As of December 31, 2025, Icahn Enterprises may sell depositary units for up to an additional $363 million in aggregate gross proceeds pursuant to the Open Market Sale Agreement entered into on August 26, 2024. No assurance can be made that any or all amounts will be sold during the term of the agreement, and we have no obligation to sell additional depositary units under the Open Market Sale Agreement. Depending on market conditions, we may continue to sell depositary units under the Open Market Sale Agreement, and, if appropriate, enter into a new Open Market Sale Agreement to continue our “at-the-market” sales program once we have sold the full amount of our existing Open Market Sale Agreement. Our ability to access remaining capital under our “at-the-market” program may be limited by market conditions at the time of any future potential sale. While we were able to sell depositary units during the year ended December 31, 2025, there can be no assurance that any future capital will be available on acceptable terms or at all under this program.</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LP Unit Distributions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year ended December 31, 2025, we declared four quarterly distributions aggregating $2.00 per depositary unit in which each depositary unitholder had the option to make an election to receive either cash or additional depositary units. In connection with these distributions, aggregate cash distributions to all depositary unitholders that made a timely election to receive cash were $282 million, of which $175 million was distributed to Mr. Icahn and his affiliates.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February 23, 2026, the Board of Directors of the general partner of Icahn Enterprises declared a quarterly distribution in the amount of $0.50 per depositary unit, which will be paid on or about April 15, 2026 to depositary unitholders of record at the close of business on March 9, 2026. Depositary unitholders will have until April 3, 2026 to make a timely election to receive either cash or additional depositary units. If a unitholder does not make a timely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April 10, 2026. Icahn Enterprises will make a cash payment in lieu of issuing fractional depositary units to any unitholders electing to receive (or who are deemed to have elected to receive) depositary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Repurchase Authorization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May 9, 2023, the Board of Directors of the General Partner approved a repurchase program which authorizes Icahn Enterprises or affiliates of Icahn Enterprises to repurchase up to an aggregate of $500 million worth of any of our outstanding fixed-rate senior notes issued by Icahn Enterprises and Icahn Enterprises Finance Corp. and up to an aggregate of $500 million worth of the depositary units issued by Icahn Enterprises (the “Repurchase Program”), in each case subject to restrictions on use of our cash contained in the indentures governing our indebtedness.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On November 6, 2024, the Board re-approved the Repurchase Program, and, pursuant to the reapproved Repurchase Program, we were reauthorized to repurchase up to $500 million worth of our outstanding fixed-rate senior notes, in addition to the $269 million we repurchased prior to the Board’s reapproval of the Repurchase Program. During the year ended December 31, 2025, the Company did not repurchase any of the Company’s depositary units under the Repurchase Program and has repurchased $50 million worth of our outstanding fixed-rate senior notes. The repurchased notes were extinguished but were not retired and are held in treasury. We remain authorized to repurchase up to $450 million of our senior notes and up to $500 million of our outstanding depositary units, in each case subject to restrictions on use of our cash contained in the indentures governing our indebtedness.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Captive Insurance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established a captive insurance program to supplement the insurance coverage of the officers, directors, employees and agents of the Company, its subsidiaries and our general partner. Holding company restricted cash related to this program as of December 31, 2025 and December 31, 2024 was $113 million and $108 million, respectively. Whenever the captive insurance program is cancelled, any remaining assets will become available to the Holding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 of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Holding Company did not recognize any material gains or losses from the sale of investments during 2025 and 2024.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Segment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investments by us and Mr. Icahn, the Investment Funds historically have access to significant amounts of cash available from prime brokerage lines of credit, subject to customary terms and market conditions.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cash held at consolidated affiliated partnerships balance was $746 million and $915 million as of December 31, 2025 and December 31, 2024, respectively. Cash held at consolidated affiliated partnerships relates to our Investment segment and consists of cash and cash equivalents held by the Investment Funds that, although not legally restricted, are not used for the general operating needs of Icahn Enterprises.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our Investment segment liquidity is driven by the investment activities and performance of the Investment Funds. As of December 31, 2025, the Investment Funds had a net short notional exposure of 13%. The Investment Funds’ long exposure was 101% (101% long equity) and its short exposure was 114% (104% short equity and 10% short commodity). The notional exposure represents the ratio of the notional exposure of the Investment Funds’ invested capital to the net asset value of the Investment Funds at December 31,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Of the Investment Funds’ 101% long exposure, 59% was comprised of the fair value of its long positions and 42% was comprised mostly of single name equity forward and swap contracts. Of the Investment Funds’ 114% short exposure, 38% was comprised of the fair value of its short positions and 76% was comprised mostly of short broad market index swap derivative contracts and short commodity contracts.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respect to both our long positions that are not notionalized (59% long exposure) and our short positions that are not notionalized (38%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respect to the notional value of our other long positions (42% long exposure) and short positions (76%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Funds Redemptions and Distributions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years ended December 31, 2025 and 2024, Mr. Icahn and his affiliates (excluding us and Brett Icahn) redeemed $508 million and $250 million, respectively, from his personal interests in the Investment Funds included in the Investment segment. As of December 31, 2025 and 2024, the total fair market value of investments in the Investment Funds owned by the Company was approximately $2.7 billion, representing approximately 75% and 64% of the Investment Funds’ assets under management as of each respective date.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year ended December 31, 2024, the Investment Funds issued a pro-rata distribution of $650 million, including $256 million to Mr. Icahn and his affiliates (excluding us and Brett Icahn) and $394 million to the Holding Company,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Segment Liquidity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Segment Cash and Cash Equivalents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cash and cash equivalents (excluding our Investment segment) consists of the following:</w:t>
      </w:r>
    </w:p>
    <w:tbl>
      <w:tblPr>
        <w:tblW w:w="3652" w:type="dxa"/>
        <w:jc w:val="left"/>
        <w:tblInd w:w="0" w:type="dxa"/>
        <w:tblLayout w:type="fixed"/>
        <w:tblCellMar>
          <w:top w:w="0" w:type="dxa"/>
          <w:left w:w="0" w:type="dxa"/>
          <w:bottom w:w="0" w:type="dxa"/>
          <w:right w:w="0" w:type="dxa"/>
        </w:tblCellMar>
      </w:tblPr>
      <w:tblGrid>
        <w:gridCol w:w="1441"/>
        <w:gridCol w:w="346"/>
        <w:gridCol w:w="211"/>
        <w:gridCol w:w="421"/>
        <w:gridCol w:w="346"/>
        <w:gridCol w:w="211"/>
        <w:gridCol w:w="676"/>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915035" cy="175260"/>
                      <wp:effectExtent l="0" t="0" r="0" b="0"/>
                      <wp:wrapNone/>
                      <wp:docPr id="81" name="Frame81"/>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67335" cy="175260"/>
                      <wp:effectExtent l="0" t="0" r="0" b="0"/>
                      <wp:wrapNone/>
                      <wp:docPr id="84" name="Frame8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29260" cy="175260"/>
                      <wp:effectExtent l="0" t="0" r="0" b="0"/>
                      <wp:wrapNone/>
                      <wp:docPr id="87" name="Frame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65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65"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r>
      <w:tr>
        <w:trPr/>
        <w:tc>
          <w:tcPr>
            <w:tcW w:w="14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1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4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4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4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Pharma</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14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1,197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 of Equity Method Investment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the year ended December 31, 2025, our energy segment did not sell any equity method investments. During the year ended December 31, 2024, our Energy segment sold an equity method investment for cash consideration of approximately $90 million, resulting in a gain of $24 million included within Other income, net.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Segment Borrowings and Availability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Segment debt consists of the following:</w:t>
      </w:r>
    </w:p>
    <w:tbl>
      <w:tblPr>
        <w:tblW w:w="3802" w:type="dxa"/>
        <w:jc w:val="left"/>
        <w:tblInd w:w="0" w:type="dxa"/>
        <w:tblLayout w:type="fixed"/>
        <w:tblCellMar>
          <w:top w:w="0" w:type="dxa"/>
          <w:left w:w="0" w:type="dxa"/>
          <w:bottom w:w="0" w:type="dxa"/>
          <w:right w:w="0" w:type="dxa"/>
        </w:tblCellMar>
      </w:tblPr>
      <w:tblGrid>
        <w:gridCol w:w="1441"/>
        <w:gridCol w:w="346"/>
        <w:gridCol w:w="211"/>
        <w:gridCol w:w="571"/>
        <w:gridCol w:w="346"/>
        <w:gridCol w:w="211"/>
        <w:gridCol w:w="676"/>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915035" cy="175260"/>
                      <wp:effectExtent l="0" t="0" r="0" b="0"/>
                      <wp:wrapNone/>
                      <wp:docPr id="88" name="Frame88"/>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62585" cy="175260"/>
                      <wp:effectExtent l="0" t="0" r="0" b="0"/>
                      <wp:wrapNone/>
                      <wp:docPr id="91" name="Frame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29260" cy="175260"/>
                      <wp:effectExtent l="0" t="0" r="0" b="0"/>
                      <wp:wrapNone/>
                      <wp:docPr id="94" name="Frame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80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2,110</w:t>
            </w:r>
          </w:p>
        </w:tc>
      </w:tr>
    </w:tbl>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Energy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February 2026, CVR Energy completed the issuance of $1 billion aggregate principal amount of senior notes, consisting of $600 million of 7.50% senior notes due February 2031 and $400 million of 7.875% senior notes due February 2034. The proceeds from the issuance of these notes were used to (i) fund the redemption in full of CVR Energy’s existing $600 million in aggregate principal amount of 8.50% senior unsecured notes due 2029 at a redemption price equal to 104.250% of the principal amount in February 2026, resulting in a $28 million loss on extinguishment of debt in the first quarter of 2026, (ii) fund the partial redemption of $217 million of CVR Energy’s existing $400 million in aggregate principal amount of 5.75% senior unsecured notes due 2028 at par in February 2026, resulting in a less than $1 million loss on extinguishment of debt in the first quarter of 2026, and (iii) repaid the aggregate principal balance of CVR Energy’s Term Loan, resulting in a $3 million loss on extinguishment in the first quarter of 2026. </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February, 2026, CVR Energy and certain of its subsidiaries entered into Amendment No. 5 to the Amended and Restated ABL Credit Agreement (the “CVR Energy ABL Amendment”) with a group of lenders Wells Fargo Bank, National Association, a national banking associate (“Wells Fargo”), as administrative agent, collateral agent and a lender. The CVR Energy ABL Amendment amended that certain Credit Agreement, dated December 20, 2012, to, among other things, (i) increase the aggregate principal amount available under the CVR Energy ABL from $345 million to $550 million, which commitments may be further increased up to $700 million in accordance with the CVR ABL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Amendment, (ii) extend the maturity date by an additional three years from June, 30 2027 to February 12, 2031, and (iii) make certain amendments to the borrowing base calculation and negative covenants. </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2025, certain of our Energy segment’s subsidiaries (the “Term Loan Borrowers”) prepaid $165 million in principal amount of the Term Loan. As a result of these transactions, CVR Energy recognized a $3 million loss on extinguishment of debt for the year ended December 31, 2025.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December 2024, the Term Loan Borrowers entered into a senior secured term loan facility in the amount of $325 million, which was borrowed in full on the closing date, with net proceeds of $318 million. At the option of the Term Loan Borrowers, the term loan facility uses a variable interest rate based on SOFR plus 4.00% per year, or an alternate base rate, plus 3.00%.</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February 2024, CVR Energy redeemed all outstanding 5.250% senior unsecured notes due 2025, at par. As a result of this transaction, CVR Energy recognized a $1 million loss on extinguishment of debt in the year ended December 31, 2024.</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360"/>
        <w:jc w:val="left"/>
        <w:rPr>
          <w:rFonts w:ascii="Times New Roman;Times;serif" w:hAnsi="Times New Roman;Times;serif"/>
          <w:sz w:val="20"/>
        </w:rPr>
      </w:pPr>
      <w:bookmarkStart w:id="70" w:name="_Hlk191312621"/>
      <w:bookmarkEnd w:id="70"/>
      <w:r>
        <w:rPr>
          <w:rFonts w:ascii="Times New Roman;Times;serif" w:hAnsi="Times New Roman;Times;serif"/>
          <w:sz w:val="20"/>
        </w:rPr>
        <w:t>As of December 31, 2025, all of our subsidiaries were in compliance with all debt covenants. On January 23, 2026, Viskase entered into an amendment to its credit agreement providing for, among other things, a waiver of any events of default for period ending December 31, 2025.</w:t>
      </w:r>
    </w:p>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Our segments have additional borrowing availability under certain revolving credit facilities as summarized below:</w:t>
      </w:r>
    </w:p>
    <w:tbl>
      <w:tblPr>
        <w:tblW w:w="3137" w:type="dxa"/>
        <w:jc w:val="left"/>
        <w:tblInd w:w="0" w:type="dxa"/>
        <w:tblLayout w:type="fixed"/>
        <w:tblCellMar>
          <w:top w:w="0" w:type="dxa"/>
          <w:left w:w="0" w:type="dxa"/>
          <w:bottom w:w="0" w:type="dxa"/>
          <w:right w:w="0" w:type="dxa"/>
        </w:tblCellMar>
      </w:tblPr>
      <w:tblGrid>
        <w:gridCol w:w="1441"/>
        <w:gridCol w:w="346"/>
        <w:gridCol w:w="386"/>
        <w:gridCol w:w="964"/>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915035" cy="175260"/>
                      <wp:effectExtent l="0" t="0" r="0" b="0"/>
                      <wp:wrapNone/>
                      <wp:docPr id="95" name="Frame95"/>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45110" cy="175260"/>
                      <wp:effectExtent l="0" t="0" r="0" b="0"/>
                      <wp:wrapNone/>
                      <wp:docPr id="97" name="Frame9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12140" cy="175260"/>
                      <wp:effectExtent l="0" t="0" r="0" b="0"/>
                      <wp:wrapNone/>
                      <wp:docPr id="98" name="Frame98"/>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r>
      <w:tr>
        <w:trPr/>
        <w:tc>
          <w:tcPr>
            <w:tcW w:w="1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46" w:type="dxa"/>
            <w:tcBorders/>
            <w:vAlign w:val="center"/>
          </w:tcPr>
          <w:p>
            <w:pPr>
              <w:pStyle w:val="TableContents"/>
              <w:bidi w:val="0"/>
              <w:spacing w:before="0" w:after="1"/>
              <w:ind w:left="0" w:right="0" w:hanging="0"/>
              <w:jc w:val="left"/>
              <w:rPr/>
            </w:pPr>
            <w:r>
              <w:rPr/>
              <w:t> </w:t>
            </w:r>
          </w:p>
        </w:tc>
        <w:tc>
          <w:tcPr>
            <w:tcW w:w="386"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46" w:type="dxa"/>
            <w:tcBorders/>
            <w:shd w:fill="CCEEFF" w:val="clear"/>
            <w:vAlign w:val="center"/>
          </w:tcPr>
          <w:p>
            <w:pPr>
              <w:pStyle w:val="TableContents"/>
              <w:bidi w:val="0"/>
              <w:spacing w:before="0" w:after="1"/>
              <w:ind w:left="0" w:right="0" w:hanging="0"/>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4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302</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total available capacity under the CVR Energy ABL and CVR Partners’ variable rate asset based revolving credit facilities aggregated $296 million. The CVR Energy ABL also had $10 million of letters of credit outstanding as of December 31,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above outstanding debt and borrowing availability with respect to each of our continuing operating segments reflects third-party obligations. Certain terms of financings for certain of our businesses impose restrictions on the business’ ability to transfer funds to us, including restrictions on dividends, distributions, loans and other transactions. See Note 13, “Debt,” to the consolidated financial statements for further discussion regarding our segment debt, including information relating to maturities, interest rates and borrowing availabilities.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Future Debt Service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Future debt service obligations for our other operating segments are primarily within our Energy segment.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Energy segment’s future debt maturities (excluding financing leases) are $157 million for 2027, $950 million for 2028 and $600 million for 2029. Future interest payments for our Energy segment are expected to be approximately $87 million for 2026, $86 million for 2027, $74 million for 2028 and $5 million for 2029.</w:t>
      </w:r>
      <w:r>
        <w:rPr>
          <w:rFonts w:ascii="Times New Roman;Times;serif" w:hAnsi="Times New Roman;Times;serif"/>
          <w:sz w:val="20"/>
          <w:shd w:fill="FFFF00" w:val="clear"/>
        </w:rPr>
        <w:t xml:space="preserve">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Subsidiary Distributions and Dividends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year ended December 31, 2025, our Energy segment had aggregate distributions paid by CVR Partners of $77 million to non-controlling interests and $3 million to 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year ended December 31, 2024, our Energy segment paid three quarterly distributions aggregating $1.50 per share. Our portion of the dividend aggregated to $100 million. In addition, during the year ended December 31, 2024, our Energy segment had aggregate distributions of $95 million to non-controlling interests, of which $44 million are distributions paid by CVR Partners to its public unit holders.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year ended December 31, 2024, our Investment segment paid a pro-rata distribution of $650 million, which included $394 million in cash received by the Company in connection with its portion.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Purchase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Future purchase obligations for our other operating segments are primarily within our Energy and Pharma segments, as discussed in Note 19, “Commitments and Contingencies,” to the consolidated financial statements.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cash flows are composed of the activities within our Holding Company, Investment segment and other operating segments. Our Holding Company’s cash flows are generally driven by cash flows resulting from our subsidiaries loans, dividends, distributions and contributions, as well as divestitures and acquisitions, equity offerings and debt financings, interest income and expense.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cash flow information for Icahn Enterprises’ reporting segments and our Holding Company:</w:t>
      </w:r>
    </w:p>
    <w:tbl>
      <w:tblPr>
        <w:tblW w:w="12158" w:type="dxa"/>
        <w:jc w:val="left"/>
        <w:tblInd w:w="0" w:type="dxa"/>
        <w:tblLayout w:type="fixed"/>
        <w:tblCellMar>
          <w:top w:w="0" w:type="dxa"/>
          <w:left w:w="0" w:type="dxa"/>
          <w:bottom w:w="0" w:type="dxa"/>
          <w:right w:w="0" w:type="dxa"/>
        </w:tblCellMar>
      </w:tblPr>
      <w:tblGrid>
        <w:gridCol w:w="1216"/>
        <w:gridCol w:w="346"/>
        <w:gridCol w:w="261"/>
        <w:gridCol w:w="595"/>
        <w:gridCol w:w="346"/>
        <w:gridCol w:w="237"/>
        <w:gridCol w:w="544"/>
        <w:gridCol w:w="346"/>
        <w:gridCol w:w="211"/>
        <w:gridCol w:w="631"/>
        <w:gridCol w:w="346"/>
        <w:gridCol w:w="261"/>
        <w:gridCol w:w="595"/>
        <w:gridCol w:w="346"/>
        <w:gridCol w:w="237"/>
        <w:gridCol w:w="544"/>
        <w:gridCol w:w="346"/>
        <w:gridCol w:w="211"/>
        <w:gridCol w:w="631"/>
        <w:gridCol w:w="346"/>
        <w:gridCol w:w="230"/>
        <w:gridCol w:w="626"/>
        <w:gridCol w:w="346"/>
        <w:gridCol w:w="237"/>
        <w:gridCol w:w="544"/>
        <w:gridCol w:w="346"/>
        <w:gridCol w:w="211"/>
        <w:gridCol w:w="631"/>
        <w:gridCol w:w="391"/>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772160" cy="175260"/>
                      <wp:effectExtent l="0" t="0" r="0" b="0"/>
                      <wp:wrapNone/>
                      <wp:docPr id="99" name="Frame99"/>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65735" cy="175260"/>
                      <wp:effectExtent l="0" t="0" r="0" b="0"/>
                      <wp:wrapNone/>
                      <wp:docPr id="101" name="Frame101"/>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77825" cy="175260"/>
                      <wp:effectExtent l="0" t="0" r="0" b="0"/>
                      <wp:wrapNone/>
                      <wp:docPr id="102" name="Frame102"/>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50495" cy="175260"/>
                      <wp:effectExtent l="0" t="0" r="0" b="0"/>
                      <wp:wrapNone/>
                      <wp:docPr id="104" name="Frame104"/>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45440" cy="175260"/>
                      <wp:effectExtent l="0" t="0" r="0" b="0"/>
                      <wp:wrapNone/>
                      <wp:docPr id="105" name="Frame105"/>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00685" cy="175260"/>
                      <wp:effectExtent l="0" t="0" r="0" b="0"/>
                      <wp:wrapNone/>
                      <wp:docPr id="108" name="Frame10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65735" cy="175260"/>
                      <wp:effectExtent l="0" t="0" r="0" b="0"/>
                      <wp:wrapNone/>
                      <wp:docPr id="110" name="Frame110"/>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77825" cy="175260"/>
                      <wp:effectExtent l="0" t="0" r="0" b="0"/>
                      <wp:wrapNone/>
                      <wp:docPr id="111" name="Frame111"/>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50495" cy="175260"/>
                      <wp:effectExtent l="0" t="0" r="0" b="0"/>
                      <wp:wrapNone/>
                      <wp:docPr id="113" name="Frame113"/>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45440" cy="175260"/>
                      <wp:effectExtent l="0" t="0" r="0" b="0"/>
                      <wp:wrapNone/>
                      <wp:docPr id="114" name="Frame114"/>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00685" cy="175260"/>
                      <wp:effectExtent l="0" t="0" r="0" b="0"/>
                      <wp:wrapNone/>
                      <wp:docPr id="117" name="Frame11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46050" cy="175260"/>
                      <wp:effectExtent l="0" t="0" r="0" b="0"/>
                      <wp:wrapNone/>
                      <wp:docPr id="119" name="Frame11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97510" cy="175260"/>
                      <wp:effectExtent l="0" t="0" r="0" b="0"/>
                      <wp:wrapNone/>
                      <wp:docPr id="120" name="Frame120"/>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50495" cy="175260"/>
                      <wp:effectExtent l="0" t="0" r="0" b="0"/>
                      <wp:wrapNone/>
                      <wp:docPr id="122" name="Frame12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45440" cy="175260"/>
                      <wp:effectExtent l="0" t="0" r="0" b="0"/>
                      <wp:wrapNone/>
                      <wp:docPr id="123" name="Frame123"/>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00685" cy="175260"/>
                      <wp:effectExtent l="0" t="0" r="0" b="0"/>
                      <wp:wrapNone/>
                      <wp:docPr id="126" name="Frame12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48285" cy="175260"/>
                      <wp:effectExtent l="0" t="0" r="0" b="0"/>
                      <wp:wrapNone/>
                      <wp:docPr id="127" name="Frame12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7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2025</w:t>
            </w:r>
          </w:p>
        </w:tc>
        <w:tc>
          <w:tcPr>
            <w:tcW w:w="346" w:type="dxa"/>
            <w:tcBorders/>
            <w:vAlign w:val="center"/>
          </w:tcPr>
          <w:p>
            <w:pPr>
              <w:pStyle w:val="TableContents"/>
              <w:bidi w:val="0"/>
              <w:spacing w:before="0" w:after="1"/>
              <w:ind w:left="0" w:right="0" w:hanging="0"/>
              <w:jc w:val="left"/>
              <w:rPr/>
            </w:pPr>
            <w:r>
              <w:rPr/>
              <w:t>​</w:t>
            </w:r>
          </w:p>
        </w:tc>
        <w:tc>
          <w:tcPr>
            <w:tcW w:w="317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2024</w:t>
            </w:r>
          </w:p>
        </w:tc>
        <w:tc>
          <w:tcPr>
            <w:tcW w:w="346" w:type="dxa"/>
            <w:tcBorders/>
            <w:vAlign w:val="center"/>
          </w:tcPr>
          <w:p>
            <w:pPr>
              <w:pStyle w:val="TableContents"/>
              <w:bidi w:val="0"/>
              <w:spacing w:before="0" w:after="1"/>
              <w:ind w:left="0" w:right="0" w:hanging="0"/>
              <w:jc w:val="left"/>
              <w:rPr/>
            </w:pPr>
            <w:r>
              <w:rPr/>
              <w:t>​</w:t>
            </w:r>
          </w:p>
        </w:tc>
        <w:tc>
          <w:tcPr>
            <w:tcW w:w="317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2023</w:t>
            </w:r>
          </w:p>
        </w:tc>
        <w:tc>
          <w:tcPr>
            <w:tcW w:w="391" w:type="dxa"/>
            <w:tcBorders/>
            <w:vAlign w:val="center"/>
          </w:tcPr>
          <w:p>
            <w:pPr>
              <w:pStyle w:val="TableContents"/>
              <w:bidi w:val="0"/>
              <w:spacing w:before="0" w:after="1"/>
              <w:ind w:left="0" w:right="0" w:hanging="0"/>
              <w:jc w:val="center"/>
              <w:rPr/>
            </w:pPr>
            <w:r>
              <w:rPr/>
              <w:t>  ​ ​ ​</w:t>
            </w:r>
          </w:p>
        </w:tc>
      </w:tr>
      <w:tr>
        <w:trPr/>
        <w:tc>
          <w:tcPr>
            <w:tcW w:w="1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7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Cash Provided By (Used In)</w:t>
            </w:r>
          </w:p>
        </w:tc>
        <w:tc>
          <w:tcPr>
            <w:tcW w:w="346" w:type="dxa"/>
            <w:tcBorders/>
            <w:vAlign w:val="center"/>
          </w:tcPr>
          <w:p>
            <w:pPr>
              <w:pStyle w:val="TableContents"/>
              <w:bidi w:val="0"/>
              <w:spacing w:before="0" w:after="1"/>
              <w:ind w:left="0" w:right="0" w:hanging="0"/>
              <w:jc w:val="left"/>
              <w:rPr/>
            </w:pPr>
            <w:r>
              <w:rPr/>
              <w:t>​</w:t>
            </w:r>
          </w:p>
        </w:tc>
        <w:tc>
          <w:tcPr>
            <w:tcW w:w="317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Cash Provided By (Used In)</w:t>
            </w:r>
          </w:p>
        </w:tc>
        <w:tc>
          <w:tcPr>
            <w:tcW w:w="346" w:type="dxa"/>
            <w:tcBorders/>
            <w:vAlign w:val="center"/>
          </w:tcPr>
          <w:p>
            <w:pPr>
              <w:pStyle w:val="TableContents"/>
              <w:bidi w:val="0"/>
              <w:spacing w:before="0" w:after="1"/>
              <w:ind w:left="0" w:right="0" w:hanging="0"/>
              <w:jc w:val="left"/>
              <w:rPr/>
            </w:pPr>
            <w:r>
              <w:rPr/>
              <w:t>​</w:t>
            </w:r>
          </w:p>
        </w:tc>
        <w:tc>
          <w:tcPr>
            <w:tcW w:w="317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Cash Provided By (Used In)</w:t>
            </w:r>
          </w:p>
        </w:tc>
        <w:tc>
          <w:tcPr>
            <w:tcW w:w="391" w:type="dxa"/>
            <w:tcBorders/>
            <w:vAlign w:val="center"/>
          </w:tcPr>
          <w:p>
            <w:pPr>
              <w:pStyle w:val="TableContents"/>
              <w:bidi w:val="0"/>
              <w:spacing w:before="0" w:after="1"/>
              <w:ind w:left="0" w:right="0" w:hanging="0"/>
              <w:jc w:val="center"/>
              <w:rPr/>
            </w:pPr>
            <w:r>
              <w:rPr/>
              <w:t>  ​ ​ ​</w:t>
            </w:r>
          </w:p>
        </w:tc>
      </w:tr>
      <w:tr>
        <w:trPr/>
        <w:tc>
          <w:tcPr>
            <w:tcW w:w="1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Investing</w:t>
            </w:r>
          </w:p>
        </w:tc>
        <w:tc>
          <w:tcPr>
            <w:tcW w:w="346" w:type="dxa"/>
            <w:tcBorders/>
            <w:vAlign w:val="center"/>
          </w:tcPr>
          <w:p>
            <w:pPr>
              <w:pStyle w:val="TableContents"/>
              <w:bidi w:val="0"/>
              <w:spacing w:before="0" w:after="1"/>
              <w:ind w:left="0" w:right="0" w:hanging="0"/>
              <w:jc w:val="left"/>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Financing</w:t>
            </w:r>
          </w:p>
        </w:tc>
        <w:tc>
          <w:tcPr>
            <w:tcW w:w="34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Investing</w:t>
            </w:r>
          </w:p>
        </w:tc>
        <w:tc>
          <w:tcPr>
            <w:tcW w:w="346" w:type="dxa"/>
            <w:tcBorders/>
            <w:vAlign w:val="center"/>
          </w:tcPr>
          <w:p>
            <w:pPr>
              <w:pStyle w:val="TableContents"/>
              <w:bidi w:val="0"/>
              <w:spacing w:before="0" w:after="1"/>
              <w:ind w:left="0" w:right="0" w:hanging="0"/>
              <w:jc w:val="left"/>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Financing</w:t>
            </w:r>
          </w:p>
        </w:tc>
        <w:tc>
          <w:tcPr>
            <w:tcW w:w="34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Investing</w:t>
            </w:r>
          </w:p>
        </w:tc>
        <w:tc>
          <w:tcPr>
            <w:tcW w:w="346" w:type="dxa"/>
            <w:tcBorders/>
            <w:vAlign w:val="center"/>
          </w:tcPr>
          <w:p>
            <w:pPr>
              <w:pStyle w:val="TableContents"/>
              <w:bidi w:val="0"/>
              <w:spacing w:before="0" w:after="1"/>
              <w:ind w:left="0" w:right="0" w:hanging="0"/>
              <w:jc w:val="left"/>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Financing</w:t>
            </w:r>
          </w:p>
        </w:tc>
        <w:tc>
          <w:tcPr>
            <w:tcW w:w="391" w:type="dxa"/>
            <w:tcBorders/>
            <w:vAlign w:val="center"/>
          </w:tcPr>
          <w:p>
            <w:pPr>
              <w:pStyle w:val="TableContents"/>
              <w:bidi w:val="0"/>
              <w:spacing w:before="0" w:after="1"/>
              <w:ind w:left="0" w:right="0" w:hanging="0"/>
              <w:jc w:val="center"/>
              <w:rPr/>
            </w:pPr>
            <w:r>
              <w:rPr/>
              <w:t>  ​ ​ ​</w:t>
            </w:r>
          </w:p>
        </w:tc>
      </w:tr>
      <w:tr>
        <w:trPr/>
        <w:tc>
          <w:tcPr>
            <w:tcW w:w="1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46" w:type="dxa"/>
            <w:tcBorders/>
            <w:vAlign w:val="center"/>
          </w:tcPr>
          <w:p>
            <w:pPr>
              <w:pStyle w:val="TableContents"/>
              <w:bidi w:val="0"/>
              <w:spacing w:before="0" w:after="1"/>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46" w:type="dxa"/>
            <w:tcBorders/>
            <w:vAlign w:val="center"/>
          </w:tcPr>
          <w:p>
            <w:pPr>
              <w:pStyle w:val="TableContents"/>
              <w:bidi w:val="0"/>
              <w:spacing w:before="0" w:after="1"/>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46" w:type="dxa"/>
            <w:tcBorders/>
            <w:vAlign w:val="center"/>
          </w:tcPr>
          <w:p>
            <w:pPr>
              <w:pStyle w:val="TableContents"/>
              <w:bidi w:val="0"/>
              <w:spacing w:before="0" w:after="1"/>
              <w:ind w:left="0" w:right="0" w:hanging="0"/>
              <w:jc w:val="left"/>
              <w:rPr/>
            </w:pPr>
            <w:r>
              <w:rPr/>
              <w:t>  ​ ​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46" w:type="dxa"/>
            <w:tcBorders/>
            <w:vAlign w:val="center"/>
          </w:tcPr>
          <w:p>
            <w:pPr>
              <w:pStyle w:val="TableContents"/>
              <w:bidi w:val="0"/>
              <w:spacing w:before="0" w:after="1"/>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46" w:type="dxa"/>
            <w:tcBorders/>
            <w:vAlign w:val="center"/>
          </w:tcPr>
          <w:p>
            <w:pPr>
              <w:pStyle w:val="TableContents"/>
              <w:bidi w:val="0"/>
              <w:spacing w:before="0" w:after="1"/>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46" w:type="dxa"/>
            <w:tcBorders/>
            <w:vAlign w:val="center"/>
          </w:tcPr>
          <w:p>
            <w:pPr>
              <w:pStyle w:val="TableContents"/>
              <w:bidi w:val="0"/>
              <w:spacing w:before="0" w:after="1"/>
              <w:ind w:left="0" w:right="0" w:hanging="0"/>
              <w:jc w:val="left"/>
              <w:rPr/>
            </w:pPr>
            <w:r>
              <w:rPr/>
              <w:t>  ​ ​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46" w:type="dxa"/>
            <w:tcBorders/>
            <w:vAlign w:val="center"/>
          </w:tcPr>
          <w:p>
            <w:pPr>
              <w:pStyle w:val="TableContents"/>
              <w:bidi w:val="0"/>
              <w:spacing w:before="0" w:after="1"/>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46" w:type="dxa"/>
            <w:tcBorders/>
            <w:vAlign w:val="center"/>
          </w:tcPr>
          <w:p>
            <w:pPr>
              <w:pStyle w:val="TableContents"/>
              <w:bidi w:val="0"/>
              <w:spacing w:before="0" w:after="1"/>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Activities</w:t>
            </w:r>
          </w:p>
        </w:tc>
        <w:tc>
          <w:tcPr>
            <w:tcW w:w="391" w:type="dxa"/>
            <w:tcBorders/>
            <w:vAlign w:val="center"/>
          </w:tcPr>
          <w:p>
            <w:pPr>
              <w:pStyle w:val="TableContents"/>
              <w:bidi w:val="0"/>
              <w:spacing w:before="0" w:after="1"/>
              <w:ind w:left="0" w:right="0" w:hanging="0"/>
              <w:jc w:val="center"/>
              <w:rPr/>
            </w:pPr>
            <w:r>
              <w:rPr/>
              <w:t> </w:t>
            </w:r>
          </w:p>
        </w:tc>
      </w:tr>
      <w:tr>
        <w:trPr/>
        <w:tc>
          <w:tcPr>
            <w:tcW w:w="12158" w:type="dxa"/>
            <w:gridSpan w:val="29"/>
            <w:tcBorders/>
            <w:vAlign w:val="center"/>
          </w:tcPr>
          <w:p>
            <w:pPr>
              <w:pStyle w:val="TableContents"/>
              <w:bidi w:val="0"/>
              <w:spacing w:before="0" w:after="283"/>
              <w:ind w:left="0" w:right="0" w:hanging="0"/>
              <w:jc w:val="left"/>
              <w:rPr>
                <w:sz w:val="4"/>
                <w:szCs w:val="4"/>
              </w:rPr>
            </w:pPr>
            <w:r>
              <w:rPr>
                <w:sz w:val="4"/>
                <w:szCs w:val="4"/>
              </w:rPr>
            </w:r>
          </w:p>
        </w:tc>
      </w:tr>
      <w:tr>
        <w:trPr/>
        <w:tc>
          <w:tcPr>
            <w:tcW w:w="1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205" w:type="dxa"/>
            <w:gridSpan w:val="26"/>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c>
          <w:tcPr>
            <w:tcW w:w="391" w:type="dxa"/>
            <w:tcBorders/>
            <w:vAlign w:val="center"/>
          </w:tcPr>
          <w:p>
            <w:pPr>
              <w:pStyle w:val="TableContents"/>
              <w:bidi w:val="0"/>
              <w:spacing w:before="0" w:after="1"/>
              <w:ind w:left="0" w:right="0" w:hanging="0"/>
              <w:jc w:val="center"/>
              <w:rPr/>
            </w:pPr>
            <w:r>
              <w:rPr/>
              <w:t> </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Holding Company</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2,789</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(2,441)</w:t>
            </w:r>
          </w:p>
        </w:tc>
        <w:tc>
          <w:tcPr>
            <w:tcW w:w="391" w:type="dxa"/>
            <w:tcBorders/>
            <w:vAlign w:val="center"/>
          </w:tcPr>
          <w:p>
            <w:pPr>
              <w:pStyle w:val="TableContents"/>
              <w:bidi w:val="0"/>
              <w:spacing w:before="0" w:after="1"/>
              <w:ind w:left="0" w:right="0" w:hanging="0"/>
              <w:jc w:val="left"/>
              <w:rPr/>
            </w:pPr>
            <w:r>
              <w:rPr/>
              <w:t>​</w:t>
            </w:r>
          </w:p>
        </w:tc>
      </w:tr>
      <w:tr>
        <w:trPr/>
        <w:tc>
          <w:tcPr>
            <w:tcW w:w="12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5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5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Segments:</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91" w:type="dxa"/>
            <w:tcBorders/>
            <w:vAlign w:val="center"/>
          </w:tcPr>
          <w:p>
            <w:pPr>
              <w:pStyle w:val="TableContents"/>
              <w:bidi w:val="0"/>
              <w:spacing w:before="0" w:after="1"/>
              <w:ind w:left="0" w:right="0" w:hanging="0"/>
              <w:jc w:val="left"/>
              <w:rPr/>
            </w:pPr>
            <w:r>
              <w:rPr/>
              <w:t>​</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91" w:type="dxa"/>
            <w:tcBorders/>
            <w:vAlign w:val="center"/>
          </w:tcPr>
          <w:p>
            <w:pPr>
              <w:pStyle w:val="TableContents"/>
              <w:bidi w:val="0"/>
              <w:spacing w:before="0" w:after="1"/>
              <w:ind w:left="0" w:right="0" w:hanging="0"/>
              <w:jc w:val="left"/>
              <w:rPr/>
            </w:pPr>
            <w:r>
              <w:rPr/>
              <w:t>​</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5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Pharma</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5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91" w:type="dxa"/>
            <w:tcBorders/>
            <w:vAlign w:val="center"/>
          </w:tcPr>
          <w:p>
            <w:pPr>
              <w:pStyle w:val="TableContents"/>
              <w:bidi w:val="0"/>
              <w:spacing w:before="0" w:after="1"/>
              <w:ind w:left="0" w:right="0" w:hanging="0"/>
              <w:jc w:val="left"/>
              <w:rPr/>
            </w:pPr>
            <w:r>
              <w:rPr/>
              <w:t>​</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segments</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before eliminations</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(1,791)</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3,736</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(2,970)</w:t>
            </w:r>
          </w:p>
        </w:tc>
        <w:tc>
          <w:tcPr>
            <w:tcW w:w="391" w:type="dxa"/>
            <w:tcBorders/>
            <w:vAlign w:val="center"/>
          </w:tcPr>
          <w:p>
            <w:pPr>
              <w:pStyle w:val="TableContents"/>
              <w:bidi w:val="0"/>
              <w:spacing w:before="0" w:after="1"/>
              <w:ind w:left="0" w:right="0" w:hanging="0"/>
              <w:jc w:val="left"/>
              <w:rPr/>
            </w:pPr>
            <w:r>
              <w:rPr/>
              <w:t>​</w:t>
            </w:r>
          </w:p>
        </w:tc>
      </w:tr>
      <w:tr>
        <w:trPr/>
        <w:tc>
          <w:tcPr>
            <w:tcW w:w="1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Eliminations</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1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3,736</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(2,385)</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pPr>
      <w:r>
        <w:rPr>
          <w:rFonts w:ascii="Times New Roman;Times;serif" w:hAnsi="Times New Roman;Times;serif"/>
          <w:sz w:val="20"/>
        </w:rPr>
        <w:t xml:space="preserve">The discussion of consolidated cash flows below primarily discusses the comparisons between the years ended December 31, 2025 and 2024. Refer to “Management’s Discussion and Analysis of Financial Condition and Results of Operations” in Item 7 of our </w:t>
      </w:r>
      <w:hyperlink r:id="rId3">
        <w:r>
          <w:rPr>
            <w:rStyle w:val="InternetLink"/>
            <w:rFonts w:ascii="Times New Roman;Times;serif" w:hAnsi="Times New Roman;Times;serif"/>
            <w:b w:val="false"/>
            <w:i w:val="false"/>
            <w:caps w:val="false"/>
            <w:smallCaps w:val="false"/>
            <w:sz w:val="20"/>
          </w:rPr>
          <w:t>Annual Report on Form 10-K for the fiscal year ended December 31, 2024 filed on February 26, 2025</w:t>
        </w:r>
      </w:hyperlink>
      <w:r>
        <w:rPr>
          <w:rFonts w:ascii="Times New Roman;Times;serif" w:hAnsi="Times New Roman;Times;serif"/>
          <w:sz w:val="20"/>
        </w:rPr>
        <w:t>, which is incorporated by reference herein, for additional discussion of consolidated cash flows for the comparisons between the years ended December 31, 2024 and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Eliminations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Holding Company</w:t>
      </w:r>
    </w:p>
    <w:tbl>
      <w:tblPr>
        <w:tblW w:w="10205" w:type="dxa"/>
        <w:jc w:val="left"/>
        <w:tblInd w:w="0" w:type="dxa"/>
        <w:tblLayout w:type="fixed"/>
        <w:tblCellMar>
          <w:top w:w="0" w:type="dxa"/>
          <w:left w:w="0" w:type="dxa"/>
          <w:bottom w:w="0" w:type="dxa"/>
          <w:right w:w="0" w:type="dxa"/>
        </w:tblCellMar>
      </w:tblPr>
      <w:tblGrid>
        <w:gridCol w:w="6605"/>
        <w:gridCol w:w="346"/>
        <w:gridCol w:w="211"/>
        <w:gridCol w:w="527"/>
        <w:gridCol w:w="346"/>
        <w:gridCol w:w="211"/>
        <w:gridCol w:w="677"/>
        <w:gridCol w:w="346"/>
        <w:gridCol w:w="211"/>
        <w:gridCol w:w="725"/>
      </w:tblGrid>
      <w:tr>
        <w:trPr/>
        <w:tc>
          <w:tcPr>
            <w:tcW w:w="6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194175" cy="175260"/>
                      <wp:effectExtent l="0" t="0" r="0" b="0"/>
                      <wp:wrapNone/>
                      <wp:docPr id="128" name="Frame128"/>
                      <a:graphic xmlns:a="http://schemas.openxmlformats.org/drawingml/2006/main">
                        <a:graphicData uri="http://schemas.microsoft.com/office/word/2010/wordprocessingShape">
                          <wps:wsp>
                            <wps:cNvSpPr txBox="1"/>
                            <wps:spPr>
                              <a:xfrm>
                                <a:off x="0" y="0"/>
                                <a:ext cx="4194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34645" cy="175260"/>
                      <wp:effectExtent l="0" t="0" r="0" b="0"/>
                      <wp:wrapNone/>
                      <wp:docPr id="131" name="Frame131"/>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29895" cy="175260"/>
                      <wp:effectExtent l="0" t="0" r="0" b="0"/>
                      <wp:wrapNone/>
                      <wp:docPr id="134" name="Frame134"/>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60375" cy="175260"/>
                      <wp:effectExtent l="0" t="0" r="0" b="0"/>
                      <wp:wrapNone/>
                      <wp:docPr id="137" name="Frame137"/>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6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5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Year Ended December 31,</w:t>
            </w:r>
          </w:p>
        </w:tc>
      </w:tr>
      <w:tr>
        <w:trPr/>
        <w:tc>
          <w:tcPr>
            <w:tcW w:w="66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8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2024</w:t>
            </w:r>
          </w:p>
        </w:tc>
        <w:tc>
          <w:tcPr>
            <w:tcW w:w="346" w:type="dxa"/>
            <w:tcBorders/>
            <w:vAlign w:val="center"/>
          </w:tcPr>
          <w:p>
            <w:pPr>
              <w:pStyle w:val="TableContents"/>
              <w:bidi w:val="0"/>
              <w:spacing w:before="0" w:after="1"/>
              <w:ind w:left="0" w:right="0" w:hanging="0"/>
              <w:jc w:val="left"/>
              <w:rPr/>
            </w:pPr>
            <w:r>
              <w:rPr/>
              <w:t>  ​ ​ ​</w:t>
            </w:r>
          </w:p>
        </w:tc>
        <w:tc>
          <w:tcPr>
            <w:tcW w:w="9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66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54"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pPr>
            <w:r>
              <w:rPr/>
              <w:t>  ​</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payments for interest on senior notes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receipts for income taxes, net of payments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66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pPr>
            <w:r>
              <w:rPr/>
              <w:t>  ​</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Distributions from the Investment Funds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from operating segments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to operating segments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Related party note receivable repayments and disbursements,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investing activities,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60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pPr>
            <w:r>
              <w:rPr/>
              <w:t>​</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to acquire additional interests in subsidiaries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pPr>
            <w:r>
              <w:rPr/>
              <w:t>—</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partial sale of interests in consolidated subsidiaries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Holding Company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senior notes held in treasury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pPr>
            <w:r>
              <w:rPr/>
              <w:t>—</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and repurchases of Holding Company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(1,159)</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financing activities,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60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increase in cash and cash equivalents and restricted cash and restricted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240"/>
        <w:ind w:left="0" w:right="0" w:hanging="0"/>
        <w:jc w:val="left"/>
        <w:rPr/>
      </w:pPr>
      <w:r>
        <w:rPr/>
        <w:t>​</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07315" cy="175260"/>
                      <wp:effectExtent l="0" t="0" r="0" b="0"/>
                      <wp:wrapNone/>
                      <wp:docPr id="138" name="Frame138"/>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Distributions paid from the Investment Funds include a pro-rata distribution paid, which includes payment to the Holding Company, and are eliminated in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Cash from operating segments is made up of dividends, distributions, and intercompany loans that are eliminated in consolidation. During 2025, this included repayments of intercompany notes from our Automotive segment of $731 million and distributions received of $6 million; cash distributions received from our Real Estate segment of $191 million and repayments of intercompany loans of $12 million; </w:t>
      </w:r>
      <w:r>
        <w:rPr>
          <w:rFonts w:ascii="Times New Roman;Times;serif" w:hAnsi="Times New Roman;Times;serif"/>
          <w:sz w:val="20"/>
          <w:shd w:fill="FFFFFF" w:val="clear"/>
        </w:rPr>
        <w:t>repayments of intercompany loans from our Pharma segment of $36 million; and a $3 million cash dividend received from CVR Partners. </w:t>
      </w:r>
      <w:r>
        <w:rPr>
          <w:rFonts w:ascii="Times New Roman;Times;serif" w:hAnsi="Times New Roman;Times;serif"/>
          <w:sz w:val="20"/>
        </w:rPr>
        <w:t>During 2024, this included cash dividends received from CVR Energy of $100 million; cash distributions received from our Real Estate segment of $32 million; and repayments of intercompany loans received from our Pharma segment of $28 million and other distributions of $7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Cash to operating segments is made up of intercompany loans and contributions to our operating segments that are eliminated in consolidation. During 2025, this included cash contributed to our Automotive segment of $775 million, cash contributed to our Real Estate segment of $49 million and repayments of intercompany notes of $68 million; and cash paid to our Home Fashion segment of $4 million. During 2024, this included cash paid to our Automotive segment of $38 million, Real Estate segment of $37 million and Home Fashion segment of $18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Cash to operating segments are eliminated in consolidation. Changes in cash to operating segments was mainly attributable for cash paid to our Automotive and Real Estate segments for each year presented.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Partnership contributions represent sales in connection with our “at-the-market” offerings pursuant to our Open Market Sale Agreements, as discussed above.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Partnership distributions represent cash paid to depositary unitholders in connection with our regular quarterly distributions.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Payments to acquire additional interests in subsidiaries during 2025 represent payments to acquire additional interests in CVR Energy and CVR Partners of approximately $66 million and $7 million, respectively, and the private placements of Viskase of $30 million. Payments to acquire additional interests in subsidiaries in 2024 also includes amounts related to the purchase of CVR Partners’ common units.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 segment’s cash flows from operating activities for the comparable periods were attributable to its net investments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Investment segment’s cash flows used in financing activities for the year ended December 31, 2025 was due to redemptions paid to Mr. Icahn and his affiliates (excluding us and Brett Icahn) of $508 million from the Investment Funds and net redemptions of $18 million related to Brett Icahn in accordance with his manager agreement. For 2024, our Investment segment paid a pro-rata distribution of $650 million and redemptions paid to Mr. Icahn and his affiliates (excluding us and Brett Icahn) of $250 million from the Investment Funds, and net redemptions of $4 million related to Brett Icahn in accordance with his manager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Operating Segments</w:t>
      </w:r>
    </w:p>
    <w:tbl>
      <w:tblPr>
        <w:tblW w:w="10205" w:type="dxa"/>
        <w:jc w:val="left"/>
        <w:tblInd w:w="0" w:type="dxa"/>
        <w:tblLayout w:type="fixed"/>
        <w:tblCellMar>
          <w:top w:w="0" w:type="dxa"/>
          <w:left w:w="0" w:type="dxa"/>
          <w:bottom w:w="0" w:type="dxa"/>
          <w:right w:w="0" w:type="dxa"/>
        </w:tblCellMar>
      </w:tblPr>
      <w:tblGrid>
        <w:gridCol w:w="6871"/>
        <w:gridCol w:w="346"/>
        <w:gridCol w:w="211"/>
        <w:gridCol w:w="523"/>
        <w:gridCol w:w="346"/>
        <w:gridCol w:w="211"/>
        <w:gridCol w:w="523"/>
        <w:gridCol w:w="346"/>
        <w:gridCol w:w="211"/>
        <w:gridCol w:w="617"/>
      </w:tblGrid>
      <w:tr>
        <w:trPr/>
        <w:tc>
          <w:tcPr>
            <w:tcW w:w="6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363085" cy="175260"/>
                      <wp:effectExtent l="0" t="0" r="0" b="0"/>
                      <wp:wrapNone/>
                      <wp:docPr id="139" name="Frame139"/>
                      <a:graphic xmlns:a="http://schemas.openxmlformats.org/drawingml/2006/main">
                        <a:graphicData uri="http://schemas.microsoft.com/office/word/2010/wordprocessingShape">
                          <wps:wsp>
                            <wps:cNvSpPr txBox="1"/>
                            <wps:spPr>
                              <a:xfrm>
                                <a:off x="0" y="0"/>
                                <a:ext cx="436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32105" cy="175260"/>
                      <wp:effectExtent l="0" t="0" r="0" b="0"/>
                      <wp:wrapNone/>
                      <wp:docPr id="142" name="Frame142"/>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32105" cy="175260"/>
                      <wp:effectExtent l="0" t="0" r="0" b="0"/>
                      <wp:wrapNone/>
                      <wp:docPr id="145" name="Frame145"/>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91795" cy="175260"/>
                      <wp:effectExtent l="0" t="0" r="0" b="0"/>
                      <wp:wrapNone/>
                      <wp:docPr id="148" name="Frame148"/>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8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6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7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8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6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88" w:type="dxa"/>
            <w:gridSpan w:val="8"/>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6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2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2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pPr>
            <w:r>
              <w:rPr/>
              <w:t>  ​</w:t>
            </w:r>
          </w:p>
        </w:tc>
      </w:tr>
      <w:tr>
        <w:trPr/>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 from operating activities before 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w:t>
            </w:r>
          </w:p>
        </w:tc>
      </w:tr>
      <w:tr>
        <w:trPr/>
        <w:tc>
          <w:tcPr>
            <w:tcW w:w="6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6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6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7" w:type="dxa"/>
            <w:tcBorders/>
            <w:shd w:fill="CCEEFF" w:val="clear"/>
            <w:vAlign w:val="center"/>
          </w:tcPr>
          <w:p>
            <w:pPr>
              <w:pStyle w:val="TableContents"/>
              <w:bidi w:val="0"/>
              <w:spacing w:before="0" w:after="0"/>
              <w:ind w:left="0" w:right="0" w:hanging="0"/>
              <w:jc w:val="right"/>
              <w:rPr/>
            </w:pPr>
            <w:r>
              <w:rPr/>
              <w:t>  ​</w:t>
            </w:r>
          </w:p>
        </w:tc>
      </w:tr>
      <w:tr>
        <w:trPr/>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r>
      <w:tr>
        <w:trPr/>
        <w:tc>
          <w:tcPr>
            <w:tcW w:w="6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Turnaround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businesses, net of cash acquired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6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disposition of businesses and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equity method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pPr>
            <w:r>
              <w:rPr/>
              <w:t>—</w:t>
            </w:r>
          </w:p>
        </w:tc>
      </w:tr>
      <w:tr>
        <w:trPr/>
        <w:tc>
          <w:tcPr>
            <w:tcW w:w="6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6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r>
      <w:tr>
        <w:trPr/>
        <w:tc>
          <w:tcPr>
            <w:tcW w:w="6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7" w:type="dxa"/>
            <w:tcBorders/>
            <w:shd w:fill="CCEEFF" w:val="clear"/>
            <w:vAlign w:val="center"/>
          </w:tcPr>
          <w:p>
            <w:pPr>
              <w:pStyle w:val="TableContents"/>
              <w:bidi w:val="0"/>
              <w:spacing w:before="0" w:after="0"/>
              <w:ind w:left="0" w:right="0" w:hanging="0"/>
              <w:jc w:val="right"/>
              <w:rPr/>
            </w:pPr>
            <w:r>
              <w:rPr/>
              <w:t>  ​</w:t>
            </w:r>
          </w:p>
        </w:tc>
      </w:tr>
      <w:tr>
        <w:trPr/>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other borrowings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w:t>
            </w:r>
          </w:p>
        </w:tc>
      </w:tr>
      <w:tr>
        <w:trPr/>
        <w:tc>
          <w:tcPr>
            <w:tcW w:w="6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other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r>
      <w:tr>
        <w:trPr/>
        <w:tc>
          <w:tcPr>
            <w:tcW w:w="6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from Holding Company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to Holding Company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r>
      <w:tr>
        <w:trPr/>
        <w:tc>
          <w:tcPr>
            <w:tcW w:w="6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to acquire additional interests in consolidated subsidiaries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pPr>
            <w:r>
              <w:rPr/>
              <w:t>—</w:t>
            </w:r>
          </w:p>
        </w:tc>
      </w:tr>
      <w:tr>
        <w:trPr/>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68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6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 and restricted cash and restricted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in cash and cash equivalents and restricted cash and restricted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741</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other operating segments’ cash flow from operating activities before changes in operating assets and liabilities were primarily attributable to the results of our Energy segment during both periods.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Changes in operating assets and liabilities from operating activities in 2025 were primarily related to our Energy segment mainly attributable to a decrease in working capital of approximately $226 million resulting primarily from unfavorable changes in other current liabilities and accounts payable from the planned maintenance at one of its refineries. </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Capital expenditures are primarily from our Energy and Automotive segments and are primarily for maintenance and growth. Refer to Note 15, “Segment and Geographic Reporting,” for capital expenditures reported for each of our segments. Turnaround expenditures relates to our Energy segment, which were higher in 2025 compared to 2024, due to planned maintenance at one of its refineries.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Repayments of other borrowings in 2025 are primarily related to our Energy segment’s principal payments on the Term Loan of $168 million. During 2024, repayments of other borrowings are related to our Energy segment’s redemption of $600 million principal amount of its 5.25% senior notes due February 2025. </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Distributions to non-controlling interests were from our Energy segment relating to its regular quarterly dividends and distributions, excluding payments made to 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Cash from Holding Company is made up of dividends, distributions, and intercompany loans that are eliminated in consolidation. During 2025, this included cash contributed to our Automotive segment of $775 million, cash contributed to our Real Estate segment of $49 million and repayments of intercompany notes of $68 million; and cash paid to our Home Fashion segment of $4 million. During 2024, this included cash paid to our Automotive segment of $38 million, Real Estate segment of $37 million and Home Fashion segment of $18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Cash to Holding Company is made up of intercompany loans and contributions from our operating segments that are eliminated in consolidation. During 2025, this included repayments of intercompany notes from our Automotive segment of $731 million and distributions received of $6 million; cash distributions received from our Real Estate segment of $191 million and repayments of intercompany loans of $12 million; </w:t>
      </w:r>
      <w:r>
        <w:rPr>
          <w:rFonts w:ascii="Times New Roman;Times;serif" w:hAnsi="Times New Roman;Times;serif"/>
          <w:sz w:val="20"/>
          <w:shd w:fill="FFFFFF" w:val="clear"/>
        </w:rPr>
        <w:t>repayments of intercompany loans from our Pharma segment of $36 million and a $3 million cash dividend received from CVR Partners. </w:t>
      </w:r>
      <w:r>
        <w:rPr>
          <w:rFonts w:ascii="Times New Roman;Times;serif" w:hAnsi="Times New Roman;Times;serif"/>
          <w:sz w:val="20"/>
        </w:rPr>
        <w:t>During 2024, this included cash dividends received from CVR Energy of $100 million; cash distributions received from our Real Estate segment of $32 million and repayments of intercompany loans received from our Pharma segment of $28 million and other distributions of $7 million.</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Payments to acquire additional interests in consolidated subsidiaries are related to the Food Packaging private placements of $30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Capital Spending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Refer to Note 15, “Segment and Geographic Reporting,” for a reconciliation of our segments’ capital expenditures to consolidated capital expenditures for each of the years ended December 31, 2025, 2024 and 2023. In addition, our Energy segment had turnaround expenditures of $197 million, $53 million and $57 million during the years ended December 31, 2025, 2024 and 2023, respectively, which is reported separately from capital expenditures in our consolidated statements of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2026, we estimate our consolidated capital expenditures to be approximately $200 million to $240 million for our Energy segment, for both maintenance and growth, $114 million for our Automotive segment and approximately $123 million in the aggregate for all other segments.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financial statements have been prepared in accordance with accounting principles generally accepted in the United States (“U.S. GAAP”). The preparation of financial statements in conformity with U.S. GAAP requires management to make estimates and assumptions that affect the reported amounts of assets, liabilities, revenues and expenses and the disclosure of contingent assets and liabilities. Among others, estimates are used when accounting for valuation of investments. Estimates used in determining fair value measurements include, but are not limited to, expected future cash flow assumptions, market rate assumptions for contractual obligations, actuarial assumptions for benefit plans, settlement plans for litigation and contingencies, and appropriate discount rates. Estimates and assumptions are evaluated on an ongoing basis and are based on historical and other factors believed to be reasonable under the circumstances. The results of these estimates may form the basis of the carrying value of certain assets and liabilities and may not be readily apparent from other sources. Actual results, under conditions and circumstances different from those assumed, may differ from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the following accounting estimates are critical to our business operations and the understanding of results of operations and affect the more significant judgments and estimates used in the preparation of our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as described below, no provision has been made for federal, state, local or foreign income taxes on the results of operations generated by partnership activities as such taxes are the responsibility of the partners. Our corporate subsidiaries account for their income taxes under the asset and liability method.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Management periodically evaluates all evidence, both positive and negative, in determining whether a valuation allowance to reduce the carrying value of deferred tax assets is still needed. For each of December 31, 2025 and 2024, we concluded, based on the projections of taxable income, that certain of our corporate subsidiaries more likely than not will realize a partial benefit from their deferred tax assets and loss carry forwards. Ultimate realization of the deferred tax assets is dependent upon, among other factors, our corporate subsidiaries’ ability to generate sufficient taxable income within the carryforward periods and is subject to change depending on the tax laws in effect in the years in which the carryforwards are used.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Note 16, “Income Taxes,” to the consolidated financial statements for further discussion regarding our income taxes.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Valuation of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our investments, including securities sold, not yet purchased, is based on observable market prices when available. Securities owned by the Investment Funds that are listed on a securities exchange are valued at their last sales price on the primary 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applicable general partner. For some investments little market activity may exist; management’s determination of fair value is then based on the best information available in the circumstances and may incorporate management’s own assumptions and involves a significant degree of judgment.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Note 6, “Fair Value Measurements” to the consolidated financial statements for further discussion regarding our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Long-Lived Assets and Goodwill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calculate depreciation and amortization on a straight-line basis over the estimated useful lives of the various definite-lived assets. When assets are placed in service, we make estimates of what we believe are their reasonable useful lives.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Long-Lived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Long-lived assets held and used by our various operating segments and long-lived assets to be disposed of are reviewed for impairment whenever events or changes in circumstances indicate a possible significant deterioration in future expected cash flows that could result in the carrying amount of an asset not being recoverable. In performing the review for recoverability, we estimate the future cash flows expected to result from the remaining useful life of the asset and its eventual disposition. Assumptions used in the review of recoverability require the exercise of significant judgment, including judgment about terminal values, growth rates, and the amount and timing of expected future cash flows. The forecasted cash flows are based on current plans and for years beyond that plan, the estimates are based on assumed growth rates. If the sum of the estimated future cash flows, undiscounted and without interest charges, is less than the carrying amount of the asset, a fair value assessment is performed. If the carrying amount of the asset exceeds its fair value, an impairment loss is recognized in accordance with U.S. GAAP. Similarly, long-lived assets to be disposed of are reported at the lower of carrying amount or fair value less cost to sell.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Indefinite-lived intangible assets, such as goodwill and trademarks, held by our various segments are reviewed for impairment annually, or more frequently if impairment indicators exist. Goodwill impairment testing consists of (i) a qualitative analysis to determine whether it is more likely than not that the fair value of a reporting unit is less than its carrying amount, including goodwill, and/or, if necessary, (ii) a quantitative analysis which involves comparing the fair value of our reporting units to their respective carrying values. If the fair value of the reporting unit exceeds its carrying value, no impairment is necessary. If the carrying amount of the reporting unit exceeds its fair value, an impairment loss, equal to the difference (limited to the total amount of goodwill allocated to the tested reporting unit), is recognized in accordance with U.S. GAAP.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When performing the quantitative analysis for goodwill impairment testing, we base the fair value of our reporting units on consideration of various valuation methodologies, including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 The inputs used to determine the fair values of our reporting units, including future cash flows, discount rates and growth rates and other assumptions involves a significant degree of judgment.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our consolidated goodwill was $290 million, primarily within our Automotive segment’s reporting unit. We perform the annual goodwill impairment test for our Automotive segment as of October 1 of each year.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third quarter of 2024, we experienced declining sales in our Automotive Services business, due to, among other factors, reduced consumer spending on automotive repairs and maintenance and certain operational challenges, resulting in a reduction in expected future cash flows. This led to a goodwill triggering event during the quarter ended September 30, 2024. Our goodwill impairment testing concluded that no impairment was required at that time, and we have undertaken operational changes, including changes in management and strategy, that we believe will lead to improvements in the performance of the business and cash flows. However, if our growth and profitability initiatives do not realize their expected benefits, our assets in this business may be subject to impairment. On October 1, 2024, we performed a qualitative annual goodwill impairment analysis for our Automotive segment. We determined that it was not more likely than not that the fair value of the Service reporting unit was below its carrying amount and therefore, no impairment is required. As of December 31, 2025, our Automotive segment had remaining goodwill of $250 million, which is allocated entirely to its reporting unit.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Note 11, “Goodwill and Intangible Assets, Net,” to the consolidated financial statements for further discussion regarding goodwill and intangible assets.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Standards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Note 2, “Basis of Presentation and Summary of Significant Accounting Policies,” to the consolidated financial statements for a discussion of recent accounting pronouncements applicable to us.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1" w:name="Item7AQuantitativeandQualitativeDisclosu"/>
      <w:bookmarkStart w:id="72" w:name="_17b4574d_cd01_4bb9_8650_fefc6e20a51a"/>
      <w:bookmarkEnd w:id="71"/>
      <w:bookmarkEnd w:id="72"/>
      <w:r>
        <w:rPr>
          <w:rFonts w:ascii="Times New Roman;Times;serif" w:hAnsi="Times New Roman;Times;serif"/>
          <w:b/>
          <w:sz w:val="20"/>
        </w:rPr>
        <w:t>Item 7A.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consolidated balance sheets include substantial amounts of assets and liabilities whose fair values are subject to market risks. Our significant market risks are primarily associated with equity prices, commodity prices, interest rates and foreign currency exchange rates as discussed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Price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predominant exposure to equity price risk is related to our Investment segment and the sensitivities to movements in the fair value of the Investment Funds’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the financial assets and liabilities of the Investment Funds primarily fluctuates in response to changes in the value of securities. The net effect of these fair value changes impacts the net gains from investment activities in our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hold investments that are reported at fair value as of the reporting date, which include securities owned, securities sold, not yet purchased and derivatives as reported in our consolidated balance sheets. Based on their respective balances as of December 31, 2025, we estimate that in the event of a 10% adverse change in the fair value of these investments, the fair values of securities owned, securities sold, not yet purchased and derivatives, based on the price impact on notional value, would decrease by approximately $215 million, $138 million and $423 million, respectively. However, as of December 31, 2025, we estimate that the impact to our share of the net gain (loss) from investment activities reported in our consolidated statements of operations would be less than the change in fair value since we have an investment of approximately 75% in the Investment Funds, and the non-controlling interests in income would correspondingly offset approximately 25% of the change in fair value. As of December 31, 2024, we estimated that in the event of a 10% adverse change in the fair value of these investments, the fair values of securities owned, securities sold, not yet purchased and derivatives, based on the price impact on notional value, would decrease by approximately $227 million, $137 million and $409 million, respectively and as of December 31, 2024, our investment in the Investment Funds was 64%.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Commodity Price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CVR Energy, as a manufacturer of refined petroleum and renewable products, and CVR Partners, as a manufacturer of nitrogen fertilizer products, all of which are commodities, have exposure to market pricing for products sold in the future. In order to realize value from our Energy segment’s processing capacity, a positive spread between the cost of raw materials and the value of finished products must be achieved (i.e., gross margin or crack spread). The physical commodities that comprise our raw materials and finished goods are typically bought and sold at a spot or index price that can be highly variable.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Energy segment’s petroleum business uses a crude oil purchasing intermediary to purchase the majority of its non-gathered crude oil inventory for the refineries, which allows it to take title to and price its crude oil at locations in close proximity to the refineries, as opposed to the crude oil origination point, reducing its risk associated with volatile commodity prices by shortening the commodity conversion cycle time. The commodity conversion cycle time refers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time elapsed between raw material acquisition and the sale of finished goods. In addition, the petroleum business seeks to reduce the variability of commodity price exposure by engaging in hedging strategies and transactions that will serve to protect gross margins as forecasted in the annual operating plan. With regard to its hedging activities, CVR Energy may enter into, or has entered into, derivative instruments which serve to: lock in or fix a percentage of the anticipated or planned gross margin in future periods when the derivative market offers commodity spreads that generate positive cash flows; hedge the value of inventories in excess of minimum required inventories; and manage existing derivative positions related to a change in anticipated operations and market conditions.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predominant exposure to interest rate risk is related to our operating subsidiaries.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operating subsidiaries have variable rate debt primarily with a principal amount outstanding aggregating $323 million as of December 31, 2025, primarily at our Energy and Food Packaging segment. A 1.0% increase in interest rates would increase interest expense by approximately $3 million on an annualized basis, thus decreasing net income by the same amount. Additionally, as of December 31, 2025, our operating segments have additional borrowing availability subject to variable interest rates aggregating $302 million, which if outstanding, would increase our operating segments’ exposure to changes in interest rates.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Exchange Rate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of our subsidiaries operate in foreign jurisdictions and we transact business in foreign currencies. In addition, we may hold investments in common stocks of major multinational companies who have significant foreign business and foreign currency risk of their own. Our net assets subject to financial statement translation into U.S. Dollars are primarily in our Food Packaging segment.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Viskase has foreign currency exposures related to buying, selling, and financing in currencies other than the local currencies in which they operate. Viskase is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Viskase’s financial condition. Viskase recorded a translation loss of $7 million in accumulated other comprehensive loss for each of the years ended December 31, 2025 and 2024, and recorded a translation gain in earnings of $3 million and a translation loss of $9 million for the years ended December 31, 2025 and 2024,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and the Investment Funds are subject to certain inherent risks through our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monitor performance and counterparty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we monitor the credit quality of such counterparty and seek to do business with creditworthy counterparties. Counterparty risk is monitored by obtaining and reviewing public information filed by the counterparties and others.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Compliance Program Price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a producer of transportation fuels from petroleum, our Energy segment’s obligated-party subsidiaries are required to blend biofuels into the transportation fuels they produce or to purchase RINs in the open market in lieu of blending to meet the mandates established by the EPA, unless such blending obligations are waived by the EPA. CVR Energy’s obligated-party subsidiaries are exposed to market risk related to volatility in the price of RINs needed to comply with the Renewable Fuel Standards. See Note 19, “Commitments and Contingencies,” to the consolidated financial statements for further discussion about compliance with the Renewable Fuel Standards.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3" w:name="Item8FinancialStatementsandSupplementary"/>
      <w:bookmarkStart w:id="74" w:name="_c50e4451_58d2_44a7_a557_b4e6f89abfe4"/>
      <w:bookmarkEnd w:id="73"/>
      <w:bookmarkEnd w:id="74"/>
      <w:r>
        <w:rPr>
          <w:rFonts w:ascii="Times New Roman;Times;serif" w:hAnsi="Times New Roman;Times;serif"/>
          <w:b/>
          <w:sz w:val="20"/>
        </w:rPr>
        <w:t>Item 8. Financial Statements and Supplementary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Board of Directors and Partners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Icahn Enterprises L.P.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Opinion on the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audited the accompanying consolidated balance sheets of Icahn Enterprises L.P. (a Delaware limited partnership) and subsidiaries (the “Partnership”) as of December 31, 2025 and 2024, the related consolidated statements of operations, comprehensive loss, changes in equity, and cash flows for each of the three years in the period ended December 31, 2025, and the related notes and financial statement schedule included under Item 15(a)(2) (collectively referred to as the “consolidated financial statements”). In our opinion, the consolidated financial statements present fairly, in all material respects, the financial position of the Partnership as of December 31, 2025 and 2024, and the results of its operations and its cash flows for each of the three years in the period ended December 31, 2025, in conformity with accounting principles generally accepted in the United States of America.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Partnership’s internal control over financial reporting as of December 31, 2025, based on criteria established in the 2013 Internal Control—Integrated Framework issued by the Committee of Sponsoring Organizations of the Treadway Commission (“COSO”), and our report dated February 25, 2026 expressed an unqualified opinion.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Basis for opinion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consolidated financial statements are the responsibility of the Partnership’s management. Our responsibility is to express an opinion on the Partnership’s consolidated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Goodwill Impairment Assessment – Automotive Reporting Unit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described further in Notes 2 and 11 to the consolidated financial statements, goodwill is reviewed for impairment annually, or more frequently if impairment indicators exist. When performing goodwill testing, the Company first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considers qualitative factors and if necessary, a quantitative impairment test is performed. On October 1, 2025, the Company identified a triggering event at its automotive reporting unit, which resulted in the Company performing a quantitative impairment test. As part of the quantitative impairment test, management estimated the fair value of the Company’s automotive reporting unit, which was based on a combination of discounted cash flows and guideline public company multiples of current and future earnings. We identified the revenue growth rates and the discount rates used within the discounted cash flows for the automotive reporting unit quantitative goodwill test as a critical audit matter.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principal considerations for our determination that the revenue growth rates and the discount rates used within the discounted cash flows is a critical audit matter are that they involve a high degree of management judgement and estimation uncertainty, and because the fair value of the automotive reporting unit is sensitive to changes in these assumptions. Auditing the revenue growth rates and discount rates required a high degree of auditor judgment.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audit procedures related to the revenue growth rates and discount rates used within the quantitative goodwill impairment test for the automotive reporting unit included the following among others:</w:t>
      </w:r>
    </w:p>
    <w:p>
      <w:pPr>
        <w:pStyle w:val="TextBody"/>
        <w:bidi w:val="0"/>
        <w:spacing w:lineRule="auto" w:line="304"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Obtained an understanding, evaluated the design and tested the operating effectiveness of controls over management’s goodwill impairment process for the automotive reporting unit.</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completeness and accuracy of the underlying data used by the Company in its analysis.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Performed a sensitivity analysis to evaluate the impact of changes in revenue growth rates and discount rates on the reporting unit’s fair value and compared the revenue growth rate assumptions to recent performance and current industry trends.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Involved our valuation specialists to evaluate the reasonableness of the overall methodologies and the discount rates. The valuation specialists independently developed a range of discount rates derived using publicly available data and compared the discount rate used to value the automotive reporting unit to this range.</w:t>
            </w:r>
          </w:p>
        </w:tc>
      </w:tr>
    </w:tbl>
    <w:p>
      <w:pPr>
        <w:pStyle w:val="TextBody"/>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We have served as the Partnership’s auditor since 2004.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/s/GRANT THORNTON LLP</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Fort Lauderdale, Florida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February 25,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5" w:name="_98329c5f_e4e2_4905_8f86_a1318d7b4bba"/>
      <w:bookmarkEnd w:id="75"/>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bookmarkStart w:id="76" w:name="BALANCESHEETS_124396"/>
      <w:bookmarkEnd w:id="76"/>
      <w:r>
        <w:rPr>
          <w:rFonts w:ascii="Times New Roman;Times;serif" w:hAnsi="Times New Roman;Times;serif"/>
          <w:b/>
          <w:sz w:val="20"/>
        </w:rPr>
        <w:t>CONSOLIDATED BALANCE SHEETS</w:t>
      </w:r>
    </w:p>
    <w:p>
      <w:pPr>
        <w:pStyle w:val="Normal"/>
        <w:bidi w:val="0"/>
        <w:spacing w:before="0" w:after="0"/>
        <w:jc w:val="left"/>
        <w:rPr>
          <w:sz w:val="4"/>
          <w:szCs w:val="4"/>
        </w:rPr>
      </w:pPr>
      <w:r>
        <w:rPr>
          <w:sz w:val="4"/>
          <w:szCs w:val="4"/>
        </w:rPr>
      </w:r>
      <w:bookmarkStart w:id="77" w:name="Tc_rtslZXn0wUi7jUH-2hFTTQ_38_5"/>
      <w:bookmarkStart w:id="78" w:name="Tc_SdbRQ1e5DkqdDXN8DlExZQ_38_2"/>
      <w:bookmarkStart w:id="79" w:name="Tc_D6mLHvKMr0OCoT53Ix-ZhA_38_0"/>
      <w:bookmarkStart w:id="80" w:name="Tc_C-eykhgxukWpXpvwUmzGcQ_37_0"/>
      <w:bookmarkStart w:id="81" w:name="Tc_Pn6065i3dkeLl4fWRV28Lg_36_0"/>
      <w:bookmarkStart w:id="82" w:name="Tc_fSwi92Qjx0ugbAznS2nnrg_35_0"/>
      <w:bookmarkStart w:id="83" w:name="Tc_80UGq_6u7E-2JmaE6OtnzA_34_0"/>
      <w:bookmarkStart w:id="84" w:name="Tc_rcV6CvtPu0mTm1QZMe-hJA_33_0"/>
      <w:bookmarkStart w:id="85" w:name="Tc_vxp76lz7_0mMWQ3OGH409Q_32_0"/>
      <w:bookmarkStart w:id="86" w:name="Tc_cAjPZzcjWUm4H_QMq1vCjw_30_0"/>
      <w:bookmarkStart w:id="87" w:name="Tc_Bj07Xohuo0W2NNPdhih8nQ_28_0"/>
      <w:bookmarkStart w:id="88" w:name="Tc_8q63OBv8cUWwCmL_AdqCPQ_27_0"/>
      <w:bookmarkStart w:id="89" w:name="Tc_YmmJwJmiL0uKlT-OOkAKxQ_26_3"/>
      <w:bookmarkStart w:id="90" w:name="Tc_wdWAzIcdnkSLO4_SfKY1bQ_26_0"/>
      <w:bookmarkStart w:id="91" w:name="Tc_c0LT4zZDXU2gpLorweRJsw_25_0"/>
      <w:bookmarkStart w:id="92" w:name="Tc_IdLpu0UPYkqzkm-zFvd6VQ_24_0"/>
      <w:bookmarkStart w:id="93" w:name="Tc_YQz_CoYfG0OrzsCQw_w5tw_23_0"/>
      <w:bookmarkStart w:id="94" w:name="Tc_VDwuKavFfEaER9CPQdN4vA_22_0"/>
      <w:bookmarkStart w:id="95" w:name="Tc_O7WfFq53dEiA3uJaoH3AeQ_21_5"/>
      <w:bookmarkStart w:id="96" w:name="Tc_vogVh1QCsk-7q9O37PhNgA_21_2"/>
      <w:bookmarkStart w:id="97" w:name="Tc_AJbI-A7VZkiWbF9vT42iwg_21_0"/>
      <w:bookmarkStart w:id="98" w:name="Tc_MOcT4MaPkUSWPpgFsnHiQA_20_0"/>
      <w:bookmarkStart w:id="99" w:name="Tc_CymxNHkTx0qtz7iFTaU1LA_19_5"/>
      <w:bookmarkStart w:id="100" w:name="Tc_CQnZL4X9tESQbnSDfyauuw_19_2"/>
      <w:bookmarkStart w:id="101" w:name="Tc_4ohJXB1xl0esmseK6WWttw_19_0"/>
      <w:bookmarkStart w:id="102" w:name="Tc_tR2GSbxRcEi1yk9VuW1yiQ_18_0"/>
      <w:bookmarkStart w:id="103" w:name="Tc_pPXqKSkO-UGoZgTA8Kr4eA_17_3"/>
      <w:bookmarkStart w:id="104" w:name="Tc_NYLIS6L3Zk64OVoU-r3bZg_17_0"/>
      <w:bookmarkStart w:id="105" w:name="Tc_C_W3FDsQLUqnJQXc01__fw_16_0"/>
      <w:bookmarkStart w:id="106" w:name="Tc_mm3G_B4mqkesk0QlG1JRtw_15_0"/>
      <w:bookmarkStart w:id="107" w:name="Tc_SBv6q_ZKd0SoJeiQuoOPcA_14_0"/>
      <w:bookmarkStart w:id="108" w:name="Tc_96_xzaouekKP7QDMItLSSg_13_0"/>
      <w:bookmarkStart w:id="109" w:name="Tc_X7l5-alVY0qg8nlBVvaxNw_12_0"/>
      <w:bookmarkStart w:id="110" w:name="Tc_2fTOdCryP0mz4EzYKqwoCg_11_0"/>
      <w:bookmarkStart w:id="111" w:name="Tc_xXPeJjsa5kWuZPk3Jk-EPg_10_0"/>
      <w:bookmarkStart w:id="112" w:name="Tc_jkPJHiLb5EKQr81QUyuxPA_9_0"/>
      <w:bookmarkStart w:id="113" w:name="Tc_vgk9yTdPH0ukqyyjXUF5UA_8_0"/>
      <w:bookmarkStart w:id="114" w:name="Tc_SkTfLX18d06FUiiWQhSdfA_7_0"/>
      <w:bookmarkStart w:id="115" w:name="Tc_bfmaJDZAyUCZpx8qEjpM_g_6_0"/>
      <w:bookmarkStart w:id="116" w:name="Tc_y5y9T9FL7kiPssXnbz3c5g_5_5"/>
      <w:bookmarkStart w:id="117" w:name="Tc_nhZeM1htFE2DDSnKTlVc3w_5_2"/>
      <w:bookmarkStart w:id="118" w:name="Tc_8tAelmr7MUudHceJdMYmGg_5_0"/>
      <w:bookmarkStart w:id="119" w:name="Tc_YQbU-xdOpkm8wsKSZ4Io4g_4_0"/>
      <w:bookmarkStart w:id="120" w:name="Tc_j3v-4Ww9ZEmGHPHcmRTXmQ_3_2"/>
      <w:bookmarkStart w:id="121" w:name="Tc_sxMDWlcgPkiVbTlKYGpPOQ_2_5"/>
      <w:bookmarkStart w:id="122" w:name="Tc_cl3D_gFsXEGCa2EgzaFZkg_2_2"/>
      <w:bookmarkStart w:id="123" w:name="Tc_JpZsmpUyrkKjaYKYHDX8Gw_1_2"/>
      <w:bookmarkStart w:id="124" w:name="_73ac2dd0_9276_407e_8cea_4e1d751ae372"/>
      <w:bookmarkStart w:id="125" w:name="Tc_rtslZXn0wUi7jUH-2hFTTQ_38_5"/>
      <w:bookmarkStart w:id="126" w:name="Tc_SdbRQ1e5DkqdDXN8DlExZQ_38_2"/>
      <w:bookmarkStart w:id="127" w:name="Tc_D6mLHvKMr0OCoT53Ix-ZhA_38_0"/>
      <w:bookmarkStart w:id="128" w:name="Tc_C-eykhgxukWpXpvwUmzGcQ_37_0"/>
      <w:bookmarkStart w:id="129" w:name="Tc_Pn6065i3dkeLl4fWRV28Lg_36_0"/>
      <w:bookmarkStart w:id="130" w:name="Tc_fSwi92Qjx0ugbAznS2nnrg_35_0"/>
      <w:bookmarkStart w:id="131" w:name="Tc_80UGq_6u7E-2JmaE6OtnzA_34_0"/>
      <w:bookmarkStart w:id="132" w:name="Tc_rcV6CvtPu0mTm1QZMe-hJA_33_0"/>
      <w:bookmarkStart w:id="133" w:name="Tc_vxp76lz7_0mMWQ3OGH409Q_32_0"/>
      <w:bookmarkStart w:id="134" w:name="Tc_cAjPZzcjWUm4H_QMq1vCjw_30_0"/>
      <w:bookmarkStart w:id="135" w:name="Tc_Bj07Xohuo0W2NNPdhih8nQ_28_0"/>
      <w:bookmarkStart w:id="136" w:name="Tc_8q63OBv8cUWwCmL_AdqCPQ_27_0"/>
      <w:bookmarkStart w:id="137" w:name="Tc_YmmJwJmiL0uKlT-OOkAKxQ_26_3"/>
      <w:bookmarkStart w:id="138" w:name="Tc_wdWAzIcdnkSLO4_SfKY1bQ_26_0"/>
      <w:bookmarkStart w:id="139" w:name="Tc_c0LT4zZDXU2gpLorweRJsw_25_0"/>
      <w:bookmarkStart w:id="140" w:name="Tc_IdLpu0UPYkqzkm-zFvd6VQ_24_0"/>
      <w:bookmarkStart w:id="141" w:name="Tc_YQz_CoYfG0OrzsCQw_w5tw_23_0"/>
      <w:bookmarkStart w:id="142" w:name="Tc_VDwuKavFfEaER9CPQdN4vA_22_0"/>
      <w:bookmarkStart w:id="143" w:name="Tc_O7WfFq53dEiA3uJaoH3AeQ_21_5"/>
      <w:bookmarkStart w:id="144" w:name="Tc_vogVh1QCsk-7q9O37PhNgA_21_2"/>
      <w:bookmarkStart w:id="145" w:name="Tc_AJbI-A7VZkiWbF9vT42iwg_21_0"/>
      <w:bookmarkStart w:id="146" w:name="Tc_MOcT4MaPkUSWPpgFsnHiQA_20_0"/>
      <w:bookmarkStart w:id="147" w:name="Tc_CymxNHkTx0qtz7iFTaU1LA_19_5"/>
      <w:bookmarkStart w:id="148" w:name="Tc_CQnZL4X9tESQbnSDfyauuw_19_2"/>
      <w:bookmarkStart w:id="149" w:name="Tc_4ohJXB1xl0esmseK6WWttw_19_0"/>
      <w:bookmarkStart w:id="150" w:name="Tc_tR2GSbxRcEi1yk9VuW1yiQ_18_0"/>
      <w:bookmarkStart w:id="151" w:name="Tc_pPXqKSkO-UGoZgTA8Kr4eA_17_3"/>
      <w:bookmarkStart w:id="152" w:name="Tc_NYLIS6L3Zk64OVoU-r3bZg_17_0"/>
      <w:bookmarkStart w:id="153" w:name="Tc_C_W3FDsQLUqnJQXc01__fw_16_0"/>
      <w:bookmarkStart w:id="154" w:name="Tc_mm3G_B4mqkesk0QlG1JRtw_15_0"/>
      <w:bookmarkStart w:id="155" w:name="Tc_SBv6q_ZKd0SoJeiQuoOPcA_14_0"/>
      <w:bookmarkStart w:id="156" w:name="Tc_96_xzaouekKP7QDMItLSSg_13_0"/>
      <w:bookmarkStart w:id="157" w:name="Tc_X7l5-alVY0qg8nlBVvaxNw_12_0"/>
      <w:bookmarkStart w:id="158" w:name="Tc_2fTOdCryP0mz4EzYKqwoCg_11_0"/>
      <w:bookmarkStart w:id="159" w:name="Tc_xXPeJjsa5kWuZPk3Jk-EPg_10_0"/>
      <w:bookmarkStart w:id="160" w:name="Tc_jkPJHiLb5EKQr81QUyuxPA_9_0"/>
      <w:bookmarkStart w:id="161" w:name="Tc_vgk9yTdPH0ukqyyjXUF5UA_8_0"/>
      <w:bookmarkStart w:id="162" w:name="Tc_SkTfLX18d06FUiiWQhSdfA_7_0"/>
      <w:bookmarkStart w:id="163" w:name="Tc_bfmaJDZAyUCZpx8qEjpM_g_6_0"/>
      <w:bookmarkStart w:id="164" w:name="Tc_y5y9T9FL7kiPssXnbz3c5g_5_5"/>
      <w:bookmarkStart w:id="165" w:name="Tc_nhZeM1htFE2DDSnKTlVc3w_5_2"/>
      <w:bookmarkStart w:id="166" w:name="Tc_8tAelmr7MUudHceJdMYmGg_5_0"/>
      <w:bookmarkStart w:id="167" w:name="Tc_YQbU-xdOpkm8wsKSZ4Io4g_4_0"/>
      <w:bookmarkStart w:id="168" w:name="Tc_j3v-4Ww9ZEmGHPHcmRTXmQ_3_2"/>
      <w:bookmarkStart w:id="169" w:name="Tc_sxMDWlcgPkiVbTlKYGpPOQ_2_5"/>
      <w:bookmarkStart w:id="170" w:name="Tc_cl3D_gFsXEGCa2EgzaFZkg_2_2"/>
      <w:bookmarkStart w:id="171" w:name="Tc_JpZsmpUyrkKjaYKYHDX8Gw_1_2"/>
      <w:bookmarkStart w:id="172" w:name="_73ac2dd0_9276_407e_8cea_4e1d751ae372"/>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tbl>
      <w:tblPr>
        <w:tblW w:w="10205" w:type="dxa"/>
        <w:jc w:val="left"/>
        <w:tblInd w:w="0" w:type="dxa"/>
        <w:tblLayout w:type="fixed"/>
        <w:tblCellMar>
          <w:top w:w="0" w:type="dxa"/>
          <w:left w:w="0" w:type="dxa"/>
          <w:bottom w:w="0" w:type="dxa"/>
          <w:right w:w="0" w:type="dxa"/>
        </w:tblCellMar>
      </w:tblPr>
      <w:tblGrid>
        <w:gridCol w:w="7504"/>
        <w:gridCol w:w="346"/>
        <w:gridCol w:w="223"/>
        <w:gridCol w:w="715"/>
        <w:gridCol w:w="366"/>
        <w:gridCol w:w="223"/>
        <w:gridCol w:w="828"/>
      </w:tblGrid>
      <w:tr>
        <w:trPr/>
        <w:tc>
          <w:tcPr>
            <w:tcW w:w="7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765040" cy="175260"/>
                      <wp:effectExtent l="0" t="0" r="0" b="0"/>
                      <wp:wrapNone/>
                      <wp:docPr id="149" name="Frame149"/>
                      <a:graphic xmlns:a="http://schemas.openxmlformats.org/drawingml/2006/main">
                        <a:graphicData uri="http://schemas.microsoft.com/office/word/2010/wordprocessingShape">
                          <wps:wsp>
                            <wps:cNvSpPr txBox="1"/>
                            <wps:spPr>
                              <a:xfrm>
                                <a:off x="0" y="0"/>
                                <a:ext cx="4765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41605" cy="175260"/>
                      <wp:effectExtent l="0" t="0" r="0" b="0"/>
                      <wp:wrapNone/>
                      <wp:docPr id="151" name="Frame15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54025" cy="175260"/>
                      <wp:effectExtent l="0" t="0" r="0" b="0"/>
                      <wp:wrapNone/>
                      <wp:docPr id="152" name="Frame152"/>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32410" cy="175260"/>
                      <wp:effectExtent l="0" t="0" r="0" b="0"/>
                      <wp:wrapNone/>
                      <wp:docPr id="153" name="Frame153"/>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41605" cy="175260"/>
                      <wp:effectExtent l="0" t="0" r="0" b="0"/>
                      <wp:wrapNone/>
                      <wp:docPr id="154" name="Frame15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25780" cy="175260"/>
                      <wp:effectExtent l="0" t="0" r="0" b="0"/>
                      <wp:wrapNone/>
                      <wp:docPr id="155" name="Frame155"/>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75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5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55"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 except unit amounts)</w:t>
            </w:r>
          </w:p>
        </w:tc>
      </w:tr>
      <w:tr>
        <w:trPr/>
        <w:tc>
          <w:tcPr>
            <w:tcW w:w="7504"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center"/>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center"/>
              <w:rPr/>
            </w:pPr>
            <w:r>
              <w:rPr/>
              <w:t>​</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2,603</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held at consolidated affiliated partnerships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1,969</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2,636</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2,251</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from brokers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Related party notes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3,670</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3,843</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14,215</w:t>
            </w:r>
          </w:p>
        </w:tc>
        <w:tc>
          <w:tcPr>
            <w:tcW w:w="36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16,279</w:t>
            </w:r>
          </w:p>
        </w:tc>
      </w:tr>
      <w:tr>
        <w:trPr/>
        <w:tc>
          <w:tcPr>
            <w:tcW w:w="7504"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pPr>
            <w:r>
              <w:rPr/>
              <w:t>​</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 net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sold, not yet purchased, at fair value</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brokers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6,616</w:t>
            </w:r>
          </w:p>
        </w:tc>
        <w:tc>
          <w:tcPr>
            <w:tcW w:w="36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6,809</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10,789</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11,658</w:t>
            </w:r>
          </w:p>
        </w:tc>
      </w:tr>
      <w:tr>
        <w:trPr/>
        <w:tc>
          <w:tcPr>
            <w:tcW w:w="75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19)</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pPr>
            <w:r>
              <w:rPr/>
              <w:t>  ​</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pPr>
            <w:r>
              <w:rPr/>
              <w:t>  ​</w:t>
            </w:r>
          </w:p>
        </w:tc>
      </w:tr>
      <w:tr>
        <w:trPr/>
        <w:tc>
          <w:tcPr>
            <w:tcW w:w="75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Equity: </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pPr>
            <w:r>
              <w:rPr/>
              <w:t>  ​</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pPr>
            <w:r>
              <w:rPr/>
              <w:t>  ​</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partners: Depositary units: 637,209,452 units issued and outstanding at December 31, 2025 and 522,736,315 units issued and outstanding at December 31, 2024</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3,241</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attributable to Icahn Enterprises</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w:t>
            </w:r>
          </w:p>
        </w:tc>
        <w:tc>
          <w:tcPr>
            <w:tcW w:w="36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3,426</w:t>
            </w:r>
          </w:p>
        </w:tc>
        <w:tc>
          <w:tcPr>
            <w:tcW w:w="36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4,621</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14,215</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16,279</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3" w:name="_edde6981_8eb1_46b9_b0c0_c2adbae79254"/>
      <w:bookmarkEnd w:id="173"/>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bookmarkStart w:id="174" w:name="STATEMENTSOFOPERATIONS_770807"/>
      <w:bookmarkEnd w:id="174"/>
      <w:r>
        <w:rPr>
          <w:rFonts w:ascii="Times New Roman;Times;serif" w:hAnsi="Times New Roman;Times;serif"/>
          <w:b/>
          <w:sz w:val="20"/>
        </w:rPr>
        <w:t>CONSOLIDATED STATEMENTS OF OPERATIONS</w:t>
      </w:r>
    </w:p>
    <w:p>
      <w:pPr>
        <w:pStyle w:val="Normal"/>
        <w:bidi w:val="0"/>
        <w:spacing w:before="0" w:after="0"/>
        <w:jc w:val="left"/>
        <w:rPr>
          <w:sz w:val="4"/>
          <w:szCs w:val="4"/>
        </w:rPr>
      </w:pPr>
      <w:r>
        <w:rPr>
          <w:sz w:val="4"/>
          <w:szCs w:val="4"/>
        </w:rPr>
      </w:r>
      <w:bookmarkStart w:id="175" w:name="Tc_7k5uE0vdgEK9-Jmm3houiQ_36_8"/>
      <w:bookmarkStart w:id="176" w:name="Tc_oT2oTxLAbk-AGsP-iXZHtg_36_5"/>
      <w:bookmarkStart w:id="177" w:name="Tc_UgyyG4M8eU-UBmswi_QSfg_36_2"/>
      <w:bookmarkStart w:id="178" w:name="Tc_silq4bx6g0ODQauLbC_BxQ_36_0"/>
      <w:bookmarkStart w:id="179" w:name="Tc_vFjAbOWY8U-9Whtq72EzEA_35_0"/>
      <w:bookmarkStart w:id="180" w:name="Tc_OiOuw4ilmU6Z512Z_CHG_w_34_8"/>
      <w:bookmarkStart w:id="181" w:name="Tc_bhkn0qLy402jrKx9jt8RKw_34_5"/>
      <w:bookmarkStart w:id="182" w:name="Tc_zG7K77kYuU-ZMLAPcGpgTw_34_2"/>
      <w:bookmarkStart w:id="183" w:name="Tc_u6GYRMXPQkmmSNcFm38tUg_34_0"/>
      <w:bookmarkStart w:id="184" w:name="Tc_FP-6kKOcB0miQFgiOyXtPA_32_8"/>
      <w:bookmarkStart w:id="185" w:name="Tc_0Z4yFPlRSkSfTOkAD12oyg_32_5"/>
      <w:bookmarkStart w:id="186" w:name="Tc_9PPn7q_7dUOGSrUs6rjfhg_32_2"/>
      <w:bookmarkStart w:id="187" w:name="Tc_OZEQX-qezkyOtK9OW0zyvg_31_0"/>
      <w:bookmarkStart w:id="188" w:name="Tc_CO7b13vpx0-0s2aCYzsQtg_30_8"/>
      <w:bookmarkStart w:id="189" w:name="Tc_nDQ4uyBcbky5Q2LzkJnEJA_30_5"/>
      <w:bookmarkStart w:id="190" w:name="Tc_K64aOm30JkWpQ2Kr8gtFzA_30_2"/>
      <w:bookmarkStart w:id="191" w:name="Tc_B03uYYw_8kKzp6YnIbHQng_30_0"/>
      <w:bookmarkStart w:id="192" w:name="Tc_VjSre0xbYUiE0-cq8gD8-w_29_0"/>
      <w:bookmarkStart w:id="193" w:name="Tc_E5FTsLpMlESaOMBeaiEn2A_27_8"/>
      <w:bookmarkStart w:id="194" w:name="Tc_lkzsWaHKy06nndj0CNh4qw_27_5"/>
      <w:bookmarkStart w:id="195" w:name="Tc_Ot_TG9gXxEaK2j7_WPpBZQ_27_2"/>
      <w:bookmarkStart w:id="196" w:name="Tc_J1sij1cfAUWJhtZ39r8SkQ_27_0"/>
      <w:bookmarkStart w:id="197" w:name="Tc_G5WzhRyisEOtT1kZQn670A_26_0"/>
      <w:bookmarkStart w:id="198" w:name="Tc_7_zrLM269UG5YNwbhR86fQ_25_0"/>
      <w:bookmarkStart w:id="199" w:name="Tc_scsVSLqsZU-FIGwJQmFlIg_24_0"/>
      <w:bookmarkStart w:id="200" w:name="Tc_TBA3334SPE6vmWrfpSOeAg_23_0"/>
      <w:bookmarkStart w:id="201" w:name="Tc__qfLeBRVLUK-68g9ZBrv-Q_21_0"/>
      <w:bookmarkStart w:id="202" w:name="Tc_BVuiPuq20kCSk6JRsp7IGQ_20_6"/>
      <w:bookmarkStart w:id="203" w:name="Tc_-R4Rrsitdk-MDrTx8vCTlQ_20_3"/>
      <w:bookmarkStart w:id="204" w:name="Tc_e_9jGqW96E-Qy4HgGXstXQ_20_0"/>
      <w:bookmarkStart w:id="205" w:name="Tc_TkS33AiUUkKlyhZuLZcdng_19_6"/>
      <w:bookmarkStart w:id="206" w:name="Tc_8g_b_9Lx-U6sj20yXZ1kfA_19_3"/>
      <w:bookmarkStart w:id="207" w:name="Tc_whxYPbZjD0K-q8VsrfnK_A_19_0"/>
      <w:bookmarkStart w:id="208" w:name="Tc_zuxYlW5ktEm3beqydOfJeQ_18_6"/>
      <w:bookmarkStart w:id="209" w:name="Tc_dZDDCpDNcEG_ZIQ2-PjNfg_18_0"/>
      <w:bookmarkStart w:id="210" w:name="Tc_Db9HKV4gbEajWwyewDmXEQ_17_0"/>
      <w:bookmarkStart w:id="211" w:name="Tc_2eouaFZ9aEO0ZAZooaALbw_16_0"/>
      <w:bookmarkStart w:id="212" w:name="Tc_Yt5-yal4MECEahTe4pFxPw_15_0"/>
      <w:bookmarkStart w:id="213" w:name="Tc_yp2qgFe0n0KbGmm02wfH3g_14_0"/>
      <w:bookmarkStart w:id="214" w:name="Tc_v-3niFurT0iKwSI6GFHyQQ_13_0"/>
      <w:bookmarkStart w:id="215" w:name="Tc_7tQYrtII4kqnm11m_zMVCw_12_0"/>
      <w:bookmarkStart w:id="216" w:name="Tc_375ddk7MFkSNN6stSxt7EA_10_0"/>
      <w:bookmarkStart w:id="217" w:name="Tc_hCSqtGY3xU6tvjmbvL3Olw_9_0"/>
      <w:bookmarkStart w:id="218" w:name="Tc_xzANJ_mziEia_jlluFE9XQ_8_0"/>
      <w:bookmarkStart w:id="219" w:name="Tc_u51YwGGKnUKS_upA7HxwWg_7_0"/>
      <w:bookmarkStart w:id="220" w:name="Tc_2yCI3WwoTku9Oi9QZQw3-A_6_0"/>
      <w:bookmarkStart w:id="221" w:name="Tc_qWSoha16UUKux6UQBQzZkA_5_8"/>
      <w:bookmarkStart w:id="222" w:name="Tc_GQJ_6r06sEewjfV0AaiRQg_5_5"/>
      <w:bookmarkStart w:id="223" w:name="Tc_BI7Lb-LR8UGSklfRgHtEtg_5_2"/>
      <w:bookmarkStart w:id="224" w:name="Tc_0VvmEqjA50W_ueVN-ePqZg_5_0"/>
      <w:bookmarkStart w:id="225" w:name="Tc_kUHupXj_qE6tEpUUaQEapw_4_0"/>
      <w:bookmarkStart w:id="226" w:name="Tc_JDscvReC20O6qoCU-8zlVQ_3_2"/>
      <w:bookmarkStart w:id="227" w:name="Tc_jNjIP-O1x0yx3GHyQ2XWkQ_2_8"/>
      <w:bookmarkStart w:id="228" w:name="Tc_95EOZHxD9EKVUsziv2daFQ_2_5"/>
      <w:bookmarkStart w:id="229" w:name="Tc_XIIodVO-q0WpY4yo9Gtb-g_2_2"/>
      <w:bookmarkStart w:id="230" w:name="Tc_jaejY91CvkCxsdqWGfoRFA_1_2"/>
      <w:bookmarkStart w:id="231" w:name="_3bad29b3_d73b_4fee_b853_5ca76afb783d"/>
      <w:bookmarkStart w:id="232" w:name="_fff7c507_9457_43c0_a5f4_8f4dcfb44e69"/>
      <w:bookmarkStart w:id="233" w:name="Tc_7k5uE0vdgEK9-Jmm3houiQ_36_8"/>
      <w:bookmarkStart w:id="234" w:name="Tc_oT2oTxLAbk-AGsP-iXZHtg_36_5"/>
      <w:bookmarkStart w:id="235" w:name="Tc_UgyyG4M8eU-UBmswi_QSfg_36_2"/>
      <w:bookmarkStart w:id="236" w:name="Tc_silq4bx6g0ODQauLbC_BxQ_36_0"/>
      <w:bookmarkStart w:id="237" w:name="Tc_vFjAbOWY8U-9Whtq72EzEA_35_0"/>
      <w:bookmarkStart w:id="238" w:name="Tc_OiOuw4ilmU6Z512Z_CHG_w_34_8"/>
      <w:bookmarkStart w:id="239" w:name="Tc_bhkn0qLy402jrKx9jt8RKw_34_5"/>
      <w:bookmarkStart w:id="240" w:name="Tc_zG7K77kYuU-ZMLAPcGpgTw_34_2"/>
      <w:bookmarkStart w:id="241" w:name="Tc_u6GYRMXPQkmmSNcFm38tUg_34_0"/>
      <w:bookmarkStart w:id="242" w:name="Tc_FP-6kKOcB0miQFgiOyXtPA_32_8"/>
      <w:bookmarkStart w:id="243" w:name="Tc_0Z4yFPlRSkSfTOkAD12oyg_32_5"/>
      <w:bookmarkStart w:id="244" w:name="Tc_9PPn7q_7dUOGSrUs6rjfhg_32_2"/>
      <w:bookmarkStart w:id="245" w:name="Tc_OZEQX-qezkyOtK9OW0zyvg_31_0"/>
      <w:bookmarkStart w:id="246" w:name="Tc_CO7b13vpx0-0s2aCYzsQtg_30_8"/>
      <w:bookmarkStart w:id="247" w:name="Tc_nDQ4uyBcbky5Q2LzkJnEJA_30_5"/>
      <w:bookmarkStart w:id="248" w:name="Tc_K64aOm30JkWpQ2Kr8gtFzA_30_2"/>
      <w:bookmarkStart w:id="249" w:name="Tc_B03uYYw_8kKzp6YnIbHQng_30_0"/>
      <w:bookmarkStart w:id="250" w:name="Tc_VjSre0xbYUiE0-cq8gD8-w_29_0"/>
      <w:bookmarkStart w:id="251" w:name="Tc_E5FTsLpMlESaOMBeaiEn2A_27_8"/>
      <w:bookmarkStart w:id="252" w:name="Tc_lkzsWaHKy06nndj0CNh4qw_27_5"/>
      <w:bookmarkStart w:id="253" w:name="Tc_Ot_TG9gXxEaK2j7_WPpBZQ_27_2"/>
      <w:bookmarkStart w:id="254" w:name="Tc_J1sij1cfAUWJhtZ39r8SkQ_27_0"/>
      <w:bookmarkStart w:id="255" w:name="Tc_G5WzhRyisEOtT1kZQn670A_26_0"/>
      <w:bookmarkStart w:id="256" w:name="Tc_7_zrLM269UG5YNwbhR86fQ_25_0"/>
      <w:bookmarkStart w:id="257" w:name="Tc_scsVSLqsZU-FIGwJQmFlIg_24_0"/>
      <w:bookmarkStart w:id="258" w:name="Tc_TBA3334SPE6vmWrfpSOeAg_23_0"/>
      <w:bookmarkStart w:id="259" w:name="Tc__qfLeBRVLUK-68g9ZBrv-Q_21_0"/>
      <w:bookmarkStart w:id="260" w:name="Tc_BVuiPuq20kCSk6JRsp7IGQ_20_6"/>
      <w:bookmarkStart w:id="261" w:name="Tc_-R4Rrsitdk-MDrTx8vCTlQ_20_3"/>
      <w:bookmarkStart w:id="262" w:name="Tc_e_9jGqW96E-Qy4HgGXstXQ_20_0"/>
      <w:bookmarkStart w:id="263" w:name="Tc_TkS33AiUUkKlyhZuLZcdng_19_6"/>
      <w:bookmarkStart w:id="264" w:name="Tc_8g_b_9Lx-U6sj20yXZ1kfA_19_3"/>
      <w:bookmarkStart w:id="265" w:name="Tc_whxYPbZjD0K-q8VsrfnK_A_19_0"/>
      <w:bookmarkStart w:id="266" w:name="Tc_zuxYlW5ktEm3beqydOfJeQ_18_6"/>
      <w:bookmarkStart w:id="267" w:name="Tc_dZDDCpDNcEG_ZIQ2-PjNfg_18_0"/>
      <w:bookmarkStart w:id="268" w:name="Tc_Db9HKV4gbEajWwyewDmXEQ_17_0"/>
      <w:bookmarkStart w:id="269" w:name="Tc_2eouaFZ9aEO0ZAZooaALbw_16_0"/>
      <w:bookmarkStart w:id="270" w:name="Tc_Yt5-yal4MECEahTe4pFxPw_15_0"/>
      <w:bookmarkStart w:id="271" w:name="Tc_yp2qgFe0n0KbGmm02wfH3g_14_0"/>
      <w:bookmarkStart w:id="272" w:name="Tc_v-3niFurT0iKwSI6GFHyQQ_13_0"/>
      <w:bookmarkStart w:id="273" w:name="Tc_7tQYrtII4kqnm11m_zMVCw_12_0"/>
      <w:bookmarkStart w:id="274" w:name="Tc_375ddk7MFkSNN6stSxt7EA_10_0"/>
      <w:bookmarkStart w:id="275" w:name="Tc_hCSqtGY3xU6tvjmbvL3Olw_9_0"/>
      <w:bookmarkStart w:id="276" w:name="Tc_xzANJ_mziEia_jlluFE9XQ_8_0"/>
      <w:bookmarkStart w:id="277" w:name="Tc_u51YwGGKnUKS_upA7HxwWg_7_0"/>
      <w:bookmarkStart w:id="278" w:name="Tc_2yCI3WwoTku9Oi9QZQw3-A_6_0"/>
      <w:bookmarkStart w:id="279" w:name="Tc_qWSoha16UUKux6UQBQzZkA_5_8"/>
      <w:bookmarkStart w:id="280" w:name="Tc_GQJ_6r06sEewjfV0AaiRQg_5_5"/>
      <w:bookmarkStart w:id="281" w:name="Tc_BI7Lb-LR8UGSklfRgHtEtg_5_2"/>
      <w:bookmarkStart w:id="282" w:name="Tc_0VvmEqjA50W_ueVN-ePqZg_5_0"/>
      <w:bookmarkStart w:id="283" w:name="Tc_kUHupXj_qE6tEpUUaQEapw_4_0"/>
      <w:bookmarkStart w:id="284" w:name="Tc_JDscvReC20O6qoCU-8zlVQ_3_2"/>
      <w:bookmarkStart w:id="285" w:name="Tc_jNjIP-O1x0yx3GHyQ2XWkQ_2_8"/>
      <w:bookmarkStart w:id="286" w:name="Tc_95EOZHxD9EKVUsziv2daFQ_2_5"/>
      <w:bookmarkStart w:id="287" w:name="Tc_XIIodVO-q0WpY4yo9Gtb-g_2_2"/>
      <w:bookmarkStart w:id="288" w:name="Tc_jaejY91CvkCxsdqWGfoRFA_1_2"/>
      <w:bookmarkStart w:id="289" w:name="_3bad29b3_d73b_4fee_b853_5ca76afb783d"/>
      <w:bookmarkStart w:id="290" w:name="_fff7c507_9457_43c0_a5f4_8f4dcfb44e69"/>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tbl>
      <w:tblPr>
        <w:tblW w:w="8515" w:type="dxa"/>
        <w:jc w:val="left"/>
        <w:tblInd w:w="0" w:type="dxa"/>
        <w:tblLayout w:type="fixed"/>
        <w:tblCellMar>
          <w:top w:w="0" w:type="dxa"/>
          <w:left w:w="0" w:type="dxa"/>
          <w:bottom w:w="0" w:type="dxa"/>
          <w:right w:w="0" w:type="dxa"/>
        </w:tblCellMar>
      </w:tblPr>
      <w:tblGrid>
        <w:gridCol w:w="4756"/>
        <w:gridCol w:w="346"/>
        <w:gridCol w:w="211"/>
        <w:gridCol w:w="676"/>
        <w:gridCol w:w="346"/>
        <w:gridCol w:w="211"/>
        <w:gridCol w:w="676"/>
        <w:gridCol w:w="346"/>
        <w:gridCol w:w="211"/>
        <w:gridCol w:w="736"/>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020060" cy="175260"/>
                      <wp:effectExtent l="0" t="0" r="0" b="0"/>
                      <wp:wrapNone/>
                      <wp:docPr id="156" name="Frame156"/>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29260" cy="175260"/>
                      <wp:effectExtent l="0" t="0" r="0" b="0"/>
                      <wp:wrapNone/>
                      <wp:docPr id="159" name="Frame1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29260" cy="175260"/>
                      <wp:effectExtent l="0" t="0" r="0" b="0"/>
                      <wp:wrapNone/>
                      <wp:docPr id="162" name="Frame1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67360" cy="175260"/>
                      <wp:effectExtent l="0" t="0" r="0" b="0"/>
                      <wp:wrapNone/>
                      <wp:docPr id="165" name="Frame16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4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851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7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413" w:type="dxa"/>
            <w:gridSpan w:val="8"/>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 except per unit amounts)</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center"/>
              <w:rPr/>
            </w:pPr>
            <w:r>
              <w:rPr/>
              <w:t>​</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11,077</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investment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10,934</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9,327</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loss on related party note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deconsolidation of subsidiary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r>
      <w:tr>
        <w:trPr/>
        <w:tc>
          <w:tcPr>
            <w:tcW w:w="47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11,856</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 benefit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loss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Icahn Enterprises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r>
      <w:tr>
        <w:trPr/>
        <w:tc>
          <w:tcPr>
            <w:tcW w:w="47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Icahn Enterprises allocated to:</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partners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7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r>
      <w:tr>
        <w:trPr/>
        <w:tc>
          <w:tcPr>
            <w:tcW w:w="4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loss per LP unit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LP units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r>
      <w:tr>
        <w:trPr/>
        <w:tc>
          <w:tcPr>
            <w:tcW w:w="4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declared per LP unit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6.00</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91" w:name="_2d108fed_e238_4d5c_ba36_ea47b0d3f669"/>
      <w:bookmarkEnd w:id="291"/>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bookmarkStart w:id="292" w:name="COMPREHENSIVEINCOMELOSS_916205"/>
      <w:bookmarkEnd w:id="292"/>
      <w:r>
        <w:rPr>
          <w:rFonts w:ascii="Times New Roman;Times;serif" w:hAnsi="Times New Roman;Times;serif"/>
          <w:b/>
          <w:sz w:val="20"/>
        </w:rPr>
        <w:t>CONSOLIDATED STATEMENTS OF COMPREHENSIVE LOSS</w:t>
      </w:r>
    </w:p>
    <w:p>
      <w:pPr>
        <w:pStyle w:val="Normal"/>
        <w:bidi w:val="0"/>
        <w:spacing w:before="0" w:after="0"/>
        <w:jc w:val="left"/>
        <w:rPr>
          <w:sz w:val="4"/>
          <w:szCs w:val="4"/>
        </w:rPr>
      </w:pPr>
      <w:r>
        <w:rPr>
          <w:sz w:val="4"/>
          <w:szCs w:val="4"/>
        </w:rPr>
      </w:r>
      <w:bookmarkStart w:id="293" w:name="Tc_vGg0RfJtq0mO_-aqypifJg_16_8"/>
      <w:bookmarkStart w:id="294" w:name="Tc_6FeiPXQGv0WfM9BxI-Zu4A_16_5"/>
      <w:bookmarkStart w:id="295" w:name="Tc_t1kr16VHRkywfgjcNH4ENA_16_2"/>
      <w:bookmarkStart w:id="296" w:name="Tc_7-qX0z4n1ECHEh8BiROmeQ_15_0"/>
      <w:bookmarkStart w:id="297" w:name="Tc_lkzq4Dd0tUmOBX29szjloQ_14_8"/>
      <w:bookmarkStart w:id="298" w:name="Tc_a-7CdaE4GEW79L8ffwo0pw_14_5"/>
      <w:bookmarkStart w:id="299" w:name="Tc_rjzaSH5wrUGWXxlRTfGEAg_14_2"/>
      <w:bookmarkStart w:id="300" w:name="Tc_Ql-6rAmdLE6IGJhlZPGIdw_14_0"/>
      <w:bookmarkStart w:id="301" w:name="Tc_UTwxX2Jyu06rbjTKvi-IbQ_13_0"/>
      <w:bookmarkStart w:id="302" w:name="Tc_dEu1B3JjvkC9WuO28KiCBA_11_8"/>
      <w:bookmarkStart w:id="303" w:name="Tc_UOiAbVEJ7kGhqae2Sge32w_11_5"/>
      <w:bookmarkStart w:id="304" w:name="Tc_r5ln-5oniUaurXSGU0DJQw_11_2"/>
      <w:bookmarkStart w:id="305" w:name="Tc_IHfXBqrYUEu3ZEVo6t1heA_11_0"/>
      <w:bookmarkStart w:id="306" w:name="Tc_rlGYQnZ9PUmHcUVOf9HNCw_10_0"/>
      <w:bookmarkStart w:id="307" w:name="Tc_V5Wp5hQnl0uLteJOMl2fpw_9_0"/>
      <w:bookmarkStart w:id="308" w:name="Tc_LVIUqMzyRUW4xLDF41eKzw_8_0"/>
      <w:bookmarkStart w:id="309" w:name="Tc_EqlCIiDeOU2oGBNNsEmIVA_7_0"/>
      <w:bookmarkStart w:id="310" w:name="Tc_6pyp1-Z7tE6HI1rSsNAgZg_6_0"/>
      <w:bookmarkStart w:id="311" w:name="Tc__0tSeYPG7Uu7wAyw7b0rGw_5_0"/>
      <w:bookmarkStart w:id="312" w:name="Tc_uj-AnFjPJUeILYVAraP68w_4_8"/>
      <w:bookmarkStart w:id="313" w:name="Tc_B5VOPFUhiUGf35Q6_PfKgA_4_5"/>
      <w:bookmarkStart w:id="314" w:name="Tc_scozTnSbzEKJFAywS5WANw_4_2"/>
      <w:bookmarkStart w:id="315" w:name="Tc_lQg983x5bEmBB6Bl4lCGMQ_4_0"/>
      <w:bookmarkStart w:id="316" w:name="Tc_vUc1cA8Gr06l3GaYcZoAJA_3_2"/>
      <w:bookmarkStart w:id="317" w:name="Tc_aQvKGqMDb02RQ7cp_zb1Lw_2_8"/>
      <w:bookmarkStart w:id="318" w:name="Tc_OdVu5tKb5kOx-WWrv-0UfQ_2_5"/>
      <w:bookmarkStart w:id="319" w:name="Tc_J_ezxdSU-ky31qDlr1mObA_2_2"/>
      <w:bookmarkStart w:id="320" w:name="Tc_KSRJ9W3THES1h7_PKukLwQ_1_2"/>
      <w:bookmarkStart w:id="321" w:name="_e0045651_0760_44a2_97b9_5dc899f56456"/>
      <w:bookmarkStart w:id="322" w:name="Tc_vGg0RfJtq0mO_-aqypifJg_16_8"/>
      <w:bookmarkStart w:id="323" w:name="Tc_6FeiPXQGv0WfM9BxI-Zu4A_16_5"/>
      <w:bookmarkStart w:id="324" w:name="Tc_t1kr16VHRkywfgjcNH4ENA_16_2"/>
      <w:bookmarkStart w:id="325" w:name="Tc_7-qX0z4n1ECHEh8BiROmeQ_15_0"/>
      <w:bookmarkStart w:id="326" w:name="Tc_lkzq4Dd0tUmOBX29szjloQ_14_8"/>
      <w:bookmarkStart w:id="327" w:name="Tc_a-7CdaE4GEW79L8ffwo0pw_14_5"/>
      <w:bookmarkStart w:id="328" w:name="Tc_rjzaSH5wrUGWXxlRTfGEAg_14_2"/>
      <w:bookmarkStart w:id="329" w:name="Tc_Ql-6rAmdLE6IGJhlZPGIdw_14_0"/>
      <w:bookmarkStart w:id="330" w:name="Tc_UTwxX2Jyu06rbjTKvi-IbQ_13_0"/>
      <w:bookmarkStart w:id="331" w:name="Tc_dEu1B3JjvkC9WuO28KiCBA_11_8"/>
      <w:bookmarkStart w:id="332" w:name="Tc_UOiAbVEJ7kGhqae2Sge32w_11_5"/>
      <w:bookmarkStart w:id="333" w:name="Tc_r5ln-5oniUaurXSGU0DJQw_11_2"/>
      <w:bookmarkStart w:id="334" w:name="Tc_IHfXBqrYUEu3ZEVo6t1heA_11_0"/>
      <w:bookmarkStart w:id="335" w:name="Tc_rlGYQnZ9PUmHcUVOf9HNCw_10_0"/>
      <w:bookmarkStart w:id="336" w:name="Tc_V5Wp5hQnl0uLteJOMl2fpw_9_0"/>
      <w:bookmarkStart w:id="337" w:name="Tc_LVIUqMzyRUW4xLDF41eKzw_8_0"/>
      <w:bookmarkStart w:id="338" w:name="Tc_EqlCIiDeOU2oGBNNsEmIVA_7_0"/>
      <w:bookmarkStart w:id="339" w:name="Tc_6pyp1-Z7tE6HI1rSsNAgZg_6_0"/>
      <w:bookmarkStart w:id="340" w:name="Tc__0tSeYPG7Uu7wAyw7b0rGw_5_0"/>
      <w:bookmarkStart w:id="341" w:name="Tc_uj-AnFjPJUeILYVAraP68w_4_8"/>
      <w:bookmarkStart w:id="342" w:name="Tc_B5VOPFUhiUGf35Q6_PfKgA_4_5"/>
      <w:bookmarkStart w:id="343" w:name="Tc_scozTnSbzEKJFAywS5WANw_4_2"/>
      <w:bookmarkStart w:id="344" w:name="Tc_lQg983x5bEmBB6Bl4lCGMQ_4_0"/>
      <w:bookmarkStart w:id="345" w:name="Tc_vUc1cA8Gr06l3GaYcZoAJA_3_2"/>
      <w:bookmarkStart w:id="346" w:name="Tc_aQvKGqMDb02RQ7cp_zb1Lw_2_8"/>
      <w:bookmarkStart w:id="347" w:name="Tc_OdVu5tKb5kOx-WWrv-0UfQ_2_5"/>
      <w:bookmarkStart w:id="348" w:name="Tc_J_ezxdSU-ky31qDlr1mObA_2_2"/>
      <w:bookmarkStart w:id="349" w:name="Tc_KSRJ9W3THES1h7_PKukLwQ_1_2"/>
      <w:bookmarkStart w:id="350" w:name="_e0045651_0760_44a2_97b9_5dc899f56456"/>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tbl>
      <w:tblPr>
        <w:tblW w:w="8965" w:type="dxa"/>
        <w:jc w:val="left"/>
        <w:tblInd w:w="0" w:type="dxa"/>
        <w:tblLayout w:type="fixed"/>
        <w:tblCellMar>
          <w:top w:w="0" w:type="dxa"/>
          <w:left w:w="0" w:type="dxa"/>
          <w:bottom w:w="0" w:type="dxa"/>
          <w:right w:w="0" w:type="dxa"/>
        </w:tblCellMar>
      </w:tblPr>
      <w:tblGrid>
        <w:gridCol w:w="5476"/>
        <w:gridCol w:w="346"/>
        <w:gridCol w:w="211"/>
        <w:gridCol w:w="541"/>
        <w:gridCol w:w="346"/>
        <w:gridCol w:w="211"/>
        <w:gridCol w:w="541"/>
        <w:gridCol w:w="346"/>
        <w:gridCol w:w="211"/>
        <w:gridCol w:w="736"/>
      </w:tblGrid>
      <w:tr>
        <w:trPr/>
        <w:tc>
          <w:tcPr>
            <w:tcW w:w="5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477260" cy="175260"/>
                      <wp:effectExtent l="0" t="0" r="0" b="0"/>
                      <wp:wrapNone/>
                      <wp:docPr id="166" name="Frame166"/>
                      <a:graphic xmlns:a="http://schemas.openxmlformats.org/drawingml/2006/main">
                        <a:graphicData uri="http://schemas.microsoft.com/office/word/2010/wordprocessingShape">
                          <wps:wsp>
                            <wps:cNvSpPr txBox="1"/>
                            <wps:spPr>
                              <a:xfrm>
                                <a:off x="0" y="0"/>
                                <a:ext cx="3477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43535" cy="175260"/>
                      <wp:effectExtent l="0" t="0" r="0" b="0"/>
                      <wp:wrapNone/>
                      <wp:docPr id="169" name="Frame16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43535" cy="175260"/>
                      <wp:effectExtent l="0" t="0" r="0" b="0"/>
                      <wp:wrapNone/>
                      <wp:docPr id="172" name="Frame17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67360" cy="175260"/>
                      <wp:effectExtent l="0" t="0" r="0" b="0"/>
                      <wp:wrapNone/>
                      <wp:docPr id="175" name="Frame17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5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896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43" w:type="dxa"/>
            <w:gridSpan w:val="8"/>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r>
      <w:tr>
        <w:trPr/>
        <w:tc>
          <w:tcPr>
            <w:tcW w:w="5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income,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5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Post-retirement benefits and 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5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Comprehensive loss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r>
      <w:tr>
        <w:trPr/>
        <w:tc>
          <w:tcPr>
            <w:tcW w:w="5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attributable to Icahn Enterprises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r>
      <w:tr>
        <w:trPr/>
        <w:tc>
          <w:tcPr>
            <w:tcW w:w="54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attributable to Icahn Enterprises allocated to:</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Limited partners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r>
      <w:tr>
        <w:trPr/>
        <w:tc>
          <w:tcPr>
            <w:tcW w:w="5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54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1" w:name="_2c4e9c2d_3017_4b48_b389_ab79b632585e"/>
      <w:bookmarkEnd w:id="351"/>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bookmarkStart w:id="352" w:name="CHANGESINEQUITY_806278"/>
      <w:bookmarkEnd w:id="352"/>
      <w:r>
        <w:rPr>
          <w:rFonts w:ascii="Times New Roman;Times;serif" w:hAnsi="Times New Roman;Times;serif"/>
          <w:b/>
          <w:sz w:val="20"/>
        </w:rPr>
        <w:t>CONSOLIDATED STATEMENT OF CHANGES IN EQUITY</w:t>
      </w:r>
    </w:p>
    <w:p>
      <w:pPr>
        <w:pStyle w:val="Normal"/>
        <w:bidi w:val="0"/>
        <w:spacing w:before="0" w:after="0"/>
        <w:jc w:val="left"/>
        <w:rPr>
          <w:sz w:val="4"/>
          <w:szCs w:val="4"/>
        </w:rPr>
      </w:pPr>
      <w:r>
        <w:rPr>
          <w:sz w:val="4"/>
          <w:szCs w:val="4"/>
        </w:rPr>
      </w:r>
      <w:bookmarkStart w:id="353" w:name="Tc_fF-faV85jE63D99VW073yA_32_14"/>
      <w:bookmarkStart w:id="354" w:name="Tc_NYrBgNT_1EulB07O1a1owQ_32_11"/>
      <w:bookmarkStart w:id="355" w:name="Tc_wzPwODU1-UmB-gprQu1zaQ_32_8"/>
      <w:bookmarkStart w:id="356" w:name="Tc_-fso6DVUtUWPYhogti07wg_32_5"/>
      <w:bookmarkStart w:id="357" w:name="Tc_0IJu98KOr0yl0sWLMUJ0vw_32_2"/>
      <w:bookmarkStart w:id="358" w:name="Tc_nVdjMC3pa0an9fKNHXVmWQ_32_0"/>
      <w:bookmarkStart w:id="359" w:name="Tc_U1ShjfFRTUy-lmNtpKLSQQ_31_0"/>
      <w:bookmarkStart w:id="360" w:name="Tc_qrH2Ve756UKVfxDdPQuZJA_30_3"/>
      <w:bookmarkStart w:id="361" w:name="Tc_oXpdBJZKiEiv1gig1upUZg_30_0"/>
      <w:bookmarkStart w:id="362" w:name="Tc_Ygi2E4TW1kq6q3aXYCbhgA_29_9"/>
      <w:bookmarkStart w:id="363" w:name="Tc_I6nWDvJe8k-N6fVTpuEPBw_29_6"/>
      <w:bookmarkStart w:id="364" w:name="Tc_iathYifFY0-5R5VVzox8VQ_29_3"/>
      <w:bookmarkStart w:id="365" w:name="Tc_ijmZ8CWCfkKJvHWXmntTog_29_0"/>
      <w:bookmarkStart w:id="366" w:name="Tc_KyB6WVTXn02AIhVN--W2dQ_28_9"/>
      <w:bookmarkStart w:id="367" w:name="Tc_VsG2nOKFD0C0qO8c5GRFuA_28_6"/>
      <w:bookmarkStart w:id="368" w:name="Tc_dufdWVDAa0CcW4l4L1APcQ_28_3"/>
      <w:bookmarkStart w:id="369" w:name="Tc_CIor5EMESUuKY2GpElPnIw_28_0"/>
      <w:bookmarkStart w:id="370" w:name="Tc_ATrSrhd1ck2x2OHBE6a9uA_27_12"/>
      <w:bookmarkStart w:id="371" w:name="Tc_ZhDutGuQ3Uy6dpKBxK2a4w_27_0"/>
      <w:bookmarkStart w:id="372" w:name="Tc_X42InCdQJEGequLVbE_eKQ_26_12"/>
      <w:bookmarkStart w:id="373" w:name="Tc_vT90oCTak0OjZWcG_-GKgw_26_0"/>
      <w:bookmarkStart w:id="374" w:name="Tc_uY0cfK3GdEKQfed21wF1Pg_25_3"/>
      <w:bookmarkStart w:id="375" w:name="Tc_2sOD26s1RUi5mVcR3XwWyQ_25_0"/>
      <w:bookmarkStart w:id="376" w:name="Tc_jwB1Bfy9t0inBy0gs271Bg_24_0"/>
      <w:bookmarkStart w:id="377" w:name="Tc_tQTzpsaq2k-d6mFHjqBzaA_23_0"/>
      <w:bookmarkStart w:id="378" w:name="Tc_6eOrpwy3WkOYn6HL9QABaw_22_0"/>
      <w:bookmarkStart w:id="379" w:name="Tc_JOFTa7yYG061nz4cnZgiMw_21_9"/>
      <w:bookmarkStart w:id="380" w:name="Tc_ld3gU-DxhUCElM96TuodpA_21_6"/>
      <w:bookmarkStart w:id="381" w:name="Tc_ZDTEuGgkkUuI8EDXbRoerw_21_3"/>
      <w:bookmarkStart w:id="382" w:name="Tc_A_trm7rIjkaReg1oIcaZyQ_21_0"/>
      <w:bookmarkStart w:id="383" w:name="Tc_eNw2NW-970-ND7raejLoww_20_9"/>
      <w:bookmarkStart w:id="384" w:name="Tc_i_D3xYZROEOlTjxNXD912Q_20_6"/>
      <w:bookmarkStart w:id="385" w:name="Tc_T4Waea31sUCKh7OZvvolSg_20_3"/>
      <w:bookmarkStart w:id="386" w:name="Tc_yKH3Xe2lR0C5kei-ToOmhg_20_0"/>
      <w:bookmarkStart w:id="387" w:name="Tc_MSAfGKUbNEe2obV-ObO-yg_19_9"/>
      <w:bookmarkStart w:id="388" w:name="Tc_h75rk-Awmk644wM9walrAg_19_6"/>
      <w:bookmarkStart w:id="389" w:name="Tc_0VBQ-CRyME6Ma97pNOC0kQ_19_3"/>
      <w:bookmarkStart w:id="390" w:name="Tc_TXK613zRZkuEYrPJ9_VT2Q_19_0"/>
      <w:bookmarkStart w:id="391" w:name="Tc_qZdRBxqmZU-bIPDtyDRnNg_18_12"/>
      <w:bookmarkStart w:id="392" w:name="Tc_xAYcgtUQzkGgsqQM5WArLg_18_0"/>
      <w:bookmarkStart w:id="393" w:name="Tc_xvxurcAVM0mBs0aLScKg1Q_17_12"/>
      <w:bookmarkStart w:id="394" w:name="Tc_emuYhJ_98kOMmZjC8dk2GA_17_0"/>
      <w:bookmarkStart w:id="395" w:name="Tc_DmyuqIwiMUiEuZs0AWBUsw_16_12"/>
      <w:bookmarkStart w:id="396" w:name="Tc_vkfyrlEAwkaNkna1vfgkpA_16_3"/>
      <w:bookmarkStart w:id="397" w:name="Tc__NnCbcWBsEyMedm4Q26V1A_16_0"/>
      <w:bookmarkStart w:id="398" w:name="Tc_QLMiU0YVMUSl-7wy8ICsKA_15_0"/>
      <w:bookmarkStart w:id="399" w:name="Tc_XY7n4xRvjkG2gv1NdMtAgQ_14_0"/>
      <w:bookmarkStart w:id="400" w:name="Tc_I726_8nqCEWEG7Y9GY_WfQ_13_0"/>
      <w:bookmarkStart w:id="401" w:name="Tc_pTly4FffiEetdk7Liw6vGA_12_9"/>
      <w:bookmarkStart w:id="402" w:name="Tc_M9_d3kszD02OOJroGyPMkg_12_6"/>
      <w:bookmarkStart w:id="403" w:name="Tc_j_QNhZpBKEKLRJm9GDWm-Q_12_3"/>
      <w:bookmarkStart w:id="404" w:name="Tc_6hrlwAtdPUqUpBEhpXnLCg_12_0"/>
      <w:bookmarkStart w:id="405" w:name="Tc_UW_hGb58QUK6xT9c8CpJYg_11_9"/>
      <w:bookmarkStart w:id="406" w:name="Tc_LO3UHnXc7USXa9baGuw_YQ_11_6"/>
      <w:bookmarkStart w:id="407" w:name="Tc_D-m2BXyuOk-m1zt4uNKAbQ_11_3"/>
      <w:bookmarkStart w:id="408" w:name="Tc__7QFH4-7aUqlr1fDjmaWdg_11_0"/>
      <w:bookmarkStart w:id="409" w:name="Tc_6C9filOnHkiXTsNUL3Jr6A_10_12"/>
      <w:bookmarkStart w:id="410" w:name="Tc_SlUb_mEoNE236br-cNkU8Q_10_0"/>
      <w:bookmarkStart w:id="411" w:name="Tc_VwIbzTx8TU2e8BWfldBOfQ_9_12"/>
      <w:bookmarkStart w:id="412" w:name="Tc_0z72BN9jO0aETobf1ag5_w_9_0"/>
      <w:bookmarkStart w:id="413" w:name="Tc_z9RPXo_jaE6awsq20j1nfA_8_12"/>
      <w:bookmarkStart w:id="414" w:name="Tc_6rl1fzcDQkqpV0ioOA6OZg_8_3"/>
      <w:bookmarkStart w:id="415" w:name="Tc_TdB_Va1_HkCKfFKC-hrAhQ_8_0"/>
      <w:bookmarkStart w:id="416" w:name="Tc_UTAIhnEgk060EhmqQpPn6g_7_0"/>
      <w:bookmarkStart w:id="417" w:name="Tc_EKJF0v1_V0mctyd_bXDcyg_6_2"/>
      <w:bookmarkStart w:id="418" w:name="Tc_djlThGu2zUifHKPZ79ewgw_6_0"/>
      <w:bookmarkStart w:id="419" w:name="Tc_keJUbJr4ZUuCqztQDOcv2A_5_2"/>
      <w:bookmarkStart w:id="420" w:name="Tc_NiMIvStkFEq2VQVC3r-tiA_4_14"/>
      <w:bookmarkStart w:id="421" w:name="Tc_pn83SJ6jQE63myWXAeka9Q_4_11"/>
      <w:bookmarkStart w:id="422" w:name="Tc_WlYEBXBylkK8flA6hb8-ag_4_8"/>
      <w:bookmarkStart w:id="423" w:name="Tc_xiRLU4054Ua6gxDFNWo8IQ_4_5"/>
      <w:bookmarkStart w:id="424" w:name="Tc_e9NgnSMldkGYJtggdcdQhw_4_2"/>
      <w:bookmarkStart w:id="425" w:name="Tc_GMe-BZB74EuPacPIldZYtQ_3_11"/>
      <w:bookmarkStart w:id="426" w:name="Tc_nIzSlSay10izRsIenPhHFA_3_8"/>
      <w:bookmarkStart w:id="427" w:name="Tc_8ebB3lbN70e5oXJGcpkOVA_3_5"/>
      <w:bookmarkStart w:id="428" w:name="Tc_FjiPE4eyVkelhH93AKLg4g_3_2"/>
      <w:bookmarkStart w:id="429" w:name="Tc_G8Hn8qxA7kyFR7NInstJoA_2_11"/>
      <w:bookmarkStart w:id="430" w:name="Tc_my8PHUJVHka-vSIWElpSGA_2_5"/>
      <w:bookmarkStart w:id="431" w:name="Tc_nMPZjSBWHUKy_IqxmfSB-g_2_2"/>
      <w:bookmarkStart w:id="432" w:name="Tc_DalE4RtTWEqaZry64izoDg_1_2"/>
      <w:bookmarkStart w:id="433" w:name="_4b1d1af0_09f5_40af_ae98_ce2001c0518f"/>
      <w:bookmarkStart w:id="434" w:name="Tc_fF-faV85jE63D99VW073yA_32_14"/>
      <w:bookmarkStart w:id="435" w:name="Tc_NYrBgNT_1EulB07O1a1owQ_32_11"/>
      <w:bookmarkStart w:id="436" w:name="Tc_wzPwODU1-UmB-gprQu1zaQ_32_8"/>
      <w:bookmarkStart w:id="437" w:name="Tc_-fso6DVUtUWPYhogti07wg_32_5"/>
      <w:bookmarkStart w:id="438" w:name="Tc_0IJu98KOr0yl0sWLMUJ0vw_32_2"/>
      <w:bookmarkStart w:id="439" w:name="Tc_nVdjMC3pa0an9fKNHXVmWQ_32_0"/>
      <w:bookmarkStart w:id="440" w:name="Tc_U1ShjfFRTUy-lmNtpKLSQQ_31_0"/>
      <w:bookmarkStart w:id="441" w:name="Tc_qrH2Ve756UKVfxDdPQuZJA_30_3"/>
      <w:bookmarkStart w:id="442" w:name="Tc_oXpdBJZKiEiv1gig1upUZg_30_0"/>
      <w:bookmarkStart w:id="443" w:name="Tc_Ygi2E4TW1kq6q3aXYCbhgA_29_9"/>
      <w:bookmarkStart w:id="444" w:name="Tc_I6nWDvJe8k-N6fVTpuEPBw_29_6"/>
      <w:bookmarkStart w:id="445" w:name="Tc_iathYifFY0-5R5VVzox8VQ_29_3"/>
      <w:bookmarkStart w:id="446" w:name="Tc_ijmZ8CWCfkKJvHWXmntTog_29_0"/>
      <w:bookmarkStart w:id="447" w:name="Tc_KyB6WVTXn02AIhVN--W2dQ_28_9"/>
      <w:bookmarkStart w:id="448" w:name="Tc_VsG2nOKFD0C0qO8c5GRFuA_28_6"/>
      <w:bookmarkStart w:id="449" w:name="Tc_dufdWVDAa0CcW4l4L1APcQ_28_3"/>
      <w:bookmarkStart w:id="450" w:name="Tc_CIor5EMESUuKY2GpElPnIw_28_0"/>
      <w:bookmarkStart w:id="451" w:name="Tc_ATrSrhd1ck2x2OHBE6a9uA_27_12"/>
      <w:bookmarkStart w:id="452" w:name="Tc_ZhDutGuQ3Uy6dpKBxK2a4w_27_0"/>
      <w:bookmarkStart w:id="453" w:name="Tc_X42InCdQJEGequLVbE_eKQ_26_12"/>
      <w:bookmarkStart w:id="454" w:name="Tc_vT90oCTak0OjZWcG_-GKgw_26_0"/>
      <w:bookmarkStart w:id="455" w:name="Tc_uY0cfK3GdEKQfed21wF1Pg_25_3"/>
      <w:bookmarkStart w:id="456" w:name="Tc_2sOD26s1RUi5mVcR3XwWyQ_25_0"/>
      <w:bookmarkStart w:id="457" w:name="Tc_jwB1Bfy9t0inBy0gs271Bg_24_0"/>
      <w:bookmarkStart w:id="458" w:name="Tc_tQTzpsaq2k-d6mFHjqBzaA_23_0"/>
      <w:bookmarkStart w:id="459" w:name="Tc_6eOrpwy3WkOYn6HL9QABaw_22_0"/>
      <w:bookmarkStart w:id="460" w:name="Tc_JOFTa7yYG061nz4cnZgiMw_21_9"/>
      <w:bookmarkStart w:id="461" w:name="Tc_ld3gU-DxhUCElM96TuodpA_21_6"/>
      <w:bookmarkStart w:id="462" w:name="Tc_ZDTEuGgkkUuI8EDXbRoerw_21_3"/>
      <w:bookmarkStart w:id="463" w:name="Tc_A_trm7rIjkaReg1oIcaZyQ_21_0"/>
      <w:bookmarkStart w:id="464" w:name="Tc_eNw2NW-970-ND7raejLoww_20_9"/>
      <w:bookmarkStart w:id="465" w:name="Tc_i_D3xYZROEOlTjxNXD912Q_20_6"/>
      <w:bookmarkStart w:id="466" w:name="Tc_T4Waea31sUCKh7OZvvolSg_20_3"/>
      <w:bookmarkStart w:id="467" w:name="Tc_yKH3Xe2lR0C5kei-ToOmhg_20_0"/>
      <w:bookmarkStart w:id="468" w:name="Tc_MSAfGKUbNEe2obV-ObO-yg_19_9"/>
      <w:bookmarkStart w:id="469" w:name="Tc_h75rk-Awmk644wM9walrAg_19_6"/>
      <w:bookmarkStart w:id="470" w:name="Tc_0VBQ-CRyME6Ma97pNOC0kQ_19_3"/>
      <w:bookmarkStart w:id="471" w:name="Tc_TXK613zRZkuEYrPJ9_VT2Q_19_0"/>
      <w:bookmarkStart w:id="472" w:name="Tc_qZdRBxqmZU-bIPDtyDRnNg_18_12"/>
      <w:bookmarkStart w:id="473" w:name="Tc_xAYcgtUQzkGgsqQM5WArLg_18_0"/>
      <w:bookmarkStart w:id="474" w:name="Tc_xvxurcAVM0mBs0aLScKg1Q_17_12"/>
      <w:bookmarkStart w:id="475" w:name="Tc_emuYhJ_98kOMmZjC8dk2GA_17_0"/>
      <w:bookmarkStart w:id="476" w:name="Tc_DmyuqIwiMUiEuZs0AWBUsw_16_12"/>
      <w:bookmarkStart w:id="477" w:name="Tc_vkfyrlEAwkaNkna1vfgkpA_16_3"/>
      <w:bookmarkStart w:id="478" w:name="Tc__NnCbcWBsEyMedm4Q26V1A_16_0"/>
      <w:bookmarkStart w:id="479" w:name="Tc_QLMiU0YVMUSl-7wy8ICsKA_15_0"/>
      <w:bookmarkStart w:id="480" w:name="Tc_XY7n4xRvjkG2gv1NdMtAgQ_14_0"/>
      <w:bookmarkStart w:id="481" w:name="Tc_I726_8nqCEWEG7Y9GY_WfQ_13_0"/>
      <w:bookmarkStart w:id="482" w:name="Tc_pTly4FffiEetdk7Liw6vGA_12_9"/>
      <w:bookmarkStart w:id="483" w:name="Tc_M9_d3kszD02OOJroGyPMkg_12_6"/>
      <w:bookmarkStart w:id="484" w:name="Tc_j_QNhZpBKEKLRJm9GDWm-Q_12_3"/>
      <w:bookmarkStart w:id="485" w:name="Tc_6hrlwAtdPUqUpBEhpXnLCg_12_0"/>
      <w:bookmarkStart w:id="486" w:name="Tc_UW_hGb58QUK6xT9c8CpJYg_11_9"/>
      <w:bookmarkStart w:id="487" w:name="Tc_LO3UHnXc7USXa9baGuw_YQ_11_6"/>
      <w:bookmarkStart w:id="488" w:name="Tc_D-m2BXyuOk-m1zt4uNKAbQ_11_3"/>
      <w:bookmarkStart w:id="489" w:name="Tc__7QFH4-7aUqlr1fDjmaWdg_11_0"/>
      <w:bookmarkStart w:id="490" w:name="Tc_6C9filOnHkiXTsNUL3Jr6A_10_12"/>
      <w:bookmarkStart w:id="491" w:name="Tc_SlUb_mEoNE236br-cNkU8Q_10_0"/>
      <w:bookmarkStart w:id="492" w:name="Tc_VwIbzTx8TU2e8BWfldBOfQ_9_12"/>
      <w:bookmarkStart w:id="493" w:name="Tc_0z72BN9jO0aETobf1ag5_w_9_0"/>
      <w:bookmarkStart w:id="494" w:name="Tc_z9RPXo_jaE6awsq20j1nfA_8_12"/>
      <w:bookmarkStart w:id="495" w:name="Tc_6rl1fzcDQkqpV0ioOA6OZg_8_3"/>
      <w:bookmarkStart w:id="496" w:name="Tc_TdB_Va1_HkCKfFKC-hrAhQ_8_0"/>
      <w:bookmarkStart w:id="497" w:name="Tc_UTAIhnEgk060EhmqQpPn6g_7_0"/>
      <w:bookmarkStart w:id="498" w:name="Tc_EKJF0v1_V0mctyd_bXDcyg_6_2"/>
      <w:bookmarkStart w:id="499" w:name="Tc_djlThGu2zUifHKPZ79ewgw_6_0"/>
      <w:bookmarkStart w:id="500" w:name="Tc_keJUbJr4ZUuCqztQDOcv2A_5_2"/>
      <w:bookmarkStart w:id="501" w:name="Tc_NiMIvStkFEq2VQVC3r-tiA_4_14"/>
      <w:bookmarkStart w:id="502" w:name="Tc_pn83SJ6jQE63myWXAeka9Q_4_11"/>
      <w:bookmarkStart w:id="503" w:name="Tc_WlYEBXBylkK8flA6hb8-ag_4_8"/>
      <w:bookmarkStart w:id="504" w:name="Tc_xiRLU4054Ua6gxDFNWo8IQ_4_5"/>
      <w:bookmarkStart w:id="505" w:name="Tc_e9NgnSMldkGYJtggdcdQhw_4_2"/>
      <w:bookmarkStart w:id="506" w:name="Tc_GMe-BZB74EuPacPIldZYtQ_3_11"/>
      <w:bookmarkStart w:id="507" w:name="Tc_nIzSlSay10izRsIenPhHFA_3_8"/>
      <w:bookmarkStart w:id="508" w:name="Tc_8ebB3lbN70e5oXJGcpkOVA_3_5"/>
      <w:bookmarkStart w:id="509" w:name="Tc_FjiPE4eyVkelhH93AKLg4g_3_2"/>
      <w:bookmarkStart w:id="510" w:name="Tc_G8Hn8qxA7kyFR7NInstJoA_2_11"/>
      <w:bookmarkStart w:id="511" w:name="Tc_my8PHUJVHka-vSIWElpSGA_2_5"/>
      <w:bookmarkStart w:id="512" w:name="Tc_nMPZjSBWHUKy_IqxmfSB-g_2_2"/>
      <w:bookmarkStart w:id="513" w:name="Tc_DalE4RtTWEqaZry64izoDg_1_2"/>
      <w:bookmarkStart w:id="514" w:name="_4b1d1af0_09f5_40af_ae98_ce2001c0518f"/>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tbl>
      <w:tblPr>
        <w:tblW w:w="10205" w:type="dxa"/>
        <w:jc w:val="left"/>
        <w:tblInd w:w="0" w:type="dxa"/>
        <w:tblLayout w:type="fixed"/>
        <w:tblCellMar>
          <w:top w:w="0" w:type="dxa"/>
          <w:left w:w="0" w:type="dxa"/>
          <w:bottom w:w="0" w:type="dxa"/>
          <w:right w:w="0" w:type="dxa"/>
        </w:tblCellMar>
      </w:tblPr>
      <w:tblGrid>
        <w:gridCol w:w="2796"/>
        <w:gridCol w:w="346"/>
        <w:gridCol w:w="274"/>
        <w:gridCol w:w="627"/>
        <w:gridCol w:w="412"/>
        <w:gridCol w:w="252"/>
        <w:gridCol w:w="683"/>
        <w:gridCol w:w="412"/>
        <w:gridCol w:w="371"/>
        <w:gridCol w:w="1011"/>
        <w:gridCol w:w="346"/>
        <w:gridCol w:w="274"/>
        <w:gridCol w:w="822"/>
        <w:gridCol w:w="346"/>
        <w:gridCol w:w="292"/>
        <w:gridCol w:w="941"/>
      </w:tblGrid>
      <w:tr>
        <w:trPr/>
        <w:tc>
          <w:tcPr>
            <w:tcW w:w="2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775460" cy="175260"/>
                      <wp:effectExtent l="0" t="0" r="0" b="0"/>
                      <wp:wrapNone/>
                      <wp:docPr id="176" name="Frame176"/>
                      <a:graphic xmlns:a="http://schemas.openxmlformats.org/drawingml/2006/main">
                        <a:graphicData uri="http://schemas.microsoft.com/office/word/2010/wordprocessingShape">
                          <wps:wsp>
                            <wps:cNvSpPr txBox="1"/>
                            <wps:spPr>
                              <a:xfrm>
                                <a:off x="0" y="0"/>
                                <a:ext cx="177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73990" cy="175260"/>
                      <wp:effectExtent l="0" t="0" r="0" b="0"/>
                      <wp:wrapNone/>
                      <wp:docPr id="178" name="Frame178"/>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98145" cy="175260"/>
                      <wp:effectExtent l="0" t="0" r="0" b="0"/>
                      <wp:wrapNone/>
                      <wp:docPr id="179" name="Frame179"/>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61620" cy="175260"/>
                      <wp:effectExtent l="0" t="0" r="0" b="0"/>
                      <wp:wrapNone/>
                      <wp:docPr id="180" name="Frame180"/>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60020" cy="175260"/>
                      <wp:effectExtent l="0" t="0" r="0" b="0"/>
                      <wp:wrapNone/>
                      <wp:docPr id="181" name="Frame18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33705" cy="175260"/>
                      <wp:effectExtent l="0" t="0" r="0" b="0"/>
                      <wp:wrapNone/>
                      <wp:docPr id="182" name="Frame182"/>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61620" cy="175260"/>
                      <wp:effectExtent l="0" t="0" r="0" b="0"/>
                      <wp:wrapNone/>
                      <wp:docPr id="183" name="Frame183"/>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35585" cy="175260"/>
                      <wp:effectExtent l="0" t="0" r="0" b="0"/>
                      <wp:wrapNone/>
                      <wp:docPr id="184" name="Frame184"/>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1985" cy="175260"/>
                      <wp:effectExtent l="0" t="0" r="0" b="0"/>
                      <wp:wrapNone/>
                      <wp:docPr id="185" name="Frame185"/>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73990" cy="175260"/>
                      <wp:effectExtent l="0" t="0" r="0" b="0"/>
                      <wp:wrapNone/>
                      <wp:docPr id="187" name="Frame187"/>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21970" cy="175260"/>
                      <wp:effectExtent l="0" t="0" r="0" b="0"/>
                      <wp:wrapNone/>
                      <wp:docPr id="188" name="Frame188"/>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85420" cy="175260"/>
                      <wp:effectExtent l="0" t="0" r="0" b="0"/>
                      <wp:wrapNone/>
                      <wp:docPr id="190" name="Frame190"/>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97535" cy="175260"/>
                      <wp:effectExtent l="0" t="0" r="0" b="0"/>
                      <wp:wrapNone/>
                      <wp:docPr id="191" name="Frame191"/>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4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 Attributable to Icahn Enterprises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center"/>
              <w:rPr/>
            </w:pPr>
            <w:r>
              <w:rPr/>
              <w:t>​</w:t>
            </w:r>
          </w:p>
        </w:tc>
        <w:tc>
          <w:tcPr>
            <w:tcW w:w="8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 </w:t>
            </w:r>
          </w:p>
        </w:tc>
        <w:tc>
          <w:tcPr>
            <w:tcW w:w="941" w:type="dxa"/>
            <w:tcBorders/>
            <w:vAlign w:val="center"/>
          </w:tcPr>
          <w:p>
            <w:pPr>
              <w:pStyle w:val="TableContents"/>
              <w:bidi w:val="0"/>
              <w:spacing w:before="0" w:after="0"/>
              <w:ind w:left="0" w:right="0" w:hanging="0"/>
              <w:jc w:val="center"/>
              <w:rPr/>
            </w:pPr>
            <w:r>
              <w:rPr/>
              <w:t>​</w:t>
            </w:r>
          </w:p>
        </w:tc>
      </w:tr>
      <w:tr>
        <w:trPr/>
        <w:tc>
          <w:tcPr>
            <w:tcW w:w="2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General </w:t>
            </w:r>
          </w:p>
        </w:tc>
        <w:tc>
          <w:tcPr>
            <w:tcW w:w="412" w:type="dxa"/>
            <w:tcBorders/>
            <w:vAlign w:val="center"/>
          </w:tcPr>
          <w:p>
            <w:pPr>
              <w:pStyle w:val="TableContents"/>
              <w:bidi w:val="0"/>
              <w:spacing w:before="0" w:after="0"/>
              <w:ind w:left="0" w:right="0" w:hanging="0"/>
              <w:jc w:val="left"/>
              <w:rPr/>
            </w:pPr>
            <w:r>
              <w:rPr/>
              <w:t>​</w:t>
            </w:r>
          </w:p>
        </w:tc>
        <w:tc>
          <w:tcPr>
            <w:tcW w:w="93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Limited </w:t>
            </w:r>
            <w:r>
              <w:rPr>
                <w:rFonts w:ascii="Times New Roman;Times;serif" w:hAnsi="Times New Roman;Times;serif"/>
                <w:sz w:val="20"/>
              </w:rPr>
              <w:t> </w:t>
            </w:r>
          </w:p>
        </w:tc>
        <w:tc>
          <w:tcPr>
            <w:tcW w:w="412"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center"/>
              <w:rPr/>
            </w:pPr>
            <w:r>
              <w:rPr/>
              <w:t>​</w:t>
            </w:r>
          </w:p>
        </w:tc>
        <w:tc>
          <w:tcPr>
            <w:tcW w:w="941" w:type="dxa"/>
            <w:tcBorders/>
            <w:vAlign w:val="center"/>
          </w:tcPr>
          <w:p>
            <w:pPr>
              <w:pStyle w:val="TableContents"/>
              <w:bidi w:val="0"/>
              <w:spacing w:before="0" w:after="0"/>
              <w:ind w:left="0" w:right="0" w:hanging="0"/>
              <w:jc w:val="center"/>
              <w:rPr/>
            </w:pPr>
            <w:r>
              <w:rPr/>
              <w:t>​</w:t>
            </w:r>
          </w:p>
        </w:tc>
      </w:tr>
      <w:tr>
        <w:trPr/>
        <w:tc>
          <w:tcPr>
            <w:tcW w:w="2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w:t>
            </w:r>
          </w:p>
        </w:tc>
        <w:tc>
          <w:tcPr>
            <w:tcW w:w="412" w:type="dxa"/>
            <w:tcBorders/>
            <w:vAlign w:val="center"/>
          </w:tcPr>
          <w:p>
            <w:pPr>
              <w:pStyle w:val="TableContents"/>
              <w:bidi w:val="0"/>
              <w:spacing w:before="0" w:after="0"/>
              <w:ind w:left="0" w:right="0" w:hanging="0"/>
              <w:jc w:val="left"/>
              <w:rPr/>
            </w:pPr>
            <w:r>
              <w:rPr/>
              <w:t>​</w:t>
            </w:r>
          </w:p>
        </w:tc>
        <w:tc>
          <w:tcPr>
            <w:tcW w:w="93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Partners’ </w:t>
            </w:r>
          </w:p>
        </w:tc>
        <w:tc>
          <w:tcPr>
            <w:tcW w:w="412" w:type="dxa"/>
            <w:tcBorders/>
            <w:vAlign w:val="center"/>
          </w:tcPr>
          <w:p>
            <w:pPr>
              <w:pStyle w:val="TableContents"/>
              <w:bidi w:val="0"/>
              <w:spacing w:before="0" w:after="0"/>
              <w:ind w:left="0" w:right="0" w:hanging="0"/>
              <w:jc w:val="left"/>
              <w:rPr/>
            </w:pPr>
            <w:r>
              <w:rPr/>
              <w:t>​</w:t>
            </w:r>
          </w:p>
        </w:tc>
        <w:tc>
          <w:tcPr>
            <w:tcW w:w="138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Partners’ </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controlling </w:t>
            </w:r>
          </w:p>
        </w:tc>
        <w:tc>
          <w:tcPr>
            <w:tcW w:w="346" w:type="dxa"/>
            <w:tcBorders/>
            <w:vAlign w:val="center"/>
          </w:tcPr>
          <w:p>
            <w:pPr>
              <w:pStyle w:val="TableContents"/>
              <w:bidi w:val="0"/>
              <w:spacing w:before="0" w:after="0"/>
              <w:ind w:left="0" w:right="0" w:hanging="0"/>
              <w:jc w:val="left"/>
              <w:rPr/>
            </w:pPr>
            <w:r>
              <w:rPr/>
              <w:t>​</w:t>
            </w:r>
          </w:p>
        </w:tc>
        <w:tc>
          <w:tcPr>
            <w:tcW w:w="1233" w:type="dxa"/>
            <w:gridSpan w:val="2"/>
            <w:tcBorders/>
            <w:vAlign w:val="center"/>
          </w:tcPr>
          <w:p>
            <w:pPr>
              <w:pStyle w:val="TableContents"/>
              <w:bidi w:val="0"/>
              <w:spacing w:before="0" w:after="0"/>
              <w:ind w:left="0" w:right="0" w:hanging="0"/>
              <w:jc w:val="center"/>
              <w:rPr/>
            </w:pPr>
            <w:r>
              <w:rPr/>
              <w:t>​</w:t>
            </w:r>
          </w:p>
        </w:tc>
      </w:tr>
      <w:tr>
        <w:trPr/>
        <w:tc>
          <w:tcPr>
            <w:tcW w:w="2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20"/>
              </w:rPr>
              <w:t>(Deficit)</w:t>
            </w:r>
          </w:p>
        </w:tc>
        <w:tc>
          <w:tcPr>
            <w:tcW w:w="412" w:type="dxa"/>
            <w:tcBorders/>
            <w:vAlign w:val="center"/>
          </w:tcPr>
          <w:p>
            <w:pPr>
              <w:pStyle w:val="TableContents"/>
              <w:bidi w:val="0"/>
              <w:spacing w:before="0" w:after="0"/>
              <w:ind w:left="0" w:right="0" w:hanging="0"/>
              <w:jc w:val="left"/>
              <w:rPr/>
            </w:pPr>
            <w:r>
              <w:rPr/>
              <w:t>  ​ ​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412" w:type="dxa"/>
            <w:tcBorders/>
            <w:vAlign w:val="center"/>
          </w:tcPr>
          <w:p>
            <w:pPr>
              <w:pStyle w:val="TableContents"/>
              <w:bidi w:val="0"/>
              <w:spacing w:before="0" w:after="0"/>
              <w:ind w:left="0" w:right="0" w:hanging="0"/>
              <w:jc w:val="left"/>
              <w:rPr/>
            </w:pPr>
            <w:r>
              <w:rPr/>
              <w:t>  ​ ​ ​</w:t>
            </w:r>
          </w:p>
        </w:tc>
        <w:tc>
          <w:tcPr>
            <w:tcW w:w="13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Interests</w:t>
            </w:r>
          </w:p>
        </w:tc>
        <w:tc>
          <w:tcPr>
            <w:tcW w:w="346" w:type="dxa"/>
            <w:tcBorders/>
            <w:vAlign w:val="center"/>
          </w:tcPr>
          <w:p>
            <w:pPr>
              <w:pStyle w:val="TableContents"/>
              <w:bidi w:val="0"/>
              <w:spacing w:before="0" w:after="0"/>
              <w:ind w:left="0" w:right="0" w:hanging="0"/>
              <w:jc w:val="left"/>
              <w:rPr/>
            </w:pPr>
            <w:r>
              <w:rPr/>
              <w:t>  ​ ​ ​</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Equity</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3" w:type="dxa"/>
            <w:gridSpan w:val="14"/>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2022</w:t>
            </w:r>
          </w:p>
        </w:tc>
        <w:tc>
          <w:tcPr>
            <w:tcW w:w="346" w:type="dxa"/>
            <w:tcBorders/>
            <w:shd w:fill="CCEEFF" w:val="clear"/>
            <w:vAlign w:val="center"/>
          </w:tcPr>
          <w:p>
            <w:pPr>
              <w:pStyle w:val="TableContents"/>
              <w:bidi w:val="0"/>
              <w:spacing w:before="0" w:after="0"/>
              <w:ind w:left="0" w:right="0" w:hanging="0"/>
              <w:jc w:val="center"/>
              <w:rPr/>
            </w:pPr>
            <w:r>
              <w:rPr/>
              <w:t>​</w:t>
            </w:r>
          </w:p>
        </w:tc>
        <w:tc>
          <w:tcPr>
            <w:tcW w:w="27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4,647</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center"/>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center"/>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5,658</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center"/>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9,558</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distributions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4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12"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412" w:type="dxa"/>
            <w:tcBorders/>
            <w:vAlign w:val="center"/>
          </w:tcPr>
          <w:p>
            <w:pPr>
              <w:pStyle w:val="TableContents"/>
              <w:bidi w:val="0"/>
              <w:spacing w:before="0" w:after="0"/>
              <w:ind w:left="0" w:right="0" w:hanging="0"/>
              <w:jc w:val="left"/>
              <w:rPr/>
            </w:pPr>
            <w:r>
              <w:rPr/>
              <w:t> </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0"/>
              <w:ind w:left="0" w:right="0" w:hanging="0"/>
              <w:jc w:val="left"/>
              <w:rPr/>
            </w:pPr>
            <w:r>
              <w:rPr/>
              <w:t> </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3,969</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3,208</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2,865</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6,073</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contributions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distributions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2024</w:t>
            </w:r>
          </w:p>
        </w:tc>
        <w:tc>
          <w:tcPr>
            <w:tcW w:w="34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w:t>
            </w:r>
          </w:p>
        </w:tc>
        <w:tc>
          <w:tcPr>
            <w:tcW w:w="412"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3,241</w:t>
            </w:r>
          </w:p>
        </w:tc>
        <w:tc>
          <w:tcPr>
            <w:tcW w:w="412" w:type="dxa"/>
            <w:tcBorders/>
            <w:vAlign w:val="center"/>
          </w:tcPr>
          <w:p>
            <w:pPr>
              <w:pStyle w:val="TableContents"/>
              <w:bidi w:val="0"/>
              <w:spacing w:before="0" w:after="0"/>
              <w:ind w:left="0" w:right="0" w:hanging="0"/>
              <w:jc w:val="left"/>
              <w:rPr/>
            </w:pPr>
            <w:r>
              <w:rPr/>
              <w:t> </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w:t>
            </w:r>
          </w:p>
        </w:tc>
        <w:tc>
          <w:tcPr>
            <w:tcW w:w="34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w:t>
            </w:r>
          </w:p>
        </w:tc>
        <w:tc>
          <w:tcPr>
            <w:tcW w:w="346" w:type="dxa"/>
            <w:tcBorders/>
            <w:vAlign w:val="center"/>
          </w:tcPr>
          <w:p>
            <w:pPr>
              <w:pStyle w:val="TableContents"/>
              <w:bidi w:val="0"/>
              <w:spacing w:before="0" w:after="0"/>
              <w:ind w:left="0" w:right="0" w:hanging="0"/>
              <w:jc w:val="left"/>
              <w:rPr/>
            </w:pPr>
            <w:r>
              <w:rPr/>
              <w:t> </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4,621</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segment distributions</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4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distributions to non-controlling interests in subsidiaries</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627"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right"/>
              <w:rPr/>
            </w:pPr>
            <w:r>
              <w:rPr/>
              <w:t>​</w:t>
            </w:r>
          </w:p>
        </w:tc>
        <w:tc>
          <w:tcPr>
            <w:tcW w:w="683"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additional interests in consolidated subsidiaries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righ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412"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right"/>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righ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2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subsidiary equity and other</w:t>
            </w:r>
          </w:p>
        </w:tc>
        <w:tc>
          <w:tcPr>
            <w:tcW w:w="34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12"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12" w:type="dxa"/>
            <w:tcBorders/>
            <w:vAlign w:val="center"/>
          </w:tcPr>
          <w:p>
            <w:pPr>
              <w:pStyle w:val="TableContents"/>
              <w:bidi w:val="0"/>
              <w:spacing w:before="0" w:after="0"/>
              <w:ind w:left="0" w:right="0" w:hanging="0"/>
              <w:jc w:val="left"/>
              <w:rPr/>
            </w:pPr>
            <w:r>
              <w:rPr/>
              <w:t> </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 </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(786)</w:t>
            </w:r>
          </w:p>
        </w:tc>
        <w:tc>
          <w:tcPr>
            <w:tcW w:w="412"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2,728</w:t>
            </w:r>
          </w:p>
        </w:tc>
        <w:tc>
          <w:tcPr>
            <w:tcW w:w="412" w:type="dxa"/>
            <w:tcBorders/>
            <w:shd w:fill="CCEEFF" w:val="clear"/>
            <w:vAlign w:val="center"/>
          </w:tcPr>
          <w:p>
            <w:pPr>
              <w:pStyle w:val="TableContents"/>
              <w:bidi w:val="0"/>
              <w:spacing w:before="0" w:after="0"/>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1,942</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1,484</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3,426</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15" w:name="_e93efcf2_16f9_42ad_a05b_9b1f89cc9aa6"/>
      <w:bookmarkEnd w:id="515"/>
      <w:r>
        <w:rPr>
          <w:rFonts w:ascii="Times New Roman;Times;serif" w:hAnsi="Times New Roman;Times;serif"/>
          <w:b/>
          <w:sz w:val="20"/>
        </w:rPr>
        <w:t>ICAHN ENTERPRISES L.P. AND SUBSIDIARIES</w:t>
      </w:r>
    </w:p>
    <w:p>
      <w:pPr>
        <w:pStyle w:val="TextBody"/>
        <w:bidi w:val="0"/>
        <w:spacing w:before="0" w:after="80"/>
        <w:ind w:left="0" w:right="0" w:hanging="0"/>
        <w:jc w:val="center"/>
        <w:rPr>
          <w:rFonts w:ascii="Times New Roman;Times;serif" w:hAnsi="Times New Roman;Times;serif"/>
          <w:b/>
          <w:sz w:val="20"/>
        </w:rPr>
      </w:pPr>
      <w:bookmarkStart w:id="516" w:name="CASHFLOWS_636712"/>
      <w:bookmarkEnd w:id="516"/>
      <w:r>
        <w:rPr>
          <w:rFonts w:ascii="Times New Roman;Times;serif" w:hAnsi="Times New Roman;Times;serif"/>
          <w:b/>
          <w:sz w:val="20"/>
        </w:rPr>
        <w:t xml:space="preserve">CONSOLIDATED STATEMENTS OF CASH FLOWS </w:t>
      </w:r>
    </w:p>
    <w:p>
      <w:pPr>
        <w:pStyle w:val="Normal"/>
        <w:bidi w:val="0"/>
        <w:spacing w:before="0" w:after="0"/>
        <w:jc w:val="left"/>
        <w:rPr>
          <w:sz w:val="4"/>
          <w:szCs w:val="4"/>
        </w:rPr>
      </w:pPr>
      <w:r>
        <w:rPr>
          <w:sz w:val="4"/>
          <w:szCs w:val="4"/>
        </w:rPr>
      </w:r>
      <w:bookmarkStart w:id="517" w:name="Tc_zuGmGs10UEqZei3BTNvxgw_55_8"/>
      <w:bookmarkStart w:id="518" w:name="Tc_sNCcYq_CgEKOeiB_o1xpXw_55_5"/>
      <w:bookmarkStart w:id="519" w:name="Tc_AS_jT70z-02aa8LCryko_g_55_2"/>
      <w:bookmarkStart w:id="520" w:name="Tc_-reKc7fDN0iQNQTAp-g2IA_55_0"/>
      <w:bookmarkStart w:id="521" w:name="Tc_9YBha-bW6USUWg2sN2mzzA_54_0"/>
      <w:bookmarkStart w:id="522" w:name="Tc_pDKdFN5KyE6EugEm4RWWgg_53_0"/>
      <w:bookmarkStart w:id="523" w:name="Tc_QKIpzLpuNUihTGwtK5ROiQ_52_3"/>
      <w:bookmarkStart w:id="524" w:name="Tc_VVju4viIZUOzpd6KL3VL6w_52_0"/>
      <w:bookmarkStart w:id="525" w:name="Tc_tMXFhdo43Emu7wsOPxi_NQ_51_0"/>
      <w:bookmarkStart w:id="526" w:name="Tc_GMnq3sVv0U-eYUIBzgX0yQ_50_0"/>
      <w:bookmarkStart w:id="527" w:name="Tc_6jx_0x5ns0uL6J1Ls_7IDQ_49_0"/>
      <w:bookmarkStart w:id="528" w:name="Tc_bRT2AFVWtkG1UQb3nZsPtg_48_0"/>
      <w:bookmarkStart w:id="529" w:name="Tc_OKNIUoFuWU-yyGvhCoAoGg_47_9"/>
      <w:bookmarkStart w:id="530" w:name="Tc_BZUdrq01NUGr4FvnM6KBbA_47_0"/>
      <w:bookmarkStart w:id="531" w:name="Tc_uQWzLUmErUCFkxVc7O_4Uw_46_0"/>
      <w:bookmarkStart w:id="532" w:name="Tc_Ecb1zGSEVkefFQAfZ3S86Q_45_0"/>
      <w:bookmarkStart w:id="533" w:name="Tc_pgnPpCxvVUWHWfaQ65Mm1w_44_0"/>
      <w:bookmarkStart w:id="534" w:name="Tc_Zu-RMKPnr0CqA5uJ4cEChw_43_0"/>
      <w:bookmarkStart w:id="535" w:name="Tc_7PeL2l-D3ESRoc2XHhaDFA_42_0"/>
      <w:bookmarkStart w:id="536" w:name="Tc_tnYwUhqMCkS74CrFs1qOrQ_41_0"/>
      <w:bookmarkStart w:id="537" w:name="Tc_fbMhU3YHvUynIdxYZE6sPg_40_0"/>
      <w:bookmarkStart w:id="538" w:name="Tc_zNScB3PWJUacbgxZ8vTL8g_39_9"/>
      <w:bookmarkStart w:id="539" w:name="Tc_EuJXxyIRske_5Wff1n1SOQ_39_3"/>
      <w:bookmarkStart w:id="540" w:name="Tc_sS8MdZsulE-1lYEyodynVA_39_0"/>
      <w:bookmarkStart w:id="541" w:name="Tc_o46Zc_rfpEyCvvr5VSOyOw_38_0"/>
      <w:bookmarkStart w:id="542" w:name="Tc_EnQoDvyfLUaqqI8O8MOlTQ_37_0"/>
      <w:bookmarkStart w:id="543" w:name="Tc_bxmgqFyd-EmR1fZbeMLj1w_36_0"/>
      <w:bookmarkStart w:id="544" w:name="Tc_IZv4cCxfxkqAM-L02lwSug_35_3"/>
      <w:bookmarkStart w:id="545" w:name="Tc_1R0RhVF4W0-w3euYLeaZEw_35_0"/>
      <w:bookmarkStart w:id="546" w:name="Tc_cYt9VOJXlk27VNmZy6f_JQ_34_0"/>
      <w:bookmarkStart w:id="547" w:name="Tc_G7EjsLNUl0izqiM_CqNt6Q_33_9"/>
      <w:bookmarkStart w:id="548" w:name="Tc_5FA5z6ruFkucSuTcWBrReg_33_3"/>
      <w:bookmarkStart w:id="549" w:name="Tc_vYo89c6b1ECsLMShXiFIyQ_33_0"/>
      <w:bookmarkStart w:id="550" w:name="Tc_jDWBoCEsD0GuueHfkOkwWA_32_3"/>
      <w:bookmarkStart w:id="551" w:name="Tc_pbLHs-Dao0GWpWMRb1hZeg_32_0"/>
      <w:bookmarkStart w:id="552" w:name="Tc_QM_Q6sIa6kiJkMsZFF4cKA_31_0"/>
      <w:bookmarkStart w:id="553" w:name="Tc_PO-_-UnAG0-UMeAZjWAkjQ_30_0"/>
      <w:bookmarkStart w:id="554" w:name="Tc_bLUOX3MIDUiHNZRQS475rg_29_0"/>
      <w:bookmarkStart w:id="555" w:name="Tc_DbGbbOV2zEO5BgArbrx3zg_28_0"/>
      <w:bookmarkStart w:id="556" w:name="Tc_7gXs2akAWEanlGwpyxmE0A_27_0"/>
      <w:bookmarkStart w:id="557" w:name="Tc_pyTbgIMVUkeXoyAzB2GYpw_26_0"/>
      <w:bookmarkStart w:id="558" w:name="Tc_LPIsAJoYDk-2tVSKw30AEw_25_0"/>
      <w:bookmarkStart w:id="559" w:name="Tc_d1hwnlfsTUyEdWVyBY0Qww_24_0"/>
      <w:bookmarkStart w:id="560" w:name="Tc_387pev9EwEGppmyRUj_Gzw_23_6"/>
      <w:bookmarkStart w:id="561" w:name="Tc_rOBDgx4bF0O1emKhV5SVMg_23_3"/>
      <w:bookmarkStart w:id="562" w:name="Tc_k7HNWbcD70aKx1Z_u42AUw_23_0"/>
      <w:bookmarkStart w:id="563" w:name="Tc_RqAFg39JV02fvZIwZKgwIQ_22_0"/>
      <w:bookmarkStart w:id="564" w:name="Tc_fBxTS2gy7k6JThDnpW-oeg_21_0"/>
      <w:bookmarkStart w:id="565" w:name="Tc_mnDDHiOAXEqsjUrYLeTfWA_20_0"/>
      <w:bookmarkStart w:id="566" w:name="Tc_Qx2uBGnBikKRWm-iaoeYLw_19_0"/>
      <w:bookmarkStart w:id="567" w:name="Tc_BZVZFv4G7UWLuScws2yK7A_18_6"/>
      <w:bookmarkStart w:id="568" w:name="Tc_bj-Zq7YNtkaHlNkR2PDxvg_18_0"/>
      <w:bookmarkStart w:id="569" w:name="Tc_cAFZoYVZikaayKjTEQcpkA_17_6"/>
      <w:bookmarkStart w:id="570" w:name="Tc_Y47_bREhq0uikQLegwSSlg_17_3"/>
      <w:bookmarkStart w:id="571" w:name="Tc_reT2Efeq9kW3cm6tGCjf0w_17_0"/>
      <w:bookmarkStart w:id="572" w:name="Tc_6ylX4F55c0uTawCVuoOEGQ_16_6"/>
      <w:bookmarkStart w:id="573" w:name="Tc_hNFCmlHNLUSF5uDEwe6EHw_16_3"/>
      <w:bookmarkStart w:id="574" w:name="Tc_aTn5Ke4yskyAP2IVJI6PzQ_16_0"/>
      <w:bookmarkStart w:id="575" w:name="Tc_ujuXtNzTZ0GRIvpqZf2VNg_15_0"/>
      <w:bookmarkStart w:id="576" w:name="Tc_0rqsQev6BUmgh7G6rTQnbA_14_0"/>
      <w:bookmarkStart w:id="577" w:name="Tc_SsH-oQjX2UGixGTh_UhCMA_13_0"/>
      <w:bookmarkStart w:id="578" w:name="Tc__41Sks1luES3zjfzbLRmTg_12_0"/>
      <w:bookmarkStart w:id="579" w:name="Tc_0D8QYpiVXEOTKQR08VfqLA_11_0"/>
      <w:bookmarkStart w:id="580" w:name="Tc_x2-6Lbn_IEOhawPZ9sfIFQ_10_0"/>
      <w:bookmarkStart w:id="581" w:name="Tc_qb0BgxtQi0ejlFrQeG07ow_9_0"/>
      <w:bookmarkStart w:id="582" w:name="Tc_42UgFUauf0iUsUVj39n59Q_8_0"/>
      <w:bookmarkStart w:id="583" w:name="Tc_x8nDBtNkY0K4NN4bjVEOHg_7_0"/>
      <w:bookmarkStart w:id="584" w:name="Tc_e1nEqkzUzEK7-UnctS6GVA_6_0"/>
      <w:bookmarkStart w:id="585" w:name="Tc_A1fVVn7NuUyOMUKhOBjY1w_5_8"/>
      <w:bookmarkStart w:id="586" w:name="Tc_yoIkt5Qq6Ee-Rzwp_IjjzA_5_5"/>
      <w:bookmarkStart w:id="587" w:name="Tc_cq9FjcTdhECieImQdySfgQ_5_2"/>
      <w:bookmarkStart w:id="588" w:name="Tc_QyiiNUCo8EukjLmgSdb8wg_5_0"/>
      <w:bookmarkStart w:id="589" w:name="Tc_uXEMBuk_oEqtWMwbgIlsZg_4_0"/>
      <w:bookmarkStart w:id="590" w:name="Tc_HlEy2CkFm0uKWJ7Cf3qOmQ_3_2"/>
      <w:bookmarkStart w:id="591" w:name="Tc_5BnOVdltiUSBbxgF37i3rA_2_8"/>
      <w:bookmarkStart w:id="592" w:name="Tc_S4Kn8M2P8EmTJ80XiWe9WA_2_5"/>
      <w:bookmarkStart w:id="593" w:name="Tc_HQvcVadf-UyZtR6xTslKUw_2_2"/>
      <w:bookmarkStart w:id="594" w:name="Tc_-gHTHSTuyEakVzhV8qOIig_1_2"/>
      <w:bookmarkStart w:id="595" w:name="_58d76831_03e7_4272_a661_1510ea71225c"/>
      <w:bookmarkStart w:id="596" w:name="Tc_zuGmGs10UEqZei3BTNvxgw_55_8"/>
      <w:bookmarkStart w:id="597" w:name="Tc_sNCcYq_CgEKOeiB_o1xpXw_55_5"/>
      <w:bookmarkStart w:id="598" w:name="Tc_AS_jT70z-02aa8LCryko_g_55_2"/>
      <w:bookmarkStart w:id="599" w:name="Tc_-reKc7fDN0iQNQTAp-g2IA_55_0"/>
      <w:bookmarkStart w:id="600" w:name="Tc_9YBha-bW6USUWg2sN2mzzA_54_0"/>
      <w:bookmarkStart w:id="601" w:name="Tc_pDKdFN5KyE6EugEm4RWWgg_53_0"/>
      <w:bookmarkStart w:id="602" w:name="Tc_QKIpzLpuNUihTGwtK5ROiQ_52_3"/>
      <w:bookmarkStart w:id="603" w:name="Tc_VVju4viIZUOzpd6KL3VL6w_52_0"/>
      <w:bookmarkStart w:id="604" w:name="Tc_tMXFhdo43Emu7wsOPxi_NQ_51_0"/>
      <w:bookmarkStart w:id="605" w:name="Tc_GMnq3sVv0U-eYUIBzgX0yQ_50_0"/>
      <w:bookmarkStart w:id="606" w:name="Tc_6jx_0x5ns0uL6J1Ls_7IDQ_49_0"/>
      <w:bookmarkStart w:id="607" w:name="Tc_bRT2AFVWtkG1UQb3nZsPtg_48_0"/>
      <w:bookmarkStart w:id="608" w:name="Tc_OKNIUoFuWU-yyGvhCoAoGg_47_9"/>
      <w:bookmarkStart w:id="609" w:name="Tc_BZUdrq01NUGr4FvnM6KBbA_47_0"/>
      <w:bookmarkStart w:id="610" w:name="Tc_uQWzLUmErUCFkxVc7O_4Uw_46_0"/>
      <w:bookmarkStart w:id="611" w:name="Tc_Ecb1zGSEVkefFQAfZ3S86Q_45_0"/>
      <w:bookmarkStart w:id="612" w:name="Tc_pgnPpCxvVUWHWfaQ65Mm1w_44_0"/>
      <w:bookmarkStart w:id="613" w:name="Tc_Zu-RMKPnr0CqA5uJ4cEChw_43_0"/>
      <w:bookmarkStart w:id="614" w:name="Tc_7PeL2l-D3ESRoc2XHhaDFA_42_0"/>
      <w:bookmarkStart w:id="615" w:name="Tc_tnYwUhqMCkS74CrFs1qOrQ_41_0"/>
      <w:bookmarkStart w:id="616" w:name="Tc_fbMhU3YHvUynIdxYZE6sPg_40_0"/>
      <w:bookmarkStart w:id="617" w:name="Tc_zNScB3PWJUacbgxZ8vTL8g_39_9"/>
      <w:bookmarkStart w:id="618" w:name="Tc_EuJXxyIRske_5Wff1n1SOQ_39_3"/>
      <w:bookmarkStart w:id="619" w:name="Tc_sS8MdZsulE-1lYEyodynVA_39_0"/>
      <w:bookmarkStart w:id="620" w:name="Tc_o46Zc_rfpEyCvvr5VSOyOw_38_0"/>
      <w:bookmarkStart w:id="621" w:name="Tc_EnQoDvyfLUaqqI8O8MOlTQ_37_0"/>
      <w:bookmarkStart w:id="622" w:name="Tc_bxmgqFyd-EmR1fZbeMLj1w_36_0"/>
      <w:bookmarkStart w:id="623" w:name="Tc_IZv4cCxfxkqAM-L02lwSug_35_3"/>
      <w:bookmarkStart w:id="624" w:name="Tc_1R0RhVF4W0-w3euYLeaZEw_35_0"/>
      <w:bookmarkStart w:id="625" w:name="Tc_cYt9VOJXlk27VNmZy6f_JQ_34_0"/>
      <w:bookmarkStart w:id="626" w:name="Tc_G7EjsLNUl0izqiM_CqNt6Q_33_9"/>
      <w:bookmarkStart w:id="627" w:name="Tc_5FA5z6ruFkucSuTcWBrReg_33_3"/>
      <w:bookmarkStart w:id="628" w:name="Tc_vYo89c6b1ECsLMShXiFIyQ_33_0"/>
      <w:bookmarkStart w:id="629" w:name="Tc_jDWBoCEsD0GuueHfkOkwWA_32_3"/>
      <w:bookmarkStart w:id="630" w:name="Tc_pbLHs-Dao0GWpWMRb1hZeg_32_0"/>
      <w:bookmarkStart w:id="631" w:name="Tc_QM_Q6sIa6kiJkMsZFF4cKA_31_0"/>
      <w:bookmarkStart w:id="632" w:name="Tc_PO-_-UnAG0-UMeAZjWAkjQ_30_0"/>
      <w:bookmarkStart w:id="633" w:name="Tc_bLUOX3MIDUiHNZRQS475rg_29_0"/>
      <w:bookmarkStart w:id="634" w:name="Tc_DbGbbOV2zEO5BgArbrx3zg_28_0"/>
      <w:bookmarkStart w:id="635" w:name="Tc_7gXs2akAWEanlGwpyxmE0A_27_0"/>
      <w:bookmarkStart w:id="636" w:name="Tc_pyTbgIMVUkeXoyAzB2GYpw_26_0"/>
      <w:bookmarkStart w:id="637" w:name="Tc_LPIsAJoYDk-2tVSKw30AEw_25_0"/>
      <w:bookmarkStart w:id="638" w:name="Tc_d1hwnlfsTUyEdWVyBY0Qww_24_0"/>
      <w:bookmarkStart w:id="639" w:name="Tc_387pev9EwEGppmyRUj_Gzw_23_6"/>
      <w:bookmarkStart w:id="640" w:name="Tc_rOBDgx4bF0O1emKhV5SVMg_23_3"/>
      <w:bookmarkStart w:id="641" w:name="Tc_k7HNWbcD70aKx1Z_u42AUw_23_0"/>
      <w:bookmarkStart w:id="642" w:name="Tc_RqAFg39JV02fvZIwZKgwIQ_22_0"/>
      <w:bookmarkStart w:id="643" w:name="Tc_fBxTS2gy7k6JThDnpW-oeg_21_0"/>
      <w:bookmarkStart w:id="644" w:name="Tc_mnDDHiOAXEqsjUrYLeTfWA_20_0"/>
      <w:bookmarkStart w:id="645" w:name="Tc_Qx2uBGnBikKRWm-iaoeYLw_19_0"/>
      <w:bookmarkStart w:id="646" w:name="Tc_BZVZFv4G7UWLuScws2yK7A_18_6"/>
      <w:bookmarkStart w:id="647" w:name="Tc_bj-Zq7YNtkaHlNkR2PDxvg_18_0"/>
      <w:bookmarkStart w:id="648" w:name="Tc_cAFZoYVZikaayKjTEQcpkA_17_6"/>
      <w:bookmarkStart w:id="649" w:name="Tc_Y47_bREhq0uikQLegwSSlg_17_3"/>
      <w:bookmarkStart w:id="650" w:name="Tc_reT2Efeq9kW3cm6tGCjf0w_17_0"/>
      <w:bookmarkStart w:id="651" w:name="Tc_6ylX4F55c0uTawCVuoOEGQ_16_6"/>
      <w:bookmarkStart w:id="652" w:name="Tc_hNFCmlHNLUSF5uDEwe6EHw_16_3"/>
      <w:bookmarkStart w:id="653" w:name="Tc_aTn5Ke4yskyAP2IVJI6PzQ_16_0"/>
      <w:bookmarkStart w:id="654" w:name="Tc_ujuXtNzTZ0GRIvpqZf2VNg_15_0"/>
      <w:bookmarkStart w:id="655" w:name="Tc_0rqsQev6BUmgh7G6rTQnbA_14_0"/>
      <w:bookmarkStart w:id="656" w:name="Tc_SsH-oQjX2UGixGTh_UhCMA_13_0"/>
      <w:bookmarkStart w:id="657" w:name="Tc__41Sks1luES3zjfzbLRmTg_12_0"/>
      <w:bookmarkStart w:id="658" w:name="Tc_0D8QYpiVXEOTKQR08VfqLA_11_0"/>
      <w:bookmarkStart w:id="659" w:name="Tc_x2-6Lbn_IEOhawPZ9sfIFQ_10_0"/>
      <w:bookmarkStart w:id="660" w:name="Tc_qb0BgxtQi0ejlFrQeG07ow_9_0"/>
      <w:bookmarkStart w:id="661" w:name="Tc_42UgFUauf0iUsUVj39n59Q_8_0"/>
      <w:bookmarkStart w:id="662" w:name="Tc_x8nDBtNkY0K4NN4bjVEOHg_7_0"/>
      <w:bookmarkStart w:id="663" w:name="Tc_e1nEqkzUzEK7-UnctS6GVA_6_0"/>
      <w:bookmarkStart w:id="664" w:name="Tc_A1fVVn7NuUyOMUKhOBjY1w_5_8"/>
      <w:bookmarkStart w:id="665" w:name="Tc_yoIkt5Qq6Ee-Rzwp_IjjzA_5_5"/>
      <w:bookmarkStart w:id="666" w:name="Tc_cq9FjcTdhECieImQdySfgQ_5_2"/>
      <w:bookmarkStart w:id="667" w:name="Tc_QyiiNUCo8EukjLmgSdb8wg_5_0"/>
      <w:bookmarkStart w:id="668" w:name="Tc_uXEMBuk_oEqtWMwbgIlsZg_4_0"/>
      <w:bookmarkStart w:id="669" w:name="Tc_HlEy2CkFm0uKWJ7Cf3qOmQ_3_2"/>
      <w:bookmarkStart w:id="670" w:name="Tc_5BnOVdltiUSBbxgF37i3rA_2_8"/>
      <w:bookmarkStart w:id="671" w:name="Tc_S4Kn8M2P8EmTJ80XiWe9WA_2_5"/>
      <w:bookmarkStart w:id="672" w:name="Tc_HQvcVadf-UyZtR6xTslKUw_2_2"/>
      <w:bookmarkStart w:id="673" w:name="Tc_-gHTHSTuyEakVzhV8qOIig_1_2"/>
      <w:bookmarkStart w:id="674" w:name="_58d76831_03e7_4272_a661_1510ea71225c"/>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tbl>
      <w:tblPr>
        <w:tblW w:w="10205" w:type="dxa"/>
        <w:jc w:val="left"/>
        <w:tblInd w:w="0" w:type="dxa"/>
        <w:tblLayout w:type="fixed"/>
        <w:tblCellMar>
          <w:top w:w="0" w:type="dxa"/>
          <w:left w:w="0" w:type="dxa"/>
          <w:bottom w:w="0" w:type="dxa"/>
          <w:right w:w="0" w:type="dxa"/>
        </w:tblCellMar>
      </w:tblPr>
      <w:tblGrid>
        <w:gridCol w:w="6672"/>
        <w:gridCol w:w="346"/>
        <w:gridCol w:w="196"/>
        <w:gridCol w:w="620"/>
        <w:gridCol w:w="346"/>
        <w:gridCol w:w="196"/>
        <w:gridCol w:w="620"/>
        <w:gridCol w:w="346"/>
        <w:gridCol w:w="196"/>
        <w:gridCol w:w="667"/>
      </w:tblGrid>
      <w:tr>
        <w:trPr/>
        <w:tc>
          <w:tcPr>
            <w:tcW w:w="6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236720" cy="175260"/>
                      <wp:effectExtent l="0" t="0" r="0" b="0"/>
                      <wp:wrapNone/>
                      <wp:docPr id="192" name="Frame192"/>
                      <a:graphic xmlns:a="http://schemas.openxmlformats.org/drawingml/2006/main">
                        <a:graphicData uri="http://schemas.microsoft.com/office/word/2010/wordprocessingShape">
                          <wps:wsp>
                            <wps:cNvSpPr txBox="1"/>
                            <wps:spPr>
                              <a:xfrm>
                                <a:off x="0" y="0"/>
                                <a:ext cx="423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24460" cy="175260"/>
                      <wp:effectExtent l="0" t="0" r="0" b="0"/>
                      <wp:wrapNone/>
                      <wp:docPr id="194" name="Frame1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93700" cy="175260"/>
                      <wp:effectExtent l="0" t="0" r="0" b="0"/>
                      <wp:wrapNone/>
                      <wp:docPr id="195" name="Frame195"/>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24460" cy="175260"/>
                      <wp:effectExtent l="0" t="0" r="0" b="0"/>
                      <wp:wrapNone/>
                      <wp:docPr id="197" name="Frame1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93700" cy="175260"/>
                      <wp:effectExtent l="0" t="0" r="0" b="0"/>
                      <wp:wrapNone/>
                      <wp:docPr id="198" name="Frame198"/>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24460" cy="175260"/>
                      <wp:effectExtent l="0" t="0" r="0" b="0"/>
                      <wp:wrapNone/>
                      <wp:docPr id="200" name="Frame2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23545" cy="175260"/>
                      <wp:effectExtent l="0" t="0" r="0" b="0"/>
                      <wp:wrapNone/>
                      <wp:docPr id="201" name="Frame201"/>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8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Year Ended December 31, </w:t>
            </w:r>
          </w:p>
        </w:tc>
      </w:tr>
      <w:tr>
        <w:trPr/>
        <w:tc>
          <w:tcPr>
            <w:tcW w:w="66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2025</w:t>
            </w:r>
          </w:p>
        </w:tc>
        <w:tc>
          <w:tcPr>
            <w:tcW w:w="346" w:type="dxa"/>
            <w:tcBorders/>
            <w:vAlign w:val="center"/>
          </w:tcPr>
          <w:p>
            <w:pPr>
              <w:pStyle w:val="TableContents"/>
              <w:bidi w:val="0"/>
              <w:spacing w:before="0" w:after="0"/>
              <w:ind w:left="0" w:right="0" w:hanging="0"/>
              <w:jc w:val="left"/>
              <w:rPr/>
            </w:pPr>
            <w:r>
              <w:rPr/>
              <w:t>  ​ ​ ​</w:t>
            </w:r>
          </w:p>
        </w:tc>
        <w:tc>
          <w:tcPr>
            <w:tcW w:w="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2024</w:t>
            </w:r>
          </w:p>
        </w:tc>
        <w:tc>
          <w:tcPr>
            <w:tcW w:w="346" w:type="dxa"/>
            <w:tcBorders/>
            <w:vAlign w:val="center"/>
          </w:tcPr>
          <w:p>
            <w:pPr>
              <w:pStyle w:val="TableContents"/>
              <w:bidi w:val="0"/>
              <w:spacing w:before="0" w:after="0"/>
              <w:ind w:left="0" w:right="0" w:hanging="0"/>
              <w:jc w:val="left"/>
              <w:rPr/>
            </w:pPr>
            <w:r>
              <w:rPr/>
              <w:t>  ​ ​ ​</w:t>
            </w:r>
          </w:p>
        </w:tc>
        <w:tc>
          <w:tcPr>
            <w:tcW w:w="8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2023</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667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187" w:type="dxa"/>
            <w:gridSpan w:val="8"/>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center"/>
              <w:rPr/>
            </w:pPr>
            <w:r>
              <w:rPr/>
              <w:t>​</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(326)</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(542)</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(1,012)</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Adjustments to reconcile net loss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pPr>
            <w:r>
              <w:rPr/>
              <w:t>​</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loss from securities transactions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595</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Purchases of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(963)</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sales of securities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1,474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4,537</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Payments to cover securities sold, not yet purchased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(4,692)</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securities sold, not yet purchased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1,358</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Changes in receivables and payables relating to securities transactions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2,268</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Changes in derivative assets and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1,029</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Loss (gain) on disposition of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518</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Loss on deconsolidation of subsidiary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246</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Credit loss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139</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Impairment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Deferred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(84)</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Changes in other operating assets and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pPr>
            <w:r>
              <w:rPr/>
              <w:t>​</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Related party note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55</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Accrued expenses and other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(380)</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Net cash (used in)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3,736</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pPr>
            <w:r>
              <w:rPr/>
              <w:t>  ​</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(303)</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Turnaround expenditures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(57)</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Acquisition of businesses, net of cash acquired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sale of equity investment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pPr>
            <w:r>
              <w:rPr/>
              <w:t>—</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disposition of businesses and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Related party note receivable payments and distributions,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Net cash (used in) provided by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(290)</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pPr>
            <w:r>
              <w:rPr/>
              <w:t>  ​</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Investment segment contributions from non-controlling interests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pPr>
            <w:r>
              <w:rPr/>
              <w:t>—</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Investment segment distributions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(2,199)</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Partnership contributions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185</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Partnership distributions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(307)</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sale of (purchase of) additional interests in consolidated subsidiaries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158</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Dividends and distributions to non-controlling interests in subsidiaries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(319)</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Holding Company senior notes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699</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Repayments of Holding Company senior notes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(1,159)</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Repurchase of senior notes held in treasury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pPr>
            <w:r>
              <w:rPr/>
              <w:t>—</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subsidiary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683</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Repayments of subsidiary borrowings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(112)</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(1,105)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(1,323)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(2,385)</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Effect of exchange rate changes on cash and cash equivalents and restricted cash and restricted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Net (decrease) increase in cash and cash equivalents and restricted cash and restricted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1,060</w:t>
            </w:r>
          </w:p>
        </w:tc>
      </w:tr>
      <w:tr>
        <w:trPr/>
        <w:tc>
          <w:tcPr>
            <w:tcW w:w="667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and cash equivalents and restricted cash and restricted cash equivalents,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4,886</w:t>
            </w:r>
          </w:p>
        </w:tc>
      </w:tr>
      <w:tr>
        <w:trPr/>
        <w:tc>
          <w:tcPr>
            <w:tcW w:w="667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and cash equivalents and restricted cash and restricted cash equivalents, end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3,419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5,239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6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5,946</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See notes to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675" w:name="a1DescriptionofBusiness_452019"/>
      <w:bookmarkEnd w:id="675"/>
      <w:r>
        <w:rPr>
          <w:rFonts w:ascii="Times New Roman;Times;serif" w:hAnsi="Times New Roman;Times;serif"/>
          <w:b/>
          <w:sz w:val="20"/>
        </w:rPr>
        <w:t>1. Description of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L.P. (“Icahn Enterprises”) is a master limited partnership formed in Delaware on February 17, 1987. References to “we,” “our”, “us” or “the Company” herein include Icahn Enterprises and its subsidiaries, unless the context otherwise requires.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December 31, 2025, representing an aggregate 1.99% general partner interest in Icahn Enterprises Holdings and us. Mr. Icahn and his affiliates owned approximately 86% of our outstanding depositary units as of December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Operating Businesses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are a diversified holding company owning subsidiaries currently engaged in the following continuing operating businesses: </w:t>
      </w:r>
      <w:r>
        <w:rPr>
          <w:rFonts w:ascii="Times New Roman;Times;serif" w:hAnsi="Times New Roman;Times;serif"/>
          <w:color w:val="231F20"/>
          <w:sz w:val="20"/>
        </w:rPr>
        <w:t xml:space="preserve">Investment, Energy, Automotive, Food Packaging, Real Estate, Home Fashion and Pharma. </w:t>
      </w:r>
      <w:r>
        <w:rPr>
          <w:rFonts w:ascii="Times New Roman;Times;serif" w:hAnsi="Times New Roman;Times;serif"/>
          <w:sz w:val="20"/>
        </w:rPr>
        <w:t>We also report the results of our Holding Company, which includes the results of certain subsidiaries of Icahn Enterprises (unless otherwise noted), and investment activity and expenses associated with our Holding Company. See Note 15, “Segment and Geographic Reporting,” for a reconciliation of each of our reporting segment’s results of operations to our consolidated results. Certain additional information with respect to our segments is discussed below.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$2.7 billion as of December 31, 2025 and 2024.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Energy segment through our majority owned subsidiary, CVR Energy, Inc. (“CVR Energy”), along with our interest in CVR Partners, LP, a publicly traded limited partnership (“CVR Partners”) and subsidiary of CVR Energy. CVR Energy is a diversified holding company primarily engaged in the petroleum refining and marketing businesses, the renewable fuels businesses, as well as in the nitrogen fertilizer manufacturing and distribution businesses through its holdings in CVR Partners. CVR Energy is an independent petroleum refiner and is a marketer of high value transportation fuels primarily in the form of gasoline, diesel, jet fuel and distillates. The renewables business refines feedstocks, such as soybean oil, corn oil, and other related renewable feedstocks, into renewable diesel and markets renewable products. CVR Partners produces and markets nitrogen fertilizers in the form of urea ammonium nitrate (“UAN”) and ammonia. CVR Energy held 100% of the general partner interest and approximately 37% of the outstanding common units of CVR Partners as of December 31, 2025.</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During the year ended December 31, 2025, we increased our ownership of CVR Energy by acquiring 3,726,090 shares for a total purchase price of approximately $65 million. During this period, we also increased our ownership of CVR Partners by acquiring 98,082 units for a total purchase price of approximately $7 million. As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December 31, 2025, we owned approximately 70% of the total outstanding common stock of CVR Energy and 3% of the outstanding common units of CVR Partners.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2025, our Energy segment reverted the renewable diesel unit (“RDU”) back to hydrocarbon processing service, considering the unfavorable economics of the renewables business and to optimize feedstock and relieve certain logistical constraints within the refining business. CVR Energy maintains the option to switch back to renewable diesel service if economically incentivized to do so.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Automotive segment through our wholly owned subsidiary, Icahn Automotive Group LLC (“Icahn Automotive”). The Automotive segment is engaged in providing a full range of automotive repair and maintenance services, along with the sale of any installed parts or materials related to automotive services (“Automotive Services”) to its customers, as well as sales of automotive aftermarket parts and retailed merchandise (“Aftermarket Parts”). We exited the Aftermarket Parts business in the first quarter of 2025. In addition to its primary businesses, the Automotive segment leases available and excess real estate in certain locations under long-term operating leases.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October and November of 2025, our Automotive segment completed the transfer of $465 million of owned real estate properties to our Real Estate segment. Following the transfer, the Real Estate segment assumed control of the properties and will manage and lease them as part of its ongoing operations. The Automotive segment entered into fair market value leases with the Real Estate segment for the locations in which it will continue to operate the Automotive Services business. The Real Estate segment also assumed the existing leases with third party tenants from the transferred properties.</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January 31, 2023, a subsidiary of Icahn Automotive, IEH Auto Parts Holding LLC and its subsidiaries (collectively “Auto Plus”), an aftermarket parts distributor held within our Automotive segment, filed voluntary petitions in the United States Bankruptcy Court. As a result of Auto Plus’s filings for bankruptcy protections on January 31, 2023, we no longer controlled the operations of Auto Plus, and therefore, we deconsolidated Auto Plus as of January 31, 2023. See Note 3, “Subsidiary Bankruptcy and Deconsolidation,” for a detailed discussion of the Auto Plus bankruptcy and deconsolidation.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conduct our Food Packaging segment through our majority owned subsidiary, Viskase Companies, Inc. (“Viskase”). Viskase is a producer of cellulosic, fibrous and plastic casings used to prepare and package processed meat products.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March, September and December 2025 and January 2026, Viskase completed equity private placements whereby we acquired an aggregate of 57,288,561 additional shares of Viskase common stock for an aggregate of $45 million. As of December 31, 2025, we owned approximately 93% of the total outstanding common stock of Viskase. Viskase's previously announced merger with Enzon Pharmaceuticals, Inc. is anticipated to close in the first quarter of 2026.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Real Estate segment through various wholly owned subsidiaries. Our Real Estate segment primarily consists of investment properties which includes land, retail, office and industrial properties leased to corporate tenants, the development and sale of single-family homes, and the operations of a resort and a country club.</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August 2025, our Real Estate segment sold certain properties for total consideration of $247 million, including loan origination fees, resulting in a pre-tax gain on disposition of assets of $223 million. The transaction included seller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financing, which is included in related party notes receivable, and a preferred equity method investment included in investments, in our condensed consolidated balance sheet as of December 31, 2025.</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October and November of 2025, our Automotive segment completed the transfer of $465 million of owned real estate properties to our Real Estate segment. Following the transfer, the Real Estate segment assumed control of the properties and will manage and lease them as part of its ongoing operations. The Automotive segment entered into fair market value leases with the Real Estate segment for the locations in which it will continue to operate the Automotive Services business. The Real Estate segment also assumed the existing leases with third party tenants from the transferred properties.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Home Fashion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our Home Fashion segment through our wholly-owned subsidiary, WestPoint Home LLC (“WPH”). WPH’s business consists of manufacturing, sourcing, marketing, distributing and selling home fashion consumer products.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Pharma</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conduct our Pharma segment through our wholly owned subsidiary, Vivus LLC, formerly Vivus, Inc. (“Vivus”). Vivus is a specialty pharmaceutical company with two approved therapies: one for chronic weight management and the other for the treatment of exocrine pancreatic insufficiency. In addition, Vivus has two product candidates in active clinical development and two product candidates in early-stage development.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Basis of Presentation and Summary of Significant Accounting Policies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audited consolidated financial statements have been prepared in accordance with accounting principles generally accepted in the United States (“U.S. GAAP”).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sales of Federal-Mogul LLC, Tropicana Entertainment Inc., American Railcar Industries, Inc., Ferrous Resources Ltd., and PSC Metals in recent years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consolidated financial statements include the accounts of (i) Icahn Enterprises and (ii) the wholly and majority owned subsidiaries of Icahn Enterprises, in addition to variable interest entities (“VIEs”) in which we are the primary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 For entities over which the Company does not have significant influence, the Company accounts for its equity investment at fair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for our Investment segment and Holding Company, for equity investments in which we own 50% or less but greater than 20%, we generally account for such investments using the equity method. All other equity investments are accounted for at fair value.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Variable Interest Entities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Icahn Enterprises Holdings and its subsidiaries own substantially all of our assets and liabilities and therefore, the balance sheets of Icahn Enterprises and Icahn Enterprises Holdings are substantially the same.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established a captive insurance program to supplement the insurance coverage of the officers, directors, employees and agents of the Company, its subsidiaries and our general partner. We hold assets in a protected cell, which we are the primary beneficiary of, and therefore consolidate the protected cell. Our total assets related to the protected cell were $113 million and $108 million as of December 31, 2025 and 2024, respectively, and included in restricted cash in the consolidated balance sheet.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Discontinued Operations and Assets Held For Sale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classify assets and liabilities as held for sale when management, having the authority to approve the action, commits to a plan to sell the disposal group, the sale is probable within one year, and the disposal group is available for immediate sale in its present condition. We also consider whether an active program to locate a buyer has been initiated, whether the disposal group is marketed actively for sale at a price that is reasonable in relation to its current fair value, and whether actions required to complete the plan indicate it is unlikely significant changes to the plan will be made or the plan will be withdrawn.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assets held for sale were $25 million as of December 31, 2024, all of which relates to certain properties in our Real Estate segment. In November 2024, we entered into a purchase and sale agreement to sell certain properties, which closed in August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accordance with U.S. GAAP, we classify operations as discontinued when they meet all the criteria to be classified as held for sale and when the sale represents a strategic shift that will have a major impact on our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 in Preparation of Financial Statements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preparation of the consolidated financial statements in conformity with U.S. GAAP requires management to make estimates and assumptions that affect the reported amount of assets and liabilities at the date of the financial statements and the reported amount of revenues and expenses during the period. Due to the inherent uncertainty involved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making estimates, actual results may differ from the estimates and assumptions used in preparing the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5, “Investments,” and Note 6, “Fair Value Measurements,” for a detailed discussion of our investments and other non-financial assets and/or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our long-term debt is based on the quoted market prices for the same or similar issues or on the current rates offered to us for debt of the same remaining maturities. The carrying value and estimated fair value of our debt as of December 31, 2025 was approximately $6.6 billion and $6.3 billion, respectively. The carrying value and estimated fair value of our debt as of December 31, 2024 was approximately $6.8 billion and $6.6 billion,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Acquisitions of Businesses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account for business combinations under the acquisition method of accounting (other than acquisitions of businesses under common control), which requires us to recognize separately from goodwill the assets acquired and the liabilities assumed at their acquisition date fair values. While we use our best estimates and assumptions to accurately value assets acquired and liabilities assumed at the acquisition date as well as contingent consideration, where applicable, our estimates are inherently uncertain and subject to refinement.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Accounting for business combinations requires us to make significant estimates and assumptions, especially at the acquisition date including our estimates for intangible assets, contractual obligations assumed, pre-acquisition contingencies, and contingent consideration, where applicable. In valuing our acquisitions, we estimate fair values based on industry data and trends and by reference to relevant market rates and transactions, and discounted cash flow valuation methods, among other factors. The discount rates used were commensurate with the inherent risks associated with each type of asset and the level and timing of cash flows appropriately reflect market participant assumptions. The primary items that generate goodwill include the value of the synergies between the acquired company and our existing businesses and the value of the acquired assembled workforce, neither of which qualifies for recognition as an intangible asset.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Acquisition, Investments and Disposition of Entities under Common Control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Acquisitions of or investments in entities under common control are reflected in a manner similar to pooling of interests. The general partner’s capital account or non-controlling interests, as applicable, are charged or credited for the difference between the consideration we pay for the entity and the related entity’s basis prior to our acquisition or investment. Net gains or losses of an acquired entity prior to its acquisition or investment date are allocated to the general partner’s capital account or non-controlling interests, as applicable. In allocating gains and losses upon the sale of a previously acquired common control entity, we allocate a gain or loss for financial reporting purposes by first restoring the general partner’s capital account or non-controlling interests, as applicable, for the cumulative charges or credits relating to prior periods recorded at the time of our acquisition or investment and then allocating the remaining gain or loss (“Common Control Gains or Losses”) among our general partner, limited partners and non-controlling interests, as applicable, in accordance with their respective ownership percentages. In the case of acquisitions of entities under common control, such Common Control Gains or Losses are allocated in accordance with their respective partnership percentages under the Amended and Restated Agreement of Limited Partnership dated as of May 12, 1987, as amended from time to time (together with the partnership agreement of Icahn Enterprises Holdings, the “Partnership Agreement”) (i.e., 98.01% to the limited partners and 1.99% to the general partner).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Cash and cash equivalents and restricted cash and restricted cash equivalents in our consolidated statements of cash flows is comprised of (i) cash and cash equivalents and (ii) cash held at consolidated affiliated partnerships and restricted cash.</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consider short-term investments, which are highly liquid with original maturities of three months or less at date of purchase, to be cash equivalents.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Held at Consolidated Affiliated Partnerships and Restricted Cash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cash held at consolidated affiliated partnerships balance was $746 million and $915 million as of December 31, 2025 and 2024, respectively. Cash held at consolidated affiliated partnerships relates to our Investment segment and consists of cash and cash equivalents held by the Investment Funds that, although not legally restricted, are not used for the general operating needs of Icahn Enterprises.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restricted cash balance was $1.2 billion and $1.7 billion as of December 31, 2025 and 2024, respectively. Restricted cash includes, but is not limited to, our Investment segment’s cash pledged and held for margin requirements on derivative transactions and cash held related to our captive insurance program.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Investments and Related Transactions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Investment Transactions and Related Investment Income (Loss).</w:t>
      </w:r>
      <w:r>
        <w:rPr>
          <w:rFonts w:ascii="Times New Roman;Times;serif" w:hAnsi="Times New Roman;Times;serif"/>
          <w:sz w:val="20"/>
        </w:rPr>
        <w:t xml:space="preserve"> Investment transactions of the Investment Funds are recorded on a trade date basis. Realized gains or losses on sales of investments are based on the first-in, first-out or the specific identification method. Realized and unrealized gains or losses on investments are recorded in the consolidated statements of operations. Interest income and expenses are recorded on an accrual basis and dividends are recorded on the ex-dividend date. Premiums and discounts on fixed income securities are amortized using the effective yield method.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Investments held by our Investment segment are carried at fair value. Our Investment segment applies the fair value option to those investments that are otherwise subject to the equity method of accounting.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Valuation of Investments.</w:t>
      </w:r>
      <w:r>
        <w:rPr>
          <w:rFonts w:ascii="Times New Roman;Times;serif" w:hAnsi="Times New Roman;Times;serif"/>
          <w:sz w:val="20"/>
        </w:rPr>
        <w:t xml:space="preserve"> Securities of the Investment Funds that are listed on a securities exchange are valued at their last sales price on the primary 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Investment Funds.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Foreign Currency Transactions.</w:t>
      </w:r>
      <w:r>
        <w:rPr>
          <w:rFonts w:ascii="Times New Roman;Times;serif" w:hAnsi="Times New Roman;Times;serif"/>
          <w:sz w:val="20"/>
        </w:rPr>
        <w:t xml:space="preserve"> The books and records of the Investment Funds are maintained in U.S. dollars. Assets and liabilities denominated in currencies other than U.S. dollars are translated into U.S. dollars at the rate of exchange in effect at the balance sheet date. Transactions during the period denominated in currencies other than U.S. dollars are translated at the rate of exchange applicable on the date of the transaction. Foreign currency translation gains and losses are recorded in the consolidated statements of operations. The Investment Funds do not isolate that portion of the results of operations resulting from changes in foreign exchange rates on investments from the fluctuations arising from changes in the market prices of securities. Such fluctuations are reflected in net gain (loss) from investment activities in the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Fair Values of Financial Instruments.</w:t>
      </w:r>
      <w:r>
        <w:rPr>
          <w:rFonts w:ascii="Times New Roman;Times;serif" w:hAnsi="Times New Roman;Times;serif"/>
          <w:sz w:val="20"/>
        </w:rPr>
        <w:t xml:space="preserve"> The fair values of the Investment Funds’ assets and liabilities that qualify as financial instruments under applicable U.S. GAAP approximate the carrying amounts presented in the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Securities Sold, Not Yet Purchased.</w:t>
      </w:r>
      <w:r>
        <w:rPr>
          <w:rFonts w:ascii="Times New Roman;Times;serif" w:hAnsi="Times New Roman;Times;serif"/>
          <w:sz w:val="20"/>
        </w:rPr>
        <w:t xml:space="preserve"> The Investment Funds may sell an investment they do not own in anticipation of a decline in the fair value of that investment. When the Investment Funds sell an investment short, they must borrow the investment sold short and deliver it to the broker-dealer through which they made the short sale. A gain, limited to the price at which the Investment Funds sold the investment short, or a loss, unlimited in amount, will be recognized upon the cover of the short sale.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Due From Brokers.</w:t>
      </w:r>
      <w:r>
        <w:rPr>
          <w:rFonts w:ascii="Times New Roman;Times;serif" w:hAnsi="Times New Roman;Times;serif"/>
          <w:sz w:val="20"/>
        </w:rPr>
        <w:t xml:space="preserve"> Due from brokers represents cash balances with the Investment Funds’ clearing brokers, prime brokers, and derivative counterparties. These funds as well as fully-paid for and marginable securities are essentially restricted to the extent that they serve as collateral against securities sold, not yet purchased. Due from brokers may also include unrestricted balances with derivative counterparties.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Due To Brokers.</w:t>
      </w:r>
      <w:r>
        <w:rPr>
          <w:rFonts w:ascii="Times New Roman;Times;serif" w:hAnsi="Times New Roman;Times;serif"/>
          <w:sz w:val="20"/>
        </w:rPr>
        <w:t> Due to brokers represents margin debit balances collateralized by certain of the Investment Funds’ investments in securities.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Segments and 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Investments in equity securities are carried at fair value with the unrealized gains or losses reflected in the consolidated statements of operations. For purposes of determining gains and losses, the cost of securities is based on specific identification. Dividend income is recorded on the ex-dividend date and interest income is recognized when earned.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TEB LLC (“TEB”). </w:t>
      </w:r>
      <w:r>
        <w:rPr>
          <w:rFonts w:ascii="Times New Roman;Times;serif" w:hAnsi="Times New Roman;Times;serif"/>
          <w:sz w:val="20"/>
        </w:rPr>
        <w:t>In August 2025, the Company sold certain properties to TEB. TEB was formed by a third-party developer for such developer to acquire, redevelop and operate the properties sold by the Company. In connection with the sale of the properties, the Company received cash, provided certain seller financing and also received a preferred equity interest and a profits interest in TEB. The Company did not provide any cash capital to TEB and the Company is not obligated to invest any capital contributions to support TEB or its operations in the future. The operation of TEB’s business is the sole responsibility of the other member who serves as manager of TEB and the Company does not have control over the operations of the business. The Company has certain protective rights in connection with its preferred equity interest.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evaluated its involvement with TEB and determined that the entity meets the definition of a variable interest entity. The Company determined it is not the primary beneficiary, as certain decisions related to the entity’s operations require the consent of both the Company and the other member serving as the manager. As a result, the Company does not consolidate TEB and accounts for its preferred equity investment under the equity method. As of December 31, 2025, the carrying amount of our equity method investment in TEB was $74 million and is included in investments in the condensed consolidated balance sheet. Our maximum exposure to loss in connection with our involvement in TEB is limited to the carrying value of our equity investment and related party loan receivable, which together total $203 million as of December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Option for Financial Assets and Financial Liabilities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fair value option gives entities the option to measure eligible financial assets, financial liabilities and firm commitments at fair value (i.e., the fair value option), on an instrument-by-instrument basis, that are otherwise not permitted to be accounted for at fair value pursuant to the provisions of the Financial Accounting Standards Board (“FASB”) Accounting Standards Codification (“ASC”) Topic 825, </w:t>
      </w:r>
      <w:r>
        <w:rPr>
          <w:rFonts w:ascii="Times New Roman;Times;serif" w:hAnsi="Times New Roman;Times;serif"/>
          <w:i/>
          <w:sz w:val="20"/>
        </w:rPr>
        <w:t>Financial Instrument</w:t>
      </w:r>
      <w:r>
        <w:rPr>
          <w:rFonts w:ascii="Times New Roman;Times;serif" w:hAnsi="Times New Roman;Times;serif"/>
          <w:sz w:val="20"/>
        </w:rPr>
        <w:t xml:space="preserve">s. The election to use the fair value option is available when an entity first recognizes a financial asset or financial liability or upon entering into a firm commitment. Subsequent changes in fair value must be recorded in earnings. In estimating the fair value for financial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instruments for which the fair value option has been elected, we use the valuation methodologies in accordance to where the financial instruments are classified within the fair value hierarchy as discussed in Note 6, “Fair Value Measurements.” For our Investment segment, we apply the fair value option to our investments that would otherwise be accounted under the equity method.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Derivatives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our subsidiaries enter into derivative contracts, including purchased and written option contracts, swap contracts, futures contracts and forward contracts. U.S. GAAP requires recognition of all derivatives as either assets or liabilities in the balance sheet at their fair value. The accounting for changes in fair value depends on the intended use of the derivative and its resulting designation. For those derivative instruments that are designated and qualify as hedging instruments, a company must designate the hedging instrument, based upon the exposure being hedged, as a fair value hedge, cash flow hedge or a hedge of a net investment in a foreign operation. Gains and losses related to a hedge are either recognized in income immediately to offset the gain or loss on the hedged item or are deferred and reported as a component of accumulated other comprehensive loss and subsequently recognized in earnings when the hedged item affects earnings. The change in fair value of the ineffective portion of a financial instrument, determined using the hypothetical derivative method, is recognized in earnings immediately. The gain or loss related to financial instruments that are not designated as hedges are recognized immediately in earnings. Cash flows related to hedging activities are included in the operating section of the consolidated statements of cash flows. For further information regarding our derivative contracts, see Note 7, “Financial Instruments.”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Accounts Receivable,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Accounts receivable, net consists of trade receivables from customers, including contract assets when we have an unconditional right to receive consideration. An allowance is based on historical loss experience, expected credit losses from current economic conditions, and management’s expectations of future economic conditions.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Energy segment inventories consist primarily of domestic and foreign crude oil, blending stock and components, work in progress, fertilizer products, refined fuels and by-products and renewable diesel, all of which are valued at the lower of first-in, first-out (“FIFO”) basis method cost or net realizable value. Other inventories, including other raw materials, spare parts and supplies, are valued at the lower of moving-average cost, which approximates FIFO, or net realizable value. The cost of inventories includes inbound freight costs.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 Food Packaging, Home Fashion and Pharma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Automotive, Food Packaging, Home Fashion and Pharma segments’ inventories are stated at the lower of cost or net realizable value. Cost is determined by using the FIFO method, except for our Automotive segment which uses the last-in, first out (“LIFO”) method and the Pharma segment which utilizes weighted-average cost. Inventory recorded using the LIFO method was $164 million and $168 million as of December 31, 2025 and 2024, respectively, all of which relates to finished goods. The cost of manufactured goods includes the cost of direct materials, labor and manufacturing overhead. Our Automotive, Food Packaging, Home Fashion and Pharma segments write-down inventory for estimated excess, slow-moving and obsolete inventory as well as inventory whose carrying value is in excess of net realizable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Long-lived assets such as property, plant, and equipment, and definite-lived intangible assets are recorded at cost or fair value established at acquisition, less accumulated depreciation or amortization, unless the expected future use of the assets indicate a lower value is appropriate. Long-lived assets are evaluated for impairment when impairment indicators exist. An evaluation of impairment consists of reviewing the carrying value of a long-lived asset for recoverability. Recoverability of long-lived assets to be held and used is measured by a comparison of the carrying amount of an asset to estimated undiscounted future net cash flows expected to be generated by the asset. If the carrying value of a long-lived asset is not determined to be recoverable, a fair value assessment is performed. If the carrying amount of the asset exceeds its fair value, an impairment loss is recognized in accordance with U.S. GAAP. Depreciation and amortization are computed principally by the straight-line method for financial reporting purposes.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2025, our Energy segment reverted the renewable diesel unit (“RDU”) back to hydrocarbon processing service. In accordance with ASC 360-10, our Energy segment evaluated the recoverability of the asset group and concluded the carrying value was recoverable. However, due to the change in planned utilization, the estimated remaining useful lives of certain assets within its renewables business were adjusted downward beginning September 2025. Approximately $93 million of the impacted property, plant and equipment’s carrying value was fully depreciated before the reversion of the RDU back to hydrocarbon processing commenced.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October and November of 2025, the Automotive segment transferred $465 million of owned land and buildings to the Real Estate segment. In connection with the transfer of the Automotive segment owned real estate to the Real Estate segment, the Automotive segment determined the net assets of the segment changed materially and therefore a triggering event occurred. The segment performed a recoverability analysis of its long-lived assets and determined that certain assets were unrecoverable on an un-discounted cash flow basis and recognized an </w:t>
      </w:r>
      <w:r>
        <w:rPr>
          <w:rFonts w:ascii="Times New Roman;Times;serif" w:hAnsi="Times New Roman;Times;serif"/>
          <w:b w:val="false"/>
          <w:i w:val="false"/>
          <w:caps w:val="false"/>
          <w:smallCaps w:val="false"/>
          <w:sz w:val="20"/>
        </w:rPr>
        <w:t>impairment</w:t>
      </w:r>
      <w:r>
        <w:rPr>
          <w:rFonts w:ascii="Times New Roman;Times;serif" w:hAnsi="Times New Roman;Times;serif"/>
          <w:sz w:val="20"/>
        </w:rPr>
        <w:t xml:space="preserve"> of $23 million as of the date of transfer in October of 2025. As of December 31, 2025, our long-lived assets did not have any impairment indicators.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Land and construction in progress are stated at the lower of cost or net realizable value. Interest is capitalized on expenditures for long-term projects until a salable or ready-for-use condition is reached. The interest capitalization rate is based on the interest rate on specific borrowings to fund the projects.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Costs for planned major maintenance activities (“turnarounds”) for our Energy segment represent major maintenance activities that require shutdown of significant parts of a plant to perform necessary inspection, cleaning, repairs, and replacement of assets. Our Energy segment’s turnaround expenditures are deferred for its petroleum business and expensed as incurred for its nitrogen fertilizer business. Major planned turnaround activities for the petroleum business vary in frequency dependent on refinery units, but generally occur every four to five years, with minor turnaround activities occurring more frequently, while the frequency of turnarounds in the Nitrogen Fertilizer business is generally every three years. Deferred turnaround costs, net of accumulated amortization, are included in other assets in the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Goodwill and Indefinite-Lived 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Goodwill and indefinite-lived intangible assets primarily include trademarks and brand names acquired in acquisitions. For a complete discussion of the impairment of goodwill and indefinite-lived intangible assets related to our various segments, see Note 11, “Goodwill and Intangible Assets, Net.”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Goodwill is determined as the excess of the fair value of consideration transferred in a business combination over the net amounts of identifiable assets acquired and liabilities assumed. Goodwill is reviewed for impairment annually, or more frequently if impairment indicators exist. An impairment exists when a reporting unit’s carrying value exceeds 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fair value. When performing the goodwill impairment testing, we first consider qualitative factors to determine if it is more likely than not that the fair value of a reporting unit is less than its carrying amount. Qualitative factors include considering macroeconomic conditions, industry and market conditions, overall financial performance and other factors. If necessary, a quantitative impairment test is performed. When a quantitative impairment test is performed, a reporting units’ fair value is based on valuation techniques using the best available information, primarily discounted cash flow projections and guideline public company multiples of current and future earnings. The impairment charge, if any, is the excess of the tested reporting unit’s carrying value over its fair value, limited to the total amount of goodwill allocated to the tested reporting unit.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Indefinite-Lived 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Indefinite-lived intangible assets are stated at fair value established at acquisition or cost. These indefinite-lived intangible assets are reviewed for impairment annually, or more frequently if impairment indicators exist. An impairment exists when a trademark or brand names’ carrying value exceeds its fair value. The fair values of these assets are based upon the prospective stream of hypothetical after-tax royalty cost savings discounted at rates that reflect the rates of return appropriate for these intangible assets. In the fourth quarter of 2025, our Automotive segment recognized an impairment charge of $2 million representing the excess of the assets’ carrying value over their fair value.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Pension and Other Post-Retirement Benefit Plan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Post-retirement benefit liabilities were $24 million and $25 million as of December 31, 2025 and 2024, respectively, and are included in accrued expenses and other liabilities in our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Appropriate actuarial methods and assumptions are used in accounting for defined benefit pension plans and other post-retirement benefit plans. These assumptions include long-term rate of return on plan assets, discount rates and other factors. Actual results that differ from the assumptions used are accumulated and amortized over future periods. Therefore, assumptions used to calculate benefit obligations as of the end of the year directly impact the expense to be recognized in future periods. The measurement date for all defined benefit plans is December 31 of each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Accumulated Other Comprehensive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Accumulated other comprehensive loss is included in the limited partners and general partner components of equity in the consolidated balance sheets in the amounts of $49 million and $61 million as of December 31, 2025 and 2024, respectively. Refer to Note 17, “Changes in Accumulated Other Comprehensive Loss,” for further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Allocation of Net Profits and Losses in Consolidated Affiliated Partnerships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investment income and net realized and unrealized gains and losses on investments of the Investment Funds are allocated to the respective partners of the Investment Funds based on their percentage ownership in such Investment Funds on a monthly basis. Except for our limited partner interest, such allocations made to the limited partners of the Investment Funds are represented as non-controlling interests in our consolidated statements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Partnership Interest of Icahn Enterprises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general partner’s capital account generally consists of its cumulative share of our net income less cash distributions plus capital contributions. Additionally, in acquisitions of common control companies accounted for at historical cost similar to a pooling of interests, the general partner’s capital account would be charged (or credited) in a manner similar to a distribution (or contribution) for the excess (or deficit) of the fair value of consideration paid over historical basis in the business acquired.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Capital Accounts, as defined under the Partnership Agreement, are maintained for our general partner and our limited partners. The capital account provisions of our Partnership Agreement incorporate principles established for U.S. federal income tax purposes and are not comparable to the equity accounts reflected under U.S. GAAP in our consolidated financial statements. Under our Partnership Agreement, the general partner is required to make additional capital contributions to us upon the issuance of any additional depositary units in order to maintain a capital account balance equal to 1.99% of the total capital accounts of all partners.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Generally, net earnings for U.S. federal income tax purposes are allocated 1.99% and 98.01% between the general partner and the limited partners, respectively, in the same proportion as aggregate cash distributions made to the general partner and the limited partners during the period. This is generally consistent with the manner of allocating net income under our Partnership Agreement; however, it is not comparable to the allocation of net income reflected in our consolidated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Partnership Agreement, in the event of our dissolution, after satisfying our liabilities, our remaining assets would be divided among our limited partners and the general partner in accordance with their respective percentage interests under the Partnership Agreement. If a deficit balance still remains in the general partner’s capital account after all allocations are made between the partners, the general partner would not be required to make whole any such deficit.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Basic and Diluted Income Per LP Unit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Icahn Enterprises, basic income (loss) per LP unit is based on net income or loss attributable to Icahn Enterprises allocated to limited partners. Net income or loss allocated to limited partners is divided by the weighted-average number of LP units outstanding. Diluted income (loss) per LP unit, when applicable, is based on basic income (loss) adjusted for the potential effect of dilutive securities as well as the related weighted-average number of units and equivalent units outstanding.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accounting purposes, when applicable, earnings prior to dates of acquisitions of entities under common control are excluded from the computation of basic and diluted income per LP unit as such earnings are allocated to our general partner.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Except as described below, no provision has been made for federal, state, local or foreign income taxes on the results of operations generated by partnership activities, as such taxes are the responsibility of the partners. Provision has been made for federal, state, local or foreign income taxes on the results of operations generated by our corporate subsidiaries and these are reflected within continuing operations.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Deferred tax assets are limited to amounts considered to be realizable in future periods. A valuation allowance is recorded against deferred tax assets if management does not believe that we have met the “more-likely-than-not” standard to allow recognition of such an asset.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U.S. GAAP provides that the tax effects from an uncertain tax position can be recognized in the financial statements only if the position is “more-likely-than-not”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largest amount of tax benefit that is greater than 50 percent likely to be recognized upon ultimate settlement with the taxing authority is recorded. See Note 16, “Income Taxes,”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determination of whether an arrangement is or contains a lease occurs at inception. We account for arrangements that contain lease and non-lease components as a single lease component for all classes of underlying assets. Leases in which we are the lessor are primarily within our Automotive segment and Real Estate segment. Refer to Note 12, “Leases,” for additional information regarding our operating leases. In addition, all of our businesses, including our Real Estate segment, enter into lease arrangements as the lessee. The following is our accounting policy for leases in which we are the lessee.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All Segments and 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Leases are classified as either operating or financing by the lessee depending on whether or not the lease terms provide for control of the underlying asset to be transferred to the lessee. When control transfers to the lessee, we classify the lease as a financing lease. All other leases are recorded as operating leases. Effective January 1, 2019, for all leases with an initial lease term in excess of twelve months, we record a right-of-use asset with a corresponding liability in the consolidated balance sheet. Right-of-use assets represent our right to use an underlying asset for the lease term and lease liabilities represent our obligation to make lease payments arising from the lease. Right-of-use assets and lease liabilities are recognized at commencement of the lease based on the present value of the lease payments over the lease term. Right-of-use assets are adjusted for any lease payments made on or before commencement of the lease, less any lease incentives received. As most of our leases do not provide an implicit rate, we use the incremental borrowing rate with respect to each of our businesses based on the information available at commencement of the lease in determining the present value of lease payments. We use the implicit rate when readily determinable. The lease terms used in the determination of our right-of-use assets and lease liabilities reflect any options to extend or terminate the lease when it is reasonably certain that we will exercise such option. We and our subsidiaries, independently of each other, apply a portfolio approach to account for the right-of-use assets and lease liabilities when we or our subsidiaries do not believe that applying the portfolio approach would be materially different from accounting for right-of-use assets and lease liabilities individually.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Operating lease costs are recorded as a single expense recognized on a straight-line basis over the lease term. Operating lease right-of-use assets are amortized for the difference between the straight-line expense less the accretion of interest of the related lease liability. Financing lease costs consists of interest expense on the financing lease liability as well as amortization of the right-of-use financing lease assets on a straight-line basis over the lease term.</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Real Estate and 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Leases are classified as either operating, sales-type or direct financing by the lessor. Our Real Estate and Automotive segments’ net lease portfolio consists of commercial real estate leased to others under long-term operating leases and we account for these leases in accordance with FASB ASC Topic 842, </w:t>
      </w:r>
      <w:r>
        <w:rPr>
          <w:rFonts w:ascii="Times New Roman;Times;serif" w:hAnsi="Times New Roman;Times;serif"/>
          <w:i/>
          <w:sz w:val="20"/>
        </w:rPr>
        <w:t>Leases</w:t>
      </w:r>
      <w:r>
        <w:rPr>
          <w:rFonts w:ascii="Times New Roman;Times;serif" w:hAnsi="Times New Roman;Times;serif"/>
          <w:sz w:val="20"/>
        </w:rPr>
        <w:t>. These assets leased to others are recorded at cost, net of accumulated depreciation, and are included in property, plant and equipment, net on our consolidated balance sheets. Assets leased to others are depreciated on a straight-line basis over the useful lives of the assets, ranging from 5 years to 39 years. Lease revenue is recognized on a straight-line basis over the lease term. Cash receipts for all lease payments received are included in net cash flows from operating activities in the consolidated statements of cash flows. Intercompany leases between the Automotive and Real Estate segments are eliminated in consolidation.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From Contracts With Customers and Contract Balances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Due to the nature of our business, we derive revenue from various sources in various industries. With the exception of all of our Investment segment’s and our Holding Company’s revenues, and our Real Estate and Automotive segments’ leasing revenue, our revenue is generally derived from contracts with customers in accordance with U.S. GAAP. Such revenue from contracts with customers is included in net sales and other revenues from operations in the consolidated statements of operations; however, our Real Estate and Automotive segments’ leasing revenue, as disclosed in Note 12, “Leases,” is also included in other revenues from operations. Related contract assets are included in accounts receivable, net or other assets and related contract liabilities are included in accrued expenses and other liabilities in the consolidated balance sheets. Our disaggregation of revenue information includes our net sales and other revenues from operations for each of our reporting segments as well as additional disaggregation of revenue information for our Energy and Automotive segments. See Note 15, “Segment and Geographic Reporting,” for our complete disaggregation of revenue information. In addition, we disclose additional information with respect to revenue from contracts with customers and contract balances for our segments below.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Revenue:</w:t>
      </w:r>
      <w:r>
        <w:rPr>
          <w:rFonts w:ascii="Times New Roman;Times;serif" w:hAnsi="Times New Roman;Times;serif"/>
          <w:sz w:val="20"/>
        </w:rPr>
        <w:t xml:space="preserve"> Our Energy segment revenues are generated from contracts with customers and are recognized at a point in time when performance obligations are satisfied by transferring control of the products or services to a customer. The transfer of control occurs upon shipment or delivery of the product, as the customer accepts the product, has title and significant risks and rewards of ownership of the product, physical possession of the product has been transferred, and we have the right to payment.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transaction prices of our Energy segment’s contracts are either fixed or based on market indices, and any uncertainty related to the variable consideration when determining the transaction price is resolved on the pricing date or the date when the product is delivered. The payment terms depend on the product and type of contract, but generally require customers to pay within 30 days or less, and do not contain significant financing components.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Any pass-through finished goods delivery costs reimbursed by customers are reported in net sales, while an offsetting expense is included in cost of goods sold. Non-monetary product exchanges and certain buy/sell transactions which are entered into in the normal course of business are included on a net cost basis in cost of goods sold. Qualifying excise and other taxes collected from customers and remitted to governmental authorities are recorded as a reduction of the transaction price.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Certain sales contracts of the petroleum business require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the product to the customer. An associated receivable is recorded for uncollected prepaid contract amounts.</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our Energy segment had $4 million of remaining performance obligations for contracts with an original expected duration of more than one year. Our Energy segment expects to recognize approximately $3 million of these performance obligations as revenue by the end of </w:t>
      </w:r>
      <w:r>
        <w:rPr>
          <w:rFonts w:ascii="Times New Roman;Times;serif" w:hAnsi="Times New Roman;Times;serif"/>
          <w:b w:val="false"/>
          <w:i w:val="false"/>
          <w:caps w:val="false"/>
          <w:smallCaps w:val="false"/>
          <w:sz w:val="20"/>
        </w:rPr>
        <w:t>2026</w:t>
      </w:r>
      <w:r>
        <w:rPr>
          <w:rFonts w:ascii="Times New Roman;Times;serif" w:hAnsi="Times New Roman;Times;serif"/>
          <w:sz w:val="20"/>
        </w:rPr>
        <w:t>, and the remainder in 2027.</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 xml:space="preserve">Contract balances: </w:t>
      </w:r>
      <w:r>
        <w:rPr>
          <w:rFonts w:ascii="Times New Roman;Times;serif" w:hAnsi="Times New Roman;Times;serif"/>
          <w:sz w:val="20"/>
        </w:rPr>
        <w:t xml:space="preserve">Our Energy segment’s deferred revenue is a contract liability that primarily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as discussed above, revenue is recognized at the point in time in which the customer obtains control of the product. In addition, it includes deferred revenue associated with agreements entered into with third-party investors that has allowed our Energy segment to monetize certain tax credits available under Section 45Q of the Internal Revenue Code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“45Q Transaction”). Our Energy segment had deferred revenue of $44 million and $78 million as of December 31, 2025 and 2024, respectively. Deferred revenue is included in accrued expense and other liabilities in the consolidated balance sheets. For the years ended December 31, 2025, 2024 and 2023, our Energy segment recorded revenue of $50 million, $16 million and $46 million, respectively, with respect to deferred revenue outstanding as of the beginning of each respective year.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Revenue: </w:t>
      </w:r>
      <w:r>
        <w:rPr>
          <w:rFonts w:ascii="Times New Roman;Times;serif" w:hAnsi="Times New Roman;Times;serif"/>
          <w:sz w:val="20"/>
        </w:rPr>
        <w:t xml:space="preserve">Our Automotive segment recognizes revenue when it satisfies a performance obligation by transferring control over a product or service to a customer. Our Automotive segment revenue includes the sale of installed parts related to Automotive Services and is measured based on consideration specified in a contract with a customer and excludes any sales incentives and amounts collected on behalf of third parties. Automotive Service revenues are recognized on completion of the service and consist of products and the labor charged for installing products or maintaining or repairing vehicles. Automotive services labor revenues are included in other revenues from operations in our consolidated statements of operations; however, the sale of any installed parts or materials related to automotive services are included in net sales. Our Automotive segment recognizes revenues from extended warranties offered to its customers on tires its sells, including lifetime warranties for road hazard assistance (recognized over 3 years) and 1-year, 3-year and lifetime plans for alignments (recognized over 1 year, 3 years and 5 years, respectively), for which it receives payment upfront. Revenues from extended warranties are recognized over the term of the warranty contract with the satisfaction of its performance obligations measured using the output method. Our Automotive segment recognizes revenues from franchise royalties, for which it receives payment over time, in the period in which royalties are earned, generally based on a percentage of franchise sales and are included in other revenues from operations in the consolidated statements of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Contract balances: </w:t>
      </w:r>
      <w:r>
        <w:rPr>
          <w:rFonts w:ascii="Times New Roman;Times;serif" w:hAnsi="Times New Roman;Times;serif"/>
          <w:sz w:val="20"/>
        </w:rPr>
        <w:t xml:space="preserve">Our Automotive segment had deferred revenue with respect to extended warranty plans of $28 million and $37 million as of December 31, 2025 and 2024, respectively, which are included in accrued expenses and other liabilities in our consolidated balance sheets. For the years ended December 31, 2025, 2024 and 2023, our Automotive segment recorded revenue of $20 million, $22 million and $22 million, respectively, with respect to deferred revenue outstanding as of the beginning of each respective year.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Food Packaging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Food Packaging segment revenues are recognized at the time products are shipped to the customer, under F.O.B. shipping point or F.O.B. port terms, which is the point at which title is transferred, the customer has the assumed risk of loss, and payment has been received or collection is reasonably assumed. Revenues are net of discounts, rebates and allowances. Viskase records all labor, raw materials, in-bound freight, plant receiving and purchasing, warehousing, handling and distribution costs as a component of costs of goods sold.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Home Fashion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Home Fashion segment records revenue upon delivery and when title is transferred and the customer has assumed the risk of loss. Unless otherwise agreed in writing, title and risk of loss pass from WPH to the customer when WPH delivers the merchandise to the designated point of delivery, to the designated point of destination or to the designated carrier, free on board. Provisions for certain rebates, sales incentives, product returns and discounts to customers are recorded in the same period the related revenue is recorded.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Pharma</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Pharma segment records product and supply revenue at the time of shipment at which time it has satisfied its performance obligations. Product revenue represents the significant majority of our Pharma segment’s revenue and is recognized net of estimated returns as well as net of consideration paid to customers, wholesalers and certified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pharmacies for services rendered in accordance with their respective services network agreements and includes a fixed rate per prescription shipped and monthly program management and data fees. Consideration fees are not deemed sufficiently separable from the customers’ purchase of the products and therefore, such fees are recorded as a reduction of revenue at the time of revenue recognition. Our Pharma segment, as the principal party in a supply arrangement, recognizes supply revenue on a gross basis. Our Pharma segment also recognizes license and royalty revenue, which are not significant.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Revenue and Expense Recognition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Revenue Recognition:</w:t>
      </w:r>
      <w:r>
        <w:rPr>
          <w:rFonts w:ascii="Times New Roman;Times;serif" w:hAnsi="Times New Roman;Times;serif"/>
          <w:sz w:val="20"/>
        </w:rPr>
        <w:t xml:space="preserve"> Revenue from real estate sales and related costs are recognized at the time of closing primarily by specific identification. The properties comprising our net lease portfolio are leased to others under long-term net leases classified as operating leases and we account for these leases in accordance with applicable U.S. GAAP. Operating lease revenue is recognized on a straight-line basis over the lease term.</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Shipping Costs: </w:t>
      </w:r>
      <w:r>
        <w:rPr>
          <w:rFonts w:ascii="Times New Roman;Times;serif" w:hAnsi="Times New Roman;Times;serif"/>
          <w:sz w:val="20"/>
        </w:rPr>
        <w:t>Our Energy segment’s pass-through finished goods delivery costs reimbursed by customers are reported in net sales, while an offsetting expense is included in cost of goods sold.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Shipping Costs: </w:t>
      </w:r>
      <w:r>
        <w:rPr>
          <w:rFonts w:ascii="Times New Roman;Times;serif" w:hAnsi="Times New Roman;Times;serif"/>
          <w:sz w:val="20"/>
        </w:rPr>
        <w:t>Our Automotive segment recognizes shipping and handling costs as incurred and is included in selling, general and administrative in the consolidated statements of operations for its Aftermarkets Parts business which was substantially exited in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recognize environmental liabilities when a loss is probable and reasonably estimable. Estimates of these costs are based upon currently available facts, internal and third-party assessments of contamination, available remediation technology, site-specific costs, and currently enacted laws and regulations. In reporting environmental liabilities, no offset is made for potential recoveries. Loss contingency accruals, including those for environmental remediation, are subject to revision as further information develops or circumstances change, and such accruals can take into account the legal liability of other parties. Environmental expenditures are capitalized at the time of the expenditure when such costs provide future economic benefits.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Litigation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an ongoing basis, we assess the potential liabilities related to any lawsuits or claims brought against us. While it is typically very difficult to determine the timing and ultimate outcome of such actions, we use our best judgment to determine if it is probable that we will incur an expense related to the settlement or final adjudication of such matters and whether a reasonable estimation of such probable loss, if any, can be made. In assessing probable losses, we make estimates of the amount of insurance recoveries, if any. We accrue a liability when we believe a loss is probable and the amount of loss can be reasonably estimated. Due to the inherent uncertainties related to the eventual outcome of litigation and potential insurance recovery, it is possible that certain matters may be resolved for amounts materially different from any provisions or disclosures that we have previously made.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Translation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Exchange adjustments related to international currency transactions and translation adjustments for international subsidiaries whose functional currency is the U.S. dollar (principally those located in highly inflationary economies) are reflected in the consolidated statements of operations. Translation adjustments of international subsidiaries for which the local currency is the functional currency are reflected in the consolidated balance sheets as a component of accumulated other comprehensive income. Deferred taxes are not provided on translation adjustments, other than for intercompany loans not designated as permanently reinvested, as the earnings of the subsidiaries are considered to be permanently reinvested.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Concentrations of credit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Concentrations of credit risk relate primarily to derivative instruments from our Investment segment. See Note 7, “Financial Instruments,” for further discussion.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at our Holding Company, financial instruments that potentially subject us to concentrations of credit risk are primarily cash and cash equivalent deposits. These cash and cash equivalent deposits are maintained with several financial institutions. The deposits held at the various financial institutions may exceed federally insured limits. Exposure to this credit risk is reduced by placing such deposits with major financial institutions and monitoring their credit ratings and, therefore, we believe these deposits bear minimal credit risk.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Adoption of New Accounting Standards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 Improvements to Income Tax Disclosures,</w:t>
      </w:r>
      <w:r>
        <w:rPr>
          <w:rFonts w:ascii="Times New Roman;Times;serif" w:hAnsi="Times New Roman;Times;serif"/>
          <w:sz w:val="20"/>
        </w:rPr>
        <w:t xml:space="preserve"> which requires enhanced income tax disclosures that reflect how operations and related tax risks, as well as how tax planning and operational opportunities, affect the tax rate and prospects for future cash flows. Effective January 1, 2025, we adopted ASU No. 2023-09, Income Taxes (Topic 740) Improvements to Income Taxes Disclosures on a prospective basis. The adoption did not have a material impact on the Company’s consolidated financial statements; however, it resulted in expanded income tax disclosures.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Standards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November 2024, the FASB issued ASU 2024-03, </w:t>
      </w:r>
      <w:r>
        <w:rPr>
          <w:rFonts w:ascii="Times New Roman;Times;serif" w:hAnsi="Times New Roman;Times;serif"/>
          <w:i/>
          <w:sz w:val="20"/>
        </w:rPr>
        <w:t>Income Statement - Reporting Comprehensive Income - Expense Disaggregation Disclosures (Subtopic 220-40)</w:t>
      </w:r>
      <w:r>
        <w:rPr>
          <w:rFonts w:ascii="Times New Roman;Times;serif" w:hAnsi="Times New Roman;Times;serif"/>
          <w:sz w:val="20"/>
        </w:rPr>
        <w:t>, which requires disclosure of specific information about costs and expenses within relevant expense captions on the face of the income statement, qualitative descriptions for expense captions not specifically disaggregated quantitatively, and the total amount and definition of selling expenses for interim and annual reporting periods. This standard is effective for the Company’s annual reporting period beginning January 1, 2027 and interim reporting periods beginning January 1, 2028 and should be applied on a retrospective or prospective basis, with early adoption permitted. We are currently assessing the impact of adopting this standard on our consolidated financial statements.</w:t>
      </w:r>
    </w:p>
    <w:p>
      <w:pPr>
        <w:pStyle w:val="TextBody"/>
        <w:bidi w:val="0"/>
        <w:spacing w:before="0" w:after="0"/>
        <w:ind w:left="0" w:right="0" w:firstLine="360"/>
        <w:jc w:val="left"/>
        <w:rPr>
          <w:rFonts w:ascii="Times New Roman;Times;serif" w:hAnsi="Times New Roman;Times;serif"/>
          <w:sz w:val="20"/>
        </w:rPr>
      </w:pPr>
      <w:r>
        <w:rPr>
          <w:rFonts w:ascii="TimesNewRoman" w:hAnsi="TimesNewRoman"/>
          <w:sz w:val="20"/>
        </w:rPr>
        <w:t xml:space="preserve">In September 2025, the FASB issued ASU 2025-06, </w:t>
      </w:r>
      <w:r>
        <w:rPr>
          <w:rFonts w:ascii="TimesNewRoman-Italic" w:hAnsi="TimesNewRoman-Italic"/>
          <w:i/>
          <w:sz w:val="20"/>
        </w:rPr>
        <w:t>Intangibles (Subtopic 350-40): Targeted Improvements to the</w:t>
      </w:r>
    </w:p>
    <w:p>
      <w:pPr>
        <w:pStyle w:val="TextBody"/>
        <w:bidi w:val="0"/>
        <w:spacing w:before="0" w:after="0"/>
        <w:ind w:left="0" w:right="0" w:hanging="0"/>
        <w:jc w:val="left"/>
        <w:rPr>
          <w:rFonts w:ascii="Times New Roman;Times;serif" w:hAnsi="Times New Roman;Times;serif"/>
          <w:sz w:val="20"/>
        </w:rPr>
      </w:pPr>
      <w:r>
        <w:rPr>
          <w:rFonts w:ascii="TimesNewRoman-Italic" w:hAnsi="TimesNewRoman-Italic"/>
          <w:i/>
          <w:sz w:val="20"/>
        </w:rPr>
        <w:t>Accounting for Internal-Use Software</w:t>
      </w:r>
      <w:r>
        <w:rPr>
          <w:rFonts w:ascii="TimesNewRoman" w:hAnsi="TimesNewRoman"/>
          <w:sz w:val="20"/>
        </w:rPr>
        <w:t>, which amends certain aspects of the accounting for and disclosure of software costs under ASC 350-40, including the elimination of accounting consideration of software project development stages and enhancement of the guidance around the ‘probable-to-complete’ threshold. This standard is effective for the Company’s annual and interim reporting periods beginning January 1, 2028. Retrospective application to comparative periods is optional, and early adoption is permitted. The Company is evaluating the effects of adopting this new accounting guidance.</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NewRoman" w:hAnsi="TimesNewRoman"/>
          <w:sz w:val="20"/>
        </w:rPr>
        <w:t xml:space="preserve">In December 2025, the FASB issued ASU 2025-10, </w:t>
      </w:r>
      <w:r>
        <w:rPr>
          <w:rFonts w:ascii="TimesNewRoman-Italic" w:hAnsi="TimesNewRoman-Italic"/>
          <w:i/>
          <w:sz w:val="20"/>
        </w:rPr>
        <w:t>Government Grants (Topic 832)</w:t>
      </w:r>
      <w:r>
        <w:rPr>
          <w:rFonts w:ascii="TimesNewRoman" w:hAnsi="TimesNewRoman"/>
          <w:sz w:val="20"/>
        </w:rPr>
        <w:t xml:space="preserve">, which establishes the accounting for a government grant received by a business entity, including guidance for (1) a grant related to an asset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NewRoman" w:hAnsi="TimesNewRoman"/>
          <w:sz w:val="20"/>
        </w:rPr>
      </w:pPr>
      <w:r>
        <w:rPr>
          <w:rFonts w:ascii="TimesNewRoman" w:hAnsi="TimesNewRoman"/>
          <w:sz w:val="20"/>
        </w:rPr>
        <w:t>and (2) a grant related to income. This standard is effective for the Company’s annual reporting period beginning January 1, 2029 and interim reporting periods beginning within that annual reporting period. Retrospective application to comparative periods is optional, and early adoption is permitted. The Company is evaluating the potential impacts of adopting this new accounting guidance.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Subsidiary Bankruptcy and Deconsolidation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shd w:fill="FFFFFF" w:val="clear"/>
        </w:rPr>
        <w:t>On January 31, 2023, Auto Plus, an Aftermarket Parts distributor held within our Automotive segment, filed voluntary petitions (the “Chapter 11 Cases”) in the United States Bankruptcy Court for the Southern District of Texas (the “Bankruptcy Court”) seeking relief under Chapter 11 of Title 11 of the United States Code.</w:t>
      </w:r>
      <w:r>
        <w:rPr>
          <w:rFonts w:ascii="Times New Roman;Times;serif" w:hAnsi="Times New Roman;Times;serif"/>
          <w:sz w:val="20"/>
        </w:rPr>
        <w:t xml:space="preserve"> </w:t>
      </w:r>
      <w:r>
        <w:rPr>
          <w:rFonts w:ascii="TimesNewRomanPSMT" w:hAnsi="TimesNewRomanPSMT"/>
          <w:sz w:val="20"/>
        </w:rPr>
        <w:t>On May 2, 2023, the Bankruptcy Court approved a global settlement in the Chapter 11 Cases between Auto Plus, its non-Auto Plus affiliates, and the Official Committee of Unsecured Creditors appointed in the Chapter 11 Cases (the “Committee”) that provides for a guaranteed recovery to unsecured creditors, the payment of all administrative and priority claims in the Chapter 11 Cases, and the resolution of all disputes between Auto Plus, its non-Auto Plus affiliates, and the Committee.</w:t>
      </w:r>
      <w:r>
        <w:rPr>
          <w:rFonts w:ascii="Times New Roman;Times;serif" w:hAnsi="Times New Roman;Times;serif"/>
          <w:sz w:val="20"/>
          <w:shd w:fill="FFFFFF" w:val="clear"/>
        </w:rPr>
        <w:t xml:space="preserve"> On May 19, 2023, the Bankruptcy Court approved five sales of Auto Plus’s assets to five different bidders pursuant to Section 363 of the Bankruptcy Code, comprising a significant majority of Auto Plus’s total assets (the “363 Sales”). AEP PLC was the buyer for one of the 363 Sales, pursuant to a credit bid of $10 million for a portion of its </w:t>
      </w:r>
      <w:r>
        <w:rPr>
          <w:rFonts w:ascii="TimesNewRomanPSMT" w:hAnsi="TimesNewRomanPSMT"/>
          <w:sz w:val="20"/>
        </w:rPr>
        <w:t xml:space="preserve">senior secured debtor-in-possession loan to Auto Plus. The last of the 363 Sales closed on June 12, 2023. The proceeds of the 363 Sales have been and will continue to be used to satisfy obligations to Auto </w:t>
      </w:r>
      <w:r>
        <w:rPr>
          <w:rFonts w:ascii="Times New Roman;Times;serif" w:hAnsi="Times New Roman;Times;serif"/>
          <w:sz w:val="20"/>
          <w:shd w:fill="FFFFFF" w:val="clear"/>
        </w:rPr>
        <w:t xml:space="preserve">Plus’s </w:t>
      </w:r>
      <w:r>
        <w:rPr>
          <w:rFonts w:ascii="TimesNewRomanPSMT" w:hAnsi="TimesNewRomanPSMT"/>
          <w:sz w:val="20"/>
        </w:rPr>
        <w:t xml:space="preserve">creditors. On June 16, 2023, the Bankruptcy Court entered an order approving Auto </w:t>
      </w:r>
      <w:r>
        <w:rPr>
          <w:rFonts w:ascii="Times New Roman;Times;serif" w:hAnsi="Times New Roman;Times;serif"/>
          <w:sz w:val="20"/>
          <w:shd w:fill="FFFFFF" w:val="clear"/>
        </w:rPr>
        <w:t xml:space="preserve">Plus’s </w:t>
      </w:r>
      <w:r>
        <w:rPr>
          <w:rFonts w:ascii="TimesNewRomanPSMT" w:hAnsi="TimesNewRomanPSMT"/>
          <w:sz w:val="20"/>
        </w:rPr>
        <w:t xml:space="preserve">Third Amended Combined Disclosure Statement and Joint Plan of Liquidation (the “Bankruptcy Plan”).  The effective date of the Bankruptcy Plan occurred on October 6, 2023. The Bankruptcy Plan provides for the orderly liquidation of Auto Plus and distribution of its assets.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a result of the filing of the Chapter 11 Cases, the Company determined that it no longer controls Auto Plus under the criteria set out in FASB ASC Topic 810, “Consolidation” and deconsolidated its investment effective January 31, 2023. In order to deconsolidate Auto Plus, we removed the carrying values of the assets and liabilities of Auto Plus as of January 31, 2023 and recorded our investment in Auto Plus at zero resulting in a non-cash charge of $246 million during the year ended December 31, 2023.</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Related 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third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Funds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and 2024, the total fair market value of investments in the Investment Funds made by Mr. Icahn and his affiliates (excluding us and Brett Icahn) was $908 million and approximately $1.5 billion, respectively, representing approximately 25% and 35% of the Investment Funds’ assets under management as of each respective date. Mr. Icahn and his affiliates (excluding us and Brett Icahn) redeemed $508 million and $250 million from the Investment Funds for the years ended December 31, 2025 and 2024, respectively. In addition, the Investment Funds issued a pro-rata distribution in cash of $650 million, including $256 million to Mr. Icahn and his affiliates (excluding us and Brett Icahn) and $394 million to the Holding Company during the year ended December 31, 2024.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years ended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December 31, 2025, 2024 and 2023, $15 million, $19 million and $18 million, respectively, was allocated to the Investment Funds based on this expense-sharing arrangement.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TEB</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August 2025, the Company sold certain properties to TEB LLC (“TEB”). TEB was formed by a third-party developer for such developer to acquire, redevelop and operate the properties sold by the Company. In connection with the sale of the properties, the Company provided certain seller financing and received cash, a preferred equity interest and a profits interest in TEB. The Company did not provide any cash capital to TEB and the Company is not obligated to invest any capital contributions to support TEB or its operations in the future. The operation of TEB’s business is the sole responsibility of the other member who serves as manager of TEB and the Company does not have control over the operations of the business. The Company has certain protective rights in connection with its preferred equity interest. The Company does not consolidate TEB and accounts for its preferred equity investment under the equity method. Entities that are recognized under the equity method of accounting are deemed to be related parties.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Auto Plus and AEP PLC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discussed in Note 3. “Subsidiary Bankruptcy and Deconsolidation,” Auto Plus was deconsolidated as of January 31, 2023. Subsequent to January 31, 2023, Auto Plus had certain transactions with entities within our Automotive and Real Estate segments. Agreements and transactions include (i) lease agreements between Auto Plus and entities in the Automotive segment in which Auto Plus is the lessee, (ii) lease agreements between Auto Plus and entities in the Automotive segment in which Auto Plus is the lessor, (iii) auto parts purchases by entities in the Automotive segment from Auto Plus, (iv) auto parts sales from entities within the Automotive segment to Auto Plus, and (v) lease agreements between entities in the Real Estate segment and Auto Plus in which Auto Plus is the lessee. </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val="false"/>
          <w:i w:val="false"/>
          <w:caps w:val="false"/>
          <w:smallCaps w:val="false"/>
          <w:sz w:val="20"/>
        </w:rPr>
        <w:t>For the eleven months from the date of deconsolidation of January 31, 2023 through December 31, 2023, the total lease revenues of entities within the Automotive segment from leases with Auto Plus was $3</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Total inventory purchases of entities within the Automotive segment from Auto Plus were $4</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eleven months from the date of deconsolidation of January 31, 2023 through December 31, 2023, the total lease revenues of entities within the Real Estate segment from Auto Plus were $3 million.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AEP PLC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Auto Plus auction, AEP PLC acquired $10 million of assets mostly comprised of Aftermarket Parts inventory during the year ended December 31, 2023. The transaction was considered an asset acquisition, as the group of assets acquired by AEP PLC does not meet the definition of a business defined in FASB ASC Topic 805. The results of AEP PLC are consolidated within our Automotive segment at December 31, 2024 and were not material. The final remaining inventory was sold in 2025, removing us from the Aftermarket Parts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Related Party Agreements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Brett Icahn had net redemptions of $18 million and $4 million in the years ended December 31, 2025 and 2024, respectively. As of December 31, 2025 and 2024, Brett Icahn had investments in the Investment Funds with a total fair market value of $4 million and $17 million, respectively.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October 1, 2020, we entered into a restricted unit agreement with Brett Icahn pursuant to the 2017 Incentive Plan whereby Brett Icahn was awarded a grant of 239,254 restricted depositary units of Icahn Enterprises which will vest over seven years, subject to the terms and conditions of that agreement.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Investments and securities sold, not yet purchased consist of equities, bonds, bank debt and other corporate obligations, all of which are reported at fair value in our consolidated balance sheets. In addition, our Investment segment has certain derivative transactions which are discussed in Note 7, “Financial Instruments.” The carrying value and detail by security type, including business sector for equity securities, with respect to investments and securities sold, not yet purchased held by our Investment segment consist of the following: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Normal"/>
        <w:bidi w:val="0"/>
        <w:spacing w:before="0" w:after="0"/>
        <w:jc w:val="left"/>
        <w:rPr>
          <w:sz w:val="4"/>
          <w:szCs w:val="4"/>
        </w:rPr>
      </w:pPr>
      <w:r>
        <w:rPr>
          <w:sz w:val="4"/>
          <w:szCs w:val="4"/>
        </w:rPr>
      </w:r>
      <w:bookmarkStart w:id="676" w:name="Tc_tRgEIBzjnU-v4Sk0xDANJA_30_5"/>
      <w:bookmarkStart w:id="677" w:name="Tc__muI538F7kKWoVXja5Kn0A_30_2"/>
      <w:bookmarkStart w:id="678" w:name="Tc_OyyaytjFK06okz4e2UTH9g_29_3"/>
      <w:bookmarkStart w:id="679" w:name="Tc_A1sphNF-A0OjEOguWLnEkw_28_3"/>
      <w:bookmarkStart w:id="680" w:name="Tc_Y_1CCxgYdUacXOQAiCyzvQ_28_0"/>
      <w:bookmarkStart w:id="681" w:name="Tc_Itcpk_22hk26_2A54vurHg_27_0"/>
      <w:bookmarkStart w:id="682" w:name="Tc_iDXNkdqS-Eewj2wpc0akcA_25_0"/>
      <w:bookmarkStart w:id="683" w:name="Tc_9UtZqwzbP0Cyc_4s1u6JGw_24_3"/>
      <w:bookmarkStart w:id="684" w:name="Tc_nS0Z0fPDfUWT_m9WQJeOhw_24_0"/>
      <w:bookmarkStart w:id="685" w:name="Tc_IS8JpvseukShjuAP6d_fnw_23_0"/>
      <w:bookmarkStart w:id="686" w:name="Tc_MQ1FP8gFYUOq6tSMkU5naA_22_5"/>
      <w:bookmarkStart w:id="687" w:name="Tc_gUR8I73yS0idIcP8v_Bo0Q_22_2"/>
      <w:bookmarkStart w:id="688" w:name="Tc_jCfYpOdfyUirddFj-Nw5SQ_22_0"/>
      <w:bookmarkStart w:id="689" w:name="Tc_fVL6rxPT7kKeVvHbf-5aAg_21_0"/>
      <w:bookmarkStart w:id="690" w:name="Tc_1O7T5CkW8k-o_WDCbPRCkA_20_0"/>
      <w:bookmarkStart w:id="691" w:name="Tc_iIBARiWf9kCBEwTXzXd40Q_19_0"/>
      <w:bookmarkStart w:id="692" w:name="Tc_R3lHLWBIpU6T-8GsFSV1dA_18_5"/>
      <w:bookmarkStart w:id="693" w:name="Tc_d4L4nnX7hUeEuy1P3oFHsA_18_2"/>
      <w:bookmarkStart w:id="694" w:name="Tc_OFKGvufjgk64uVz1Hg2pSw_17_3"/>
      <w:bookmarkStart w:id="695" w:name="Tc_5gv23uM1w0e0xGUXAyJuUg_16_3"/>
      <w:bookmarkStart w:id="696" w:name="Tc_kysE8qUod0eROcUPkhw2ig_16_0"/>
      <w:bookmarkStart w:id="697" w:name="Tc_eIpuxkP6R0-P3AN8_HrwuQ_15_0"/>
      <w:bookmarkStart w:id="698" w:name="Tc_IA9MGdCLfUWqwvc8S7ufxQ_13_0"/>
      <w:bookmarkStart w:id="699" w:name="Tc_Q8CcA0U6xkGZA1fBQOBrcQ_12_0"/>
      <w:bookmarkStart w:id="700" w:name="Tc_pS6P8XhMnk2wP3MdB5luLg_11_0"/>
      <w:bookmarkStart w:id="701" w:name="Tc_tpSmtoAd0ES7XlWbaOD3dw_10_0"/>
      <w:bookmarkStart w:id="702" w:name="Tc_ysPC1ZDmJkq4HxsO9tVYmA_9_0"/>
      <w:bookmarkStart w:id="703" w:name="Tc_f0TbPsuKRUWYOhNPYg0D4g_8_0"/>
      <w:bookmarkStart w:id="704" w:name="Tc_v1-Czmrzh024nRekj2yDzw_7_5"/>
      <w:bookmarkStart w:id="705" w:name="Tc_zK7Q1dKllUWAXBjHuFRKOw_7_2"/>
      <w:bookmarkStart w:id="706" w:name="Tc_zqwMK2kuc0qZt3Nepb-z1g_7_0"/>
      <w:bookmarkStart w:id="707" w:name="Tc_q0EETLpakUW-BzPnmxT-ag_6_0"/>
      <w:bookmarkStart w:id="708" w:name="Tc_20LPwwzPEkqIf45q1sCElg_5_0"/>
      <w:bookmarkStart w:id="709" w:name="Tc_hnXHsu7ah0COHV9IU3YV0g_4_0"/>
      <w:bookmarkStart w:id="710" w:name="Tc_mOyMlCzBGkK5TrUktXQfKQ_3_2"/>
      <w:bookmarkStart w:id="711" w:name="Tc_PtLXTLnn5Ue6nK-_Jbx_Bg_2_5"/>
      <w:bookmarkStart w:id="712" w:name="Tc_Ch_G1tw17Eeqhqzpr5CSzQ_2_2"/>
      <w:bookmarkStart w:id="713" w:name="Tc_fRjQNIvYaUSzgf4w96Q5PA_1_2"/>
      <w:bookmarkStart w:id="714" w:name="Tc_tRgEIBzjnU-v4Sk0xDANJA_30_5"/>
      <w:bookmarkStart w:id="715" w:name="Tc__muI538F7kKWoVXja5Kn0A_30_2"/>
      <w:bookmarkStart w:id="716" w:name="Tc_OyyaytjFK06okz4e2UTH9g_29_3"/>
      <w:bookmarkStart w:id="717" w:name="Tc_A1sphNF-A0OjEOguWLnEkw_28_3"/>
      <w:bookmarkStart w:id="718" w:name="Tc_Y_1CCxgYdUacXOQAiCyzvQ_28_0"/>
      <w:bookmarkStart w:id="719" w:name="Tc_Itcpk_22hk26_2A54vurHg_27_0"/>
      <w:bookmarkStart w:id="720" w:name="Tc_iDXNkdqS-Eewj2wpc0akcA_25_0"/>
      <w:bookmarkStart w:id="721" w:name="Tc_9UtZqwzbP0Cyc_4s1u6JGw_24_3"/>
      <w:bookmarkStart w:id="722" w:name="Tc_nS0Z0fPDfUWT_m9WQJeOhw_24_0"/>
      <w:bookmarkStart w:id="723" w:name="Tc_IS8JpvseukShjuAP6d_fnw_23_0"/>
      <w:bookmarkStart w:id="724" w:name="Tc_MQ1FP8gFYUOq6tSMkU5naA_22_5"/>
      <w:bookmarkStart w:id="725" w:name="Tc_gUR8I73yS0idIcP8v_Bo0Q_22_2"/>
      <w:bookmarkStart w:id="726" w:name="Tc_jCfYpOdfyUirddFj-Nw5SQ_22_0"/>
      <w:bookmarkStart w:id="727" w:name="Tc_fVL6rxPT7kKeVvHbf-5aAg_21_0"/>
      <w:bookmarkStart w:id="728" w:name="Tc_1O7T5CkW8k-o_WDCbPRCkA_20_0"/>
      <w:bookmarkStart w:id="729" w:name="Tc_iIBARiWf9kCBEwTXzXd40Q_19_0"/>
      <w:bookmarkStart w:id="730" w:name="Tc_R3lHLWBIpU6T-8GsFSV1dA_18_5"/>
      <w:bookmarkStart w:id="731" w:name="Tc_d4L4nnX7hUeEuy1P3oFHsA_18_2"/>
      <w:bookmarkStart w:id="732" w:name="Tc_OFKGvufjgk64uVz1Hg2pSw_17_3"/>
      <w:bookmarkStart w:id="733" w:name="Tc_5gv23uM1w0e0xGUXAyJuUg_16_3"/>
      <w:bookmarkStart w:id="734" w:name="Tc_kysE8qUod0eROcUPkhw2ig_16_0"/>
      <w:bookmarkStart w:id="735" w:name="Tc_eIpuxkP6R0-P3AN8_HrwuQ_15_0"/>
      <w:bookmarkStart w:id="736" w:name="Tc_IA9MGdCLfUWqwvc8S7ufxQ_13_0"/>
      <w:bookmarkStart w:id="737" w:name="Tc_Q8CcA0U6xkGZA1fBQOBrcQ_12_0"/>
      <w:bookmarkStart w:id="738" w:name="Tc_pS6P8XhMnk2wP3MdB5luLg_11_0"/>
      <w:bookmarkStart w:id="739" w:name="Tc_tpSmtoAd0ES7XlWbaOD3dw_10_0"/>
      <w:bookmarkStart w:id="740" w:name="Tc_ysPC1ZDmJkq4HxsO9tVYmA_9_0"/>
      <w:bookmarkStart w:id="741" w:name="Tc_f0TbPsuKRUWYOhNPYg0D4g_8_0"/>
      <w:bookmarkStart w:id="742" w:name="Tc_v1-Czmrzh024nRekj2yDzw_7_5"/>
      <w:bookmarkStart w:id="743" w:name="Tc_zK7Q1dKllUWAXBjHuFRKOw_7_2"/>
      <w:bookmarkStart w:id="744" w:name="Tc_zqwMK2kuc0qZt3Nepb-z1g_7_0"/>
      <w:bookmarkStart w:id="745" w:name="Tc_q0EETLpakUW-BzPnmxT-ag_6_0"/>
      <w:bookmarkStart w:id="746" w:name="Tc_20LPwwzPEkqIf45q1sCElg_5_0"/>
      <w:bookmarkStart w:id="747" w:name="Tc_hnXHsu7ah0COHV9IU3YV0g_4_0"/>
      <w:bookmarkStart w:id="748" w:name="Tc_mOyMlCzBGkK5TrUktXQfKQ_3_2"/>
      <w:bookmarkStart w:id="749" w:name="Tc_PtLXTLnn5Ue6nK-_Jbx_Bg_2_5"/>
      <w:bookmarkStart w:id="750" w:name="Tc_Ch_G1tw17Eeqhqzpr5CSzQ_2_2"/>
      <w:bookmarkStart w:id="751" w:name="Tc_fRjQNIvYaUSzgf4w96Q5PA_1_2"/>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p>
    <w:tbl>
      <w:tblPr>
        <w:tblW w:w="6247" w:type="dxa"/>
        <w:jc w:val="left"/>
        <w:tblInd w:w="0" w:type="dxa"/>
        <w:tblLayout w:type="fixed"/>
        <w:tblCellMar>
          <w:top w:w="0" w:type="dxa"/>
          <w:left w:w="0" w:type="dxa"/>
          <w:bottom w:w="0" w:type="dxa"/>
          <w:right w:w="0" w:type="dxa"/>
        </w:tblCellMar>
      </w:tblPr>
      <w:tblGrid>
        <w:gridCol w:w="3946"/>
        <w:gridCol w:w="346"/>
        <w:gridCol w:w="211"/>
        <w:gridCol w:w="571"/>
        <w:gridCol w:w="346"/>
        <w:gridCol w:w="211"/>
        <w:gridCol w:w="616"/>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505710" cy="175260"/>
                      <wp:effectExtent l="0" t="0" r="0" b="0"/>
                      <wp:wrapNone/>
                      <wp:docPr id="202" name="Frame202"/>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62585" cy="175260"/>
                      <wp:effectExtent l="0" t="0" r="0" b="0"/>
                      <wp:wrapNone/>
                      <wp:docPr id="205" name="Frame2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91160" cy="175260"/>
                      <wp:effectExtent l="0" t="0" r="0" b="0"/>
                      <wp:wrapNone/>
                      <wp:docPr id="208" name="Frame20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3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624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9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5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394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16" w:type="dxa"/>
            <w:tcBorders/>
            <w:vAlign w:val="center"/>
          </w:tcPr>
          <w:p>
            <w:pPr>
              <w:pStyle w:val="TableContents"/>
              <w:bidi w:val="0"/>
              <w:spacing w:before="0" w:after="1"/>
              <w:ind w:left="0" w:right="0" w:hanging="0"/>
              <w:jc w:val="center"/>
              <w:rPr/>
            </w:pPr>
            <w:r>
              <w:rPr/>
              <w:t>​</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Communications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Consumer, cyclical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Healthcare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3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2,241</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9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2,272</w:t>
            </w:r>
          </w:p>
        </w:tc>
      </w:tr>
      <w:tr>
        <w:trPr/>
        <w:tc>
          <w:tcPr>
            <w:tcW w:w="3946"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sold, not yet purchased, at fair value: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pPr>
            <w:r>
              <w:rPr/>
              <w:t>  ​</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pPr>
            <w:r>
              <w:rPr/>
              <w:t>  ​</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Materials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Industrial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3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Communications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39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3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w:t>
            </w:r>
          </w:p>
        </w:tc>
      </w:tr>
      <w:tr>
        <w:trPr/>
        <w:tc>
          <w:tcPr>
            <w:tcW w:w="39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portions of unrealized gains and (losses) that relate to securities still held by our Investment segment, primarily equity securities, were $140 million, $(187) million and $(302) million for the years ended December 31, 2025, 2024 and 2023,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discussed in Note 2, “Basis of Presentation and Summary of Significant Accounting Policies,” when certain investments become subject to the equity method of accounting, our Investment segment elects the fair value option to such investment. Investments become subject to the equity method of accounting when we possess the ability to exercise significant influence, but not control, over the operating and financial policies of the investee. The ability to exercise significant influence is presumed when we possess more than 20% of the voting interests of the investee. This presumption may be overcome based on specific facts and circumstances that demonstrate that the ability to exercise significant influence is restricted. Conversely, there is a presumption that for investments in which we have less than 20% of the voting interests of the investee that we do not have the ability to exercise significant influence. However, such presumption may be overcome based on specific facts and circumstances that demonstrate that the ability to exercise significant influence is present, such as when we have representation on the board of directors of such investee.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After considering specific facts and circumstances, including the collective ownership in entities by the Investment Funds and affiliates of Mr. Icahn, as well as their collective representation on each of the boards of directors, we have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bookmarkStart w:id="752" w:name="Tc_j6gpbWlLEUibQbCQ_Kn3bw_7_5"/>
      <w:bookmarkStart w:id="753" w:name="Tc_Io82arn9B06YIObVw22UPw_7_2"/>
      <w:bookmarkStart w:id="754" w:name="Tc_M-jJGkCuBk20nw0448XUfg_6_0"/>
      <w:bookmarkStart w:id="755" w:name="Tc_aI3Em1mOO0aHxutv4KjFHw_5_0"/>
      <w:bookmarkStart w:id="756" w:name="Tc_JhPlrbEBJUWRRtkcbyvL3A_4_5"/>
      <w:bookmarkStart w:id="757" w:name="Tc_bHGN-EDaWk-ySCodJVBaQQ_4_2"/>
      <w:bookmarkStart w:id="758" w:name="Tc_nbxzi3c4cUSkGHrdjQcjUA_4_0"/>
      <w:bookmarkStart w:id="759" w:name="Tc_SHZ_-5m9iESFPYuEPZGYCg_3_2"/>
      <w:bookmarkStart w:id="760" w:name="Tc_Etzi7xzPW06wKKQbjDsC5w_2_5"/>
      <w:bookmarkStart w:id="761" w:name="Tc_zk0eteDSsUO3OlNKvnwbgQ_2_2"/>
      <w:bookmarkStart w:id="762" w:name="Tc_OJRP5wXsA0aI07fBzKPJSA_1_2"/>
      <w:bookmarkEnd w:id="752"/>
      <w:bookmarkEnd w:id="753"/>
      <w:bookmarkEnd w:id="754"/>
      <w:bookmarkEnd w:id="755"/>
      <w:bookmarkEnd w:id="756"/>
      <w:bookmarkEnd w:id="757"/>
      <w:bookmarkEnd w:id="758"/>
      <w:bookmarkEnd w:id="759"/>
      <w:bookmarkEnd w:id="760"/>
      <w:bookmarkEnd w:id="761"/>
      <w:bookmarkEnd w:id="762"/>
      <w:r>
        <w:rPr>
          <w:rFonts w:ascii="Times New Roman;Times;serif" w:hAnsi="Times New Roman;Times;serif"/>
          <w:sz w:val="20"/>
        </w:rPr>
        <w:t>determined that we had the ability to exercise significant influence over the operating and financial policies of certain investees of our Investment segment.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Segments and 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 the exception of certain equity method investments at our operating subsidiaries and our Holding Company disclosed in the table below, our investments are measured at fair value in our consolidated balance sheets. The carrying value of investments held by our other segments and our Holding Company consist of the following:</w:t>
      </w:r>
    </w:p>
    <w:p>
      <w:pPr>
        <w:pStyle w:val="TextBody"/>
        <w:bidi w:val="0"/>
        <w:spacing w:before="0" w:after="0"/>
        <w:ind w:left="0" w:right="0" w:hanging="0"/>
        <w:jc w:val="left"/>
        <w:rPr/>
      </w:pPr>
      <w:r>
        <w:rPr/>
        <w:t>​</w:t>
      </w:r>
    </w:p>
    <w:tbl>
      <w:tblPr>
        <w:tblW w:w="7072" w:type="dxa"/>
        <w:jc w:val="left"/>
        <w:tblInd w:w="0" w:type="dxa"/>
        <w:tblLayout w:type="fixed"/>
        <w:tblCellMar>
          <w:top w:w="0" w:type="dxa"/>
          <w:left w:w="0" w:type="dxa"/>
          <w:bottom w:w="0" w:type="dxa"/>
          <w:right w:w="0" w:type="dxa"/>
        </w:tblCellMar>
      </w:tblPr>
      <w:tblGrid>
        <w:gridCol w:w="5116"/>
        <w:gridCol w:w="346"/>
        <w:gridCol w:w="211"/>
        <w:gridCol w:w="421"/>
        <w:gridCol w:w="346"/>
        <w:gridCol w:w="211"/>
        <w:gridCol w:w="421"/>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248660" cy="175260"/>
                      <wp:effectExtent l="0" t="0" r="0" b="0"/>
                      <wp:wrapNone/>
                      <wp:docPr id="209" name="Frame209"/>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67335" cy="175260"/>
                      <wp:effectExtent l="0" t="0" r="0" b="0"/>
                      <wp:wrapNone/>
                      <wp:docPr id="212" name="Frame21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67335" cy="175260"/>
                      <wp:effectExtent l="0" t="0" r="0" b="0"/>
                      <wp:wrapNone/>
                      <wp:docPr id="215" name="Frame21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07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10"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Held to maturity debt investments measured at amortized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investments measured at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were no unrealized gains and (losses) that related to equity securities still held by our other segments and our Holding Company for the years ended December 31, 2025, 2024 and 2023. In August 2025, we recognized a preferred equity investment in TEB in connection with the sale of certain properties to the entity, which contributed to the increase in our equity method investments as of December 31, 2025.</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fourth quarter of 2024, our Energy segment sold an equity method investment for cash consideration of approximately $90 million, resulting in a gain of $24 million included within Other income, net.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Fair Value Measurements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Assets and liabilities measured and reported at fair value are classified and disclosed in one of the following categories: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Level 1 - Quoted prices are available in active markets for identical assets and liabilities as of the reporting date.</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bookmarkStart w:id="763" w:name="Tc_TUPZZUUO5U2Op5jQBxLcGw_12_23"/>
      <w:bookmarkStart w:id="764" w:name="Tc_emT8f_FzKEiiH-vlQsrLHw_12_21"/>
      <w:bookmarkStart w:id="765" w:name="Tc_-MYPkSm9bUGPiwLuhaKwAA_12_20"/>
      <w:bookmarkStart w:id="766" w:name="Tc__LN9P5GH2ESR95CebR2GhA_12_17"/>
      <w:bookmarkStart w:id="767" w:name="Tc_ukWWGLQH5U2uyKOO7hDEUQ_12_14"/>
      <w:bookmarkStart w:id="768" w:name="Tc_ZTKVM1Z78UeZbrx4wy11hw_12_11"/>
      <w:bookmarkStart w:id="769" w:name="Tc_z4sk6twMIUC27uI_1Jg7XQ_12_9"/>
      <w:bookmarkStart w:id="770" w:name="Tc_54TlCn1Gw0WoN18oG3XheA_12_8"/>
      <w:bookmarkStart w:id="771" w:name="Tc_ME1hcHY9w0a_Ykw24kAaSQ_12_5"/>
      <w:bookmarkStart w:id="772" w:name="Tc_qiOlfvtT30Gf2OiPgUpPcg_12_2"/>
      <w:bookmarkStart w:id="773" w:name="Tc_LqGCtEFV1E2Tebcuvwf22Q_11_21"/>
      <w:bookmarkStart w:id="774" w:name="Tc_WlX0G8rtBUSJPOziM5cjOA_11_15"/>
      <w:bookmarkStart w:id="775" w:name="Tc_aOIifj_S50yCSqfF-6jz_g_11_9"/>
      <w:bookmarkStart w:id="776" w:name="Tc_kWVB_7KHI0Kdc7tHsgyWKA_11_3"/>
      <w:bookmarkStart w:id="777" w:name="Tc_XXeFSQO9t0ytwTYo_Xf53Q_11_0"/>
      <w:bookmarkStart w:id="778" w:name="Tc_UP1N3oEC80WpjoTvnPjHEQ_10_21"/>
      <w:bookmarkStart w:id="779" w:name="Tc_7Q9O8_XFQE6t35AwYPffjg_10_9"/>
      <w:bookmarkStart w:id="780" w:name="Tc_gTcBg4A75Ei9i5tSm9IQTA_10_3"/>
      <w:bookmarkStart w:id="781" w:name="Tc_qWRonV-gLU6frJwStHb3jg_10_0"/>
      <w:bookmarkStart w:id="782" w:name="Tc_aVWXinhfaE6tJ1-CNLUKxg_9_23"/>
      <w:bookmarkStart w:id="783" w:name="Tc_EDG6JdkpGkCtuTR269UyQg_9_21"/>
      <w:bookmarkStart w:id="784" w:name="Tc_ubhCGdbLS0mmWiE0EYlZJQ_9_20"/>
      <w:bookmarkStart w:id="785" w:name="Tc_fb37WJKes0C6_4p2cVQH0w_9_17"/>
      <w:bookmarkStart w:id="786" w:name="Tc_z25rICE3SkWhY4DEIIvYVw_9_14"/>
      <w:bookmarkStart w:id="787" w:name="Tc_msAgnOaeik-AZayCXNCeiQ_9_11"/>
      <w:bookmarkStart w:id="788" w:name="Tc__KXL2W45kkKjrXNa4Sa4UA_9_9"/>
      <w:bookmarkStart w:id="789" w:name="Tc_7sdOitATO0-ovcKsR4DKLA_9_8"/>
      <w:bookmarkStart w:id="790" w:name="Tc_sqQftPm_zEu97bMgkmPExQ_9_6"/>
      <w:bookmarkStart w:id="791" w:name="Tc_EpDqIdJrQ0WBCIkpnGdYuA_9_5"/>
      <w:bookmarkStart w:id="792" w:name="Tc_IbpiStn4fEe3In2N0vowfw_9_2"/>
      <w:bookmarkStart w:id="793" w:name="Tc_eUEePrQLB0y04L3ddqXP0A_9_0"/>
      <w:bookmarkStart w:id="794" w:name="Tc_pd_LvXTK0UucyluCUSKltQ_8_0"/>
      <w:bookmarkStart w:id="795" w:name="Tc_jWr7AX7sYE-cVbtsYZcwkQ_7_23"/>
      <w:bookmarkStart w:id="796" w:name="Tc_jent381fiUeFPp75g3ur9w_7_20"/>
      <w:bookmarkStart w:id="797" w:name="Tc_7W6kW9LSdE-5X5E3Ov1tqw_7_17"/>
      <w:bookmarkStart w:id="798" w:name="Tc_W6eYPmQLkUuMAYFPK4wrRg_7_14"/>
      <w:bookmarkStart w:id="799" w:name="Tc_k4R20KftvU-MDrO0jgh2Wg_7_11"/>
      <w:bookmarkStart w:id="800" w:name="Tc_bGzhNvHCmU2L9ZV6AghHxw_7_8"/>
      <w:bookmarkStart w:id="801" w:name="Tc_28GSMEuitU698ppFWVynVg_7_5"/>
      <w:bookmarkStart w:id="802" w:name="Tc_4AvJ86SD3U6D53TAKQS3WQ_7_2"/>
      <w:bookmarkStart w:id="803" w:name="Tc_RRnzrodBfUKRIEow97icHA_6_21"/>
      <w:bookmarkStart w:id="804" w:name="Tc_-TcLB6EVKUeyde9VzHNTYg_6_15"/>
      <w:bookmarkStart w:id="805" w:name="Tc_kOWFLauCIU-RJEt_OWGk8Q_6_9"/>
      <w:bookmarkStart w:id="806" w:name="Tc_zvvqdJFqoU2AGR9ONzfIhQ_6_3"/>
      <w:bookmarkStart w:id="807" w:name="Tc_7ppjOBBJ_E2vvvZ-71zeGQ_6_0"/>
      <w:bookmarkStart w:id="808" w:name="Tc_1ZxXBlgJyEqdU9BPUBRSUg_5_23"/>
      <w:bookmarkStart w:id="809" w:name="Tc_xh-CeOaLIEC318KXNwvauw_5_20"/>
      <w:bookmarkStart w:id="810" w:name="Tc_M2M2ncn5d0GyoDNVZ8qdQQ_5_17"/>
      <w:bookmarkStart w:id="811" w:name="Tc_W0Rf8FSzbUqcXVwqlkvJjw_5_14"/>
      <w:bookmarkStart w:id="812" w:name="Tc_ClW2T24V_kKPeRl49C7w0g_5_11"/>
      <w:bookmarkStart w:id="813" w:name="Tc_TUL22MbysEiH_zCa86UDkA_5_8"/>
      <w:bookmarkStart w:id="814" w:name="Tc_MIRmEyCER0WvmoZET-iNwg_5_6"/>
      <w:bookmarkStart w:id="815" w:name="Tc_hXjsZLAmIUKUTV0B7ajWpw_5_5"/>
      <w:bookmarkStart w:id="816" w:name="Tc_bE5EccIOVU-CsOQl_Czn7Q_5_2"/>
      <w:bookmarkStart w:id="817" w:name="Tc_VJTy5P8LgkukjdCAMUrWcA_5_0"/>
      <w:bookmarkStart w:id="818" w:name="Tc_JulNfzPwcECk_urX1EsAKw_4_0"/>
      <w:bookmarkStart w:id="819" w:name="Tc_1bls8rGC8U2yNlX4GVoWAQ_3_2"/>
      <w:bookmarkStart w:id="820" w:name="Tc_-4W_6baE70yWW7qFy3x0FA_2_23"/>
      <w:bookmarkStart w:id="821" w:name="Tc_u8ei8i3JSUSapA9t8HFQFw_2_20"/>
      <w:bookmarkStart w:id="822" w:name="Tc_cAYYmL2ngUKdUbX230eUmA_2_17"/>
      <w:bookmarkStart w:id="823" w:name="Tc_LhufH4zKGUanJNi7ETE6WQ_2_14"/>
      <w:bookmarkStart w:id="824" w:name="Tc_GwAsyASrdEmYSDW-i6pZEA_2_11"/>
      <w:bookmarkStart w:id="825" w:name="Tc_rMdUiVlgeECQztZgmzGrVQ_2_8"/>
      <w:bookmarkStart w:id="826" w:name="Tc_w0Mh_9qbBEeIGLWXDI-Y3Q_2_5"/>
      <w:bookmarkStart w:id="827" w:name="Tc_X9iw-yAHiUS8lTQmZgLGdg_2_2"/>
      <w:bookmarkStart w:id="828" w:name="Tc_MfdqL9P6QUeHsDAPhk5-yw_1_14"/>
      <w:bookmarkStart w:id="829" w:name="Tc_Mlc0-rFD00awi0UDe35AIA_1_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r>
        <w:rPr>
          <w:rFonts w:ascii="Times New Roman;Times;serif" w:hAnsi="Times New Roman;Times;serif"/>
          <w:sz w:val="20"/>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Assets and Liabilities Measured at Fair Value on a Recurring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valuation of our assets and liabilities by the above fair value hierarchy levels measured on a recurring basis: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44"/>
        <w:gridCol w:w="346"/>
        <w:gridCol w:w="211"/>
        <w:gridCol w:w="571"/>
        <w:gridCol w:w="346"/>
        <w:gridCol w:w="217"/>
        <w:gridCol w:w="433"/>
        <w:gridCol w:w="346"/>
        <w:gridCol w:w="231"/>
        <w:gridCol w:w="382"/>
        <w:gridCol w:w="346"/>
        <w:gridCol w:w="211"/>
        <w:gridCol w:w="571"/>
        <w:gridCol w:w="346"/>
        <w:gridCol w:w="211"/>
        <w:gridCol w:w="571"/>
        <w:gridCol w:w="346"/>
        <w:gridCol w:w="211"/>
        <w:gridCol w:w="571"/>
        <w:gridCol w:w="346"/>
        <w:gridCol w:w="231"/>
        <w:gridCol w:w="382"/>
        <w:gridCol w:w="346"/>
        <w:gridCol w:w="211"/>
        <w:gridCol w:w="678"/>
      </w:tblGrid>
      <w:tr>
        <w:trPr/>
        <w:tc>
          <w:tcPr>
            <w:tcW w:w="1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980440" cy="175260"/>
                      <wp:effectExtent l="0" t="0" r="0" b="0"/>
                      <wp:wrapNone/>
                      <wp:docPr id="216" name="Frame216"/>
                      <a:graphic xmlns:a="http://schemas.openxmlformats.org/drawingml/2006/main">
                        <a:graphicData uri="http://schemas.microsoft.com/office/word/2010/wordprocessingShape">
                          <wps:wsp>
                            <wps:cNvSpPr txBox="1"/>
                            <wps:spPr>
                              <a:xfrm>
                                <a:off x="0" y="0"/>
                                <a:ext cx="980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62585" cy="175260"/>
                      <wp:effectExtent l="0" t="0" r="0" b="0"/>
                      <wp:wrapNone/>
                      <wp:docPr id="219" name="Frame21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7795" cy="175260"/>
                      <wp:effectExtent l="0" t="0" r="0" b="0"/>
                      <wp:wrapNone/>
                      <wp:docPr id="221" name="Frame22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74955" cy="175260"/>
                      <wp:effectExtent l="0" t="0" r="0" b="0"/>
                      <wp:wrapNone/>
                      <wp:docPr id="222" name="Frame222"/>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46685" cy="175260"/>
                      <wp:effectExtent l="0" t="0" r="0" b="0"/>
                      <wp:wrapNone/>
                      <wp:docPr id="224" name="Frame224"/>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42570" cy="175260"/>
                      <wp:effectExtent l="0" t="0" r="0" b="0"/>
                      <wp:wrapNone/>
                      <wp:docPr id="225" name="Frame225"/>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62585" cy="175260"/>
                      <wp:effectExtent l="0" t="0" r="0" b="0"/>
                      <wp:wrapNone/>
                      <wp:docPr id="228" name="Frame22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62585" cy="175260"/>
                      <wp:effectExtent l="0" t="0" r="0" b="0"/>
                      <wp:wrapNone/>
                      <wp:docPr id="231" name="Frame23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62585" cy="175260"/>
                      <wp:effectExtent l="0" t="0" r="0" b="0"/>
                      <wp:wrapNone/>
                      <wp:docPr id="234" name="Frame23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46685" cy="175260"/>
                      <wp:effectExtent l="0" t="0" r="0" b="0"/>
                      <wp:wrapNone/>
                      <wp:docPr id="236" name="Frame23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42570" cy="175260"/>
                      <wp:effectExtent l="0" t="0" r="0" b="0"/>
                      <wp:wrapNone/>
                      <wp:docPr id="237" name="Frame237"/>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30530" cy="175260"/>
                      <wp:effectExtent l="0" t="0" r="0" b="0"/>
                      <wp:wrapNone/>
                      <wp:docPr id="240" name="Frame240"/>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6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1"/>
              <w:ind w:left="0" w:right="0" w:hanging="0"/>
              <w:jc w:val="left"/>
              <w:rPr/>
            </w:pPr>
            <w:r>
              <w:rPr/>
              <w:t>​</w:t>
            </w:r>
          </w:p>
        </w:tc>
        <w:tc>
          <w:tcPr>
            <w:tcW w:w="410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5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46" w:type="dxa"/>
            <w:tcBorders/>
            <w:vAlign w:val="center"/>
          </w:tcPr>
          <w:p>
            <w:pPr>
              <w:pStyle w:val="TableContents"/>
              <w:bidi w:val="0"/>
              <w:spacing w:before="0" w:after="1"/>
              <w:ind w:left="0" w:right="0" w:hanging="0"/>
              <w:jc w:val="left"/>
              <w:rPr/>
            </w:pPr>
            <w:r>
              <w:rPr/>
              <w:t>  ​ ​ ​</w:t>
            </w:r>
          </w:p>
        </w:tc>
        <w:tc>
          <w:tcPr>
            <w:tcW w:w="6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46" w:type="dxa"/>
            <w:tcBorders/>
            <w:vAlign w:val="center"/>
          </w:tcPr>
          <w:p>
            <w:pPr>
              <w:pStyle w:val="TableContents"/>
              <w:bidi w:val="0"/>
              <w:spacing w:before="0" w:after="1"/>
              <w:ind w:left="0" w:right="0" w:hanging="0"/>
              <w:jc w:val="left"/>
              <w:rPr/>
            </w:pPr>
            <w:r>
              <w:rPr/>
              <w:t>  ​ ​ ​</w:t>
            </w:r>
          </w:p>
        </w:tc>
        <w:tc>
          <w:tcPr>
            <w:tcW w:w="6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46" w:type="dxa"/>
            <w:tcBorders/>
            <w:vAlign w:val="center"/>
          </w:tcPr>
          <w:p>
            <w:pPr>
              <w:pStyle w:val="TableContents"/>
              <w:bidi w:val="0"/>
              <w:spacing w:before="0" w:after="1"/>
              <w:ind w:left="0" w:right="0" w:hanging="0"/>
              <w:jc w:val="left"/>
              <w:rPr/>
            </w:pPr>
            <w:r>
              <w:rPr/>
              <w:t>  ​ ​ ​</w:t>
            </w:r>
          </w:p>
        </w:tc>
        <w:tc>
          <w:tcPr>
            <w:tcW w:w="6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3</w:t>
            </w:r>
          </w:p>
        </w:tc>
        <w:tc>
          <w:tcPr>
            <w:tcW w:w="346" w:type="dxa"/>
            <w:tcBorders/>
            <w:vAlign w:val="center"/>
          </w:tcPr>
          <w:p>
            <w:pPr>
              <w:pStyle w:val="TableContents"/>
              <w:bidi w:val="0"/>
              <w:spacing w:before="0" w:after="1"/>
              <w:ind w:left="0" w:right="0" w:hanging="0"/>
              <w:jc w:val="left"/>
              <w:rPr/>
            </w:pPr>
            <w:r>
              <w:rPr/>
              <w:t>  ​ ​ ​</w:t>
            </w:r>
          </w:p>
        </w:tc>
        <w:tc>
          <w:tcPr>
            <w:tcW w:w="8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5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315" w:type="dxa"/>
            <w:gridSpan w:val="23"/>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544"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7" w:type="dxa"/>
            <w:tcBorders/>
            <w:vAlign w:val="center"/>
          </w:tcPr>
          <w:p>
            <w:pPr>
              <w:pStyle w:val="TableContents"/>
              <w:bidi w:val="0"/>
              <w:spacing w:before="0" w:after="1"/>
              <w:ind w:left="0" w:right="0" w:hanging="0"/>
              <w:jc w:val="center"/>
              <w:rPr/>
            </w:pPr>
            <w:r>
              <w:rPr/>
              <w:t>​</w:t>
            </w:r>
          </w:p>
        </w:tc>
        <w:tc>
          <w:tcPr>
            <w:tcW w:w="43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center"/>
              <w:rPr/>
            </w:pPr>
            <w:r>
              <w:rPr/>
              <w:t>​</w:t>
            </w:r>
          </w:p>
        </w:tc>
        <w:tc>
          <w:tcPr>
            <w:tcW w:w="38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center"/>
              <w:rPr/>
            </w:pPr>
            <w:r>
              <w:rPr/>
              <w:t>​</w:t>
            </w:r>
          </w:p>
        </w:tc>
        <w:tc>
          <w:tcPr>
            <w:tcW w:w="38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8" w:type="dxa"/>
            <w:tcBorders/>
            <w:vAlign w:val="center"/>
          </w:tcPr>
          <w:p>
            <w:pPr>
              <w:pStyle w:val="TableContents"/>
              <w:bidi w:val="0"/>
              <w:spacing w:before="0" w:after="1"/>
              <w:ind w:left="0" w:right="0" w:hanging="0"/>
              <w:jc w:val="center"/>
              <w:rPr/>
            </w:pPr>
            <w:r>
              <w:rPr/>
              <w:t>​</w:t>
            </w:r>
          </w:p>
        </w:tc>
      </w:tr>
      <w:tr>
        <w:trPr/>
        <w:tc>
          <w:tcPr>
            <w:tcW w:w="15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(Note 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2,108</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2,275</w:t>
            </w:r>
          </w:p>
        </w:tc>
      </w:tr>
      <w:tr>
        <w:trPr/>
        <w:tc>
          <w:tcPr>
            <w:tcW w:w="154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assets, net (Note 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154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2,108</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2,297</w:t>
            </w:r>
          </w:p>
        </w:tc>
      </w:tr>
      <w:tr>
        <w:trPr/>
        <w:tc>
          <w:tcPr>
            <w:tcW w:w="1544"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43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pPr>
            <w:r>
              <w:rPr/>
              <w:t>​</w:t>
            </w:r>
          </w:p>
        </w:tc>
      </w:tr>
      <w:tr>
        <w:trPr/>
        <w:tc>
          <w:tcPr>
            <w:tcW w:w="15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sold, not yet purchased (Note 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w:t>
            </w:r>
          </w:p>
        </w:tc>
      </w:tr>
      <w:tr>
        <w:trPr/>
        <w:tc>
          <w:tcPr>
            <w:tcW w:w="154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liabilities, net (Note 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4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3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3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w:t>
            </w:r>
          </w:p>
        </w:tc>
      </w:tr>
      <w:tr>
        <w:trPr/>
        <w:tc>
          <w:tcPr>
            <w:tcW w:w="15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15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1,382</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2,452</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Refer to Note 20, “Pension and Other Post-Retirement Benefit Plans,” for our Food Packaging segment’s defined benefit plan assets measured at fair value on a recurring basis as of December 31,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There were no changes in investments measured at fair value on a recurring basis for which we use Level 3 inputs during the years ended December 31, 2025 and 2024.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Assets Measured at Fair Value on a Non-Recurring Basis for Which We Use Level 3 Inputs to Determine Fair Value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CVR Partners performed a non-recurring fair value measurement of the equity interest received as part of the 45Q Transaction. Such valuation used a combination of the market approach and the discounted cash flow methodology with key inputs including the discount rate, contractual and expected future cash flows, and market multiples. </w:t>
      </w:r>
    </w:p>
    <w:p>
      <w:pPr>
        <w:pStyle w:val="TextBody"/>
        <w:bidi w:val="0"/>
        <w:spacing w:before="0" w:after="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Financial Instruments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futures, forwards,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their counterparties.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entitled to receive from or required to pay to the counterparty a floating interest rate equal to the product of the notional amount multiplied by an agreed-upon rate. They also receive interest on any cash collateral that they post to the counterparty and pay interest on any cash collateral posted by the counterparty at an agreed-upon rate. 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utilize forward contracts in securities, or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consolidated balance sheets, and to the independent amount posted on such forward contracts pursuant to the margin requirements of the relevant agreement, which is recognized in restricted cash in our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consolidated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bookmarkStart w:id="830" w:name="Tc_H3OTyuyRkkGwEwPiES8qoQ_7_9"/>
      <w:bookmarkStart w:id="831" w:name="Tc_8So44ZalX0idrNCEguPhVg_7_3"/>
      <w:bookmarkStart w:id="832" w:name="Tc_Yl8YOYhBU0Gj_IaJHgFqMg_7_0"/>
      <w:bookmarkStart w:id="833" w:name="Tc_P8tcoi2_mk22dumRrhQFMA_6_6"/>
      <w:bookmarkStart w:id="834" w:name="Tc_-0UtlxzFC0qXY3L8njQVZg_6_3"/>
      <w:bookmarkStart w:id="835" w:name="Tc_nQuKOi1lvEufUkXsPEJPGw_6_0"/>
      <w:bookmarkStart w:id="836" w:name="Tc_suTnWiM49UOytRa-vKJquw_5_11"/>
      <w:bookmarkStart w:id="837" w:name="Tc_rIAKcrU74UusY56ioqrYJQ_5_8"/>
      <w:bookmarkStart w:id="838" w:name="Tc_l-ipk9mdk0S_6ysavEVd7Q_5_5"/>
      <w:bookmarkStart w:id="839" w:name="Tc_1HhIndOb1ku2AMZMZQDwew_5_2"/>
      <w:bookmarkStart w:id="840" w:name="Tc_xqkVy6r2W0yafU9-mibENA_5_0"/>
      <w:bookmarkStart w:id="841" w:name="Tc_E2ooOPlBx0uZ5e2lPdOgtg_4_0"/>
      <w:bookmarkStart w:id="842" w:name="Tc_8_zEaTZ_o0qULXe0f13Hcg_3_3"/>
      <w:bookmarkStart w:id="843" w:name="Tc_HZ-3_dx1tE6knA7oonjwHQ_2_11"/>
      <w:bookmarkStart w:id="844" w:name="Tc_KhJd7_-AyE-YocXH8AtORA_2_8"/>
      <w:bookmarkStart w:id="845" w:name="Tc_hj_sx9JJGE229-PHbmAsfQ_2_5"/>
      <w:bookmarkStart w:id="846" w:name="Tc_Nt7zLzpyu06qwglrMX5wWQ_2_2"/>
      <w:bookmarkStart w:id="847" w:name="Tc_I2l3StX1VEekFfic-L_0rg_1_8"/>
      <w:bookmarkStart w:id="848" w:name="Tc_CfC1xzcW_0e3BxH_x9b00A_1_2"/>
      <w:bookmarkStart w:id="849" w:name="_bb6ca49a_87e4_447e_a393_4a42a8266892"/>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r>
        <w:rPr>
          <w:rFonts w:ascii="Times New Roman;Times;serif" w:hAnsi="Times New Roman;Times;serif"/>
          <w:sz w:val="20"/>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There were no Investment Funds’ derivative instruments with credit-risk-related contingent features in a liability position as of December 31, 2025 and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volume of our Investment segment’s derivative activities based on their notional exposure, categorized by primary underlying risk:</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54"/>
        <w:gridCol w:w="346"/>
        <w:gridCol w:w="471"/>
        <w:gridCol w:w="1278"/>
        <w:gridCol w:w="346"/>
        <w:gridCol w:w="474"/>
        <w:gridCol w:w="1286"/>
        <w:gridCol w:w="346"/>
        <w:gridCol w:w="471"/>
        <w:gridCol w:w="1278"/>
        <w:gridCol w:w="346"/>
        <w:gridCol w:w="459"/>
        <w:gridCol w:w="1350"/>
      </w:tblGrid>
      <w:tr>
        <w:trPr/>
        <w:tc>
          <w:tcPr>
            <w:tcW w:w="1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113790" cy="175260"/>
                      <wp:effectExtent l="0" t="0" r="0" b="0"/>
                      <wp:wrapNone/>
                      <wp:docPr id="241" name="Frame241"/>
                      <a:graphic xmlns:a="http://schemas.openxmlformats.org/drawingml/2006/main">
                        <a:graphicData uri="http://schemas.microsoft.com/office/word/2010/wordprocessingShape">
                          <wps:wsp>
                            <wps:cNvSpPr txBox="1"/>
                            <wps:spPr>
                              <a:xfrm>
                                <a:off x="0" y="0"/>
                                <a:ext cx="1113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99085" cy="175260"/>
                      <wp:effectExtent l="0" t="0" r="0" b="0"/>
                      <wp:wrapNone/>
                      <wp:docPr id="243" name="Frame243"/>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811530" cy="175260"/>
                      <wp:effectExtent l="0" t="0" r="0" b="0"/>
                      <wp:wrapNone/>
                      <wp:docPr id="244" name="Frame244"/>
                      <a:graphic xmlns:a="http://schemas.openxmlformats.org/drawingml/2006/main">
                        <a:graphicData uri="http://schemas.microsoft.com/office/word/2010/wordprocessingShape">
                          <wps:wsp>
                            <wps:cNvSpPr txBox="1"/>
                            <wps:spPr>
                              <a:xfrm>
                                <a:off x="0" y="0"/>
                                <a:ext cx="811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00990" cy="175260"/>
                      <wp:effectExtent l="0" t="0" r="0" b="0"/>
                      <wp:wrapNone/>
                      <wp:docPr id="246" name="Frame246"/>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816610" cy="175260"/>
                      <wp:effectExtent l="0" t="0" r="0" b="0"/>
                      <wp:wrapNone/>
                      <wp:docPr id="247" name="Frame247"/>
                      <a:graphic xmlns:a="http://schemas.openxmlformats.org/drawingml/2006/main">
                        <a:graphicData uri="http://schemas.microsoft.com/office/word/2010/wordprocessingShape">
                          <wps:wsp>
                            <wps:cNvSpPr txBox="1"/>
                            <wps:spPr>
                              <a:xfrm>
                                <a:off x="0" y="0"/>
                                <a:ext cx="81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99085" cy="175260"/>
                      <wp:effectExtent l="0" t="0" r="0" b="0"/>
                      <wp:wrapNone/>
                      <wp:docPr id="249" name="Frame249"/>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811530" cy="175260"/>
                      <wp:effectExtent l="0" t="0" r="0" b="0"/>
                      <wp:wrapNone/>
                      <wp:docPr id="250" name="Frame250"/>
                      <a:graphic xmlns:a="http://schemas.openxmlformats.org/drawingml/2006/main">
                        <a:graphicData uri="http://schemas.microsoft.com/office/word/2010/wordprocessingShape">
                          <wps:wsp>
                            <wps:cNvSpPr txBox="1"/>
                            <wps:spPr>
                              <a:xfrm>
                                <a:off x="0" y="0"/>
                                <a:ext cx="811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91465" cy="175260"/>
                      <wp:effectExtent l="0" t="0" r="0" b="0"/>
                      <wp:wrapNone/>
                      <wp:docPr id="252" name="Frame252"/>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857250" cy="175260"/>
                      <wp:effectExtent l="0" t="0" r="0" b="0"/>
                      <wp:wrapNone/>
                      <wp:docPr id="253" name="Frame253"/>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8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1"/>
              <w:ind w:left="0" w:right="0" w:hanging="0"/>
              <w:jc w:val="left"/>
              <w:rPr/>
            </w:pPr>
            <w:r>
              <w:rPr/>
              <w:t>​</w:t>
            </w:r>
          </w:p>
        </w:tc>
        <w:tc>
          <w:tcPr>
            <w:tcW w:w="39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7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7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Long Notional Exposure</w:t>
            </w:r>
          </w:p>
        </w:tc>
        <w:tc>
          <w:tcPr>
            <w:tcW w:w="346" w:type="dxa"/>
            <w:tcBorders/>
            <w:vAlign w:val="center"/>
          </w:tcPr>
          <w:p>
            <w:pPr>
              <w:pStyle w:val="TableContents"/>
              <w:bidi w:val="0"/>
              <w:spacing w:before="0" w:after="1"/>
              <w:ind w:left="0" w:right="0" w:hanging="0"/>
              <w:jc w:val="center"/>
              <w:rPr/>
            </w:pPr>
            <w:r>
              <w:rPr/>
              <w:t>  ​ ​ ​</w:t>
            </w:r>
          </w:p>
        </w:tc>
        <w:tc>
          <w:tcPr>
            <w:tcW w:w="17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Short Notional Exposure</w:t>
            </w:r>
          </w:p>
        </w:tc>
        <w:tc>
          <w:tcPr>
            <w:tcW w:w="346" w:type="dxa"/>
            <w:tcBorders/>
            <w:vAlign w:val="center"/>
          </w:tcPr>
          <w:p>
            <w:pPr>
              <w:pStyle w:val="TableContents"/>
              <w:bidi w:val="0"/>
              <w:spacing w:before="0" w:after="1"/>
              <w:ind w:left="0" w:right="0" w:hanging="0"/>
              <w:jc w:val="center"/>
              <w:rPr/>
            </w:pPr>
            <w:r>
              <w:rPr/>
              <w:t>  ​ ​ ​</w:t>
            </w:r>
          </w:p>
        </w:tc>
        <w:tc>
          <w:tcPr>
            <w:tcW w:w="17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Long Notional Exposure</w:t>
            </w:r>
          </w:p>
        </w:tc>
        <w:tc>
          <w:tcPr>
            <w:tcW w:w="346" w:type="dxa"/>
            <w:tcBorders/>
            <w:vAlign w:val="center"/>
          </w:tcPr>
          <w:p>
            <w:pPr>
              <w:pStyle w:val="TableContents"/>
              <w:bidi w:val="0"/>
              <w:spacing w:before="0" w:after="1"/>
              <w:ind w:left="0" w:right="0" w:hanging="0"/>
              <w:jc w:val="center"/>
              <w:rPr/>
            </w:pPr>
            <w:r>
              <w:rPr/>
              <w:t>  ​ ​ ​</w:t>
            </w:r>
          </w:p>
        </w:tc>
        <w:tc>
          <w:tcPr>
            <w:tcW w:w="18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Short Notional Exposure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7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71" w:type="dxa"/>
            <w:tcBorders/>
            <w:vAlign w:val="center"/>
          </w:tcPr>
          <w:p>
            <w:pPr>
              <w:pStyle w:val="TableContents"/>
              <w:bidi w:val="0"/>
              <w:spacing w:before="0" w:after="1"/>
              <w:ind w:left="0" w:right="0" w:hanging="0"/>
              <w:jc w:val="center"/>
              <w:rPr/>
            </w:pPr>
            <w:r>
              <w:rPr/>
              <w:t>​</w:t>
            </w:r>
          </w:p>
        </w:tc>
        <w:tc>
          <w:tcPr>
            <w:tcW w:w="7634" w:type="dxa"/>
            <w:gridSpan w:val="10"/>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7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Primary underlying risk:</w:t>
            </w:r>
          </w:p>
        </w:tc>
        <w:tc>
          <w:tcPr>
            <w:tcW w:w="346" w:type="dxa"/>
            <w:tcBorders/>
            <w:vAlign w:val="center"/>
          </w:tcPr>
          <w:p>
            <w:pPr>
              <w:pStyle w:val="TableContents"/>
              <w:bidi w:val="0"/>
              <w:spacing w:before="0" w:after="1"/>
              <w:ind w:left="0" w:right="0" w:hanging="0"/>
              <w:jc w:val="center"/>
              <w:rPr/>
            </w:pPr>
            <w:r>
              <w:rPr/>
              <w:t>​</w:t>
            </w:r>
          </w:p>
        </w:tc>
        <w:tc>
          <w:tcPr>
            <w:tcW w:w="471" w:type="dxa"/>
            <w:tcBorders/>
            <w:vAlign w:val="center"/>
          </w:tcPr>
          <w:p>
            <w:pPr>
              <w:pStyle w:val="TableContents"/>
              <w:bidi w:val="0"/>
              <w:spacing w:before="0" w:after="1"/>
              <w:ind w:left="0" w:right="0" w:hanging="0"/>
              <w:jc w:val="center"/>
              <w:rPr/>
            </w:pPr>
            <w:r>
              <w:rPr/>
              <w:t>​</w:t>
            </w:r>
          </w:p>
        </w:tc>
        <w:tc>
          <w:tcPr>
            <w:tcW w:w="127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74" w:type="dxa"/>
            <w:tcBorders/>
            <w:vAlign w:val="center"/>
          </w:tcPr>
          <w:p>
            <w:pPr>
              <w:pStyle w:val="TableContents"/>
              <w:bidi w:val="0"/>
              <w:spacing w:before="0" w:after="1"/>
              <w:ind w:left="0" w:right="0" w:hanging="0"/>
              <w:jc w:val="center"/>
              <w:rPr/>
            </w:pPr>
            <w:r>
              <w:rPr/>
              <w:t>​</w:t>
            </w:r>
          </w:p>
        </w:tc>
        <w:tc>
          <w:tcPr>
            <w:tcW w:w="12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71" w:type="dxa"/>
            <w:tcBorders/>
            <w:vAlign w:val="center"/>
          </w:tcPr>
          <w:p>
            <w:pPr>
              <w:pStyle w:val="TableContents"/>
              <w:bidi w:val="0"/>
              <w:spacing w:before="0" w:after="1"/>
              <w:ind w:left="0" w:right="0" w:hanging="0"/>
              <w:jc w:val="center"/>
              <w:rPr/>
            </w:pPr>
            <w:r>
              <w:rPr/>
              <w:t>​</w:t>
            </w:r>
          </w:p>
        </w:tc>
        <w:tc>
          <w:tcPr>
            <w:tcW w:w="127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59" w:type="dxa"/>
            <w:tcBorders/>
            <w:vAlign w:val="center"/>
          </w:tcPr>
          <w:p>
            <w:pPr>
              <w:pStyle w:val="TableContents"/>
              <w:bidi w:val="0"/>
              <w:spacing w:before="0" w:after="1"/>
              <w:ind w:left="0" w:right="0" w:hanging="0"/>
              <w:jc w:val="center"/>
              <w:rPr/>
            </w:pPr>
            <w:r>
              <w:rPr/>
              <w:t>​</w:t>
            </w:r>
          </w:p>
        </w:tc>
        <w:tc>
          <w:tcPr>
            <w:tcW w:w="1350" w:type="dxa"/>
            <w:tcBorders/>
            <w:vAlign w:val="center"/>
          </w:tcPr>
          <w:p>
            <w:pPr>
              <w:pStyle w:val="TableContents"/>
              <w:bidi w:val="0"/>
              <w:spacing w:before="0" w:after="1"/>
              <w:ind w:left="0" w:right="0" w:hanging="0"/>
              <w:jc w:val="center"/>
              <w:rPr/>
            </w:pPr>
            <w:r>
              <w:rPr/>
              <w:t>​</w:t>
            </w:r>
          </w:p>
        </w:tc>
      </w:tr>
      <w:tr>
        <w:trPr/>
        <w:tc>
          <w:tcPr>
            <w:tcW w:w="17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contracts</w:t>
            </w:r>
          </w:p>
        </w:tc>
        <w:tc>
          <w:tcPr>
            <w:tcW w:w="346" w:type="dxa"/>
            <w:tcBorders/>
            <w:shd w:fill="CCEEFF" w:val="clear"/>
            <w:vAlign w:val="center"/>
          </w:tcPr>
          <w:p>
            <w:pPr>
              <w:pStyle w:val="TableContents"/>
              <w:bidi w:val="0"/>
              <w:spacing w:before="0" w:after="1"/>
              <w:ind w:left="0" w:right="0" w:hanging="0"/>
              <w:jc w:val="center"/>
              <w:rPr/>
            </w:pPr>
            <w:r>
              <w:rPr/>
              <w:t>​</w:t>
            </w:r>
          </w:p>
        </w:tc>
        <w:tc>
          <w:tcPr>
            <w:tcW w:w="4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w:t>
            </w:r>
          </w:p>
        </w:tc>
        <w:tc>
          <w:tcPr>
            <w:tcW w:w="346" w:type="dxa"/>
            <w:tcBorders/>
            <w:shd w:fill="CCEEFF" w:val="clear"/>
            <w:vAlign w:val="center"/>
          </w:tcPr>
          <w:p>
            <w:pPr>
              <w:pStyle w:val="TableContents"/>
              <w:bidi w:val="0"/>
              <w:spacing w:before="0" w:after="1"/>
              <w:ind w:left="0" w:right="0" w:hanging="0"/>
              <w:jc w:val="right"/>
              <w:rPr/>
            </w:pPr>
            <w:r>
              <w:rPr/>
              <w:t>​</w:t>
            </w:r>
          </w:p>
        </w:tc>
        <w:tc>
          <w:tcPr>
            <w:tcW w:w="47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2,386</w:t>
            </w:r>
          </w:p>
        </w:tc>
        <w:tc>
          <w:tcPr>
            <w:tcW w:w="346" w:type="dxa"/>
            <w:tcBorders/>
            <w:shd w:fill="CCEEFF" w:val="clear"/>
            <w:vAlign w:val="center"/>
          </w:tcPr>
          <w:p>
            <w:pPr>
              <w:pStyle w:val="TableContents"/>
              <w:bidi w:val="0"/>
              <w:spacing w:before="0" w:after="1"/>
              <w:ind w:left="0" w:right="0" w:hanging="0"/>
              <w:jc w:val="right"/>
              <w:rPr/>
            </w:pPr>
            <w:r>
              <w:rPr/>
              <w:t>​</w:t>
            </w:r>
          </w:p>
        </w:tc>
        <w:tc>
          <w:tcPr>
            <w:tcW w:w="4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1,813</w:t>
            </w:r>
          </w:p>
        </w:tc>
        <w:tc>
          <w:tcPr>
            <w:tcW w:w="346" w:type="dxa"/>
            <w:tcBorders/>
            <w:shd w:fill="CCEEFF" w:val="clear"/>
            <w:vAlign w:val="center"/>
          </w:tcPr>
          <w:p>
            <w:pPr>
              <w:pStyle w:val="TableContents"/>
              <w:bidi w:val="0"/>
              <w:spacing w:before="0" w:after="1"/>
              <w:ind w:left="0" w:right="0" w:hanging="0"/>
              <w:jc w:val="right"/>
              <w:rPr/>
            </w:pPr>
            <w:r>
              <w:rPr/>
              <w:t>​</w:t>
            </w:r>
          </w:p>
        </w:tc>
        <w:tc>
          <w:tcPr>
            <w:tcW w:w="45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1,845</w:t>
            </w:r>
          </w:p>
        </w:tc>
      </w:tr>
      <w:tr>
        <w:trPr/>
        <w:tc>
          <w:tcPr>
            <w:tcW w:w="1754"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Credit contracts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 </w:t>
            </w:r>
          </w:p>
        </w:tc>
        <w:tc>
          <w:tcPr>
            <w:tcW w:w="471" w:type="dxa"/>
            <w:tcBorders/>
            <w:vAlign w:val="center"/>
          </w:tcPr>
          <w:p>
            <w:pPr>
              <w:pStyle w:val="TableContents"/>
              <w:bidi w:val="0"/>
              <w:spacing w:before="0" w:after="1"/>
              <w:ind w:left="0" w:right="0" w:hanging="0"/>
              <w:jc w:val="left"/>
              <w:rPr/>
            </w:pPr>
            <w:r>
              <w:rPr/>
              <w:t>​</w:t>
            </w:r>
          </w:p>
        </w:tc>
        <w:tc>
          <w:tcPr>
            <w:tcW w:w="12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474" w:type="dxa"/>
            <w:tcBorders/>
            <w:vAlign w:val="center"/>
          </w:tcPr>
          <w:p>
            <w:pPr>
              <w:pStyle w:val="TableContents"/>
              <w:bidi w:val="0"/>
              <w:spacing w:before="0" w:after="1"/>
              <w:ind w:left="0" w:right="0" w:hanging="0"/>
              <w:jc w:val="right"/>
              <w:rPr/>
            </w:pPr>
            <w:r>
              <w:rPr/>
              <w:t>​</w:t>
            </w:r>
          </w:p>
        </w:tc>
        <w:tc>
          <w:tcPr>
            <w:tcW w:w="12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71" w:type="dxa"/>
            <w:tcBorders/>
            <w:vAlign w:val="center"/>
          </w:tcPr>
          <w:p>
            <w:pPr>
              <w:pStyle w:val="TableContents"/>
              <w:bidi w:val="0"/>
              <w:spacing w:before="0" w:after="1"/>
              <w:ind w:left="0" w:right="0" w:hanging="0"/>
              <w:jc w:val="right"/>
              <w:rPr/>
            </w:pPr>
            <w:r>
              <w:rPr/>
              <w:t>​</w:t>
            </w:r>
          </w:p>
        </w:tc>
        <w:tc>
          <w:tcPr>
            <w:tcW w:w="12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vAlign w:val="center"/>
          </w:tcPr>
          <w:p>
            <w:pPr>
              <w:pStyle w:val="TableContents"/>
              <w:bidi w:val="0"/>
              <w:spacing w:before="0" w:after="1"/>
              <w:ind w:left="0" w:right="0" w:hanging="0"/>
              <w:jc w:val="right"/>
              <w:rPr/>
            </w:pPr>
            <w:r>
              <w:rPr/>
              <w:t> </w:t>
            </w:r>
          </w:p>
        </w:tc>
        <w:tc>
          <w:tcPr>
            <w:tcW w:w="459" w:type="dxa"/>
            <w:tcBorders/>
            <w:vAlign w:val="center"/>
          </w:tcPr>
          <w:p>
            <w:pPr>
              <w:pStyle w:val="TableContents"/>
              <w:bidi w:val="0"/>
              <w:spacing w:before="0" w:after="1"/>
              <w:ind w:left="0" w:right="0" w:hanging="0"/>
              <w:jc w:val="right"/>
              <w:rPr/>
            </w:pPr>
            <w:r>
              <w:rPr/>
              <w:t>​</w:t>
            </w:r>
          </w:p>
        </w:tc>
        <w:tc>
          <w:tcPr>
            <w:tcW w:w="13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7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46" w:type="dxa"/>
            <w:tcBorders/>
            <w:shd w:fill="CCEEFF" w:val="clear"/>
            <w:vAlign w:val="center"/>
          </w:tcPr>
          <w:p>
            <w:pPr>
              <w:pStyle w:val="TableContents"/>
              <w:bidi w:val="0"/>
              <w:spacing w:before="0" w:after="1"/>
              <w:ind w:left="0" w:right="0" w:hanging="0"/>
              <w:jc w:val="left"/>
              <w:rPr/>
            </w:pPr>
            <w:r>
              <w:rPr/>
              <w:t> </w:t>
            </w:r>
          </w:p>
        </w:tc>
        <w:tc>
          <w:tcPr>
            <w:tcW w:w="471" w:type="dxa"/>
            <w:tcBorders/>
            <w:shd w:fill="CCEEFF" w:val="clear"/>
            <w:vAlign w:val="center"/>
          </w:tcPr>
          <w:p>
            <w:pPr>
              <w:pStyle w:val="TableContents"/>
              <w:bidi w:val="0"/>
              <w:spacing w:before="0" w:after="1"/>
              <w:ind w:left="0" w:right="0" w:hanging="0"/>
              <w:jc w:val="left"/>
              <w:rPr/>
            </w:pPr>
            <w:r>
              <w:rPr/>
              <w:t>​</w:t>
            </w:r>
          </w:p>
        </w:tc>
        <w:tc>
          <w:tcPr>
            <w:tcW w:w="12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474" w:type="dxa"/>
            <w:tcBorders/>
            <w:shd w:fill="CCEEFF" w:val="clear"/>
            <w:vAlign w:val="center"/>
          </w:tcPr>
          <w:p>
            <w:pPr>
              <w:pStyle w:val="TableContents"/>
              <w:bidi w:val="0"/>
              <w:spacing w:before="0" w:after="1"/>
              <w:ind w:left="0" w:right="0" w:hanging="0"/>
              <w:jc w:val="right"/>
              <w:rPr/>
            </w:pPr>
            <w:r>
              <w:rPr/>
              <w:t>​</w:t>
            </w:r>
          </w:p>
        </w:tc>
        <w:tc>
          <w:tcPr>
            <w:tcW w:w="12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shd w:fill="CCEEFF" w:val="clear"/>
            <w:vAlign w:val="center"/>
          </w:tcPr>
          <w:p>
            <w:pPr>
              <w:pStyle w:val="TableContents"/>
              <w:bidi w:val="0"/>
              <w:spacing w:before="0" w:after="1"/>
              <w:ind w:left="0" w:right="0" w:hanging="0"/>
              <w:jc w:val="right"/>
              <w:rPr/>
            </w:pPr>
            <w:r>
              <w:rPr/>
              <w:t>​</w:t>
            </w:r>
          </w:p>
        </w:tc>
        <w:tc>
          <w:tcPr>
            <w:tcW w:w="471" w:type="dxa"/>
            <w:tcBorders/>
            <w:shd w:fill="CCEEFF" w:val="clear"/>
            <w:vAlign w:val="center"/>
          </w:tcPr>
          <w:p>
            <w:pPr>
              <w:pStyle w:val="TableContents"/>
              <w:bidi w:val="0"/>
              <w:spacing w:before="0" w:after="1"/>
              <w:ind w:left="0" w:right="0" w:hanging="0"/>
              <w:jc w:val="right"/>
              <w:rPr/>
            </w:pPr>
            <w:r>
              <w:rPr/>
              <w:t>​</w:t>
            </w:r>
          </w:p>
        </w:tc>
        <w:tc>
          <w:tcPr>
            <w:tcW w:w="12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459" w:type="dxa"/>
            <w:tcBorders/>
            <w:shd w:fill="CCEEFF" w:val="clear"/>
            <w:vAlign w:val="center"/>
          </w:tcPr>
          <w:p>
            <w:pPr>
              <w:pStyle w:val="TableContents"/>
              <w:bidi w:val="0"/>
              <w:spacing w:before="0" w:after="1"/>
              <w:ind w:left="0" w:right="0" w:hanging="0"/>
              <w:jc w:val="right"/>
              <w:rPr/>
            </w:pPr>
            <w:r>
              <w:rPr/>
              <w:t>​</w:t>
            </w:r>
          </w:p>
        </w:tc>
        <w:tc>
          <w:tcPr>
            <w:tcW w:w="1350"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90</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short notional amount on our credit default swap positions was approximately $213</w:t>
            </w:r>
            <w:r>
              <w:rPr>
                <w:caps w:val="false"/>
                <w:smallCaps w:val="false"/>
              </w:rPr>
              <w:t xml:space="preserve"> </w:t>
            </w:r>
            <w:r>
              <w:rPr>
                <w:rFonts w:ascii="Times New Roman;Times;serif" w:hAnsi="Times New Roman;Times;serif"/>
                <w:b w:val="false"/>
                <w:i w:val="false"/>
                <w:caps w:val="false"/>
                <w:smallCaps w:val="false"/>
                <w:sz w:val="16"/>
              </w:rPr>
              <w:t>million at December 31, 2024. However, because credit spreads cannot compress below zero, our downside short notional exposure to loss was approximately $55</w:t>
            </w:r>
            <w:r>
              <w:rPr>
                <w:caps w:val="false"/>
                <w:smallCaps w:val="false"/>
              </w:rPr>
              <w:t xml:space="preserve"> </w:t>
            </w:r>
            <w:r>
              <w:rPr>
                <w:rFonts w:ascii="Times New Roman;Times;serif" w:hAnsi="Times New Roman;Times;serif"/>
                <w:b w:val="false"/>
                <w:i w:val="false"/>
                <w:caps w:val="false"/>
                <w:smallCaps w:val="false"/>
                <w:sz w:val="16"/>
              </w:rPr>
              <w:t>million as of December 31, 2024.</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bookmarkStart w:id="850" w:name="Tc_v4vixGS-Hk-IZ2OPpXa81g_8_7"/>
      <w:bookmarkStart w:id="851" w:name="Tc_VpeX6V32wUa1qqmGZbGXPw_8_4"/>
      <w:bookmarkStart w:id="852" w:name="Tc_gcbOj1W1E0e9DDH-yV6Txw_8_1"/>
      <w:bookmarkStart w:id="853" w:name="Tc_Smvzu1NrTUOAwj1ao5KAbQ_7_0"/>
      <w:bookmarkStart w:id="854" w:name="Tc_P8kRtYACakiOXhOUiWr-jA_6_0"/>
      <w:bookmarkStart w:id="855" w:name="Tc_e6pNbmzCFkKis1P6OiJVIg_5_7"/>
      <w:bookmarkStart w:id="856" w:name="Tc_Lp3r-sUUjEag7r8nxo8OVw_5_4"/>
      <w:bookmarkStart w:id="857" w:name="Tc_16nydeSWYUyl5R2cReSBoA_5_1"/>
      <w:bookmarkStart w:id="858" w:name="Tc_qoOPOWvl4Eugtnih9lJGmw_5_0"/>
      <w:bookmarkStart w:id="859" w:name="Tc_HuJpWXXLx0-rmjpvNrHAxg_3_7"/>
      <w:bookmarkStart w:id="860" w:name="Tc_FHnQPL4KBUC-usBYupcTxQ_3_4"/>
      <w:bookmarkStart w:id="861" w:name="Tc_JQP9WqXTXkaVnipBxv89kA_3_1"/>
      <w:bookmarkStart w:id="862" w:name="Tc_MJ3XUrkGKUSQAiO7fbvZLw_2_1"/>
      <w:bookmarkStart w:id="863" w:name="Tc_WiPFl9LSmk6KlhMjFpA-Vg_1_1"/>
      <w:bookmarkStart w:id="864" w:name="_d61d92f2_602b_48cf_b5b6_53742b857f34"/>
      <w:bookmarkStart w:id="865" w:name="Tc_F9Qp7nnCykq9fWCYMLnJJg_9_5"/>
      <w:bookmarkStart w:id="866" w:name="Tc_6g8UYmgsQk2TGWO1ncxDlQ_9_3"/>
      <w:bookmarkStart w:id="867" w:name="Tc_TtkfYi90iEmaW7s8o_xTtQ_9_2"/>
      <w:bookmarkStart w:id="868" w:name="Tc_VYqHNHtT5E6fcE235LCfIg_9_0"/>
      <w:bookmarkStart w:id="869" w:name="Tc_yNbppwXniUCWJbIY9t0GcQ_8_0"/>
      <w:bookmarkStart w:id="870" w:name="Tc_r01amJWEYUm4UlTNlMcC7Q_7_0"/>
      <w:bookmarkStart w:id="871" w:name="Tc_1MTI-V5mmU2Ka8hqiy8yOA_6_12"/>
      <w:bookmarkStart w:id="872" w:name="Tc_dGCur3vmOkyd5AsfUcgnHg_6_0"/>
      <w:bookmarkStart w:id="873" w:name="Tc_Xg_Dn4HKr0OYpKM_mwKTMQ_5_9"/>
      <w:bookmarkStart w:id="874" w:name="Tc_TZyElBrO10GiITCwI-CZnQ_5_3"/>
      <w:bookmarkStart w:id="875" w:name="Tc_EJTd0vo3Q0W1T6eeHo9UgA_5_0"/>
      <w:bookmarkStart w:id="876" w:name="Tc_YVfR0pX45UqPnD_nE_ekdg_4_11"/>
      <w:bookmarkStart w:id="877" w:name="Tc_qSO7w2H8QECpnPICVcP3HA_4_8"/>
      <w:bookmarkStart w:id="878" w:name="Tc_sI3spLcoUEmADdoH4wvK8A_4_5"/>
      <w:bookmarkStart w:id="879" w:name="Tc_YVz1PmvCfkqw6UQAgm9lnQ_4_2"/>
      <w:bookmarkStart w:id="880" w:name="Tc_wAWujgRuDEO0I-5VkAbMrw_4_0"/>
      <w:bookmarkStart w:id="881" w:name="Tc_xZTUiWUeeE-ydB_NpKC8xg_3_3"/>
      <w:bookmarkStart w:id="882" w:name="Tc_Klfy86G88k6jmW1RXxZEFw_2_11"/>
      <w:bookmarkStart w:id="883" w:name="Tc_wbbCmotYZE2CNREcg_5dPg_2_8"/>
      <w:bookmarkStart w:id="884" w:name="Tc_JWTVF0Lxwk2pSY4xBovPiA_2_5"/>
      <w:bookmarkStart w:id="885" w:name="Tc_nMZqM9fwrUKHw_aw0JBQfA_2_2"/>
      <w:bookmarkStart w:id="886" w:name="Tc_8mhpJTaG5UOy0FAZGr_VxA_1_8"/>
      <w:bookmarkStart w:id="887" w:name="Tc_lQokvjyxMEqL2b0whBW6kQ_1_2"/>
      <w:bookmarkStart w:id="888" w:name="_8f4cdf52_0f02_4a5e_b51a_8fb2aa0835cc"/>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r>
        <w:rPr>
          <w:rFonts w:ascii="Times New Roman;Times;serif" w:hAnsi="Times New Roman;Times;serif"/>
          <w:sz w:val="20"/>
        </w:rPr>
        <w:t>The following table presents the fair values of our Investment segment’s derivatives that are not designated as hedging instruments in accordance with U.S. GAAP:</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65"/>
        <w:gridCol w:w="346"/>
        <w:gridCol w:w="526"/>
        <w:gridCol w:w="1200"/>
        <w:gridCol w:w="346"/>
        <w:gridCol w:w="526"/>
        <w:gridCol w:w="1200"/>
        <w:gridCol w:w="346"/>
        <w:gridCol w:w="526"/>
        <w:gridCol w:w="1200"/>
        <w:gridCol w:w="352"/>
        <w:gridCol w:w="507"/>
        <w:gridCol w:w="1265"/>
      </w:tblGrid>
      <w:tr>
        <w:trPr/>
        <w:tc>
          <w:tcPr>
            <w:tcW w:w="1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184275" cy="175260"/>
                      <wp:effectExtent l="0" t="0" r="0" b="0"/>
                      <wp:wrapNone/>
                      <wp:docPr id="254" name="Frame254"/>
                      <a:graphic xmlns:a="http://schemas.openxmlformats.org/drawingml/2006/main">
                        <a:graphicData uri="http://schemas.microsoft.com/office/word/2010/wordprocessingShape">
                          <wps:wsp>
                            <wps:cNvSpPr txBox="1"/>
                            <wps:spPr>
                              <a:xfrm>
                                <a:off x="0" y="0"/>
                                <a:ext cx="1184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34010" cy="175260"/>
                      <wp:effectExtent l="0" t="0" r="0" b="0"/>
                      <wp:wrapNone/>
                      <wp:docPr id="256" name="Frame25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762000" cy="175260"/>
                      <wp:effectExtent l="0" t="0" r="0" b="0"/>
                      <wp:wrapNone/>
                      <wp:docPr id="257" name="Frame257"/>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34010" cy="175260"/>
                      <wp:effectExtent l="0" t="0" r="0" b="0"/>
                      <wp:wrapNone/>
                      <wp:docPr id="259" name="Frame25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762000" cy="175260"/>
                      <wp:effectExtent l="0" t="0" r="0" b="0"/>
                      <wp:wrapNone/>
                      <wp:docPr id="260" name="Frame260"/>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34010" cy="175260"/>
                      <wp:effectExtent l="0" t="0" r="0" b="0"/>
                      <wp:wrapNone/>
                      <wp:docPr id="262" name="Frame262"/>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762000" cy="175260"/>
                      <wp:effectExtent l="0" t="0" r="0" b="0"/>
                      <wp:wrapNone/>
                      <wp:docPr id="263" name="Frame263"/>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23520" cy="175260"/>
                      <wp:effectExtent l="0" t="0" r="0" b="0"/>
                      <wp:wrapNone/>
                      <wp:docPr id="264" name="Frame264"/>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21945" cy="175260"/>
                      <wp:effectExtent l="0" t="0" r="0" b="0"/>
                      <wp:wrapNone/>
                      <wp:docPr id="265" name="Frame265"/>
                      <a:graphic xmlns:a="http://schemas.openxmlformats.org/drawingml/2006/main">
                        <a:graphicData uri="http://schemas.microsoft.com/office/word/2010/wordprocessingShape">
                          <wps:wsp>
                            <wps:cNvSpPr txBox="1"/>
                            <wps:spPr>
                              <a:xfrm>
                                <a:off x="0" y="0"/>
                                <a:ext cx="321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803275" cy="175260"/>
                      <wp:effectExtent l="0" t="0" r="0" b="0"/>
                      <wp:wrapNone/>
                      <wp:docPr id="266" name="Frame266"/>
                      <a:graphic xmlns:a="http://schemas.openxmlformats.org/drawingml/2006/main">
                        <a:graphicData uri="http://schemas.microsoft.com/office/word/2010/wordprocessingShape">
                          <wps:wsp>
                            <wps:cNvSpPr txBox="1"/>
                            <wps:spPr>
                              <a:xfrm>
                                <a:off x="0" y="0"/>
                                <a:ext cx="803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7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Derivative Assets</w:t>
            </w:r>
          </w:p>
        </w:tc>
        <w:tc>
          <w:tcPr>
            <w:tcW w:w="346" w:type="dxa"/>
            <w:tcBorders/>
            <w:vAlign w:val="center"/>
          </w:tcPr>
          <w:p>
            <w:pPr>
              <w:pStyle w:val="TableContents"/>
              <w:bidi w:val="0"/>
              <w:spacing w:before="0" w:after="1"/>
              <w:ind w:left="0" w:right="0" w:hanging="0"/>
              <w:jc w:val="center"/>
              <w:rPr/>
            </w:pPr>
            <w:r>
              <w:rPr/>
              <w:t>​</w:t>
            </w:r>
          </w:p>
        </w:tc>
        <w:tc>
          <w:tcPr>
            <w:tcW w:w="38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Derivative Liabilities</w:t>
            </w:r>
          </w:p>
        </w:tc>
      </w:tr>
      <w:tr>
        <w:trPr/>
        <w:tc>
          <w:tcPr>
            <w:tcW w:w="18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7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1"/>
              <w:ind w:left="0" w:right="0" w:hanging="0"/>
              <w:jc w:val="left"/>
              <w:rPr/>
            </w:pPr>
            <w:r>
              <w:rPr/>
              <w:t>  ​ ​ ​</w:t>
            </w:r>
          </w:p>
        </w:tc>
        <w:tc>
          <w:tcPr>
            <w:tcW w:w="17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346" w:type="dxa"/>
            <w:tcBorders/>
            <w:vAlign w:val="center"/>
          </w:tcPr>
          <w:p>
            <w:pPr>
              <w:pStyle w:val="TableContents"/>
              <w:bidi w:val="0"/>
              <w:spacing w:before="0" w:after="1"/>
              <w:ind w:left="0" w:right="0" w:hanging="0"/>
              <w:jc w:val="left"/>
              <w:rPr/>
            </w:pPr>
            <w:r>
              <w:rPr/>
              <w:t>  ​ ​ ​</w:t>
            </w:r>
          </w:p>
        </w:tc>
        <w:tc>
          <w:tcPr>
            <w:tcW w:w="17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52" w:type="dxa"/>
            <w:tcBorders/>
            <w:vAlign w:val="center"/>
          </w:tcPr>
          <w:p>
            <w:pPr>
              <w:pStyle w:val="TableContents"/>
              <w:bidi w:val="0"/>
              <w:spacing w:before="0" w:after="1"/>
              <w:ind w:left="0" w:right="0" w:hanging="0"/>
              <w:jc w:val="left"/>
              <w:rPr/>
            </w:pPr>
            <w:r>
              <w:rPr/>
              <w:t>  ​ ​ ​</w:t>
            </w:r>
          </w:p>
        </w:tc>
        <w:tc>
          <w:tcPr>
            <w:tcW w:w="17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pPr>
            <w:r>
              <w:rPr/>
              <w:t>​</w:t>
            </w:r>
          </w:p>
        </w:tc>
        <w:tc>
          <w:tcPr>
            <w:tcW w:w="7468" w:type="dxa"/>
            <w:gridSpan w:val="10"/>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8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w:t>
            </w:r>
          </w:p>
        </w:tc>
        <w:tc>
          <w:tcPr>
            <w:tcW w:w="352" w:type="dxa"/>
            <w:tcBorders/>
            <w:shd w:fill="CCEEFF" w:val="clear"/>
            <w:vAlign w:val="center"/>
          </w:tcPr>
          <w:p>
            <w:pPr>
              <w:pStyle w:val="TableContents"/>
              <w:bidi w:val="0"/>
              <w:spacing w:before="0" w:after="1"/>
              <w:ind w:left="0" w:right="0" w:hanging="0"/>
              <w:jc w:val="left"/>
              <w:rPr/>
            </w:pPr>
            <w:r>
              <w:rPr/>
              <w:t>​</w:t>
            </w:r>
          </w:p>
        </w:tc>
        <w:tc>
          <w:tcPr>
            <w:tcW w:w="5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w:t>
            </w:r>
          </w:p>
        </w:tc>
      </w:tr>
      <w:tr>
        <w:trPr/>
        <w:tc>
          <w:tcPr>
            <w:tcW w:w="18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contracts</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pPr>
            <w:r>
              <w:rPr/>
              <w:t>—</w:t>
            </w:r>
          </w:p>
        </w:tc>
        <w:tc>
          <w:tcPr>
            <w:tcW w:w="352"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pPr>
            <w:r>
              <w:rPr/>
              <w:t> </w:t>
            </w:r>
          </w:p>
        </w:tc>
        <w:tc>
          <w:tcPr>
            <w:tcW w:w="12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8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52" w:type="dxa"/>
            <w:tcBorders/>
            <w:shd w:fill="CCEEFF" w:val="clear"/>
            <w:vAlign w:val="center"/>
          </w:tcPr>
          <w:p>
            <w:pPr>
              <w:pStyle w:val="TableContents"/>
              <w:bidi w:val="0"/>
              <w:spacing w:before="0" w:after="1"/>
              <w:ind w:left="0" w:right="0" w:hanging="0"/>
              <w:jc w:val="left"/>
              <w:rPr/>
            </w:pPr>
            <w:r>
              <w:rPr/>
              <w:t>​</w:t>
            </w:r>
          </w:p>
        </w:tc>
        <w:tc>
          <w:tcPr>
            <w:tcW w:w="5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8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w:t>
            </w:r>
          </w:p>
        </w:tc>
        <w:tc>
          <w:tcPr>
            <w:tcW w:w="352"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pPr>
            <w:r>
              <w:rPr/>
              <w:t> </w:t>
            </w:r>
          </w:p>
        </w:tc>
        <w:tc>
          <w:tcPr>
            <w:tcW w:w="12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w:t>
            </w:r>
          </w:p>
        </w:tc>
      </w:tr>
      <w:tr>
        <w:trPr/>
        <w:tc>
          <w:tcPr>
            <w:tcW w:w="1865"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Netting across contract types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52" w:type="dxa"/>
            <w:tcBorders/>
            <w:shd w:fill="CCEEFF" w:val="clear"/>
            <w:vAlign w:val="center"/>
          </w:tcPr>
          <w:p>
            <w:pPr>
              <w:pStyle w:val="TableContents"/>
              <w:bidi w:val="0"/>
              <w:spacing w:before="0" w:after="1"/>
              <w:ind w:left="0" w:right="0" w:hanging="0"/>
              <w:jc w:val="left"/>
              <w:rPr/>
            </w:pPr>
            <w:r>
              <w:rPr/>
              <w:t>​</w:t>
            </w:r>
          </w:p>
        </w:tc>
        <w:tc>
          <w:tcPr>
            <w:tcW w:w="5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1865"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5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1"/>
              <w:ind w:left="0" w:right="0" w:hanging="0"/>
              <w:jc w:val="left"/>
              <w:rPr/>
            </w:pPr>
            <w:r>
              <w:rPr/>
              <w:t>​</w:t>
            </w:r>
          </w:p>
        </w:tc>
        <w:tc>
          <w:tcPr>
            <w:tcW w:w="5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c>
          <w:tcPr>
            <w:tcW w:w="352" w:type="dxa"/>
            <w:tcBorders/>
            <w:vAlign w:val="center"/>
          </w:tcPr>
          <w:p>
            <w:pPr>
              <w:pStyle w:val="TableContents"/>
              <w:bidi w:val="0"/>
              <w:spacing w:before="0" w:after="1"/>
              <w:ind w:left="0" w:right="0" w:hanging="0"/>
              <w:jc w:val="left"/>
              <w:rPr/>
            </w:pPr>
            <w:r>
              <w:rPr/>
              <w:t>​</w:t>
            </w:r>
          </w:p>
        </w:tc>
        <w:tc>
          <w:tcPr>
            <w:tcW w:w="5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756</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Excludes netting of cash collateral received and posted. The total collateral posted at December 31, 2025 and 2024 was $1.0</w:t>
            </w:r>
            <w:r>
              <w:rPr>
                <w:caps w:val="false"/>
                <w:smallCaps w:val="false"/>
              </w:rPr>
              <w:t xml:space="preserve"> </w:t>
            </w:r>
            <w:r>
              <w:rPr>
                <w:rFonts w:ascii="Times New Roman;Times;serif" w:hAnsi="Times New Roman;Times;serif"/>
                <w:b w:val="false"/>
                <w:i w:val="false"/>
                <w:caps w:val="false"/>
                <w:smallCaps w:val="false"/>
                <w:sz w:val="16"/>
              </w:rPr>
              <w:t>billion and $1.5</w:t>
            </w:r>
            <w:r>
              <w:rPr>
                <w:caps w:val="false"/>
                <w:smallCaps w:val="false"/>
              </w:rPr>
              <w:t xml:space="preserve"> </w:t>
            </w:r>
            <w:r>
              <w:rPr>
                <w:rFonts w:ascii="Times New Roman;Times;serif" w:hAnsi="Times New Roman;Times;serif"/>
                <w:b w:val="false"/>
                <w:i w:val="false"/>
                <w:caps w:val="false"/>
                <w:smallCaps w:val="false"/>
                <w:sz w:val="16"/>
              </w:rPr>
              <w:t>billion, respectively, across all counterparties, which are included in cash held at consolidated affiliated partnerships and restricted cash in the consolidated balance sheets</w:t>
            </w:r>
            <w:r>
              <w:rPr>
                <w:rFonts w:ascii="Times New Roman;Times;serif" w:hAnsi="Times New Roman;Times;serif"/>
                <w:b w:val="false"/>
                <w:i w:val="false"/>
                <w:caps w:val="false"/>
                <w:smallCaps w:val="false"/>
                <w:sz w:val="20"/>
              </w:rPr>
              <w: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the amount of gain (loss) recognized in the consolidated statements of operations for our Investment segment’s derivatives not designated as hedging instruments:</w:t>
      </w:r>
    </w:p>
    <w:p>
      <w:pPr>
        <w:pStyle w:val="TextBody"/>
        <w:bidi w:val="0"/>
        <w:spacing w:before="0" w:after="0"/>
        <w:ind w:left="0" w:right="0" w:hanging="0"/>
        <w:jc w:val="left"/>
        <w:rPr/>
      </w:pPr>
      <w:r>
        <w:rPr/>
        <w:t>​</w:t>
      </w:r>
    </w:p>
    <w:tbl>
      <w:tblPr>
        <w:tblW w:w="5068" w:type="dxa"/>
        <w:jc w:val="left"/>
        <w:tblInd w:w="0" w:type="dxa"/>
        <w:tblLayout w:type="fixed"/>
        <w:tblCellMar>
          <w:top w:w="0" w:type="dxa"/>
          <w:left w:w="0" w:type="dxa"/>
          <w:bottom w:w="0" w:type="dxa"/>
          <w:right w:w="0" w:type="dxa"/>
        </w:tblCellMar>
      </w:tblPr>
      <w:tblGrid>
        <w:gridCol w:w="1876"/>
        <w:gridCol w:w="214"/>
        <w:gridCol w:w="550"/>
        <w:gridCol w:w="351"/>
        <w:gridCol w:w="214"/>
        <w:gridCol w:w="550"/>
        <w:gridCol w:w="351"/>
        <w:gridCol w:w="214"/>
        <w:gridCol w:w="748"/>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191260" cy="175260"/>
                      <wp:effectExtent l="0" t="0" r="0" b="0"/>
                      <wp:wrapNone/>
                      <wp:docPr id="267" name="Frame267"/>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5890" cy="175260"/>
                      <wp:effectExtent l="0" t="0" r="0" b="0"/>
                      <wp:wrapNone/>
                      <wp:docPr id="268" name="Frame26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49250" cy="175260"/>
                      <wp:effectExtent l="0" t="0" r="0" b="0"/>
                      <wp:wrapNone/>
                      <wp:docPr id="269" name="Frame269"/>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22885" cy="175260"/>
                      <wp:effectExtent l="0" t="0" r="0" b="0"/>
                      <wp:wrapNone/>
                      <wp:docPr id="270" name="Frame270"/>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5890" cy="175260"/>
                      <wp:effectExtent l="0" t="0" r="0" b="0"/>
                      <wp:wrapNone/>
                      <wp:docPr id="271" name="Frame271"/>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49250" cy="175260"/>
                      <wp:effectExtent l="0" t="0" r="0" b="0"/>
                      <wp:wrapNone/>
                      <wp:docPr id="272" name="Frame272"/>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22885" cy="175260"/>
                      <wp:effectExtent l="0" t="0" r="0" b="0"/>
                      <wp:wrapNone/>
                      <wp:docPr id="273" name="Frame273"/>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5890" cy="175260"/>
                      <wp:effectExtent l="0" t="0" r="0" b="0"/>
                      <wp:wrapNone/>
                      <wp:docPr id="274" name="Frame27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74980" cy="175260"/>
                      <wp:effectExtent l="0" t="0" r="0" b="0"/>
                      <wp:wrapNone/>
                      <wp:docPr id="275" name="Frame275"/>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1"/>
              <w:ind w:left="0" w:right="0" w:hanging="0"/>
              <w:jc w:val="left"/>
              <w:rPr/>
            </w:pPr>
            <w:r>
              <w:rPr/>
              <w:t>​</w:t>
            </w:r>
          </w:p>
        </w:tc>
        <w:tc>
          <w:tcPr>
            <w:tcW w:w="3192" w:type="dxa"/>
            <w:gridSpan w:val="8"/>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Gain (Loss) Recognized in Income</w:t>
            </w:r>
            <w:r>
              <w:rPr>
                <w:rFonts w:ascii="Times New Roman;Times;serif" w:hAnsi="Times New Roman;Times;serif"/>
                <w:b/>
                <w:sz w:val="15"/>
              </w:rPr>
              <w:t>(1)</w:t>
            </w:r>
          </w:p>
        </w:tc>
      </w:tr>
      <w:tr>
        <w:trPr/>
        <w:tc>
          <w:tcPr>
            <w:tcW w:w="1876" w:type="dxa"/>
            <w:tcBorders/>
            <w:vAlign w:val="center"/>
          </w:tcPr>
          <w:p>
            <w:pPr>
              <w:pStyle w:val="TableContents"/>
              <w:bidi w:val="0"/>
              <w:spacing w:before="0" w:after="1"/>
              <w:ind w:left="0" w:right="0" w:hanging="0"/>
              <w:jc w:val="left"/>
              <w:rPr/>
            </w:pPr>
            <w:r>
              <w:rPr/>
              <w:t>​</w:t>
            </w:r>
          </w:p>
        </w:tc>
        <w:tc>
          <w:tcPr>
            <w:tcW w:w="319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1876" w:type="dxa"/>
            <w:tcBorders/>
            <w:vAlign w:val="center"/>
          </w:tcPr>
          <w:p>
            <w:pPr>
              <w:pStyle w:val="TableContents"/>
              <w:bidi w:val="0"/>
              <w:spacing w:before="0" w:after="1"/>
              <w:ind w:left="0" w:right="0" w:hanging="0"/>
              <w:jc w:val="left"/>
              <w:rPr/>
            </w:pPr>
            <w:r>
              <w:rPr/>
              <w:t>​</w:t>
            </w:r>
          </w:p>
        </w:tc>
        <w:tc>
          <w:tcPr>
            <w:tcW w:w="7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51" w:type="dxa"/>
            <w:tcBorders/>
            <w:vAlign w:val="center"/>
          </w:tcPr>
          <w:p>
            <w:pPr>
              <w:pStyle w:val="TableContents"/>
              <w:bidi w:val="0"/>
              <w:spacing w:before="0" w:after="1"/>
              <w:ind w:left="0" w:right="0" w:hanging="0"/>
              <w:jc w:val="left"/>
              <w:rPr/>
            </w:pPr>
            <w:r>
              <w:rPr/>
              <w:t>  ​ ​ ​</w:t>
            </w:r>
          </w:p>
        </w:tc>
        <w:tc>
          <w:tcPr>
            <w:tcW w:w="7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51" w:type="dxa"/>
            <w:tcBorders/>
            <w:vAlign w:val="center"/>
          </w:tcPr>
          <w:p>
            <w:pPr>
              <w:pStyle w:val="TableContents"/>
              <w:bidi w:val="0"/>
              <w:spacing w:before="0" w:after="1"/>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187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center"/>
              <w:rPr/>
            </w:pPr>
            <w:r>
              <w:rPr/>
              <w:t>​</w:t>
            </w:r>
          </w:p>
        </w:tc>
        <w:tc>
          <w:tcPr>
            <w:tcW w:w="550" w:type="dxa"/>
            <w:tcBorders/>
            <w:vAlign w:val="center"/>
          </w:tcPr>
          <w:p>
            <w:pPr>
              <w:pStyle w:val="TableContents"/>
              <w:bidi w:val="0"/>
              <w:spacing w:before="0" w:after="1"/>
              <w:ind w:left="0" w:right="0" w:hanging="0"/>
              <w:jc w:val="center"/>
              <w:rPr/>
            </w:pPr>
            <w:r>
              <w:rPr/>
              <w:t>​</w:t>
            </w:r>
          </w:p>
        </w:tc>
        <w:tc>
          <w:tcPr>
            <w:tcW w:w="351" w:type="dxa"/>
            <w:tcBorders/>
            <w:vAlign w:val="center"/>
          </w:tcPr>
          <w:p>
            <w:pPr>
              <w:pStyle w:val="TableContents"/>
              <w:bidi w:val="0"/>
              <w:spacing w:before="0" w:after="1"/>
              <w:ind w:left="0" w:right="0" w:hanging="0"/>
              <w:jc w:val="center"/>
              <w:rPr/>
            </w:pPr>
            <w:r>
              <w:rPr/>
              <w:t>​</w:t>
            </w:r>
          </w:p>
        </w:tc>
        <w:tc>
          <w:tcPr>
            <w:tcW w:w="214" w:type="dxa"/>
            <w:tcBorders/>
            <w:vAlign w:val="center"/>
          </w:tcPr>
          <w:p>
            <w:pPr>
              <w:pStyle w:val="TableContents"/>
              <w:bidi w:val="0"/>
              <w:spacing w:before="0" w:after="1"/>
              <w:ind w:left="0" w:right="0" w:hanging="0"/>
              <w:jc w:val="center"/>
              <w:rPr/>
            </w:pPr>
            <w:r>
              <w:rPr/>
              <w:t>​</w:t>
            </w:r>
          </w:p>
        </w:tc>
        <w:tc>
          <w:tcPr>
            <w:tcW w:w="550" w:type="dxa"/>
            <w:tcBorders/>
            <w:vAlign w:val="center"/>
          </w:tcPr>
          <w:p>
            <w:pPr>
              <w:pStyle w:val="TableContents"/>
              <w:bidi w:val="0"/>
              <w:spacing w:before="0" w:after="1"/>
              <w:ind w:left="0" w:right="0" w:hanging="0"/>
              <w:jc w:val="center"/>
              <w:rPr/>
            </w:pPr>
            <w:r>
              <w:rPr/>
              <w:t>​</w:t>
            </w:r>
          </w:p>
        </w:tc>
        <w:tc>
          <w:tcPr>
            <w:tcW w:w="1313" w:type="dxa"/>
            <w:gridSpan w:val="3"/>
            <w:tcBorders/>
            <w:vAlign w:val="center"/>
          </w:tcPr>
          <w:p>
            <w:pPr>
              <w:pStyle w:val="TableContents"/>
              <w:bidi w:val="0"/>
              <w:spacing w:before="0" w:after="1"/>
              <w:ind w:left="0" w:right="0" w:hanging="0"/>
              <w:jc w:val="center"/>
              <w:rPr/>
            </w:pPr>
            <w:r>
              <w:rPr/>
              <w:t>​</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contracts</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c>
          <w:tcPr>
            <w:tcW w:w="351"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51"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contracts</w:t>
            </w:r>
          </w:p>
        </w:tc>
        <w:tc>
          <w:tcPr>
            <w:tcW w:w="214" w:type="dxa"/>
            <w:tcBorders/>
            <w:vAlign w:val="center"/>
          </w:tcPr>
          <w:p>
            <w:pPr>
              <w:pStyle w:val="TableContents"/>
              <w:bidi w:val="0"/>
              <w:spacing w:before="0" w:after="1"/>
              <w:ind w:left="0" w:right="0" w:hanging="0"/>
              <w:jc w:val="left"/>
              <w:rPr/>
            </w:pPr>
            <w:r>
              <w:rPr/>
              <w:t> </w:t>
            </w:r>
          </w:p>
        </w:tc>
        <w:tc>
          <w:tcPr>
            <w:tcW w:w="5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51"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5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51"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51"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51"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87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c>
          <w:tcPr>
            <w:tcW w:w="351"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c>
          <w:tcPr>
            <w:tcW w:w="351"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Gains (losses) recognized on derivatives are classified in net (loss) gain from investment activities in our consolidated statements of operations for our Investment segment.</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Energy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CVR Energy’s businesses are subject to fluctuations of commodity prices caused by supply and economic conditions, weather, interest rates, and other factors. To manage price risk on crude oil and other inventories and to fix margins on future sales and purchases, CVR Energy from time to time enters into various commodity derivative transactions and holds derivative instruments, such as futures and swaps, which it believes provide an economic hedge on future transactions, but such instruments are not designated as hedge instruments. CVR Energy may enter into forward purchase or sale contracts associated with its feedstocks, expected future gasoline and diesel production and/or renewable identification numbers (“RINs”).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bookmarkStart w:id="889" w:name="Tc_9uMmshASWUWfg2fNia8Jaw_6_12"/>
      <w:bookmarkStart w:id="890" w:name="Tc_7JFynz7guEy7Xs9A5jEepA_6_11"/>
      <w:bookmarkStart w:id="891" w:name="Tc_aQwQtleYfkKRyhTGe8G9Dw_6_9"/>
      <w:bookmarkStart w:id="892" w:name="Tc_i_mOqsb5p0SOTIkt2UBTtw_6_8"/>
      <w:bookmarkStart w:id="893" w:name="Tc_pZ17WIJkYUW6_R0Uw6vYow_6_5"/>
      <w:bookmarkStart w:id="894" w:name="Tc_C__rN1biF0m5kJ4bGrf6vA_6_2"/>
      <w:bookmarkStart w:id="895" w:name="Tc_QeW_VFHr_0uUpicFnK7VUg_6_0"/>
      <w:bookmarkStart w:id="896" w:name="Tc_-pXPzPHMnUao5vBjYilCtA_5_0"/>
      <w:bookmarkStart w:id="897" w:name="Tc_kSae3-jD9EiOBT1nhCWncg_4_11"/>
      <w:bookmarkStart w:id="898" w:name="Tc_YnutcdZWXk6PXpAq0FzMQA_4_8"/>
      <w:bookmarkStart w:id="899" w:name="Tc_zcbZpZvU8kOQ_DeB8qYipA_4_5"/>
      <w:bookmarkStart w:id="900" w:name="Tc_BprwM7Rl1k-lO8oFZncbuw_4_2"/>
      <w:bookmarkStart w:id="901" w:name="Tc_gi9hw2pfaUK7vgt43Rphlw_4_0"/>
      <w:bookmarkStart w:id="902" w:name="Tc_RBd7eYgMIUWGmQC_6UN4Jg_3_3"/>
      <w:bookmarkStart w:id="903" w:name="Tc_cy8xUIYWKE6QvIqaqo0FJg_2_11"/>
      <w:bookmarkStart w:id="904" w:name="Tc_xhu9pmyO1E-4rlKyAYsmaA_2_8"/>
      <w:bookmarkStart w:id="905" w:name="Tc_5OcqnY1BpEiUaM-emEf3Cg_2_5"/>
      <w:bookmarkStart w:id="906" w:name="Tc_MWU_MVcZ1kycRqSzluvRFA_2_2"/>
      <w:bookmarkStart w:id="907" w:name="Tc_e4iNX7WjFECi2ZnGzJ41ig_1_8"/>
      <w:bookmarkStart w:id="908" w:name="Tc_Od0DZsJcB0KQ1ATKiRfdAg_1_2"/>
      <w:bookmarkStart w:id="909" w:name="_9b0b04cd_3a9f_4386_90b4_720fc71ed034"/>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r>
        <w:rPr>
          <w:rFonts w:ascii="Times New Roman;Times;serif" w:hAnsi="Times New Roman;Times;serif"/>
          <w:sz w:val="20"/>
        </w:rPr>
        <w:t>As of December 31, 2025 and 2024, CVR Energy had swap positions for crack spreads that offset to 3,120 thousand and 63 thousand barrels at each period, respectively. As of December 31, 2025 and 2024, CVR Energy had 75 thousand and 159 thousand barrels of future contracts at each period, respectively. As of December 31, 2025 and 2024, CVR Energy had forward contracts of 736 thousand and 11 thousand barrels of forward contracts at each period, respectively. As of December 31, 2025, CVR Energy had open fixed-price commitments to purchase a net 11 million RINs. As of December 31, 2024, CVR Energy had open fixed-price commitments to purchase a net of 7 million RINs.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the fair value of our Energy segment’s derivatives and the effect of the collateral netting: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18"/>
        <w:gridCol w:w="346"/>
        <w:gridCol w:w="607"/>
        <w:gridCol w:w="913"/>
        <w:gridCol w:w="349"/>
        <w:gridCol w:w="620"/>
        <w:gridCol w:w="1106"/>
        <w:gridCol w:w="346"/>
        <w:gridCol w:w="576"/>
        <w:gridCol w:w="945"/>
        <w:gridCol w:w="404"/>
        <w:gridCol w:w="564"/>
        <w:gridCol w:w="1211"/>
      </w:tblGrid>
      <w:tr>
        <w:trPr/>
        <w:tc>
          <w:tcPr>
            <w:tcW w:w="2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408430" cy="175260"/>
                      <wp:effectExtent l="0" t="0" r="0" b="0"/>
                      <wp:wrapNone/>
                      <wp:docPr id="276" name="Frame276"/>
                      <a:graphic xmlns:a="http://schemas.openxmlformats.org/drawingml/2006/main">
                        <a:graphicData uri="http://schemas.microsoft.com/office/word/2010/wordprocessingShape">
                          <wps:wsp>
                            <wps:cNvSpPr txBox="1"/>
                            <wps:spPr>
                              <a:xfrm>
                                <a:off x="0" y="0"/>
                                <a:ext cx="140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85445" cy="175260"/>
                      <wp:effectExtent l="0" t="0" r="0" b="0"/>
                      <wp:wrapNone/>
                      <wp:docPr id="278" name="Frame278"/>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79755" cy="175260"/>
                      <wp:effectExtent l="0" t="0" r="0" b="0"/>
                      <wp:wrapNone/>
                      <wp:docPr id="279" name="Frame279"/>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21615" cy="175260"/>
                      <wp:effectExtent l="0" t="0" r="0" b="0"/>
                      <wp:wrapNone/>
                      <wp:docPr id="280" name="Frame280"/>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93700" cy="175260"/>
                      <wp:effectExtent l="0" t="0" r="0" b="0"/>
                      <wp:wrapNone/>
                      <wp:docPr id="281" name="Frame281"/>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02310" cy="175260"/>
                      <wp:effectExtent l="0" t="0" r="0" b="0"/>
                      <wp:wrapNone/>
                      <wp:docPr id="282" name="Frame282"/>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65760" cy="175260"/>
                      <wp:effectExtent l="0" t="0" r="0" b="0"/>
                      <wp:wrapNone/>
                      <wp:docPr id="284" name="Frame284"/>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00075" cy="175260"/>
                      <wp:effectExtent l="0" t="0" r="0" b="0"/>
                      <wp:wrapNone/>
                      <wp:docPr id="285" name="Frame285"/>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56540" cy="175260"/>
                      <wp:effectExtent l="0" t="0" r="0" b="0"/>
                      <wp:wrapNone/>
                      <wp:docPr id="286" name="Frame286"/>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58140" cy="175260"/>
                      <wp:effectExtent l="0" t="0" r="0" b="0"/>
                      <wp:wrapNone/>
                      <wp:docPr id="287" name="Frame287"/>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768985" cy="175260"/>
                      <wp:effectExtent l="0" t="0" r="0" b="0"/>
                      <wp:wrapNone/>
                      <wp:docPr id="288" name="Frame288"/>
                      <a:graphic xmlns:a="http://schemas.openxmlformats.org/drawingml/2006/main">
                        <a:graphicData uri="http://schemas.microsoft.com/office/word/2010/wordprocessingShape">
                          <wps:wsp>
                            <wps:cNvSpPr txBox="1"/>
                            <wps:spPr>
                              <a:xfrm>
                                <a:off x="0" y="0"/>
                                <a:ext cx="76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5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Derivative Assets</w:t>
            </w:r>
          </w:p>
        </w:tc>
        <w:tc>
          <w:tcPr>
            <w:tcW w:w="346" w:type="dxa"/>
            <w:tcBorders/>
            <w:vAlign w:val="center"/>
          </w:tcPr>
          <w:p>
            <w:pPr>
              <w:pStyle w:val="TableContents"/>
              <w:bidi w:val="0"/>
              <w:spacing w:before="0" w:after="0"/>
              <w:ind w:left="0" w:right="0" w:hanging="0"/>
              <w:jc w:val="center"/>
              <w:rPr/>
            </w:pPr>
            <w:r>
              <w:rPr/>
              <w:t>​</w:t>
            </w:r>
          </w:p>
        </w:tc>
        <w:tc>
          <w:tcPr>
            <w:tcW w:w="37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Derivative Liabilities</w:t>
            </w:r>
          </w:p>
        </w:tc>
      </w:tr>
      <w:tr>
        <w:trPr/>
        <w:tc>
          <w:tcPr>
            <w:tcW w:w="22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9" w:type="dxa"/>
            <w:tcBorders/>
            <w:vAlign w:val="center"/>
          </w:tcPr>
          <w:p>
            <w:pPr>
              <w:pStyle w:val="TableContents"/>
              <w:bidi w:val="0"/>
              <w:spacing w:before="0" w:after="0"/>
              <w:ind w:left="0" w:right="0" w:hanging="0"/>
              <w:jc w:val="left"/>
              <w:rPr/>
            </w:pPr>
            <w:r>
              <w:rPr/>
              <w:t>  ​ ​ ​</w:t>
            </w:r>
          </w:p>
        </w:tc>
        <w:tc>
          <w:tcPr>
            <w:tcW w:w="17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346" w:type="dxa"/>
            <w:tcBorders/>
            <w:vAlign w:val="center"/>
          </w:tcPr>
          <w:p>
            <w:pPr>
              <w:pStyle w:val="TableContents"/>
              <w:bidi w:val="0"/>
              <w:spacing w:before="0" w:after="0"/>
              <w:ind w:left="0" w:right="0" w:hanging="0"/>
              <w:jc w:val="left"/>
              <w:rPr/>
            </w:pPr>
            <w:r>
              <w:rPr/>
              <w:t>  ​ ​ ​</w:t>
            </w:r>
          </w:p>
        </w:tc>
        <w:tc>
          <w:tcPr>
            <w:tcW w:w="15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404" w:type="dxa"/>
            <w:tcBorders/>
            <w:vAlign w:val="center"/>
          </w:tcPr>
          <w:p>
            <w:pPr>
              <w:pStyle w:val="TableContents"/>
              <w:bidi w:val="0"/>
              <w:spacing w:before="0" w:after="0"/>
              <w:ind w:left="0" w:right="0" w:hanging="0"/>
              <w:jc w:val="left"/>
              <w:rPr/>
            </w:pPr>
            <w:r>
              <w:rPr/>
              <w:t>  ​ ​ ​</w:t>
            </w:r>
          </w:p>
        </w:tc>
        <w:tc>
          <w:tcPr>
            <w:tcW w:w="1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2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c>
          <w:tcPr>
            <w:tcW w:w="7034" w:type="dxa"/>
            <w:gridSpan w:val="1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9"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04"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21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Netting across contract types</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9" w:type="dxa"/>
            <w:tcBorders/>
            <w:vAlign w:val="center"/>
          </w:tcPr>
          <w:p>
            <w:pPr>
              <w:pStyle w:val="TableContents"/>
              <w:bidi w:val="0"/>
              <w:spacing w:before="0" w:after="0"/>
              <w:ind w:left="0" w:right="0" w:hanging="0"/>
              <w:jc w:val="left"/>
              <w:rPr/>
            </w:pPr>
            <w:r>
              <w:rPr/>
              <w:t>​</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5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04" w:type="dxa"/>
            <w:tcBorders/>
            <w:vAlign w:val="center"/>
          </w:tcPr>
          <w:p>
            <w:pPr>
              <w:pStyle w:val="TableContents"/>
              <w:bidi w:val="0"/>
              <w:spacing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21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9" w:type="dxa"/>
            <w:tcBorders/>
            <w:shd w:fill="CCEEFF" w:val="clear"/>
            <w:vAlign w:val="center"/>
          </w:tcPr>
          <w:p>
            <w:pPr>
              <w:pStyle w:val="TableContents"/>
              <w:bidi w:val="0"/>
              <w:spacing w:before="0" w:after="0"/>
              <w:ind w:left="0" w:right="0" w:hanging="0"/>
              <w:jc w:val="left"/>
              <w:rPr/>
            </w:pPr>
            <w:r>
              <w:rPr/>
              <w:t>​</w:t>
            </w:r>
          </w:p>
        </w:tc>
        <w:tc>
          <w:tcPr>
            <w:tcW w:w="6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5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5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288"/>
        <w:gridCol w:w="9793"/>
      </w:tblGrid>
      <w:tr>
        <w:trPr/>
        <w:tc>
          <w:tcPr>
            <w:tcW w:w="124" w:type="dxa"/>
            <w:tcBorders/>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79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Excludes netting of derivatives primarily related to initial margin requirements of $5</w:t>
            </w:r>
            <w:r>
              <w:rPr>
                <w:caps w:val="false"/>
                <w:smallCaps w:val="false"/>
              </w:rPr>
              <w:t xml:space="preserve"> </w:t>
            </w:r>
            <w:r>
              <w:rPr>
                <w:rFonts w:ascii="Times New Roman;Times;serif" w:hAnsi="Times New Roman;Times;serif"/>
                <w:b w:val="false"/>
                <w:i w:val="false"/>
                <w:caps w:val="false"/>
                <w:smallCaps w:val="false"/>
                <w:sz w:val="16"/>
              </w:rPr>
              <w:t>million and $3</w:t>
            </w:r>
            <w:r>
              <w:rPr>
                <w:caps w:val="false"/>
                <w:smallCaps w:val="false"/>
              </w:rPr>
              <w:t xml:space="preserve"> </w:t>
            </w:r>
            <w:r>
              <w:rPr>
                <w:rFonts w:ascii="Times New Roman;Times;serif" w:hAnsi="Times New Roman;Times;serif"/>
                <w:b w:val="false"/>
                <w:i w:val="false"/>
                <w:caps w:val="false"/>
                <w:smallCaps w:val="false"/>
                <w:sz w:val="16"/>
              </w:rPr>
              <w:t>million at December 31, 2025 and 2024, respectively, which was not offset against derivatives liabilities, net in the consolidated balance sheets.</w:t>
            </w:r>
          </w:p>
        </w:tc>
      </w:tr>
    </w:tbl>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Certain derivative instruments within our Energy segment contain credit risk-related contingent provisions associated with our Energy segments’ credit ratings. If our Energy segments’ credit rating were to be downgraded, it would allow the counterparty to require our Energy segment to post collateral or to request, immediate, full settlement of derivative instruments in liability positions. There were no derivative liabilities in our Energy segments’ derivative instruments with credit-risk-related contingent features as of December 31, 2025 and 2024, and no collateral has been posted.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gains recognized on derivatives for our Energy segment were $22 million, $13 million and $5 million for the years ended December 31, 2025, 2024 and 2023, respectively. Gains recognized on derivatives for our Energy segment are included in cost of goods sold on the consolidated statements of operations.</w:t>
      </w:r>
    </w:p>
    <w:p>
      <w:pPr>
        <w:pStyle w:val="TextBody"/>
        <w:bidi w:val="0"/>
        <w:spacing w:before="0" w:after="240"/>
        <w:ind w:left="0" w:right="0" w:hanging="0"/>
        <w:jc w:val="left"/>
        <w:rPr>
          <w:rFonts w:ascii="Times New Roman;Times;serif" w:hAnsi="Times New Roman;Times;serif"/>
          <w:b/>
          <w:sz w:val="20"/>
        </w:rPr>
      </w:pPr>
      <w:bookmarkStart w:id="910" w:name="Tc_rjR9vqauTkyBelhqIa04Ew_5_2"/>
      <w:bookmarkStart w:id="911" w:name="Tc_j7FE5yLKDUynmLCPQkjEyQ_5_0"/>
      <w:bookmarkStart w:id="912" w:name="Tc_Kv1muAGeME-wc3iG8k8_2A_4_3"/>
      <w:bookmarkStart w:id="913" w:name="Tc_C7dEjFzi8EeQGOScPKGIUQ_4_0"/>
      <w:bookmarkStart w:id="914" w:name="Tc__T73yC-q_EWvr2NKsXMzVQ_3_2"/>
      <w:bookmarkStart w:id="915" w:name="Tc_o7W3NRSJSU6KC3tvMmOSgA_3_0"/>
      <w:bookmarkStart w:id="916" w:name="Tc_Ads8YMbXoEOAhvc9rVN1NQ_1_2"/>
      <w:bookmarkEnd w:id="910"/>
      <w:bookmarkEnd w:id="911"/>
      <w:bookmarkEnd w:id="912"/>
      <w:bookmarkEnd w:id="913"/>
      <w:bookmarkEnd w:id="914"/>
      <w:bookmarkEnd w:id="915"/>
      <w:bookmarkEnd w:id="916"/>
      <w:r>
        <w:rPr>
          <w:rFonts w:ascii="Times New Roman;Times;serif" w:hAnsi="Times New Roman;Times;serif"/>
          <w:b/>
          <w:sz w:val="20"/>
        </w:rPr>
        <w:t xml:space="preserve">8. Related Party Notes Receivable, Net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Related party notes receivable and its related allowance for expected credit losses consists of the following:</w:t>
      </w:r>
    </w:p>
    <w:p>
      <w:pPr>
        <w:pStyle w:val="TextBody"/>
        <w:bidi w:val="0"/>
        <w:spacing w:before="0" w:after="0"/>
        <w:ind w:left="0" w:right="0" w:hanging="0"/>
        <w:jc w:val="left"/>
        <w:rPr/>
      </w:pPr>
      <w:r>
        <w:rPr/>
        <w:t>​</w:t>
      </w:r>
    </w:p>
    <w:tbl>
      <w:tblPr>
        <w:tblW w:w="5420" w:type="dxa"/>
        <w:jc w:val="left"/>
        <w:tblInd w:w="0" w:type="dxa"/>
        <w:tblLayout w:type="fixed"/>
        <w:tblCellMar>
          <w:top w:w="0" w:type="dxa"/>
          <w:left w:w="0" w:type="dxa"/>
          <w:bottom w:w="0" w:type="dxa"/>
          <w:right w:w="0" w:type="dxa"/>
        </w:tblCellMar>
      </w:tblPr>
      <w:tblGrid>
        <w:gridCol w:w="3541"/>
        <w:gridCol w:w="109"/>
        <w:gridCol w:w="551"/>
        <w:gridCol w:w="1219"/>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248535" cy="175260"/>
                      <wp:effectExtent l="0" t="0" r="0" b="0"/>
                      <wp:wrapNone/>
                      <wp:docPr id="289" name="Frame289"/>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215" cy="175260"/>
                      <wp:effectExtent l="0" t="0" r="0" b="0"/>
                      <wp:wrapNone/>
                      <wp:docPr id="290" name="Frame2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49885" cy="175260"/>
                      <wp:effectExtent l="0" t="0" r="0" b="0"/>
                      <wp:wrapNone/>
                      <wp:docPr id="291" name="Frame291"/>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774065" cy="175260"/>
                      <wp:effectExtent l="0" t="0" r="0" b="0"/>
                      <wp:wrapNone/>
                      <wp:docPr id="292" name="Frame292"/>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551" w:type="dxa"/>
            <w:tcBorders/>
            <w:vAlign w:val="center"/>
          </w:tcPr>
          <w:p>
            <w:pPr>
              <w:pStyle w:val="TableContents"/>
              <w:bidi w:val="0"/>
              <w:spacing w:before="0" w:after="1"/>
              <w:ind w:left="0" w:right="0" w:hanging="0"/>
              <w:jc w:val="center"/>
              <w:rPr/>
            </w:pPr>
            <w:r>
              <w:rPr/>
              <w:t>​</w:t>
            </w:r>
          </w:p>
        </w:tc>
        <w:tc>
          <w:tcPr>
            <w:tcW w:w="1219" w:type="dxa"/>
            <w:tcBorders/>
            <w:vAlign w:val="center"/>
          </w:tcPr>
          <w:p>
            <w:pPr>
              <w:pStyle w:val="TableContents"/>
              <w:bidi w:val="0"/>
              <w:spacing w:before="0" w:after="1"/>
              <w:ind w:left="0" w:right="0" w:hanging="0"/>
              <w:jc w:val="center"/>
              <w:rPr/>
            </w:pPr>
            <w:r>
              <w:rPr/>
              <w:t>​</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Related party notes receivable, gross </w:t>
            </w:r>
          </w:p>
        </w:tc>
        <w:tc>
          <w:tcPr>
            <w:tcW w:w="109"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Allowance for expected credit losses</w:t>
            </w:r>
          </w:p>
        </w:tc>
        <w:tc>
          <w:tcPr>
            <w:tcW w:w="109" w:type="dxa"/>
            <w:tcBorders/>
            <w:vAlign w:val="center"/>
          </w:tcPr>
          <w:p>
            <w:pPr>
              <w:pStyle w:val="TableContents"/>
              <w:bidi w:val="0"/>
              <w:spacing w:before="0" w:after="1"/>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Related party notes receivable, net</w:t>
            </w:r>
          </w:p>
        </w:tc>
        <w:tc>
          <w:tcPr>
            <w:tcW w:w="109" w:type="dxa"/>
            <w:tcBorders/>
            <w:shd w:fill="CCEEFF" w:val="clear"/>
            <w:vAlign w:val="center"/>
          </w:tcPr>
          <w:p>
            <w:pPr>
              <w:pStyle w:val="TableContents"/>
              <w:bidi w:val="0"/>
              <w:spacing w:before="0" w:after="1"/>
              <w:ind w:left="0" w:right="0" w:hanging="0"/>
              <w:jc w:val="left"/>
              <w:rPr/>
            </w:pPr>
            <w:r>
              <w:rPr/>
              <w:t>​</w:t>
            </w:r>
          </w:p>
        </w:tc>
        <w:tc>
          <w:tcPr>
            <w:tcW w:w="5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left"/>
              <w:rPr/>
            </w:pPr>
            <w:r>
              <w:rPr/>
              <w:t>​</w:t>
            </w:r>
          </w:p>
        </w:tc>
        <w:tc>
          <w:tcPr>
            <w:tcW w:w="1219"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There were no write-offs associated with related party notes receivable for the year ended December 31, 2025. Write-offs associated with related party notes receivable were $127 million for the year ended December 31, 2023. See Note 6, “Fair Value Measurements” for additional information related to the fair value of the related party notes receivable.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917" w:name="Tc_vAeit5gbQEyHe_Dfagaq_Q_7_5"/>
      <w:bookmarkStart w:id="918" w:name="Tc__UBkZPQgdU27_lwrjQJsXw_7_2"/>
      <w:bookmarkStart w:id="919" w:name="Tc_SO1tLVFiTkKyAcTGTPQFrA_6_0"/>
      <w:bookmarkStart w:id="920" w:name="Tc_JOF7peQVAEGE_OWsegnJRg_5_0"/>
      <w:bookmarkStart w:id="921" w:name="Tc_agRQTuK6WEOsLcKWQrQnMA_4_5"/>
      <w:bookmarkStart w:id="922" w:name="Tc_ydeusjIv9ki9NOMdSSSobA_4_2"/>
      <w:bookmarkStart w:id="923" w:name="Tc_eiGXMMWtqUekPviFEqG9_Q_4_0"/>
      <w:bookmarkStart w:id="924" w:name="Tc_nlUF9VAtZ0-CdqT9dYlMlQ_3_2"/>
      <w:bookmarkStart w:id="925" w:name="Tc_QYUO2rsGPEm-0xYOGiBwFQ_2_5"/>
      <w:bookmarkStart w:id="926" w:name="Tc_fYuNVtgHBkOfZ-0mdJZqOQ_2_2"/>
      <w:bookmarkStart w:id="927" w:name="Tc_59ikgXUS5U-bVM6qpTJcgg_1_2"/>
      <w:bookmarkEnd w:id="917"/>
      <w:bookmarkEnd w:id="918"/>
      <w:bookmarkEnd w:id="919"/>
      <w:bookmarkEnd w:id="920"/>
      <w:bookmarkEnd w:id="921"/>
      <w:bookmarkEnd w:id="922"/>
      <w:bookmarkEnd w:id="923"/>
      <w:bookmarkEnd w:id="924"/>
      <w:bookmarkEnd w:id="925"/>
      <w:bookmarkEnd w:id="926"/>
      <w:bookmarkEnd w:id="927"/>
      <w:r>
        <w:rPr>
          <w:rFonts w:ascii="Times New Roman;Times;serif" w:hAnsi="Times New Roman;Times;serif"/>
          <w:b/>
          <w:sz w:val="20"/>
        </w:rPr>
        <w:t>9.  Inventories,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Inventories, net consists of the following:</w:t>
      </w:r>
    </w:p>
    <w:p>
      <w:pPr>
        <w:pStyle w:val="TextBody"/>
        <w:bidi w:val="0"/>
        <w:spacing w:before="0" w:after="0"/>
        <w:ind w:left="0" w:right="0" w:hanging="0"/>
        <w:jc w:val="left"/>
        <w:rPr/>
      </w:pPr>
      <w:r>
        <w:rPr/>
        <w:t>​</w:t>
      </w:r>
    </w:p>
    <w:tbl>
      <w:tblPr>
        <w:tblW w:w="3487" w:type="dxa"/>
        <w:jc w:val="left"/>
        <w:tblInd w:w="0" w:type="dxa"/>
        <w:tblLayout w:type="fixed"/>
        <w:tblCellMar>
          <w:top w:w="0" w:type="dxa"/>
          <w:left w:w="0" w:type="dxa"/>
          <w:bottom w:w="0" w:type="dxa"/>
          <w:right w:w="0" w:type="dxa"/>
        </w:tblCellMar>
      </w:tblPr>
      <w:tblGrid>
        <w:gridCol w:w="1426"/>
        <w:gridCol w:w="346"/>
        <w:gridCol w:w="211"/>
        <w:gridCol w:w="421"/>
        <w:gridCol w:w="346"/>
        <w:gridCol w:w="211"/>
        <w:gridCol w:w="526"/>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905510" cy="175260"/>
                      <wp:effectExtent l="0" t="0" r="0" b="0"/>
                      <wp:wrapNone/>
                      <wp:docPr id="293" name="Frame293"/>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67335" cy="175260"/>
                      <wp:effectExtent l="0" t="0" r="0" b="0"/>
                      <wp:wrapNone/>
                      <wp:docPr id="296" name="Frame29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34010" cy="175260"/>
                      <wp:effectExtent l="0" t="0" r="0" b="0"/>
                      <wp:wrapNone/>
                      <wp:docPr id="299" name="Frame29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48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1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w:t>
            </w:r>
          </w:p>
        </w:tc>
      </w:tr>
      <w:tr>
        <w:trPr/>
        <w:tc>
          <w:tcPr>
            <w:tcW w:w="1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897</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28" w:name="Tc_wTX4l98YIUuUhfq1sTYxjg_12_8"/>
      <w:bookmarkStart w:id="929" w:name="Tc_k1vVDX705UqkjuS6ra5LSA_12_5"/>
      <w:bookmarkStart w:id="930" w:name="Tc_p2vB6Aa3BESOWWUOz6UB6A_12_0"/>
      <w:bookmarkStart w:id="931" w:name="Tc_F1NKxBm9f0Wdwid1ChnHPA_11_0"/>
      <w:bookmarkStart w:id="932" w:name="Tc_gstyaNojPk-uy3R45FKs9g_9_0"/>
      <w:bookmarkStart w:id="933" w:name="Tc_8VkMXpHclE6-Pammc4i8XA_8_3"/>
      <w:bookmarkStart w:id="934" w:name="Tc_pSt9co9nBUyV6FBou6uU8Q_8_0"/>
      <w:bookmarkStart w:id="935" w:name="Tc_EDuQqarg3E6bVctwerserA_7_3"/>
      <w:bookmarkStart w:id="936" w:name="Tc_2099I1i5bE2WyYFVK4EU3w_7_0"/>
      <w:bookmarkStart w:id="937" w:name="Tc_8fYM-Egc0ECTaWunnEJ81g_6_3"/>
      <w:bookmarkStart w:id="938" w:name="Tc_x3Mz8vQrfUOstsf75p4CQw_6_0"/>
      <w:bookmarkStart w:id="939" w:name="Tc_lgRCLfuZ-UCQm7j2smejYg_5_3"/>
      <w:bookmarkStart w:id="940" w:name="Tc_Q5KYDZYs_EieNqgZbrkXFg_5_0"/>
      <w:bookmarkStart w:id="941" w:name="Tc_0rPvXY7mIEO334KMMS1awg_4_8"/>
      <w:bookmarkStart w:id="942" w:name="Tc_iSvMjV8q2EGNv3XCSBu22g_4_5"/>
      <w:bookmarkStart w:id="943" w:name="Tc_Y5v1Wmv_cUO5Wjs2GjP5rw_4_0"/>
      <w:bookmarkStart w:id="944" w:name="Tc_Srn7f8O1wESYEvdVtdK4ug_3_6"/>
      <w:bookmarkStart w:id="945" w:name="Tc_tq8pBsEBe0ip2Fk_TkmJxw_3_2"/>
      <w:bookmarkStart w:id="946" w:name="Tc_FVmfcO5hhUStZ8gP4LV--A_2_8"/>
      <w:bookmarkStart w:id="947" w:name="Tc_Owhz7Ok0uEuFGLwsNk6PJQ_2_5"/>
      <w:bookmarkStart w:id="948" w:name="Tc_3LzaaDEuQUym-8tWVoIkjA_2_2"/>
      <w:bookmarkStart w:id="949" w:name="Tc_szyY4qZrMUWDb4xv_cuUvg_1_5"/>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r>
        <w:rPr>
          <w:rFonts w:ascii="Times New Roman;Times;serif" w:hAnsi="Times New Roman;Times;serif"/>
          <w:b/>
          <w:sz w:val="20"/>
        </w:rPr>
        <w:t>10.  Property, Plant and Equipment,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Property, plant and equipment, net consists of the following:</w:t>
      </w:r>
    </w:p>
    <w:p>
      <w:pPr>
        <w:pStyle w:val="TextBody"/>
        <w:bidi w:val="0"/>
        <w:spacing w:before="0" w:after="0"/>
        <w:ind w:left="0" w:right="0" w:hanging="0"/>
        <w:jc w:val="left"/>
        <w:rPr/>
      </w:pPr>
      <w:r>
        <w:rPr/>
        <w:t>​</w:t>
      </w:r>
    </w:p>
    <w:tbl>
      <w:tblPr>
        <w:tblW w:w="8063" w:type="dxa"/>
        <w:jc w:val="left"/>
        <w:tblInd w:w="0" w:type="dxa"/>
        <w:tblLayout w:type="fixed"/>
        <w:tblCellMar>
          <w:top w:w="0" w:type="dxa"/>
          <w:left w:w="0" w:type="dxa"/>
          <w:bottom w:w="0" w:type="dxa"/>
          <w:right w:w="0" w:type="dxa"/>
        </w:tblCellMar>
      </w:tblPr>
      <w:tblGrid>
        <w:gridCol w:w="4156"/>
        <w:gridCol w:w="346"/>
        <w:gridCol w:w="184"/>
        <w:gridCol w:w="836"/>
        <w:gridCol w:w="346"/>
        <w:gridCol w:w="211"/>
        <w:gridCol w:w="691"/>
        <w:gridCol w:w="346"/>
        <w:gridCol w:w="211"/>
        <w:gridCol w:w="73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639060" cy="175260"/>
                      <wp:effectExtent l="0" t="0" r="0" b="0"/>
                      <wp:wrapNone/>
                      <wp:docPr id="300" name="Frame300"/>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16840" cy="175260"/>
                      <wp:effectExtent l="0" t="0" r="0" b="0"/>
                      <wp:wrapNone/>
                      <wp:docPr id="302" name="Frame302"/>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30860" cy="175260"/>
                      <wp:effectExtent l="0" t="0" r="0" b="0"/>
                      <wp:wrapNone/>
                      <wp:docPr id="303" name="Frame303"/>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38785" cy="175260"/>
                      <wp:effectExtent l="0" t="0" r="0" b="0"/>
                      <wp:wrapNone/>
                      <wp:docPr id="306" name="Frame3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67360" cy="175260"/>
                      <wp:effectExtent l="0" t="0" r="0" b="0"/>
                      <wp:wrapNone/>
                      <wp:docPr id="309" name="Frame30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4"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Useful Life</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806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0"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years)</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984" w:type="dxa"/>
            <w:gridSpan w:val="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1</w:t>
            </w:r>
            <w:r>
              <w:rPr>
                <w:rFonts w:ascii="Times New Roman;Times;serif" w:hAnsi="Times New Roman;Times;serif"/>
                <w:sz w:val="24"/>
              </w:rPr>
              <w:t xml:space="preserve"> – </w:t>
            </w:r>
            <w:r>
              <w:rPr>
                <w:rFonts w:ascii="Times New Roman;Times;serif" w:hAnsi="Times New Roman;Times;serif"/>
                <w:sz w:val="20"/>
              </w:rPr>
              <w:t>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1,129</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equipment and furniture</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 </w:t>
            </w:r>
          </w:p>
        </w:tc>
        <w:tc>
          <w:tcPr>
            <w:tcW w:w="836" w:type="dxa"/>
            <w:tcBorders/>
            <w:shd w:fill="CCEEFF" w:val="clear"/>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1</w:t>
            </w:r>
            <w:r>
              <w:rPr>
                <w:rFonts w:ascii="Times New Roman;Times;serif" w:hAnsi="Times New Roman;Times;serif"/>
                <w:sz w:val="24"/>
              </w:rPr>
              <w:t xml:space="preserve"> – </w:t>
            </w:r>
            <w:r>
              <w:rPr>
                <w:rFonts w:ascii="Times New Roman;Times;serif" w:hAnsi="Times New Roman;Times;serif"/>
                <w:sz w:val="20"/>
              </w:rPr>
              <w:t>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6,209</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leased to others</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5</w:t>
            </w:r>
            <w:r>
              <w:rPr>
                <w:rFonts w:ascii="Times New Roman;Times;serif" w:hAnsi="Times New Roman;Times;serif"/>
                <w:sz w:val="24"/>
              </w:rPr>
              <w:t xml:space="preserve"> – </w:t>
            </w:r>
            <w:r>
              <w:rPr>
                <w:rFonts w:ascii="Times New Roman;Times;serif" w:hAnsi="Times New Roman;Times;serif"/>
                <w:sz w:val="20"/>
              </w:rPr>
              <w:t>39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leases</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 </w:t>
            </w:r>
          </w:p>
        </w:tc>
        <w:tc>
          <w:tcPr>
            <w:tcW w:w="836" w:type="dxa"/>
            <w:tcBorders/>
            <w:shd w:fill="CCEEFF" w:val="clear"/>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2</w:t>
            </w:r>
            <w:r>
              <w:rPr>
                <w:rFonts w:ascii="Times New Roman;Times;serif" w:hAnsi="Times New Roman;Times;serif"/>
                <w:sz w:val="24"/>
              </w:rPr>
              <w:t xml:space="preserve"> – </w:t>
            </w: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r>
      <w:tr>
        <w:trPr/>
        <w:tc>
          <w:tcPr>
            <w:tcW w:w="4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 </w:t>
            </w:r>
          </w:p>
        </w:tc>
        <w:tc>
          <w:tcPr>
            <w:tcW w:w="8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8,397</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(4,554)</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3,843</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Depreciation and amortization expense related to property, plant and equipment for the years ended December 31, 2025, 2024 and 2023 was $465 million, $400 million and $384 million,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our Energy segment’s reversion of RDU back to hydrocarbon processing service, our Energy segment assessed the petroleum business and renewable business asset groups for impairment in accordance with ASC 360-10 and concluded the carrying value of the asset group was recoverable. However, the remaining useful lives of certain assets within the renewables business were adjusted as a result of changes in their expected utilization beginning in September 2025. As a result, approximately, $93 million of the impacted property, plant and equipment’s carrying value was fully depreciated before the reversion back to hydrocarbon processing commenced.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October and November of 2025, the Automotive segment transferred $465 million of owned land and buildings to the Real Estate segment. In connection with the transfer of the Automotive segment owned real estate to the Real Estate segment, the Automotive segment determined the net assets of the segment changed materially resulting in a triggering event on October 1, 2025. The segment performed a recoverability analysis of its long-lived assets and determined that certain assets were unrecoverable on an un-discounted cash flow basis and recognized an impairment of $23 million as of the date of transfer in October of 2025. As of December 31, 2025, our long-lived assets did not have any impairment indicators.</w:t>
      </w:r>
    </w:p>
    <w:p>
      <w:pPr>
        <w:pStyle w:val="TextBody"/>
        <w:bidi w:val="0"/>
        <w:spacing w:before="0" w:after="240"/>
        <w:ind w:left="0" w:right="0" w:firstLine="36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950" w:name="Tc_bNpnaiH5h0GsWbVzFH5ASg_13_17"/>
      <w:bookmarkStart w:id="951" w:name="Tc_gJn28uvb3EOV9d4MDIGrnA_13_8"/>
      <w:bookmarkStart w:id="952" w:name="Tc_NU-ih5Y0H0W7FcMUccncWg_13_0"/>
      <w:bookmarkStart w:id="953" w:name="Tc_KwSebb78bUqPwAQ4lCGTuw_12_17"/>
      <w:bookmarkStart w:id="954" w:name="Tc_JnhdSe9rEkGaAX8duC-UFA_12_8"/>
      <w:bookmarkStart w:id="955" w:name="Tc_NShunrQ5HUuvTuekzv0SGA_12_0"/>
      <w:bookmarkStart w:id="956" w:name="Tc_EeoW1jdQ1Ua-DD-SDNbG1g_10_17"/>
      <w:bookmarkStart w:id="957" w:name="Tc_llXtXfEsnU64YnVXWPdWfw_10_14"/>
      <w:bookmarkStart w:id="958" w:name="Tc_WG1KvCD8W0OikO30VQ-cJA_10_11"/>
      <w:bookmarkStart w:id="959" w:name="Tc_Q7wgKYDMlUyydqv4NwX5Mw_10_8"/>
      <w:bookmarkStart w:id="960" w:name="Tc_1DRjsn9ku0qGa_BEQhaOHA_10_5"/>
      <w:bookmarkStart w:id="961" w:name="Tc_jbQ7t26vxESeor_jtUx_4A_10_2"/>
      <w:bookmarkStart w:id="962" w:name="Tc_1CzzhWU4VkWNewO5Nxp-jA_9_0"/>
      <w:bookmarkStart w:id="963" w:name="Tc_me381U3aM0Ksi0wUYgRI5Q_8_0"/>
      <w:bookmarkStart w:id="964" w:name="Tc_1Tv-B1qhBUyn4UQcPKN0FA_7_17"/>
      <w:bookmarkStart w:id="965" w:name="Tc_cZS6dMe0pUOZOk9J78-Tog_7_14"/>
      <w:bookmarkStart w:id="966" w:name="Tc_jPa7V8LGOkKIixsEbkIhBQ_7_11"/>
      <w:bookmarkStart w:id="967" w:name="Tc_lD84IP9s0EuTaPGv_qMymg_7_8"/>
      <w:bookmarkStart w:id="968" w:name="Tc_vPiUGg-sF0KXi5lGTdYYyw_7_5"/>
      <w:bookmarkStart w:id="969" w:name="Tc_YEpJRGP0WkytW20dsFNoxA_7_2"/>
      <w:bookmarkStart w:id="970" w:name="Tc_7xRaVCxR6U-dUvDFhAnlIw_7_0"/>
      <w:bookmarkStart w:id="971" w:name="Tc_35RVh285XUaXXqI4MjL7ww_6_0"/>
      <w:bookmarkStart w:id="972" w:name="Tc_XdVuQlqTbE2rptE1rfH9qQ_5_2"/>
      <w:bookmarkStart w:id="973" w:name="Tc_Bvl22NabskquOkHLRPqqUA_4_17"/>
      <w:bookmarkStart w:id="974" w:name="Tc_8pfTyn4xR0OAW8f5pRieCQ_4_14"/>
      <w:bookmarkStart w:id="975" w:name="Tc_6vMnQldHAECyo8-wQ43p2w_4_11"/>
      <w:bookmarkStart w:id="976" w:name="Tc_rBKf9rY5TEiHV7VoI4ij1g_4_8"/>
      <w:bookmarkStart w:id="977" w:name="Tc__BHNkhfWC0uh-K78kBbaPw_4_5"/>
      <w:bookmarkStart w:id="978" w:name="Tc_cZO2MGqjUUu1KuFyX-6AEQ_4_2"/>
      <w:bookmarkStart w:id="979" w:name="Tc_YI1YryUVlUGovlOcYURWZA_3_17"/>
      <w:bookmarkStart w:id="980" w:name="Tc_7mVaHy0csUep6nC_zYbJEA_3_14"/>
      <w:bookmarkStart w:id="981" w:name="Tc_nOjthEA4gkO_3svQSnE4mw_3_11"/>
      <w:bookmarkStart w:id="982" w:name="Tc_1FbAbhYK30-Ucdb9-zO1Zg_3_8"/>
      <w:bookmarkStart w:id="983" w:name="Tc_5nPrMUGwrEWeeCAsD5X0Sw_3_5"/>
      <w:bookmarkStart w:id="984" w:name="Tc_eS1mCv6WnUKbYXCvEK-ArQ_3_2"/>
      <w:bookmarkStart w:id="985" w:name="Tc_MUHISZbws0KZonVjcQxUQw_2_17"/>
      <w:bookmarkStart w:id="986" w:name="Tc_HO03MfoybUKy6wVE60-urw_2_11"/>
      <w:bookmarkStart w:id="987" w:name="Tc_Sgr8uODdVESgK01235mJNA_2_8"/>
      <w:bookmarkStart w:id="988" w:name="Tc_Sq37YFrlPUOaummfUQi4xg_2_2"/>
      <w:bookmarkStart w:id="989" w:name="Tc_FZaD9Yw1KESyMa4hJK4n_w_1_11"/>
      <w:bookmarkStart w:id="990" w:name="Tc_1elEo5yWakWj0y3DRVTUeQ_1_2"/>
      <w:bookmarkStart w:id="991" w:name="Tc_rBTHrm_wm0OifX21l0_a_Q_12_14"/>
      <w:bookmarkStart w:id="992" w:name="Tc_lSowHQ1uSk26oG4_V1-4BQ_12_11"/>
      <w:bookmarkStart w:id="993" w:name="Tc_SfB8rYgu1EmCGSMG9y_Q2g_12_8"/>
      <w:bookmarkStart w:id="994" w:name="Tc_3gToUgxhWUeKeAhIT-kStA_12_5"/>
      <w:bookmarkStart w:id="995" w:name="Tc_UL4KeRqsF0WkNHkSUKSQKg_12_2"/>
      <w:bookmarkStart w:id="996" w:name="Tc_WB4GueiSwUS5bsyHoROkEQ_12_0"/>
      <w:bookmarkStart w:id="997" w:name="Tc_k8y9fM_Mwk6BSxZ5wCEqIA_10_12"/>
      <w:bookmarkStart w:id="998" w:name="Tc_PNbjS5x-TU2maIQnSwVvDA_10_6"/>
      <w:bookmarkStart w:id="999" w:name="Tc_gmNrdbUyDE2itBPx3zWbxw_10_0"/>
      <w:bookmarkStart w:id="1000" w:name="Tc_77smSTmSIEmPpLvxRitKjg_9_15"/>
      <w:bookmarkStart w:id="1001" w:name="Tc_sxWZdhEWjUeDYPGifoz5Kw_9_12"/>
      <w:bookmarkStart w:id="1002" w:name="Tc_BSBQfleOVUiJb9RhJUdp1Q_9_9"/>
      <w:bookmarkStart w:id="1003" w:name="Tc_My-BlXwiR0iWaof2eMZOaQ_9_6"/>
      <w:bookmarkStart w:id="1004" w:name="Tc_dG4ucvEi90yi_p_OM_0kmQ_9_3"/>
      <w:bookmarkStart w:id="1005" w:name="Tc_5IQg8845K0-vDwjvAFO0Dg_9_0"/>
      <w:bookmarkStart w:id="1006" w:name="Tc_EXao_TixP0G1WWR7RPGG-g_8_12"/>
      <w:bookmarkStart w:id="1007" w:name="Tc_5aw5XSUGLkeLBCckxqzbCg_8_6"/>
      <w:bookmarkStart w:id="1008" w:name="Tc_BBZuIFauO0-FSbGLBpt2aQ_8_0"/>
      <w:bookmarkStart w:id="1009" w:name="Tc__AvtzWR0TEiiLhVZv8svqQ_6_0"/>
      <w:bookmarkStart w:id="1010" w:name="Tc_XA6S2Pf22UKXgUUj4O3EEg_5_15"/>
      <w:bookmarkStart w:id="1011" w:name="Tc_s7JW7pUvrke7Rc0CQpuUAA_5_12"/>
      <w:bookmarkStart w:id="1012" w:name="Tc_1T0gKzQCK0uh546YVhrQ-g_5_9"/>
      <w:bookmarkStart w:id="1013" w:name="Tc_FDeMJUPUuUKwuEMyvO_WsA_5_6"/>
      <w:bookmarkStart w:id="1014" w:name="Tc_E9HMpHckk0-sNPxrhwDC-A_5_3"/>
      <w:bookmarkStart w:id="1015" w:name="Tc_F-svMgyawUakuoxDqbQDsA_5_0"/>
      <w:bookmarkStart w:id="1016" w:name="Tc_lpsNOM4HDkWtu613mjtWyA_4_14"/>
      <w:bookmarkStart w:id="1017" w:name="Tc_bx9AvTezdkaqr4gNQGod7w_4_11"/>
      <w:bookmarkStart w:id="1018" w:name="Tc_nUM9MBaMr0W4vGnd4lJibQ_4_8"/>
      <w:bookmarkStart w:id="1019" w:name="Tc_5KIWYPU2-UqcroItreEO7Q_4_5"/>
      <w:bookmarkStart w:id="1020" w:name="Tc_CPycs9a2Z0WXzk5Drj83aA_4_2"/>
      <w:bookmarkStart w:id="1021" w:name="Tc_51iYBO8DJEmZxaIYNmAotA_4_0"/>
      <w:bookmarkStart w:id="1022" w:name="Tc_ieHz8i2FGk-yVNZDR2f3kw_3_2"/>
      <w:bookmarkStart w:id="1023" w:name="Tc_Vwd9P6Q0MkCqau1mrZdCmQ_2_14"/>
      <w:bookmarkStart w:id="1024" w:name="Tc_iPGiQ9S3MkmMoHYaEMsYlQ_2_11"/>
      <w:bookmarkStart w:id="1025" w:name="Tc__vCaXEU1V0Cqzl2QEx1RkQ_2_8"/>
      <w:bookmarkStart w:id="1026" w:name="Tc_W8c6I0S6cU-9P-1mUo5-sQ_2_5"/>
      <w:bookmarkStart w:id="1027" w:name="Tc_jLAisS4MnEOmOwK3IfYyDw_2_2"/>
      <w:bookmarkStart w:id="1028" w:name="Tc_m47LoYzZj0eVPus1XmBe9A_1_2"/>
      <w:bookmarkStart w:id="1029" w:name="_4c0a6b6e_0016_48f1_869e_6dd008b50307"/>
      <w:bookmarkStart w:id="1030" w:name="Tc_XtoTsJwf-022i7OeLfWwWQ_12_14"/>
      <w:bookmarkStart w:id="1031" w:name="Tc_QrSWSMfvBUeyKpdOnPnKOQ_12_11"/>
      <w:bookmarkStart w:id="1032" w:name="Tc_vhymKlSUqkO0iJz39YeeaQ_12_8"/>
      <w:bookmarkStart w:id="1033" w:name="Tc_BMf6nNIODUyH4weyYKILEg_12_5"/>
      <w:bookmarkStart w:id="1034" w:name="Tc_ITZKNxPwbkqnh3hX1B2z0w_12_2"/>
      <w:bookmarkStart w:id="1035" w:name="Tc_tfDMp7-3oEizFYq6tfx6Jg_12_0"/>
      <w:bookmarkStart w:id="1036" w:name="Tc_TjlveuOTJUCrbYxAeQRG4A_10_12"/>
      <w:bookmarkStart w:id="1037" w:name="Tc_5C4d6yHmcUaYhKwlzth66w_10_6"/>
      <w:bookmarkStart w:id="1038" w:name="Tc_iNP1B2ScE0a4sywXhGjDEQ_10_0"/>
      <w:bookmarkStart w:id="1039" w:name="Tc_NCG8lmRkXkyXD47YsgBJ0g_9_15"/>
      <w:bookmarkStart w:id="1040" w:name="Tc_08yMnLjVrUKlunghhtv23Q_9_12"/>
      <w:bookmarkStart w:id="1041" w:name="Tc_eH9NX3A7LkWN7UCE5HAUzQ_9_9"/>
      <w:bookmarkStart w:id="1042" w:name="Tc_UWZCXQxslUyn_UGKMGmYXg_9_6"/>
      <w:bookmarkStart w:id="1043" w:name="Tc_3VX91EwNwES0N15TJ3G_kA_9_3"/>
      <w:bookmarkStart w:id="1044" w:name="Tc_2cuR5jqN0kW3oVFXos5t8Q_9_0"/>
      <w:bookmarkStart w:id="1045" w:name="Tc_1C0yw_gZiUy9RU38N4-4ow_8_12"/>
      <w:bookmarkStart w:id="1046" w:name="Tc_Tk5UwCYF90uFVO5CNbUmmA_8_6"/>
      <w:bookmarkStart w:id="1047" w:name="Tc_IUhL8_S6TUOjoYV3ikNUgA_8_0"/>
      <w:bookmarkStart w:id="1048" w:name="Tc_NB-WvmgYPkCkJsUXtRs7OQ_6_0"/>
      <w:bookmarkStart w:id="1049" w:name="Tc_wlq4drVd-0-4Z2v-Q8r5tQ_5_12"/>
      <w:bookmarkStart w:id="1050" w:name="Tc_gt2BmMUBaEun_lkFB89eUA_5_6"/>
      <w:bookmarkStart w:id="1051" w:name="Tc_VR2kBe8VGEyNGOCeuvYSYw_5_3"/>
      <w:bookmarkStart w:id="1052" w:name="Tc_eHBzlMW1mU-aNVbaM4kTkg_5_0"/>
      <w:bookmarkStart w:id="1053" w:name="Tc_Aw7um0GRykafrqJNE8Sp9A_4_14"/>
      <w:bookmarkStart w:id="1054" w:name="Tc_gGO0CFaEKUS6Qt0egfwlJQ_4_11"/>
      <w:bookmarkStart w:id="1055" w:name="Tc_58Is_ubq2EivKUGqviRhBw_4_8"/>
      <w:bookmarkStart w:id="1056" w:name="Tc_B9InBwf66kWNdjGJg6pktg_4_5"/>
      <w:bookmarkStart w:id="1057" w:name="Tc_8YPhs8asXEGVsbMFy-O4Vw_4_2"/>
      <w:bookmarkStart w:id="1058" w:name="Tc_T1zjj5Y5DU6rBzvtGZqplg_4_0"/>
      <w:bookmarkStart w:id="1059" w:name="Tc_xZO5tyKC0UGzbUU1TPiIeQ_3_2"/>
      <w:bookmarkStart w:id="1060" w:name="Tc_nCG4SKuv10WYlE0OGYarUQ_2_14"/>
      <w:bookmarkStart w:id="1061" w:name="Tc_kw02MVe99EiTV_zijlQOqg_2_11"/>
      <w:bookmarkStart w:id="1062" w:name="Tc_HhZC2hIlykudMgWQs9fz_Q_2_8"/>
      <w:bookmarkStart w:id="1063" w:name="Tc_8S9YUU5h7EiAGLn7K99Glw_2_5"/>
      <w:bookmarkStart w:id="1064" w:name="Tc_OctzAcTCgUOQ2aqfGxBokQ_2_2"/>
      <w:bookmarkStart w:id="1065" w:name="Tc_6uUw4tep-0qSDAGcxBvHWQ_1_2"/>
      <w:bookmarkStart w:id="1066" w:name="_fd7d43b4_08f2_4ac3_b6aa_45b6e3d44f80"/>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r>
        <w:rPr>
          <w:rFonts w:ascii="Times New Roman;Times;serif" w:hAnsi="Times New Roman;Times;serif"/>
          <w:b/>
          <w:sz w:val="20"/>
        </w:rPr>
        <w:t>11.  Goodwill and Intangible Assets,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Goodwill consists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31"/>
        <w:gridCol w:w="346"/>
        <w:gridCol w:w="365"/>
        <w:gridCol w:w="731"/>
        <w:gridCol w:w="346"/>
        <w:gridCol w:w="539"/>
        <w:gridCol w:w="885"/>
        <w:gridCol w:w="346"/>
        <w:gridCol w:w="477"/>
        <w:gridCol w:w="787"/>
        <w:gridCol w:w="346"/>
        <w:gridCol w:w="301"/>
        <w:gridCol w:w="495"/>
        <w:gridCol w:w="346"/>
        <w:gridCol w:w="361"/>
        <w:gridCol w:w="903"/>
      </w:tblGrid>
      <w:tr>
        <w:trPr/>
        <w:tc>
          <w:tcPr>
            <w:tcW w:w="2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670685" cy="175260"/>
                      <wp:effectExtent l="0" t="0" r="0" b="0"/>
                      <wp:wrapNone/>
                      <wp:docPr id="310" name="Frame310"/>
                      <a:graphic xmlns:a="http://schemas.openxmlformats.org/drawingml/2006/main">
                        <a:graphicData uri="http://schemas.microsoft.com/office/word/2010/wordprocessingShape">
                          <wps:wsp>
                            <wps:cNvSpPr txBox="1"/>
                            <wps:spPr>
                              <a:xfrm>
                                <a:off x="0" y="0"/>
                                <a:ext cx="167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31775" cy="175260"/>
                      <wp:effectExtent l="0" t="0" r="0" b="0"/>
                      <wp:wrapNone/>
                      <wp:docPr id="312" name="Frame312"/>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64185" cy="175260"/>
                      <wp:effectExtent l="0" t="0" r="0" b="0"/>
                      <wp:wrapNone/>
                      <wp:docPr id="313" name="Frame313"/>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42265" cy="175260"/>
                      <wp:effectExtent l="0" t="0" r="0" b="0"/>
                      <wp:wrapNone/>
                      <wp:docPr id="315" name="Frame315"/>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61975" cy="175260"/>
                      <wp:effectExtent l="0" t="0" r="0" b="0"/>
                      <wp:wrapNone/>
                      <wp:docPr id="316" name="Frame316"/>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02895" cy="175260"/>
                      <wp:effectExtent l="0" t="0" r="0" b="0"/>
                      <wp:wrapNone/>
                      <wp:docPr id="318" name="Frame318"/>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99745" cy="175260"/>
                      <wp:effectExtent l="0" t="0" r="0" b="0"/>
                      <wp:wrapNone/>
                      <wp:docPr id="319" name="Frame319"/>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91135" cy="175260"/>
                      <wp:effectExtent l="0" t="0" r="0" b="0"/>
                      <wp:wrapNone/>
                      <wp:docPr id="321" name="Frame321"/>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14325" cy="175260"/>
                      <wp:effectExtent l="0" t="0" r="0" b="0"/>
                      <wp:wrapNone/>
                      <wp:docPr id="322" name="Frame322"/>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29235" cy="175260"/>
                      <wp:effectExtent l="0" t="0" r="0" b="0"/>
                      <wp:wrapNone/>
                      <wp:docPr id="324" name="Frame32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73405" cy="175260"/>
                      <wp:effectExtent l="0" t="0" r="0" b="0"/>
                      <wp:wrapNone/>
                      <wp:docPr id="325" name="Frame325"/>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28"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2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Automotive</w:t>
            </w:r>
          </w:p>
        </w:tc>
        <w:tc>
          <w:tcPr>
            <w:tcW w:w="346" w:type="dxa"/>
            <w:tcBorders/>
            <w:vAlign w:val="center"/>
          </w:tcPr>
          <w:p>
            <w:pPr>
              <w:pStyle w:val="TableContents"/>
              <w:bidi w:val="0"/>
              <w:spacing w:before="0" w:after="1"/>
              <w:ind w:left="0" w:right="0" w:hanging="0"/>
              <w:jc w:val="left"/>
              <w:rPr/>
            </w:pPr>
            <w:r>
              <w:rPr/>
              <w:t>  ​ ​ ​</w:t>
            </w:r>
          </w:p>
        </w:tc>
        <w:tc>
          <w:tcPr>
            <w:tcW w:w="14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Food Packaging</w:t>
            </w:r>
          </w:p>
        </w:tc>
        <w:tc>
          <w:tcPr>
            <w:tcW w:w="346" w:type="dxa"/>
            <w:tcBorders/>
            <w:vAlign w:val="center"/>
          </w:tcPr>
          <w:p>
            <w:pPr>
              <w:pStyle w:val="TableContents"/>
              <w:bidi w:val="0"/>
              <w:spacing w:before="0" w:after="1"/>
              <w:ind w:left="0" w:right="0" w:hanging="0"/>
              <w:jc w:val="left"/>
              <w:rPr/>
            </w:pPr>
            <w:r>
              <w:rPr/>
              <w:t>  ​ ​ ​</w:t>
            </w:r>
          </w:p>
        </w:tc>
        <w:tc>
          <w:tcPr>
            <w:tcW w:w="12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Home Fashion</w:t>
            </w:r>
          </w:p>
        </w:tc>
        <w:tc>
          <w:tcPr>
            <w:tcW w:w="346"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Pharma</w:t>
            </w:r>
          </w:p>
        </w:tc>
        <w:tc>
          <w:tcPr>
            <w:tcW w:w="346" w:type="dxa"/>
            <w:tcBorders/>
            <w:vAlign w:val="center"/>
          </w:tcPr>
          <w:p>
            <w:pPr>
              <w:pStyle w:val="TableContents"/>
              <w:bidi w:val="0"/>
              <w:spacing w:before="0" w:after="1"/>
              <w:ind w:left="0" w:right="0" w:hanging="0"/>
              <w:jc w:val="left"/>
              <w:rPr/>
            </w:pPr>
            <w:r>
              <w:rPr/>
              <w:t>  ​ ​ ​</w:t>
            </w:r>
          </w:p>
        </w:tc>
        <w:tc>
          <w:tcPr>
            <w:tcW w:w="12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Consolidated</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28" w:type="dxa"/>
            <w:gridSpan w:val="1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carrying amount, Jan 1</w:t>
            </w:r>
          </w:p>
        </w:tc>
        <w:tc>
          <w:tcPr>
            <w:tcW w:w="34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4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2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w:t>
            </w:r>
          </w:p>
        </w:tc>
        <w:tc>
          <w:tcPr>
            <w:tcW w:w="346" w:type="dxa"/>
            <w:tcBorders/>
            <w:vAlign w:val="center"/>
          </w:tcPr>
          <w:p>
            <w:pPr>
              <w:pStyle w:val="TableContents"/>
              <w:bidi w:val="0"/>
              <w:spacing w:before="0" w:after="1"/>
              <w:ind w:left="0" w:right="0" w:hanging="0"/>
              <w:jc w:val="left"/>
              <w:rPr/>
            </w:pPr>
            <w:r>
              <w:rPr/>
              <w:t> </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4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 </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carrying amount, Dec 31</w:t>
            </w:r>
          </w:p>
        </w:tc>
        <w:tc>
          <w:tcPr>
            <w:tcW w:w="346" w:type="dxa"/>
            <w:tcBorders/>
            <w:shd w:fill="CCEEFF" w:val="clear"/>
            <w:vAlign w:val="center"/>
          </w:tcPr>
          <w:p>
            <w:pPr>
              <w:pStyle w:val="TableContents"/>
              <w:bidi w:val="0"/>
              <w:spacing w:before="0" w:after="1"/>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shd w:fill="CCEEFF" w:val="clear"/>
            <w:vAlign w:val="center"/>
          </w:tcPr>
          <w:p>
            <w:pPr>
              <w:pStyle w:val="TableContents"/>
              <w:bidi w:val="0"/>
              <w:spacing w:before="0" w:after="1"/>
              <w:ind w:left="0" w:right="0" w:hanging="0"/>
              <w:jc w:val="left"/>
              <w:rPr/>
            </w:pPr>
            <w:r>
              <w:rPr/>
              <w:t> </w:t>
            </w:r>
          </w:p>
        </w:tc>
        <w:tc>
          <w:tcPr>
            <w:tcW w:w="5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1"/>
              <w:ind w:left="0" w:right="0" w:hanging="0"/>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 </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r>
      <w:tr>
        <w:trPr/>
        <w:tc>
          <w:tcPr>
            <w:tcW w:w="2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49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pPr>
            <w:r>
              <w:rPr/>
              <w:t>​</w:t>
            </w:r>
          </w:p>
        </w:tc>
      </w:tr>
      <w:tr>
        <w:trPr/>
        <w:tc>
          <w:tcPr>
            <w:tcW w:w="2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impairment, Jan 1</w:t>
            </w:r>
          </w:p>
        </w:tc>
        <w:tc>
          <w:tcPr>
            <w:tcW w:w="346" w:type="dxa"/>
            <w:tcBorders/>
            <w:shd w:fill="CCEEFF" w:val="clear"/>
            <w:vAlign w:val="center"/>
          </w:tcPr>
          <w:p>
            <w:pPr>
              <w:pStyle w:val="TableContents"/>
              <w:bidi w:val="0"/>
              <w:spacing w:before="0" w:after="1"/>
              <w:ind w:left="0" w:right="0" w:hanging="0"/>
              <w:jc w:val="left"/>
              <w:rPr/>
            </w:pPr>
            <w:r>
              <w:rPr/>
              <w:t> </w:t>
            </w:r>
          </w:p>
        </w:tc>
        <w:tc>
          <w:tcPr>
            <w:tcW w:w="365"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1"/>
              <w:ind w:left="0" w:right="0" w:hanging="0"/>
              <w:jc w:val="left"/>
              <w:rPr/>
            </w:pPr>
            <w:r>
              <w:rPr/>
              <w:t> </w:t>
            </w:r>
          </w:p>
        </w:tc>
        <w:tc>
          <w:tcPr>
            <w:tcW w:w="539"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77"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301" w:type="dxa"/>
            <w:tcBorders/>
            <w:shd w:fill="CCEEFF" w:val="clear"/>
            <w:vAlign w:val="center"/>
          </w:tcPr>
          <w:p>
            <w:pPr>
              <w:pStyle w:val="TableContents"/>
              <w:bidi w:val="0"/>
              <w:spacing w:before="0" w:after="1"/>
              <w:ind w:left="0" w:right="0" w:hanging="0"/>
              <w:jc w:val="left"/>
              <w:rPr/>
            </w:pPr>
            <w:r>
              <w:rPr/>
              <w:t>​</w:t>
            </w:r>
          </w:p>
        </w:tc>
        <w:tc>
          <w:tcPr>
            <w:tcW w:w="49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2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46" w:type="dxa"/>
            <w:tcBorders/>
            <w:vAlign w:val="center"/>
          </w:tcPr>
          <w:p>
            <w:pPr>
              <w:pStyle w:val="TableContents"/>
              <w:bidi w:val="0"/>
              <w:spacing w:before="0" w:after="1"/>
              <w:ind w:left="0" w:right="0" w:hanging="0"/>
              <w:jc w:val="left"/>
              <w:rPr/>
            </w:pPr>
            <w:r>
              <w:rPr/>
              <w:t> </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4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impairment, Dec 31</w:t>
            </w:r>
          </w:p>
        </w:tc>
        <w:tc>
          <w:tcPr>
            <w:tcW w:w="346" w:type="dxa"/>
            <w:tcBorders/>
            <w:shd w:fill="CCEEFF" w:val="clear"/>
            <w:vAlign w:val="center"/>
          </w:tcPr>
          <w:p>
            <w:pPr>
              <w:pStyle w:val="TableContents"/>
              <w:bidi w:val="0"/>
              <w:spacing w:before="0" w:after="1"/>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1"/>
              <w:ind w:left="0" w:right="0" w:hanging="0"/>
              <w:jc w:val="left"/>
              <w:rPr/>
            </w:pPr>
            <w:r>
              <w:rPr/>
              <w:t> </w:t>
            </w:r>
          </w:p>
        </w:tc>
        <w:tc>
          <w:tcPr>
            <w:tcW w:w="5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2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49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pPr>
            <w:r>
              <w:rPr/>
              <w:t>​</w:t>
            </w:r>
          </w:p>
        </w:tc>
      </w:tr>
      <w:tr>
        <w:trPr/>
        <w:tc>
          <w:tcPr>
            <w:tcW w:w="2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carrying value, Dec 31</w:t>
            </w:r>
          </w:p>
        </w:tc>
        <w:tc>
          <w:tcPr>
            <w:tcW w:w="346" w:type="dxa"/>
            <w:tcBorders/>
            <w:shd w:fill="CCEEFF" w:val="clear"/>
            <w:vAlign w:val="center"/>
          </w:tcPr>
          <w:p>
            <w:pPr>
              <w:pStyle w:val="TableContents"/>
              <w:bidi w:val="0"/>
              <w:spacing w:before="0" w:after="1"/>
              <w:ind w:left="0" w:right="0" w:hanging="0"/>
              <w:jc w:val="left"/>
              <w:rPr/>
            </w:pPr>
            <w:r>
              <w:rPr/>
              <w:t>​</w:t>
            </w:r>
          </w:p>
        </w:tc>
        <w:tc>
          <w:tcPr>
            <w:tcW w:w="3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shd w:fill="CCEEFF" w:val="clear"/>
            <w:vAlign w:val="center"/>
          </w:tcPr>
          <w:p>
            <w:pPr>
              <w:pStyle w:val="TableContents"/>
              <w:bidi w:val="0"/>
              <w:spacing w:before="0" w:after="1"/>
              <w:ind w:left="0" w:right="0" w:hanging="0"/>
              <w:jc w:val="left"/>
              <w:rPr/>
            </w:pPr>
            <w:r>
              <w:rPr/>
              <w:t>​</w:t>
            </w:r>
          </w:p>
        </w:tc>
        <w:tc>
          <w:tcPr>
            <w:tcW w:w="5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4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1"/>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290</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31"/>
        <w:gridCol w:w="346"/>
        <w:gridCol w:w="365"/>
        <w:gridCol w:w="731"/>
        <w:gridCol w:w="346"/>
        <w:gridCol w:w="539"/>
        <w:gridCol w:w="885"/>
        <w:gridCol w:w="346"/>
        <w:gridCol w:w="477"/>
        <w:gridCol w:w="787"/>
        <w:gridCol w:w="346"/>
        <w:gridCol w:w="301"/>
        <w:gridCol w:w="495"/>
        <w:gridCol w:w="346"/>
        <w:gridCol w:w="361"/>
        <w:gridCol w:w="903"/>
      </w:tblGrid>
      <w:tr>
        <w:trPr/>
        <w:tc>
          <w:tcPr>
            <w:tcW w:w="2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670685" cy="175260"/>
                      <wp:effectExtent l="0" t="0" r="0" b="0"/>
                      <wp:wrapNone/>
                      <wp:docPr id="326" name="Frame326"/>
                      <a:graphic xmlns:a="http://schemas.openxmlformats.org/drawingml/2006/main">
                        <a:graphicData uri="http://schemas.microsoft.com/office/word/2010/wordprocessingShape">
                          <wps:wsp>
                            <wps:cNvSpPr txBox="1"/>
                            <wps:spPr>
                              <a:xfrm>
                                <a:off x="0" y="0"/>
                                <a:ext cx="167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31775" cy="175260"/>
                      <wp:effectExtent l="0" t="0" r="0" b="0"/>
                      <wp:wrapNone/>
                      <wp:docPr id="328" name="Frame328"/>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64185" cy="175260"/>
                      <wp:effectExtent l="0" t="0" r="0" b="0"/>
                      <wp:wrapNone/>
                      <wp:docPr id="329" name="Frame329"/>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42265" cy="175260"/>
                      <wp:effectExtent l="0" t="0" r="0" b="0"/>
                      <wp:wrapNone/>
                      <wp:docPr id="331" name="Frame331"/>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61975" cy="175260"/>
                      <wp:effectExtent l="0" t="0" r="0" b="0"/>
                      <wp:wrapNone/>
                      <wp:docPr id="332" name="Frame332"/>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3"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302895" cy="175260"/>
                      <wp:effectExtent l="0" t="0" r="0" b="0"/>
                      <wp:wrapNone/>
                      <wp:docPr id="334" name="Frame334"/>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99745" cy="175260"/>
                      <wp:effectExtent l="0" t="0" r="0" b="0"/>
                      <wp:wrapNone/>
                      <wp:docPr id="335" name="Frame335"/>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6"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91135" cy="175260"/>
                      <wp:effectExtent l="0" t="0" r="0" b="0"/>
                      <wp:wrapNone/>
                      <wp:docPr id="337" name="Frame33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314325" cy="175260"/>
                      <wp:effectExtent l="0" t="0" r="0" b="0"/>
                      <wp:wrapNone/>
                      <wp:docPr id="338" name="Frame338"/>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29235" cy="175260"/>
                      <wp:effectExtent l="0" t="0" r="0" b="0"/>
                      <wp:wrapNone/>
                      <wp:docPr id="340" name="Frame34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73405" cy="175260"/>
                      <wp:effectExtent l="0" t="0" r="0" b="0"/>
                      <wp:wrapNone/>
                      <wp:docPr id="341" name="Frame341"/>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28"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2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Automotive</w:t>
            </w:r>
          </w:p>
        </w:tc>
        <w:tc>
          <w:tcPr>
            <w:tcW w:w="346" w:type="dxa"/>
            <w:tcBorders/>
            <w:vAlign w:val="center"/>
          </w:tcPr>
          <w:p>
            <w:pPr>
              <w:pStyle w:val="TableContents"/>
              <w:bidi w:val="0"/>
              <w:spacing w:before="0" w:after="1"/>
              <w:ind w:left="0" w:right="0" w:hanging="0"/>
              <w:jc w:val="left"/>
              <w:rPr/>
            </w:pPr>
            <w:r>
              <w:rPr/>
              <w:t>  ​ ​ ​</w:t>
            </w:r>
          </w:p>
        </w:tc>
        <w:tc>
          <w:tcPr>
            <w:tcW w:w="14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Food Packaging</w:t>
            </w:r>
          </w:p>
        </w:tc>
        <w:tc>
          <w:tcPr>
            <w:tcW w:w="346" w:type="dxa"/>
            <w:tcBorders/>
            <w:vAlign w:val="center"/>
          </w:tcPr>
          <w:p>
            <w:pPr>
              <w:pStyle w:val="TableContents"/>
              <w:bidi w:val="0"/>
              <w:spacing w:before="0" w:after="1"/>
              <w:ind w:left="0" w:right="0" w:hanging="0"/>
              <w:jc w:val="left"/>
              <w:rPr/>
            </w:pPr>
            <w:r>
              <w:rPr/>
              <w:t>  ​ ​ ​</w:t>
            </w:r>
          </w:p>
        </w:tc>
        <w:tc>
          <w:tcPr>
            <w:tcW w:w="12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Home Fashion</w:t>
            </w:r>
          </w:p>
        </w:tc>
        <w:tc>
          <w:tcPr>
            <w:tcW w:w="346"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Pharma</w:t>
            </w:r>
          </w:p>
        </w:tc>
        <w:tc>
          <w:tcPr>
            <w:tcW w:w="346" w:type="dxa"/>
            <w:tcBorders/>
            <w:vAlign w:val="center"/>
          </w:tcPr>
          <w:p>
            <w:pPr>
              <w:pStyle w:val="TableContents"/>
              <w:bidi w:val="0"/>
              <w:spacing w:before="0" w:after="1"/>
              <w:ind w:left="0" w:right="0" w:hanging="0"/>
              <w:jc w:val="left"/>
              <w:rPr/>
            </w:pPr>
            <w:r>
              <w:rPr/>
              <w:t>  ​ ​ ​</w:t>
            </w:r>
          </w:p>
        </w:tc>
        <w:tc>
          <w:tcPr>
            <w:tcW w:w="12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Consolidated</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28" w:type="dxa"/>
            <w:gridSpan w:val="1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carrying amount, Jan 1</w:t>
            </w:r>
          </w:p>
        </w:tc>
        <w:tc>
          <w:tcPr>
            <w:tcW w:w="34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shd w:fill="CCEEFF" w:val="clear"/>
            <w:vAlign w:val="center"/>
          </w:tcPr>
          <w:p>
            <w:pPr>
              <w:pStyle w:val="TableContents"/>
              <w:bidi w:val="0"/>
              <w:spacing w:before="0" w:after="1"/>
              <w:ind w:left="0" w:right="0" w:hanging="0"/>
              <w:jc w:val="left"/>
              <w:rPr/>
            </w:pPr>
            <w:r>
              <w:rPr/>
              <w:t> </w:t>
            </w:r>
          </w:p>
        </w:tc>
        <w:tc>
          <w:tcPr>
            <w:tcW w:w="5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4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1"/>
              <w:ind w:left="0" w:right="0" w:hanging="0"/>
              <w:jc w:val="left"/>
              <w:rPr/>
            </w:pPr>
            <w:r>
              <w:rPr/>
              <w:t> </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2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w:t>
            </w:r>
          </w:p>
        </w:tc>
        <w:tc>
          <w:tcPr>
            <w:tcW w:w="346" w:type="dxa"/>
            <w:tcBorders/>
            <w:vAlign w:val="center"/>
          </w:tcPr>
          <w:p>
            <w:pPr>
              <w:pStyle w:val="TableContents"/>
              <w:bidi w:val="0"/>
              <w:spacing w:before="0" w:after="1"/>
              <w:ind w:left="0" w:right="0" w:hanging="0"/>
              <w:jc w:val="left"/>
              <w:rPr/>
            </w:pPr>
            <w:r>
              <w:rPr/>
              <w:t> </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4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carrying amount, Dec 31</w:t>
            </w:r>
          </w:p>
        </w:tc>
        <w:tc>
          <w:tcPr>
            <w:tcW w:w="346" w:type="dxa"/>
            <w:tcBorders/>
            <w:shd w:fill="CCEEFF" w:val="clear"/>
            <w:vAlign w:val="center"/>
          </w:tcPr>
          <w:p>
            <w:pPr>
              <w:pStyle w:val="TableContents"/>
              <w:bidi w:val="0"/>
              <w:spacing w:before="0" w:after="1"/>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shd w:fill="CCEEFF" w:val="clear"/>
            <w:vAlign w:val="center"/>
          </w:tcPr>
          <w:p>
            <w:pPr>
              <w:pStyle w:val="TableContents"/>
              <w:bidi w:val="0"/>
              <w:spacing w:before="0" w:after="1"/>
              <w:ind w:left="0" w:right="0" w:hanging="0"/>
              <w:jc w:val="left"/>
              <w:rPr/>
            </w:pPr>
            <w:r>
              <w:rPr/>
              <w:t> </w:t>
            </w:r>
          </w:p>
        </w:tc>
        <w:tc>
          <w:tcPr>
            <w:tcW w:w="5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1"/>
              <w:ind w:left="0" w:right="0" w:hanging="0"/>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 </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2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49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pPr>
            <w:r>
              <w:rPr/>
              <w:t>​</w:t>
            </w:r>
          </w:p>
        </w:tc>
      </w:tr>
      <w:tr>
        <w:trPr/>
        <w:tc>
          <w:tcPr>
            <w:tcW w:w="2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impairment, Jan 1</w:t>
            </w:r>
          </w:p>
        </w:tc>
        <w:tc>
          <w:tcPr>
            <w:tcW w:w="346" w:type="dxa"/>
            <w:tcBorders/>
            <w:shd w:fill="CCEEFF" w:val="clear"/>
            <w:vAlign w:val="center"/>
          </w:tcPr>
          <w:p>
            <w:pPr>
              <w:pStyle w:val="TableContents"/>
              <w:bidi w:val="0"/>
              <w:spacing w:before="0" w:after="1"/>
              <w:ind w:left="0" w:right="0" w:hanging="0"/>
              <w:jc w:val="left"/>
              <w:rPr/>
            </w:pPr>
            <w:r>
              <w:rPr/>
              <w:t> </w:t>
            </w:r>
          </w:p>
        </w:tc>
        <w:tc>
          <w:tcPr>
            <w:tcW w:w="365"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1"/>
              <w:ind w:left="0" w:right="0" w:hanging="0"/>
              <w:jc w:val="left"/>
              <w:rPr/>
            </w:pPr>
            <w:r>
              <w:rPr/>
              <w:t> </w:t>
            </w:r>
          </w:p>
        </w:tc>
        <w:tc>
          <w:tcPr>
            <w:tcW w:w="539"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77"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301" w:type="dxa"/>
            <w:tcBorders/>
            <w:shd w:fill="CCEEFF" w:val="clear"/>
            <w:vAlign w:val="center"/>
          </w:tcPr>
          <w:p>
            <w:pPr>
              <w:pStyle w:val="TableContents"/>
              <w:bidi w:val="0"/>
              <w:spacing w:before="0" w:after="1"/>
              <w:ind w:left="0" w:right="0" w:hanging="0"/>
              <w:jc w:val="left"/>
              <w:rPr/>
            </w:pPr>
            <w:r>
              <w:rPr/>
              <w:t>​</w:t>
            </w:r>
          </w:p>
        </w:tc>
        <w:tc>
          <w:tcPr>
            <w:tcW w:w="49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2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46" w:type="dxa"/>
            <w:tcBorders/>
            <w:vAlign w:val="center"/>
          </w:tcPr>
          <w:p>
            <w:pPr>
              <w:pStyle w:val="TableContents"/>
              <w:bidi w:val="0"/>
              <w:spacing w:before="0" w:after="1"/>
              <w:ind w:left="0" w:right="0" w:hanging="0"/>
              <w:jc w:val="left"/>
              <w:rPr/>
            </w:pPr>
            <w:r>
              <w:rPr/>
              <w:t> </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4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impairment, Dec 31</w:t>
            </w:r>
          </w:p>
        </w:tc>
        <w:tc>
          <w:tcPr>
            <w:tcW w:w="346" w:type="dxa"/>
            <w:tcBorders/>
            <w:shd w:fill="CCEEFF" w:val="clear"/>
            <w:vAlign w:val="center"/>
          </w:tcPr>
          <w:p>
            <w:pPr>
              <w:pStyle w:val="TableContents"/>
              <w:bidi w:val="0"/>
              <w:spacing w:before="0" w:after="1"/>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1"/>
              <w:ind w:left="0" w:right="0" w:hanging="0"/>
              <w:jc w:val="left"/>
              <w:rPr/>
            </w:pPr>
            <w:r>
              <w:rPr/>
              <w:t> </w:t>
            </w:r>
          </w:p>
        </w:tc>
        <w:tc>
          <w:tcPr>
            <w:tcW w:w="5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2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49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pPr>
            <w:r>
              <w:rPr/>
              <w:t>​</w:t>
            </w:r>
          </w:p>
        </w:tc>
      </w:tr>
      <w:tr>
        <w:trPr/>
        <w:tc>
          <w:tcPr>
            <w:tcW w:w="2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carrying value, Dec 31</w:t>
            </w:r>
          </w:p>
        </w:tc>
        <w:tc>
          <w:tcPr>
            <w:tcW w:w="346" w:type="dxa"/>
            <w:tcBorders/>
            <w:shd w:fill="CCEEFF" w:val="clear"/>
            <w:vAlign w:val="center"/>
          </w:tcPr>
          <w:p>
            <w:pPr>
              <w:pStyle w:val="TableContents"/>
              <w:bidi w:val="0"/>
              <w:spacing w:before="0" w:after="1"/>
              <w:ind w:left="0" w:right="0" w:hanging="0"/>
              <w:jc w:val="left"/>
              <w:rPr/>
            </w:pPr>
            <w:r>
              <w:rPr/>
              <w:t>​</w:t>
            </w:r>
          </w:p>
        </w:tc>
        <w:tc>
          <w:tcPr>
            <w:tcW w:w="36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shd w:fill="CCEEFF" w:val="clear"/>
            <w:vAlign w:val="center"/>
          </w:tcPr>
          <w:p>
            <w:pPr>
              <w:pStyle w:val="TableContents"/>
              <w:bidi w:val="0"/>
              <w:spacing w:before="0" w:after="1"/>
              <w:ind w:left="0" w:right="0" w:hanging="0"/>
              <w:jc w:val="left"/>
              <w:rPr/>
            </w:pPr>
            <w:r>
              <w:rPr/>
              <w:t>​</w:t>
            </w:r>
          </w:p>
        </w:tc>
        <w:tc>
          <w:tcPr>
            <w:tcW w:w="5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4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288</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Intangible assets, net consists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69"/>
        <w:gridCol w:w="346"/>
        <w:gridCol w:w="305"/>
        <w:gridCol w:w="613"/>
        <w:gridCol w:w="346"/>
        <w:gridCol w:w="379"/>
        <w:gridCol w:w="867"/>
        <w:gridCol w:w="346"/>
        <w:gridCol w:w="300"/>
        <w:gridCol w:w="601"/>
        <w:gridCol w:w="346"/>
        <w:gridCol w:w="300"/>
        <w:gridCol w:w="601"/>
        <w:gridCol w:w="346"/>
        <w:gridCol w:w="379"/>
        <w:gridCol w:w="867"/>
        <w:gridCol w:w="346"/>
        <w:gridCol w:w="270"/>
        <w:gridCol w:w="678"/>
      </w:tblGrid>
      <w:tr>
        <w:trPr/>
        <w:tc>
          <w:tcPr>
            <w:tcW w:w="1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250315" cy="175260"/>
                      <wp:effectExtent l="0" t="0" r="0" b="0"/>
                      <wp:wrapNone/>
                      <wp:docPr id="342" name="Frame342"/>
                      <a:graphic xmlns:a="http://schemas.openxmlformats.org/drawingml/2006/main">
                        <a:graphicData uri="http://schemas.microsoft.com/office/word/2010/wordprocessingShape">
                          <wps:wsp>
                            <wps:cNvSpPr txBox="1"/>
                            <wps:spPr>
                              <a:xfrm>
                                <a:off x="0" y="0"/>
                                <a:ext cx="1250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93675" cy="175260"/>
                      <wp:effectExtent l="0" t="0" r="0" b="0"/>
                      <wp:wrapNone/>
                      <wp:docPr id="344" name="Frame344"/>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89255" cy="175260"/>
                      <wp:effectExtent l="0" t="0" r="0" b="0"/>
                      <wp:wrapNone/>
                      <wp:docPr id="345" name="Frame345"/>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6"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40665" cy="175260"/>
                      <wp:effectExtent l="0" t="0" r="0" b="0"/>
                      <wp:wrapNone/>
                      <wp:docPr id="347" name="Frame347"/>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50545" cy="175260"/>
                      <wp:effectExtent l="0" t="0" r="0" b="0"/>
                      <wp:wrapNone/>
                      <wp:docPr id="348" name="Frame348"/>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9"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90500" cy="175260"/>
                      <wp:effectExtent l="0" t="0" r="0" b="0"/>
                      <wp:wrapNone/>
                      <wp:docPr id="350" name="Frame350"/>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81635" cy="175260"/>
                      <wp:effectExtent l="0" t="0" r="0" b="0"/>
                      <wp:wrapNone/>
                      <wp:docPr id="351" name="Frame35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90500" cy="175260"/>
                      <wp:effectExtent l="0" t="0" r="0" b="0"/>
                      <wp:wrapNone/>
                      <wp:docPr id="353" name="Frame353"/>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381635" cy="175260"/>
                      <wp:effectExtent l="0" t="0" r="0" b="0"/>
                      <wp:wrapNone/>
                      <wp:docPr id="354" name="Frame35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5"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40665" cy="175260"/>
                      <wp:effectExtent l="0" t="0" r="0" b="0"/>
                      <wp:wrapNone/>
                      <wp:docPr id="356" name="Frame356"/>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550545" cy="175260"/>
                      <wp:effectExtent l="0" t="0" r="0" b="0"/>
                      <wp:wrapNone/>
                      <wp:docPr id="357" name="Frame357"/>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71450" cy="175260"/>
                      <wp:effectExtent l="0" t="0" r="0" b="0"/>
                      <wp:wrapNone/>
                      <wp:docPr id="359" name="Frame359"/>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30530" cy="175260"/>
                      <wp:effectExtent l="0" t="0" r="0" b="0"/>
                      <wp:wrapNone/>
                      <wp:docPr id="360" name="Frame360"/>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5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1"/>
              <w:ind w:left="0" w:right="0" w:hanging="0"/>
              <w:jc w:val="left"/>
              <w:rPr/>
            </w:pPr>
            <w:r>
              <w:rPr/>
              <w:t>​</w:t>
            </w:r>
          </w:p>
        </w:tc>
        <w:tc>
          <w:tcPr>
            <w:tcW w:w="378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9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8"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Gross </w:t>
            </w:r>
          </w:p>
        </w:tc>
        <w:tc>
          <w:tcPr>
            <w:tcW w:w="346" w:type="dxa"/>
            <w:tcBorders/>
            <w:vAlign w:val="center"/>
          </w:tcPr>
          <w:p>
            <w:pPr>
              <w:pStyle w:val="TableContents"/>
              <w:bidi w:val="0"/>
              <w:spacing w:before="0" w:after="1"/>
              <w:ind w:left="0" w:right="0" w:hanging="0"/>
              <w:jc w:val="left"/>
              <w:rPr/>
            </w:pPr>
            <w:r>
              <w:rPr/>
              <w:t>  ​ ​ ​</w:t>
            </w:r>
          </w:p>
        </w:tc>
        <w:tc>
          <w:tcPr>
            <w:tcW w:w="379"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Net</w:t>
            </w:r>
          </w:p>
        </w:tc>
        <w:tc>
          <w:tcPr>
            <w:tcW w:w="346" w:type="dxa"/>
            <w:tcBorders/>
            <w:vAlign w:val="center"/>
          </w:tcPr>
          <w:p>
            <w:pPr>
              <w:pStyle w:val="TableContents"/>
              <w:bidi w:val="0"/>
              <w:spacing w:before="0" w:after="1"/>
              <w:ind w:left="0" w:right="0" w:hanging="0"/>
              <w:jc w:val="left"/>
              <w:rPr/>
            </w:pPr>
            <w:r>
              <w:rPr/>
              <w:t>  ​ ​ ​</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46" w:type="dxa"/>
            <w:tcBorders/>
            <w:vAlign w:val="center"/>
          </w:tcPr>
          <w:p>
            <w:pPr>
              <w:pStyle w:val="TableContents"/>
              <w:bidi w:val="0"/>
              <w:spacing w:before="0" w:after="1"/>
              <w:ind w:left="0" w:right="0" w:hanging="0"/>
              <w:jc w:val="left"/>
              <w:rPr/>
            </w:pPr>
            <w:r>
              <w:rPr/>
              <w:t>  ​ ​ ​</w:t>
            </w:r>
          </w:p>
        </w:tc>
        <w:tc>
          <w:tcPr>
            <w:tcW w:w="379"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48"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Net</w:t>
            </w:r>
          </w:p>
        </w:tc>
      </w:tr>
      <w:tr>
        <w:trPr/>
        <w:tc>
          <w:tcPr>
            <w:tcW w:w="19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8"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Carrying </w:t>
            </w:r>
          </w:p>
        </w:tc>
        <w:tc>
          <w:tcPr>
            <w:tcW w:w="346"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46"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46" w:type="dxa"/>
            <w:tcBorders/>
            <w:vAlign w:val="center"/>
          </w:tcPr>
          <w:p>
            <w:pPr>
              <w:pStyle w:val="TableContents"/>
              <w:bidi w:val="0"/>
              <w:spacing w:before="0" w:after="1"/>
              <w:ind w:left="0" w:right="0" w:hanging="0"/>
              <w:jc w:val="left"/>
              <w:rPr/>
            </w:pPr>
            <w:r>
              <w:rPr/>
              <w:t>​</w:t>
            </w:r>
          </w:p>
        </w:tc>
        <w:tc>
          <w:tcPr>
            <w:tcW w:w="948"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r>
      <w:tr>
        <w:trPr/>
        <w:tc>
          <w:tcPr>
            <w:tcW w:w="19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1"/>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1"/>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46" w:type="dxa"/>
            <w:tcBorders/>
            <w:vAlign w:val="center"/>
          </w:tcPr>
          <w:p>
            <w:pPr>
              <w:pStyle w:val="TableContents"/>
              <w:bidi w:val="0"/>
              <w:spacing w:before="0" w:after="1"/>
              <w:ind w:left="0" w:right="0" w:hanging="0"/>
              <w:jc w:val="left"/>
              <w:rPr/>
            </w:pPr>
            <w:r>
              <w:rPr/>
              <w:t>​</w:t>
            </w:r>
          </w:p>
        </w:tc>
        <w:tc>
          <w:tcPr>
            <w:tcW w:w="9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9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90" w:type="dxa"/>
            <w:gridSpan w:val="17"/>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9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Definite-lived intangible assets:</w:t>
            </w:r>
          </w:p>
        </w:tc>
        <w:tc>
          <w:tcPr>
            <w:tcW w:w="346" w:type="dxa"/>
            <w:tcBorders/>
            <w:shd w:fill="CCEEFF" w:val="clear"/>
            <w:vAlign w:val="center"/>
          </w:tcPr>
          <w:p>
            <w:pPr>
              <w:pStyle w:val="TableContents"/>
              <w:bidi w:val="0"/>
              <w:spacing w:before="0" w:after="1"/>
              <w:ind w:left="0" w:right="0" w:hanging="0"/>
              <w:jc w:val="left"/>
              <w:rPr/>
            </w:pPr>
            <w:r>
              <w:rPr/>
              <w:t> </w:t>
            </w:r>
          </w:p>
        </w:tc>
        <w:tc>
          <w:tcPr>
            <w:tcW w:w="305" w:type="dxa"/>
            <w:tcBorders/>
            <w:shd w:fill="CCEEFF" w:val="clear"/>
            <w:vAlign w:val="center"/>
          </w:tcPr>
          <w:p>
            <w:pPr>
              <w:pStyle w:val="TableContents"/>
              <w:bidi w:val="0"/>
              <w:spacing w:before="0" w:after="1"/>
              <w:ind w:left="0" w:right="0" w:hanging="0"/>
              <w:jc w:val="left"/>
              <w:rPr/>
            </w:pPr>
            <w:r>
              <w:rPr/>
              <w:t>​</w:t>
            </w:r>
          </w:p>
        </w:tc>
        <w:tc>
          <w:tcPr>
            <w:tcW w:w="61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79"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00"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00"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79"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70"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pPr>
            <w:r>
              <w:rPr/>
              <w:t>  ​</w:t>
            </w:r>
          </w:p>
        </w:tc>
      </w:tr>
      <w:tr>
        <w:trPr/>
        <w:tc>
          <w:tcPr>
            <w:tcW w:w="19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w:t>
            </w:r>
          </w:p>
        </w:tc>
        <w:tc>
          <w:tcPr>
            <w:tcW w:w="34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w:t>
            </w:r>
          </w:p>
        </w:tc>
        <w:tc>
          <w:tcPr>
            <w:tcW w:w="34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19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w:t>
            </w:r>
          </w:p>
        </w:tc>
        <w:tc>
          <w:tcPr>
            <w:tcW w:w="6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19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before="0" w:after="1"/>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vAlign w:val="center"/>
          </w:tcPr>
          <w:p>
            <w:pPr>
              <w:pStyle w:val="TableContents"/>
              <w:bidi w:val="0"/>
              <w:spacing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vAlign w:val="center"/>
          </w:tcPr>
          <w:p>
            <w:pPr>
              <w:pStyle w:val="TableContents"/>
              <w:bidi w:val="0"/>
              <w:spacing w:before="0" w:after="1"/>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19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w:t>
            </w:r>
          </w:p>
        </w:tc>
        <w:tc>
          <w:tcPr>
            <w:tcW w:w="346" w:type="dxa"/>
            <w:tcBorders/>
            <w:shd w:fill="CCEEFF" w:val="clear"/>
            <w:vAlign w:val="center"/>
          </w:tcPr>
          <w:p>
            <w:pPr>
              <w:pStyle w:val="TableContents"/>
              <w:bidi w:val="0"/>
              <w:spacing w:before="0" w:after="1"/>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w:t>
            </w:r>
          </w:p>
        </w:tc>
        <w:tc>
          <w:tcPr>
            <w:tcW w:w="346" w:type="dxa"/>
            <w:tcBorders/>
            <w:shd w:fill="CCEEFF" w:val="clear"/>
            <w:vAlign w:val="center"/>
          </w:tcPr>
          <w:p>
            <w:pPr>
              <w:pStyle w:val="TableContents"/>
              <w:bidi w:val="0"/>
              <w:spacing w:before="0" w:after="1"/>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19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6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pPr>
            <w:r>
              <w:rPr/>
              <w:t>​</w:t>
            </w:r>
          </w:p>
        </w:tc>
      </w:tr>
      <w:tr>
        <w:trPr/>
        <w:tc>
          <w:tcPr>
            <w:tcW w:w="19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Indefinite-lived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 </w:t>
            </w:r>
          </w:p>
        </w:tc>
        <w:tc>
          <w:tcPr>
            <w:tcW w:w="61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19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61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34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409</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bookmarkStart w:id="1067" w:name="Tc_PQqouWCQo06k0iVtCTqflg_9_2"/>
      <w:bookmarkStart w:id="1068" w:name="Tc_ujX0NLr_S0eItWj5l4jNxA_8_0"/>
      <w:bookmarkStart w:id="1069" w:name="Tc_YgiTcyL1mUuvNKSbpoYMFg_7_0"/>
      <w:bookmarkStart w:id="1070" w:name="Tc__ceFl06Eh0iwwgNxv0z6wA_6_0"/>
      <w:bookmarkStart w:id="1071" w:name="Tc_W-jMmZBsIEWVXQ15tSiTfw_5_0"/>
      <w:bookmarkStart w:id="1072" w:name="Tc_VVkpgRMtPk6nvMvSbmcFjw_4_0"/>
      <w:bookmarkStart w:id="1073" w:name="Tc_TOO0iZ1axEyL6sC5w0NTyQ_3_2"/>
      <w:bookmarkStart w:id="1074" w:name="Tc_BLDmsTR4Kkm7BZfb-4hxhg_3_0"/>
      <w:bookmarkStart w:id="1075" w:name="Tc_NjDrjHFYTki0B-fvESErmA_2_2"/>
      <w:bookmarkStart w:id="1076" w:name="Tc_84-3zNJf4EmZzliWqg3KMg_1_2"/>
      <w:bookmarkStart w:id="1077" w:name="Tc_t4OrVNetvkKqnJMpO-ZN7w_1_0"/>
      <w:bookmarkEnd w:id="1067"/>
      <w:bookmarkEnd w:id="1068"/>
      <w:bookmarkEnd w:id="1069"/>
      <w:bookmarkEnd w:id="1070"/>
      <w:bookmarkEnd w:id="1071"/>
      <w:bookmarkEnd w:id="1072"/>
      <w:bookmarkEnd w:id="1073"/>
      <w:bookmarkEnd w:id="1074"/>
      <w:bookmarkEnd w:id="1075"/>
      <w:bookmarkEnd w:id="1076"/>
      <w:bookmarkEnd w:id="1077"/>
      <w:r>
        <w:rPr>
          <w:rFonts w:ascii="Times New Roman;Times;serif" w:hAnsi="Times New Roman;Times;serif"/>
          <w:sz w:val="20"/>
        </w:rPr>
        <w:t xml:space="preserve">Amortization expense associated with definite-lived intangible assets for the years ended December 31, 2025, 2024 and 2023 was $58 million, $57 million and $58 million, respectively. We utilize the straight-line method of amortization, recognized over the estimated useful lives of the assets.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estimated future amortization expense for our definite-lived intangible assets is as follows:</w:t>
      </w:r>
    </w:p>
    <w:p>
      <w:pPr>
        <w:pStyle w:val="TextBody"/>
        <w:bidi w:val="0"/>
        <w:spacing w:before="0" w:after="0"/>
        <w:ind w:left="0" w:right="0" w:hanging="0"/>
        <w:jc w:val="left"/>
        <w:rPr/>
      </w:pPr>
      <w:r>
        <w:rPr/>
        <w:t>​</w:t>
      </w:r>
    </w:p>
    <w:tbl>
      <w:tblPr>
        <w:tblW w:w="2297" w:type="dxa"/>
        <w:jc w:val="left"/>
        <w:tblInd w:w="0" w:type="dxa"/>
        <w:tblLayout w:type="fixed"/>
        <w:tblCellMar>
          <w:top w:w="0" w:type="dxa"/>
          <w:left w:w="0" w:type="dxa"/>
          <w:bottom w:w="0" w:type="dxa"/>
          <w:right w:w="0" w:type="dxa"/>
        </w:tblCellMar>
      </w:tblPr>
      <w:tblGrid>
        <w:gridCol w:w="946"/>
        <w:gridCol w:w="346"/>
        <w:gridCol w:w="287"/>
        <w:gridCol w:w="718"/>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00710" cy="175260"/>
                      <wp:effectExtent l="0" t="0" r="0" b="0"/>
                      <wp:wrapNone/>
                      <wp:docPr id="361" name="Frame36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62"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82245" cy="175260"/>
                      <wp:effectExtent l="0" t="0" r="0" b="0"/>
                      <wp:wrapNone/>
                      <wp:docPr id="363" name="Frame363"/>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55930" cy="175260"/>
                      <wp:effectExtent l="0" t="0" r="0" b="0"/>
                      <wp:wrapNone/>
                      <wp:docPr id="364" name="Frame364"/>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w:t>
            </w:r>
          </w:p>
        </w:tc>
        <w:tc>
          <w:tcPr>
            <w:tcW w:w="346" w:type="dxa"/>
            <w:tcBorders/>
            <w:vAlign w:val="center"/>
          </w:tcPr>
          <w:p>
            <w:pPr>
              <w:pStyle w:val="TableContents"/>
              <w:bidi w:val="0"/>
              <w:spacing w:before="0" w:after="0"/>
              <w:ind w:left="0" w:right="0" w:hanging="0"/>
              <w:jc w:val="left"/>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Goodwill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When performing the quantitative analysis for goodwill impairment testing, we base the fair value of our reporting units on consideration of various valuation methodologies, including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perform the annual goodwill impairment test for our Automotive segment as of October 1 of each year, or more frequently if impairment indicators exist. On October 1, 2024, we performed a qualitative annual goodwill impairment analysis for our Automotive segment and we determined that it was not more likely than not that the fair value of the Service reporting unit was below its carrying amount and therefore, no impairment is required.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third quarter of 2024, we experienced declining sales in our Automotive Services business, due to, among other factors, reduced consumer spending on automotive repairs and maintenance and certain operational challenges, resulting in a reduction in expected future cash flows. This led to a goodwill triggering event during the quarter ended September 30, 2024. Our goodwill impairment testing concluded that no impairment was required at that time.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October and November of 2025, the Automotive segment transferred $465 million of owned land and buildings to the Real Estate segment. In connection with this transfer the Automotive segment determined the net assets of the company changed materially and therefore a triggering event occurred. The Automotive segment performed a quantitative analysis for goodwill impairment testing and concluded that its fair value exceeded its carrying value and therefore no impairment was recognized. In connection with this analysis the Automotive segment recognized $23 million of impairment of its long-lived assets and $2 million of impairment of its indefinite lived assets. As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December 31, 2025, our Automotive segment had remaining goodwill of $250 million, which is allocated entirely to its reporting unit.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conjunction with our goodwill impairment tests, we also performed a trademarks and brand names impairment analysis in accordance with FASB ASC 350, </w:t>
      </w:r>
      <w:r>
        <w:rPr>
          <w:rFonts w:ascii="Times New Roman;Times;serif" w:hAnsi="Times New Roman;Times;serif"/>
          <w:i/>
          <w:sz w:val="20"/>
        </w:rPr>
        <w:t>Intangibles-Goodwill and other</w:t>
      </w:r>
      <w:r>
        <w:rPr>
          <w:rFonts w:ascii="Times New Roman;Times;serif" w:hAnsi="Times New Roman;Times;serif"/>
          <w:sz w:val="20"/>
        </w:rPr>
        <w:t>. Our impairment analyses compared the fair values of these assets to the related carrying values, and impairment charges should be recorded for any excess of carrying values over fair values. The fair values of these assets were based upon the prospective stream of hypothetical after-tax royalty cost savings discounted at rates that reflect the rates of return appropriate for these intangible assets. The inputs used to determine the fair values of tradenames and trademarks are (i) the projected revenue growth, (ii) the royalty rate, (iii) the discount rate, and (iv) the tax rate. Following this analysis, our Automotive segment recognized no impairment charge in the fourth quarter of 2024 and a $2 million impairment charge in the fourth quarter of 2025. </w:t>
      </w:r>
    </w:p>
    <w:p>
      <w:pPr>
        <w:pStyle w:val="TextBody"/>
        <w:bidi w:val="0"/>
        <w:spacing w:before="0" w:after="240"/>
        <w:ind w:left="0" w:right="0" w:hanging="0"/>
        <w:jc w:val="left"/>
        <w:rPr>
          <w:rFonts w:ascii="Times New Roman;Times;serif" w:hAnsi="Times New Roman;Times;serif"/>
          <w:b/>
          <w:sz w:val="20"/>
        </w:rPr>
      </w:pPr>
      <w:bookmarkStart w:id="1078" w:name="Tc_xCv6rHP5p0mtQHsEFSKxBw_8_0"/>
      <w:bookmarkStart w:id="1079" w:name="Tc_Kzxq7jlruEuQ50LMbE73IA_5_5"/>
      <w:bookmarkStart w:id="1080" w:name="Tc_Cp5xN3Lba0OrZTW31MjvQg_5_2"/>
      <w:bookmarkStart w:id="1081" w:name="Tc_udGQWRYPKEGdqsqNbsu2sA_4_0"/>
      <w:bookmarkStart w:id="1082" w:name="Tc_Vz96puWBPUmoH-3lyc0Oew_3_2"/>
      <w:bookmarkStart w:id="1083" w:name="Tc_lkC8rkVYI0qXd6Ok9lWqiA_2_5"/>
      <w:bookmarkStart w:id="1084" w:name="Tc_4Qw3nlpT7Ei0rt4PADPP8w_2_2"/>
      <w:bookmarkStart w:id="1085" w:name="Tc_r52_fTG3o0eWjzF1gzZKAA_1_2"/>
      <w:bookmarkEnd w:id="1078"/>
      <w:bookmarkEnd w:id="1079"/>
      <w:bookmarkEnd w:id="1080"/>
      <w:bookmarkEnd w:id="1081"/>
      <w:bookmarkEnd w:id="1082"/>
      <w:bookmarkEnd w:id="1083"/>
      <w:bookmarkEnd w:id="1084"/>
      <w:bookmarkEnd w:id="1085"/>
      <w:r>
        <w:rPr>
          <w:rFonts w:ascii="Times New Roman;Times;serif" w:hAnsi="Times New Roman;Times;serif"/>
          <w:b/>
          <w:sz w:val="20"/>
        </w:rPr>
        <w:t>12. Leases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All Segments and Holding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included in other assets and other liabilities, respectively, on the consolidated balance sheet for leases with an initial lease term in excess of twelve months and therefore, do not include any lease arrangements with initial lease terms of twelve months or less.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Right-of-use assets and lease liabilities are as follows: </w:t>
      </w:r>
    </w:p>
    <w:p>
      <w:pPr>
        <w:pStyle w:val="TextBody"/>
        <w:bidi w:val="0"/>
        <w:spacing w:before="0" w:after="0"/>
        <w:ind w:left="0" w:right="0" w:hanging="0"/>
        <w:jc w:val="left"/>
        <w:rPr/>
      </w:pPr>
      <w:r>
        <w:rPr/>
        <w:t>​</w:t>
      </w:r>
    </w:p>
    <w:tbl>
      <w:tblPr>
        <w:tblW w:w="6652" w:type="dxa"/>
        <w:jc w:val="left"/>
        <w:tblInd w:w="0" w:type="dxa"/>
        <w:tblLayout w:type="fixed"/>
        <w:tblCellMar>
          <w:top w:w="0" w:type="dxa"/>
          <w:left w:w="0" w:type="dxa"/>
          <w:bottom w:w="0" w:type="dxa"/>
          <w:right w:w="0" w:type="dxa"/>
        </w:tblCellMar>
      </w:tblPr>
      <w:tblGrid>
        <w:gridCol w:w="4621"/>
        <w:gridCol w:w="346"/>
        <w:gridCol w:w="226"/>
        <w:gridCol w:w="421"/>
        <w:gridCol w:w="346"/>
        <w:gridCol w:w="226"/>
        <w:gridCol w:w="466"/>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934335" cy="175260"/>
                      <wp:effectExtent l="0" t="0" r="0" b="0"/>
                      <wp:wrapNone/>
                      <wp:docPr id="365" name="Frame365"/>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43510" cy="175260"/>
                      <wp:effectExtent l="0" t="0" r="0" b="0"/>
                      <wp:wrapNone/>
                      <wp:docPr id="367" name="Frame3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67335" cy="175260"/>
                      <wp:effectExtent l="0" t="0" r="0" b="0"/>
                      <wp:wrapNone/>
                      <wp:docPr id="368" name="Frame36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43510" cy="175260"/>
                      <wp:effectExtent l="0" t="0" r="0" b="0"/>
                      <wp:wrapNone/>
                      <wp:docPr id="370" name="Frame37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95910" cy="175260"/>
                      <wp:effectExtent l="0" t="0" r="0" b="0"/>
                      <wp:wrapNone/>
                      <wp:docPr id="371" name="Frame37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4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665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8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6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center"/>
              <w:rPr/>
            </w:pPr>
            <w:r>
              <w:rPr/>
              <w:t>​</w:t>
            </w:r>
          </w:p>
        </w:tc>
      </w:tr>
      <w:tr>
        <w:trPr/>
        <w:tc>
          <w:tcPr>
            <w:tcW w:w="462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462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(accrued expenses and other liabilities)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w:t>
            </w:r>
          </w:p>
        </w:tc>
      </w:tr>
      <w:tr>
        <w:trPr/>
        <w:tc>
          <w:tcPr>
            <w:tcW w:w="46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r>
      <w:tr>
        <w:trPr/>
        <w:tc>
          <w:tcPr>
            <w:tcW w:w="46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Leases: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pPr>
            <w:r>
              <w:rPr/>
              <w:t>​</w:t>
            </w:r>
          </w:p>
        </w:tc>
      </w:tr>
      <w:tr>
        <w:trPr/>
        <w:tc>
          <w:tcPr>
            <w:tcW w:w="462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(property, plant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462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(debt)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83</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bookmarkStart w:id="1086" w:name="Tc_iWRCPFzpvEWQlUAKC0XJUw_12_5"/>
      <w:bookmarkStart w:id="1087" w:name="Tc_Ps58JSdKUUKWEPevVCof3g_12_2"/>
      <w:bookmarkStart w:id="1088" w:name="Tc_1wZSYoqCIEmbtqh0ABQ4ZA_11_0"/>
      <w:bookmarkStart w:id="1089" w:name="Tc_p_FPWU3bzkWedDb5wCKb9A_10_0"/>
      <w:bookmarkStart w:id="1090" w:name="Tc_pvoDA9mimkyfmNET4r0Egw_9_0"/>
      <w:bookmarkStart w:id="1091" w:name="Tc_ibgDEHyqdkaBB9qX0e8w_g_8_0"/>
      <w:bookmarkStart w:id="1092" w:name="Tc_IuCmNZDVzUiGfAERRtRIBQ_7_0"/>
      <w:bookmarkStart w:id="1093" w:name="Tc_j5WIZeQdfEWLQB702P6xeg_6_0"/>
      <w:bookmarkStart w:id="1094" w:name="Tc_jG4dNSXm50KthsGWJ16-mQ_5_0"/>
      <w:bookmarkStart w:id="1095" w:name="Tc_pwDlddy_KEm1Jq7v4IUv9g_4_5"/>
      <w:bookmarkStart w:id="1096" w:name="Tc_VooB_eWb8EiTV0gAkMkWEw_4_2"/>
      <w:bookmarkStart w:id="1097" w:name="Tc_uEHNXpmiVkCJmRMpXEw5PQ_4_0"/>
      <w:bookmarkStart w:id="1098" w:name="Tc_eNmIs4Cp0UmFouWEEpBvaw_3_2"/>
      <w:bookmarkStart w:id="1099" w:name="Tc_93RQNGULpEeY5n5BeVXZzA_2_5"/>
      <w:bookmarkStart w:id="1100" w:name="Tc_x3OrmmZu2UWrRExVnX_2xQ_2_2"/>
      <w:bookmarkStart w:id="1101" w:name="Tc_hWhFj7_okkeOgyXLfHwkcg_2_0"/>
      <w:bookmarkStart w:id="1102" w:name="Tc_waelCF5zC06idFh-sro47A_1_5"/>
      <w:bookmarkStart w:id="1103" w:name="Tc_XqMF3-VmLkiCi_X9tXR3cA_1_2"/>
      <w:bookmarkStart w:id="1104" w:name="_480b1b7a_b912_4ebd_ae1f_8395da83112f"/>
      <w:bookmarkStart w:id="1105" w:name="Tc_L9yegUAue0y6up5Xe7BSEg_8_5"/>
      <w:bookmarkStart w:id="1106" w:name="Tc_7r5mqFORukOZ39vDsn_guQ_8_2"/>
      <w:bookmarkStart w:id="1107" w:name="Tc_JlbJDDSaaEauR-bN_XBPhA_7_0"/>
      <w:bookmarkStart w:id="1108" w:name="Tc_A1UlLjc4GE6MWtJVG0btyQ_6_8"/>
      <w:bookmarkStart w:id="1109" w:name="Tc_JXJsMiHR-UyXMCdaIiwbiA_6_0"/>
      <w:bookmarkStart w:id="1110" w:name="Tc_MhsiZay2A0uanJoP2zSV0A_5_8"/>
      <w:bookmarkStart w:id="1111" w:name="Tc_I0vP_iOl_kOsJNcGQFL5pg_5_0"/>
      <w:bookmarkStart w:id="1112" w:name="Tc_5jaOdmCKQ0WPRrPmJg5Zng_4_8"/>
      <w:bookmarkStart w:id="1113" w:name="Tc_SoaxUEW4P0uqMoOAQdqVUw_4_5"/>
      <w:bookmarkStart w:id="1114" w:name="Tc_QZk4x4nyTUikw-wk-WqECA_4_2"/>
      <w:bookmarkStart w:id="1115" w:name="Tc_MD3S6N8G6kK0EzyDVi9H_Q_4_0"/>
      <w:bookmarkStart w:id="1116" w:name="Tc_E5SpSR8NkU6AdqG1FASDLA_3_2"/>
      <w:bookmarkStart w:id="1117" w:name="Tc_mX4lLVNf702JakCv1sN16A_2_10"/>
      <w:bookmarkStart w:id="1118" w:name="Tc_mWtwbZG6IUmXlvd_OiqmuQ_2_8"/>
      <w:bookmarkStart w:id="1119" w:name="Tc_SQY4b7_VMkulRRqAH2Cu_Q_2_5"/>
      <w:bookmarkStart w:id="1120" w:name="Tc_EiHyAXXqHk-Z3XFJj7t4yA_2_2"/>
      <w:bookmarkStart w:id="1121" w:name="Tc_lyfv90Qj90Ov_whbQcZS8A_2_0"/>
      <w:bookmarkStart w:id="1122" w:name="Tc_apnkYbfnokC7R2_tpNWqeA_1_10"/>
      <w:bookmarkStart w:id="1123" w:name="Tc_t3bhBtaLb0ePKtLxfRFMTQ_1_5"/>
      <w:bookmarkStart w:id="1124" w:name="Tc_O1wrk9aqDE6CVcAYa3D8_g_1_2"/>
      <w:bookmarkStart w:id="1125" w:name="_e6188973_1d78_4f48_b217_9d45538824e1"/>
      <w:bookmarkStart w:id="1126" w:name="Tc_KhCT5IYnIk2M9DhtY12vDw_8_5"/>
      <w:bookmarkStart w:id="1127" w:name="Tc_f0l6B00KEE6jPtbydM2ueA_8_2"/>
      <w:bookmarkStart w:id="1128" w:name="Tc_go0bTjbm_0G-GBSq47ncgA_7_0"/>
      <w:bookmarkStart w:id="1129" w:name="Tc_vEBTtwYMjki7eOIcTp14AQ_6_8"/>
      <w:bookmarkStart w:id="1130" w:name="Tc_udrA2WZsIkStfHFLef8szQ_6_0"/>
      <w:bookmarkStart w:id="1131" w:name="Tc_iNWbvS68rkelyFb3ZrllfQ_5_8"/>
      <w:bookmarkStart w:id="1132" w:name="Tc_7OFYlSXNyEGK63MYiFfIzQ_5_0"/>
      <w:bookmarkStart w:id="1133" w:name="Tc_dqRp0hTKRE29Cv_yTpaIGA_4_8"/>
      <w:bookmarkStart w:id="1134" w:name="Tc_FtCaG9vPkUu3u2ffwmmIdA_4_5"/>
      <w:bookmarkStart w:id="1135" w:name="Tc_PYeElxAjrEi7ORQdoKSwQg_4_2"/>
      <w:bookmarkStart w:id="1136" w:name="Tc_G2k5pcyiGk2vCtHxQhBxWQ_4_0"/>
      <w:bookmarkStart w:id="1137" w:name="Tc_4GSzxrkOu0aXPCVe-29ZAA_3_2"/>
      <w:bookmarkStart w:id="1138" w:name="Tc_Qf4awsTJHEWCZ0bXa583wQ_2_10"/>
      <w:bookmarkStart w:id="1139" w:name="Tc_VKv8uxtYZ0WSSVn8dJoHqA_2_8"/>
      <w:bookmarkStart w:id="1140" w:name="Tc_XjMKGnn-Dk-J6p-q8l8T_g_2_5"/>
      <w:bookmarkStart w:id="1141" w:name="Tc_7jTLQTMTkUaBrw_eU1elzg_2_2"/>
      <w:bookmarkStart w:id="1142" w:name="Tc_YeQyBo1q00ezPwQWao66xQ_2_0"/>
      <w:bookmarkStart w:id="1143" w:name="Tc_pMCEEUqnh0ug9GvBR3Rmag_1_10"/>
      <w:bookmarkStart w:id="1144" w:name="Tc_V1IB2r6sWEyethT_HFzJmg_1_5"/>
      <w:bookmarkStart w:id="1145" w:name="Tc_UpuvYDjLSUON1G9HywhV0A_1_2"/>
      <w:bookmarkStart w:id="1146" w:name="_ac88031b_8f37_432b_a0eb_fcdead02a1a1"/>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r>
        <w:rPr>
          <w:rFonts w:ascii="Times New Roman;Times;serif" w:hAnsi="Times New Roman;Times;serif"/>
          <w:sz w:val="20"/>
        </w:rPr>
        <w:t>Additional information with respect to our operating leases as of December 31, 2025 and 2024 is presented below. The lease terms and discount rates for our Energy, Automotive and Food Packaging segments represent weighted averages based on their respective lease liability balances.</w:t>
      </w:r>
    </w:p>
    <w:p>
      <w:pPr>
        <w:pStyle w:val="TextBody"/>
        <w:bidi w:val="0"/>
        <w:spacing w:before="0" w:after="0"/>
        <w:ind w:left="0" w:right="0" w:hanging="0"/>
        <w:jc w:val="left"/>
        <w:rPr/>
      </w:pPr>
      <w:r>
        <w:rPr/>
        <w:t>​</w:t>
      </w:r>
    </w:p>
    <w:tbl>
      <w:tblPr>
        <w:tblW w:w="9514" w:type="dxa"/>
        <w:jc w:val="left"/>
        <w:tblInd w:w="0" w:type="dxa"/>
        <w:tblLayout w:type="fixed"/>
        <w:tblCellMar>
          <w:top w:w="0" w:type="dxa"/>
          <w:left w:w="0" w:type="dxa"/>
          <w:bottom w:w="0" w:type="dxa"/>
          <w:right w:w="0" w:type="dxa"/>
        </w:tblCellMar>
      </w:tblPr>
      <w:tblGrid>
        <w:gridCol w:w="3706"/>
        <w:gridCol w:w="346"/>
        <w:gridCol w:w="414"/>
        <w:gridCol w:w="831"/>
        <w:gridCol w:w="346"/>
        <w:gridCol w:w="325"/>
        <w:gridCol w:w="651"/>
        <w:gridCol w:w="346"/>
        <w:gridCol w:w="1126"/>
        <w:gridCol w:w="346"/>
        <w:gridCol w:w="886"/>
        <w:gridCol w:w="191"/>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353310" cy="175260"/>
                      <wp:effectExtent l="0" t="0" r="0" b="0"/>
                      <wp:wrapNone/>
                      <wp:docPr id="372" name="Frame372"/>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62890" cy="175260"/>
                      <wp:effectExtent l="0" t="0" r="0" b="0"/>
                      <wp:wrapNone/>
                      <wp:docPr id="374" name="Frame374"/>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27685" cy="175260"/>
                      <wp:effectExtent l="0" t="0" r="0" b="0"/>
                      <wp:wrapNone/>
                      <wp:docPr id="375" name="Frame375"/>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6375" cy="175260"/>
                      <wp:effectExtent l="0" t="0" r="0" b="0"/>
                      <wp:wrapNone/>
                      <wp:docPr id="377" name="Frame377"/>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13385" cy="175260"/>
                      <wp:effectExtent l="0" t="0" r="0" b="0"/>
                      <wp:wrapNone/>
                      <wp:docPr id="378" name="Frame378"/>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715010" cy="175260"/>
                      <wp:effectExtent l="0" t="0" r="0" b="0"/>
                      <wp:wrapNone/>
                      <wp:docPr id="380" name="Frame38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1" name="Frame3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62610" cy="175260"/>
                      <wp:effectExtent l="0" t="0" r="0" b="0"/>
                      <wp:wrapNone/>
                      <wp:docPr id="382" name="Frame38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21285" cy="175260"/>
                      <wp:effectExtent l="0" t="0" r="0" b="0"/>
                      <wp:wrapNone/>
                      <wp:docPr id="383" name="Frame38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Right-Of-Use </w:t>
            </w:r>
          </w:p>
        </w:tc>
        <w:tc>
          <w:tcPr>
            <w:tcW w:w="346" w:type="dxa"/>
            <w:tcBorders/>
            <w:vAlign w:val="center"/>
          </w:tcPr>
          <w:p>
            <w:pPr>
              <w:pStyle w:val="TableContents"/>
              <w:bidi w:val="0"/>
              <w:spacing w:before="0" w:after="1"/>
              <w:ind w:left="0" w:right="0" w:hanging="0"/>
              <w:jc w:val="left"/>
              <w:rPr/>
            </w:pPr>
            <w:r>
              <w:rPr/>
              <w:t>  ​ ​ ​</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Lease</w:t>
            </w:r>
          </w:p>
        </w:tc>
        <w:tc>
          <w:tcPr>
            <w:tcW w:w="346" w:type="dxa"/>
            <w:tcBorders/>
            <w:vAlign w:val="center"/>
          </w:tcPr>
          <w:p>
            <w:pPr>
              <w:pStyle w:val="TableContents"/>
              <w:bidi w:val="0"/>
              <w:spacing w:before="0" w:after="1"/>
              <w:ind w:left="0" w:right="0" w:hanging="0"/>
              <w:jc w:val="left"/>
              <w:rPr/>
            </w:pPr>
            <w:r>
              <w:rPr/>
              <w:t>  ​ ​ ​</w:t>
            </w:r>
          </w:p>
        </w:tc>
        <w:tc>
          <w:tcPr>
            <w:tcW w:w="11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Discount </w:t>
            </w:r>
          </w:p>
        </w:tc>
        <w:tc>
          <w:tcPr>
            <w:tcW w:w="191" w:type="dxa"/>
            <w:tcBorders/>
            <w:vAlign w:val="center"/>
          </w:tcPr>
          <w:p>
            <w:pPr>
              <w:pStyle w:val="TableContents"/>
              <w:bidi w:val="0"/>
              <w:spacing w:before="0" w:after="1"/>
              <w:ind w:left="0" w:right="0" w:hanging="0"/>
              <w:jc w:val="center"/>
              <w:rPr/>
            </w:pPr>
            <w:r>
              <w:rPr/>
              <w:t> </w:t>
            </w:r>
          </w:p>
        </w:tc>
      </w:tr>
      <w:tr>
        <w:trPr/>
        <w:tc>
          <w:tcPr>
            <w:tcW w:w="37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Leases as of December 31, 2025</w:t>
            </w:r>
          </w:p>
        </w:tc>
        <w:tc>
          <w:tcPr>
            <w:tcW w:w="346" w:type="dxa"/>
            <w:tcBorders/>
            <w:vAlign w:val="center"/>
          </w:tcPr>
          <w:p>
            <w:pPr>
              <w:pStyle w:val="TableContents"/>
              <w:bidi w:val="0"/>
              <w:spacing w:before="0" w:after="1"/>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1"/>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Lease Term</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Rate</w:t>
            </w:r>
          </w:p>
        </w:tc>
        <w:tc>
          <w:tcPr>
            <w:tcW w:w="191" w:type="dxa"/>
            <w:tcBorders/>
            <w:vAlign w:val="center"/>
          </w:tcPr>
          <w:p>
            <w:pPr>
              <w:pStyle w:val="TableContents"/>
              <w:bidi w:val="0"/>
              <w:spacing w:before="0" w:after="1"/>
              <w:ind w:left="0" w:right="0" w:hanging="0"/>
              <w:jc w:val="center"/>
              <w:rPr/>
            </w:pPr>
            <w:r>
              <w:rPr/>
              <w:t> </w:t>
            </w:r>
          </w:p>
        </w:tc>
      </w:tr>
      <w:tr>
        <w:trPr/>
        <w:tc>
          <w:tcPr>
            <w:tcW w:w="9514"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67"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c>
          <w:tcPr>
            <w:tcW w:w="34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center"/>
              <w:rPr/>
            </w:pPr>
            <w:r>
              <w:rPr/>
              <w:t>​</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5.1</w:t>
            </w:r>
            <w:r>
              <w:rPr>
                <w:rFonts w:ascii="Times New Roman;Times;serif" w:hAnsi="Times New Roman;Times;serif"/>
                <w:sz w:val="24"/>
              </w:rPr>
              <w:t xml:space="preserve"> </w:t>
            </w:r>
            <w:r>
              <w:rPr>
                <w:rFonts w:ascii="Times New Roman;Times;serif" w:hAnsi="Times New Roman;Times;serif"/>
                <w:sz w:val="20"/>
              </w:rPr>
              <w:t>years</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8.1%</w:t>
            </w:r>
          </w:p>
        </w:tc>
        <w:tc>
          <w:tcPr>
            <w:tcW w:w="191" w:type="dxa"/>
            <w:tcBorders/>
            <w:shd w:fill="CCEEFF" w:val="clear"/>
            <w:vAlign w:val="center"/>
          </w:tcPr>
          <w:p>
            <w:pPr>
              <w:pStyle w:val="TableContents"/>
              <w:bidi w:val="0"/>
              <w:spacing w:before="0" w:after="1"/>
              <w:ind w:left="0" w:right="0" w:hanging="0"/>
              <w:jc w:val="right"/>
              <w:rPr/>
            </w:pPr>
            <w:r>
              <w:rPr/>
              <w:t>​</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46"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left"/>
              <w:rPr/>
            </w:pPr>
            <w:r>
              <w:rPr/>
              <w:t> </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46" w:type="dxa"/>
            <w:tcBorders/>
            <w:vAlign w:val="center"/>
          </w:tcPr>
          <w:p>
            <w:pPr>
              <w:pStyle w:val="TableContents"/>
              <w:bidi w:val="0"/>
              <w:spacing w:before="0" w:after="1"/>
              <w:ind w:left="0" w:right="0" w:hanging="0"/>
              <w:jc w:val="left"/>
              <w:rPr/>
            </w:pPr>
            <w:r>
              <w:rPr/>
              <w:t>  ​ ​ ​</w:t>
            </w:r>
          </w:p>
        </w:tc>
        <w:tc>
          <w:tcPr>
            <w:tcW w:w="1126" w:type="dxa"/>
            <w:tcBorders/>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5.0</w:t>
            </w:r>
            <w:r>
              <w:rPr>
                <w:rFonts w:ascii="Times New Roman;Times;serif" w:hAnsi="Times New Roman;Times;serif"/>
                <w:sz w:val="24"/>
              </w:rPr>
              <w:t xml:space="preserve"> </w:t>
            </w:r>
            <w:r>
              <w:rPr>
                <w:rFonts w:ascii="Times New Roman;Times;serif" w:hAnsi="Times New Roman;Times;serif"/>
                <w:sz w:val="20"/>
              </w:rPr>
              <w:t>years</w:t>
            </w:r>
          </w:p>
        </w:tc>
        <w:tc>
          <w:tcPr>
            <w:tcW w:w="346" w:type="dxa"/>
            <w:tcBorders/>
            <w:vAlign w:val="center"/>
          </w:tcPr>
          <w:p>
            <w:pPr>
              <w:pStyle w:val="TableContents"/>
              <w:bidi w:val="0"/>
              <w:spacing w:before="0" w:after="1"/>
              <w:ind w:left="0" w:right="0" w:hanging="0"/>
              <w:jc w:val="left"/>
              <w:rPr/>
            </w:pPr>
            <w:r>
              <w:rPr/>
              <w:t>  ​ ​ ​</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5.9%</w:t>
            </w:r>
          </w:p>
        </w:tc>
        <w:tc>
          <w:tcPr>
            <w:tcW w:w="191" w:type="dxa"/>
            <w:tcBorders/>
            <w:vAlign w:val="center"/>
          </w:tcPr>
          <w:p>
            <w:pPr>
              <w:pStyle w:val="TableContents"/>
              <w:bidi w:val="0"/>
              <w:spacing w:before="0" w:after="1"/>
              <w:ind w:left="0" w:right="0" w:hanging="0"/>
              <w:jc w:val="right"/>
              <w:rPr/>
            </w:pPr>
            <w:r>
              <w:rPr/>
              <w:t>​</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4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pPr>
            <w:r>
              <w:rPr/>
              <w:t> </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7.6</w:t>
            </w:r>
            <w:r>
              <w:rPr>
                <w:rFonts w:ascii="Times New Roman;Times;serif" w:hAnsi="Times New Roman;Times;serif"/>
                <w:sz w:val="24"/>
              </w:rPr>
              <w:t xml:space="preserve"> </w:t>
            </w:r>
            <w:r>
              <w:rPr>
                <w:rFonts w:ascii="Times New Roman;Times;serif" w:hAnsi="Times New Roman;Times;serif"/>
                <w:sz w:val="20"/>
              </w:rPr>
              <w:t>years</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7.5%</w:t>
            </w:r>
          </w:p>
        </w:tc>
        <w:tc>
          <w:tcPr>
            <w:tcW w:w="191" w:type="dxa"/>
            <w:tcBorders/>
            <w:shd w:fill="CCEEFF" w:val="clear"/>
            <w:vAlign w:val="center"/>
          </w:tcPr>
          <w:p>
            <w:pPr>
              <w:pStyle w:val="TableContents"/>
              <w:bidi w:val="0"/>
              <w:spacing w:before="0" w:after="1"/>
              <w:ind w:left="0" w:right="0" w:hanging="0"/>
              <w:jc w:val="right"/>
              <w:rPr/>
            </w:pPr>
            <w:r>
              <w:rPr/>
              <w:t>​</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segments and Holding Company</w:t>
            </w:r>
          </w:p>
        </w:tc>
        <w:tc>
          <w:tcPr>
            <w:tcW w:w="346" w:type="dxa"/>
            <w:tcBorders/>
            <w:vAlign w:val="center"/>
          </w:tcPr>
          <w:p>
            <w:pPr>
              <w:pStyle w:val="TableContents"/>
              <w:bidi w:val="0"/>
              <w:spacing w:before="0" w:after="1"/>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c>
          <w:tcPr>
            <w:tcW w:w="191" w:type="dxa"/>
            <w:tcBorders/>
            <w:vAlign w:val="center"/>
          </w:tcPr>
          <w:p>
            <w:pPr>
              <w:pStyle w:val="TableContents"/>
              <w:bidi w:val="0"/>
              <w:spacing w:before="0" w:after="1"/>
              <w:ind w:left="0" w:right="0" w:hanging="0"/>
              <w:jc w:val="right"/>
              <w:rPr/>
            </w:pPr>
            <w:r>
              <w:rPr/>
              <w:t>​</w:t>
            </w:r>
          </w:p>
        </w:tc>
      </w:tr>
      <w:tr>
        <w:trPr/>
        <w:tc>
          <w:tcPr>
            <w:tcW w:w="37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w:t>
            </w:r>
          </w:p>
        </w:tc>
        <w:tc>
          <w:tcPr>
            <w:tcW w:w="34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191" w:type="dxa"/>
            <w:tcBorders/>
            <w:shd w:fill="CCEEFF" w:val="clear"/>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tbl>
      <w:tblPr>
        <w:tblW w:w="9477" w:type="dxa"/>
        <w:jc w:val="left"/>
        <w:tblInd w:w="0" w:type="dxa"/>
        <w:tblLayout w:type="fixed"/>
        <w:tblCellMar>
          <w:top w:w="0" w:type="dxa"/>
          <w:left w:w="0" w:type="dxa"/>
          <w:bottom w:w="0" w:type="dxa"/>
          <w:right w:w="0" w:type="dxa"/>
        </w:tblCellMar>
      </w:tblPr>
      <w:tblGrid>
        <w:gridCol w:w="3706"/>
        <w:gridCol w:w="346"/>
        <w:gridCol w:w="414"/>
        <w:gridCol w:w="831"/>
        <w:gridCol w:w="346"/>
        <w:gridCol w:w="325"/>
        <w:gridCol w:w="651"/>
        <w:gridCol w:w="346"/>
        <w:gridCol w:w="1126"/>
        <w:gridCol w:w="346"/>
        <w:gridCol w:w="886"/>
        <w:gridCol w:w="154"/>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353310" cy="175260"/>
                      <wp:effectExtent l="0" t="0" r="0" b="0"/>
                      <wp:wrapNone/>
                      <wp:docPr id="384" name="Frame384"/>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85"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62890" cy="175260"/>
                      <wp:effectExtent l="0" t="0" r="0" b="0"/>
                      <wp:wrapNone/>
                      <wp:docPr id="386" name="Frame386"/>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27685" cy="175260"/>
                      <wp:effectExtent l="0" t="0" r="0" b="0"/>
                      <wp:wrapNone/>
                      <wp:docPr id="387" name="Frame387"/>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8"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6375" cy="175260"/>
                      <wp:effectExtent l="0" t="0" r="0" b="0"/>
                      <wp:wrapNone/>
                      <wp:docPr id="389" name="Frame389"/>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13385" cy="175260"/>
                      <wp:effectExtent l="0" t="0" r="0" b="0"/>
                      <wp:wrapNone/>
                      <wp:docPr id="390" name="Frame390"/>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1" name="Frame3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715010" cy="175260"/>
                      <wp:effectExtent l="0" t="0" r="0" b="0"/>
                      <wp:wrapNone/>
                      <wp:docPr id="392" name="Frame39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93" name="Frame3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562610" cy="175260"/>
                      <wp:effectExtent l="0" t="0" r="0" b="0"/>
                      <wp:wrapNone/>
                      <wp:docPr id="394" name="Frame39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97790" cy="175260"/>
                      <wp:effectExtent l="0" t="0" r="0" b="0"/>
                      <wp:wrapNone/>
                      <wp:docPr id="395" name="Frame39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Right-Of-Use </w:t>
            </w:r>
          </w:p>
        </w:tc>
        <w:tc>
          <w:tcPr>
            <w:tcW w:w="346" w:type="dxa"/>
            <w:tcBorders/>
            <w:vAlign w:val="center"/>
          </w:tcPr>
          <w:p>
            <w:pPr>
              <w:pStyle w:val="TableContents"/>
              <w:bidi w:val="0"/>
              <w:spacing w:before="0" w:after="1"/>
              <w:ind w:left="0" w:right="0" w:hanging="0"/>
              <w:jc w:val="left"/>
              <w:rPr/>
            </w:pPr>
            <w:r>
              <w:rPr/>
              <w:t>  ​ ​ ​</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Lease</w:t>
            </w:r>
          </w:p>
        </w:tc>
        <w:tc>
          <w:tcPr>
            <w:tcW w:w="346" w:type="dxa"/>
            <w:tcBorders/>
            <w:vAlign w:val="center"/>
          </w:tcPr>
          <w:p>
            <w:pPr>
              <w:pStyle w:val="TableContents"/>
              <w:bidi w:val="0"/>
              <w:spacing w:before="0" w:after="1"/>
              <w:ind w:left="0" w:right="0" w:hanging="0"/>
              <w:jc w:val="left"/>
              <w:rPr/>
            </w:pPr>
            <w:r>
              <w:rPr/>
              <w:t>  ​ ​ ​</w:t>
            </w:r>
          </w:p>
        </w:tc>
        <w:tc>
          <w:tcPr>
            <w:tcW w:w="11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Discount </w:t>
            </w:r>
          </w:p>
        </w:tc>
        <w:tc>
          <w:tcPr>
            <w:tcW w:w="154" w:type="dxa"/>
            <w:tcBorders/>
            <w:vAlign w:val="center"/>
          </w:tcPr>
          <w:p>
            <w:pPr>
              <w:pStyle w:val="TableContents"/>
              <w:bidi w:val="0"/>
              <w:spacing w:before="0" w:after="1"/>
              <w:ind w:left="0" w:right="0" w:hanging="0"/>
              <w:jc w:val="left"/>
              <w:rPr/>
            </w:pPr>
            <w:r>
              <w:rPr/>
              <w:t>​</w:t>
            </w:r>
          </w:p>
        </w:tc>
      </w:tr>
      <w:tr>
        <w:trPr/>
        <w:tc>
          <w:tcPr>
            <w:tcW w:w="37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Leases as of December 31, 2024</w:t>
            </w:r>
          </w:p>
        </w:tc>
        <w:tc>
          <w:tcPr>
            <w:tcW w:w="346" w:type="dxa"/>
            <w:tcBorders/>
            <w:vAlign w:val="center"/>
          </w:tcPr>
          <w:p>
            <w:pPr>
              <w:pStyle w:val="TableContents"/>
              <w:bidi w:val="0"/>
              <w:spacing w:before="0" w:after="1"/>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1"/>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1"/>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Lease Term</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Rate</w:t>
            </w:r>
          </w:p>
        </w:tc>
        <w:tc>
          <w:tcPr>
            <w:tcW w:w="154" w:type="dxa"/>
            <w:tcBorders/>
            <w:vAlign w:val="center"/>
          </w:tcPr>
          <w:p>
            <w:pPr>
              <w:pStyle w:val="TableContents"/>
              <w:bidi w:val="0"/>
              <w:spacing w:before="0" w:after="1"/>
              <w:ind w:left="0" w:right="0" w:hanging="0"/>
              <w:jc w:val="left"/>
              <w:rPr/>
            </w:pPr>
            <w:r>
              <w:rPr/>
              <w:t>​</w:t>
            </w:r>
          </w:p>
        </w:tc>
      </w:tr>
      <w:tr>
        <w:trPr/>
        <w:tc>
          <w:tcPr>
            <w:tcW w:w="947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67"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c>
          <w:tcPr>
            <w:tcW w:w="34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5.4</w:t>
            </w:r>
            <w:r>
              <w:rPr>
                <w:rFonts w:ascii="Times New Roman;Times;serif" w:hAnsi="Times New Roman;Times;serif"/>
                <w:sz w:val="24"/>
              </w:rPr>
              <w:t xml:space="preserve"> </w:t>
            </w:r>
            <w:r>
              <w:rPr>
                <w:rFonts w:ascii="Times New Roman;Times;serif" w:hAnsi="Times New Roman;Times;serif"/>
                <w:sz w:val="20"/>
              </w:rPr>
              <w:t>years</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46"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left"/>
              <w:rPr/>
            </w:pPr>
            <w:r>
              <w:rPr/>
              <w:t> </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c>
          <w:tcPr>
            <w:tcW w:w="346" w:type="dxa"/>
            <w:tcBorders/>
            <w:vAlign w:val="center"/>
          </w:tcPr>
          <w:p>
            <w:pPr>
              <w:pStyle w:val="TableContents"/>
              <w:bidi w:val="0"/>
              <w:spacing w:before="0" w:after="1"/>
              <w:ind w:left="0" w:right="0" w:hanging="0"/>
              <w:jc w:val="left"/>
              <w:rPr/>
            </w:pPr>
            <w:r>
              <w:rPr/>
              <w:t>  ​ ​ ​</w:t>
            </w:r>
          </w:p>
        </w:tc>
        <w:tc>
          <w:tcPr>
            <w:tcW w:w="1126" w:type="dxa"/>
            <w:tcBorders/>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5.4</w:t>
            </w:r>
            <w:r>
              <w:rPr>
                <w:rFonts w:ascii="Times New Roman;Times;serif" w:hAnsi="Times New Roman;Times;serif"/>
                <w:sz w:val="24"/>
              </w:rPr>
              <w:t xml:space="preserve"> </w:t>
            </w:r>
            <w:r>
              <w:rPr>
                <w:rFonts w:ascii="Times New Roman;Times;serif" w:hAnsi="Times New Roman;Times;serif"/>
                <w:sz w:val="20"/>
              </w:rPr>
              <w:t>years</w:t>
            </w:r>
          </w:p>
        </w:tc>
        <w:tc>
          <w:tcPr>
            <w:tcW w:w="346" w:type="dxa"/>
            <w:tcBorders/>
            <w:vAlign w:val="center"/>
          </w:tcPr>
          <w:p>
            <w:pPr>
              <w:pStyle w:val="TableContents"/>
              <w:bidi w:val="0"/>
              <w:spacing w:before="0" w:after="1"/>
              <w:ind w:left="0" w:right="0" w:hanging="0"/>
              <w:jc w:val="left"/>
              <w:rPr/>
            </w:pPr>
            <w:r>
              <w:rPr/>
              <w:t>  ​ ​ ​</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5.9%</w:t>
            </w:r>
          </w:p>
        </w:tc>
        <w:tc>
          <w:tcPr>
            <w:tcW w:w="154" w:type="dxa"/>
            <w:tcBorders/>
            <w:vAlign w:val="center"/>
          </w:tcPr>
          <w:p>
            <w:pPr>
              <w:pStyle w:val="TableContents"/>
              <w:bidi w:val="0"/>
              <w:spacing w:before="0" w:after="1"/>
              <w:ind w:left="0" w:right="0" w:hanging="0"/>
              <w:jc w:val="left"/>
              <w:rPr/>
            </w:pPr>
            <w:r>
              <w:rPr/>
              <w:t>​</w:t>
            </w:r>
          </w:p>
        </w:tc>
      </w:tr>
      <w:tr>
        <w:trPr/>
        <w:tc>
          <w:tcPr>
            <w:tcW w:w="37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4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pPr>
            <w:r>
              <w:rPr/>
              <w:t> </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4"/>
              </w:rPr>
            </w:pPr>
            <w:r>
              <w:rPr>
                <w:rFonts w:ascii="Times New Roman;Times;serif" w:hAnsi="Times New Roman;Times;serif"/>
                <w:sz w:val="20"/>
              </w:rPr>
              <w:t>9.1</w:t>
            </w:r>
            <w:r>
              <w:rPr>
                <w:rFonts w:ascii="Times New Roman;Times;serif" w:hAnsi="Times New Roman;Times;serif"/>
                <w:sz w:val="24"/>
              </w:rPr>
              <w:t xml:space="preserve"> </w:t>
            </w:r>
            <w:r>
              <w:rPr>
                <w:rFonts w:ascii="Times New Roman;Times;serif" w:hAnsi="Times New Roman;Times;serif"/>
                <w:sz w:val="20"/>
              </w:rPr>
              <w:t>years</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segments and Holding Company</w:t>
            </w:r>
          </w:p>
        </w:tc>
        <w:tc>
          <w:tcPr>
            <w:tcW w:w="346" w:type="dxa"/>
            <w:tcBorders/>
            <w:vAlign w:val="center"/>
          </w:tcPr>
          <w:p>
            <w:pPr>
              <w:pStyle w:val="TableContents"/>
              <w:bidi w:val="0"/>
              <w:spacing w:before="0" w:after="1"/>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37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w:t>
            </w:r>
          </w:p>
        </w:tc>
        <w:tc>
          <w:tcPr>
            <w:tcW w:w="34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Maturities of lease liabilities as of December 31, 2025 are as follows:</w:t>
      </w:r>
    </w:p>
    <w:tbl>
      <w:tblPr>
        <w:tblW w:w="4668" w:type="dxa"/>
        <w:jc w:val="left"/>
        <w:tblInd w:w="0" w:type="dxa"/>
        <w:tblLayout w:type="fixed"/>
        <w:tblCellMar>
          <w:top w:w="0" w:type="dxa"/>
          <w:left w:w="0" w:type="dxa"/>
          <w:bottom w:w="0" w:type="dxa"/>
          <w:right w:w="0" w:type="dxa"/>
        </w:tblCellMar>
      </w:tblPr>
      <w:tblGrid>
        <w:gridCol w:w="1906"/>
        <w:gridCol w:w="346"/>
        <w:gridCol w:w="339"/>
        <w:gridCol w:w="681"/>
        <w:gridCol w:w="346"/>
        <w:gridCol w:w="349"/>
        <w:gridCol w:w="70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210310" cy="175260"/>
                      <wp:effectExtent l="0" t="0" r="0" b="0"/>
                      <wp:wrapNone/>
                      <wp:docPr id="396" name="Frame396"/>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7"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5265" cy="175260"/>
                      <wp:effectExtent l="0" t="0" r="0" b="0"/>
                      <wp:wrapNone/>
                      <wp:docPr id="398" name="Frame398"/>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32435" cy="175260"/>
                      <wp:effectExtent l="0" t="0" r="0" b="0"/>
                      <wp:wrapNone/>
                      <wp:docPr id="399" name="Frame399"/>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400"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21615" cy="175260"/>
                      <wp:effectExtent l="0" t="0" r="0" b="0"/>
                      <wp:wrapNone/>
                      <wp:docPr id="401" name="Frame401"/>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445135" cy="175260"/>
                      <wp:effectExtent l="0" t="0" r="0" b="0"/>
                      <wp:wrapNone/>
                      <wp:docPr id="402" name="Frame402"/>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2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Operating </w:t>
            </w:r>
          </w:p>
        </w:tc>
        <w:tc>
          <w:tcPr>
            <w:tcW w:w="346" w:type="dxa"/>
            <w:tcBorders/>
            <w:vAlign w:val="center"/>
          </w:tcPr>
          <w:p>
            <w:pPr>
              <w:pStyle w:val="TableContents"/>
              <w:bidi w:val="0"/>
              <w:spacing w:before="0" w:after="1"/>
              <w:ind w:left="0" w:right="0" w:hanging="0"/>
              <w:jc w:val="left"/>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Financing </w:t>
            </w:r>
          </w:p>
        </w:tc>
      </w:tr>
      <w:tr>
        <w:trPr/>
        <w:tc>
          <w:tcPr>
            <w:tcW w:w="19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w:t>
            </w:r>
          </w:p>
        </w:tc>
        <w:tc>
          <w:tcPr>
            <w:tcW w:w="346" w:type="dxa"/>
            <w:tcBorders/>
            <w:vAlign w:val="center"/>
          </w:tcPr>
          <w:p>
            <w:pPr>
              <w:pStyle w:val="TableContents"/>
              <w:bidi w:val="0"/>
              <w:spacing w:before="0" w:after="1"/>
              <w:ind w:left="0" w:right="0" w:hanging="0"/>
              <w:jc w:val="left"/>
              <w:rPr/>
            </w:pPr>
            <w:r>
              <w:rPr/>
              <w:t>  ​ ​ ​</w:t>
            </w:r>
          </w:p>
        </w:tc>
        <w:tc>
          <w:tcPr>
            <w:tcW w:w="10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Leases</w:t>
            </w:r>
          </w:p>
        </w:tc>
        <w:tc>
          <w:tcPr>
            <w:tcW w:w="346" w:type="dxa"/>
            <w:tcBorders/>
            <w:vAlign w:val="center"/>
          </w:tcPr>
          <w:p>
            <w:pPr>
              <w:pStyle w:val="TableContents"/>
              <w:bidi w:val="0"/>
              <w:spacing w:before="0" w:after="1"/>
              <w:ind w:left="0" w:right="0" w:hanging="0"/>
              <w:jc w:val="left"/>
              <w:rPr/>
            </w:pPr>
            <w:r>
              <w:rPr/>
              <w:t>  ​ ​ ​</w:t>
            </w:r>
          </w:p>
        </w:tc>
        <w:tc>
          <w:tcPr>
            <w:tcW w:w="10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Leases</w:t>
            </w:r>
          </w:p>
        </w:tc>
      </w:tr>
      <w:tr>
        <w:trPr/>
        <w:tc>
          <w:tcPr>
            <w:tcW w:w="466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9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16"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rFonts w:ascii="Times" w:hAnsi="Times"/>
                <w:sz w:val="20"/>
              </w:rPr>
            </w:pPr>
            <w:r>
              <w:rPr>
                <w:rFonts w:ascii="Times" w:hAnsi="Times"/>
                <w:sz w:val="20"/>
              </w:rPr>
              <w:t>$</w:t>
            </w:r>
          </w:p>
        </w:tc>
        <w:tc>
          <w:tcPr>
            <w:tcW w:w="681" w:type="dxa"/>
            <w:tcBorders/>
            <w:shd w:fill="CCEEFF" w:val="clear"/>
            <w:vAlign w:val="center"/>
          </w:tcPr>
          <w:p>
            <w:pPr>
              <w:pStyle w:val="TableContents"/>
              <w:bidi w:val="0"/>
              <w:spacing w:before="0" w:after="1"/>
              <w:ind w:left="0" w:right="0" w:hanging="0"/>
              <w:jc w:val="right"/>
              <w:rPr>
                <w:rFonts w:ascii="Times" w:hAnsi="Times"/>
                <w:sz w:val="20"/>
              </w:rPr>
            </w:pPr>
            <w:r>
              <w:rPr>
                <w:rFonts w:ascii="Times" w:hAnsi="Times"/>
                <w:sz w:val="20"/>
              </w:rPr>
              <w:t>143</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w:hAnsi="Times"/>
                <w:sz w:val="20"/>
              </w:rPr>
            </w:pPr>
            <w:r>
              <w:rPr>
                <w:rFonts w:ascii="Times" w:hAnsi="Times"/>
                <w:sz w:val="20"/>
              </w:rPr>
              <w:t>$</w:t>
            </w:r>
          </w:p>
        </w:tc>
        <w:tc>
          <w:tcPr>
            <w:tcW w:w="701" w:type="dxa"/>
            <w:tcBorders/>
            <w:shd w:fill="CCEEFF" w:val="clear"/>
            <w:vAlign w:val="center"/>
          </w:tcPr>
          <w:p>
            <w:pPr>
              <w:pStyle w:val="TableContents"/>
              <w:bidi w:val="0"/>
              <w:spacing w:before="0" w:after="1"/>
              <w:ind w:left="0" w:right="0" w:hanging="0"/>
              <w:jc w:val="right"/>
              <w:rPr>
                <w:rFonts w:ascii="Times" w:hAnsi="Times"/>
                <w:sz w:val="20"/>
              </w:rPr>
            </w:pPr>
            <w:r>
              <w:rPr>
                <w:rFonts w:ascii="Times" w:hAnsi="Times"/>
                <w:sz w:val="20"/>
              </w:rPr>
              <w:t>16</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rFonts w:ascii="Times" w:hAnsi="Times"/>
                <w:sz w:val="20"/>
              </w:rPr>
            </w:pPr>
            <w:r>
              <w:rPr>
                <w:rFonts w:ascii="Times" w:hAnsi="Times"/>
                <w:sz w:val="20"/>
              </w:rPr>
              <w:t>122</w:t>
            </w:r>
          </w:p>
        </w:tc>
        <w:tc>
          <w:tcPr>
            <w:tcW w:w="34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701" w:type="dxa"/>
            <w:tcBorders/>
            <w:vAlign w:val="center"/>
          </w:tcPr>
          <w:p>
            <w:pPr>
              <w:pStyle w:val="TableContents"/>
              <w:bidi w:val="0"/>
              <w:spacing w:before="0" w:after="1"/>
              <w:ind w:left="0" w:right="0" w:hanging="0"/>
              <w:jc w:val="right"/>
              <w:rPr>
                <w:rFonts w:ascii="Times" w:hAnsi="Times"/>
                <w:sz w:val="20"/>
              </w:rPr>
            </w:pPr>
            <w:r>
              <w:rPr>
                <w:rFonts w:ascii="Times" w:hAnsi="Times"/>
                <w:sz w:val="20"/>
              </w:rPr>
              <w:t>14</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rFonts w:ascii="Times" w:hAnsi="Times"/>
                <w:sz w:val="20"/>
              </w:rPr>
            </w:pPr>
            <w:r>
              <w:rPr>
                <w:rFonts w:ascii="Times" w:hAnsi="Times"/>
                <w:sz w:val="20"/>
              </w:rPr>
              <w:t>85</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701" w:type="dxa"/>
            <w:tcBorders/>
            <w:shd w:fill="CCEEFF" w:val="clear"/>
            <w:vAlign w:val="center"/>
          </w:tcPr>
          <w:p>
            <w:pPr>
              <w:pStyle w:val="TableContents"/>
              <w:bidi w:val="0"/>
              <w:spacing w:before="0" w:after="1"/>
              <w:ind w:left="0" w:right="0" w:hanging="0"/>
              <w:jc w:val="right"/>
              <w:rPr>
                <w:rFonts w:ascii="Times" w:hAnsi="Times"/>
                <w:sz w:val="20"/>
              </w:rPr>
            </w:pPr>
            <w:r>
              <w:rPr>
                <w:rFonts w:ascii="Times" w:hAnsi="Times"/>
                <w:sz w:val="20"/>
              </w:rPr>
              <w:t>12</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rFonts w:ascii="Times" w:hAnsi="Times"/>
                <w:sz w:val="20"/>
              </w:rPr>
            </w:pPr>
            <w:r>
              <w:rPr>
                <w:rFonts w:ascii="Times" w:hAnsi="Times"/>
                <w:sz w:val="20"/>
              </w:rPr>
              <w:t>65</w:t>
            </w:r>
          </w:p>
        </w:tc>
        <w:tc>
          <w:tcPr>
            <w:tcW w:w="34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701" w:type="dxa"/>
            <w:tcBorders/>
            <w:vAlign w:val="center"/>
          </w:tcPr>
          <w:p>
            <w:pPr>
              <w:pStyle w:val="TableContents"/>
              <w:bidi w:val="0"/>
              <w:spacing w:before="0" w:after="1"/>
              <w:ind w:left="0" w:right="0" w:hanging="0"/>
              <w:jc w:val="right"/>
              <w:rPr>
                <w:rFonts w:ascii="Times" w:hAnsi="Times"/>
                <w:sz w:val="20"/>
              </w:rPr>
            </w:pPr>
            <w:r>
              <w:rPr>
                <w:rFonts w:ascii="Times" w:hAnsi="Times"/>
                <w:sz w:val="20"/>
              </w:rPr>
              <w:t>10</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rFonts w:ascii="Times" w:hAnsi="Times"/>
                <w:sz w:val="20"/>
              </w:rPr>
            </w:pPr>
            <w:r>
              <w:rPr>
                <w:rFonts w:ascii="Times" w:hAnsi="Times"/>
                <w:sz w:val="20"/>
              </w:rPr>
              <w:t>49</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701" w:type="dxa"/>
            <w:tcBorders/>
            <w:shd w:fill="CCEEFF" w:val="clear"/>
            <w:vAlign w:val="center"/>
          </w:tcPr>
          <w:p>
            <w:pPr>
              <w:pStyle w:val="TableContents"/>
              <w:bidi w:val="0"/>
              <w:spacing w:before="0" w:after="1"/>
              <w:ind w:left="0" w:right="0" w:hanging="0"/>
              <w:jc w:val="right"/>
              <w:rPr>
                <w:rFonts w:ascii="Times" w:hAnsi="Times"/>
                <w:sz w:val="20"/>
              </w:rPr>
            </w:pPr>
            <w:r>
              <w:rPr>
                <w:rFonts w:ascii="Times" w:hAnsi="Times"/>
                <w:sz w:val="20"/>
              </w:rPr>
              <w:t>14</w:t>
            </w:r>
          </w:p>
        </w:tc>
      </w:tr>
      <w:tr>
        <w:trPr/>
        <w:tc>
          <w:tcPr>
            <w:tcW w:w="1906" w:type="dxa"/>
            <w:tcBorders/>
            <w:vAlign w:val="center"/>
          </w:tcPr>
          <w:p>
            <w:pPr>
              <w:pStyle w:val="TableContents"/>
              <w:bidi w:val="0"/>
              <w:spacing w:before="0" w:after="1"/>
              <w:ind w:left="0" w:right="0" w:hanging="0"/>
              <w:jc w:val="left"/>
              <w:rPr>
                <w:rFonts w:ascii="Times" w:hAnsi="Times"/>
                <w:sz w:val="20"/>
              </w:rPr>
            </w:pPr>
            <w:r>
              <w:rPr>
                <w:rFonts w:ascii="Times" w:hAnsi="Times"/>
                <w:sz w:val="20"/>
              </w:rPr>
              <w:t>Thereafter</w:t>
            </w:r>
          </w:p>
        </w:tc>
        <w:tc>
          <w:tcPr>
            <w:tcW w:w="346" w:type="dxa"/>
            <w:tcBorders/>
            <w:vAlign w:val="center"/>
          </w:tcPr>
          <w:p>
            <w:pPr>
              <w:pStyle w:val="TableContents"/>
              <w:bidi w:val="0"/>
              <w:spacing w:before="0" w:after="1"/>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w:hAnsi="Times"/>
                <w:sz w:val="20"/>
              </w:rPr>
            </w:pPr>
            <w:r>
              <w:rPr>
                <w:rFonts w:ascii="Times" w:hAnsi="Times"/>
                <w:sz w:val="20"/>
              </w:rPr>
              <w:t>93</w:t>
            </w:r>
          </w:p>
        </w:tc>
        <w:tc>
          <w:tcPr>
            <w:tcW w:w="34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w:hAnsi="Times"/>
                <w:sz w:val="20"/>
              </w:rPr>
            </w:pPr>
            <w:r>
              <w:rPr>
                <w:rFonts w:ascii="Times" w:hAnsi="Times"/>
                <w:sz w:val="20"/>
              </w:rPr>
              <w:t>29</w:t>
            </w:r>
          </w:p>
        </w:tc>
      </w:tr>
      <w:tr>
        <w:trPr/>
        <w:tc>
          <w:tcPr>
            <w:tcW w:w="1906" w:type="dxa"/>
            <w:tcBorders/>
            <w:shd w:fill="CCEEFF" w:val="clear"/>
            <w:vAlign w:val="center"/>
          </w:tcPr>
          <w:p>
            <w:pPr>
              <w:pStyle w:val="TableContents"/>
              <w:bidi w:val="0"/>
              <w:spacing w:before="0" w:after="1"/>
              <w:ind w:left="0" w:right="0" w:hanging="0"/>
              <w:jc w:val="left"/>
              <w:rPr>
                <w:rFonts w:ascii="Times" w:hAnsi="Times"/>
                <w:sz w:val="20"/>
              </w:rPr>
            </w:pPr>
            <w:r>
              <w:rPr>
                <w:rFonts w:ascii="Times" w:hAnsi="Times"/>
                <w:sz w:val="20"/>
              </w:rPr>
              <w:t>Total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rFonts w:ascii="Times" w:hAnsi="Times"/>
                <w:sz w:val="20"/>
              </w:rPr>
            </w:pPr>
            <w:r>
              <w:rPr>
                <w:rFonts w:ascii="Times" w:hAnsi="Times"/>
                <w:sz w:val="20"/>
              </w:rPr>
              <w:t>557</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701" w:type="dxa"/>
            <w:tcBorders/>
            <w:shd w:fill="CCEEFF" w:val="clear"/>
            <w:vAlign w:val="center"/>
          </w:tcPr>
          <w:p>
            <w:pPr>
              <w:pStyle w:val="TableContents"/>
              <w:bidi w:val="0"/>
              <w:spacing w:before="0" w:after="1"/>
              <w:ind w:left="0" w:right="0" w:hanging="0"/>
              <w:jc w:val="right"/>
              <w:rPr>
                <w:rFonts w:ascii="Times" w:hAnsi="Times"/>
                <w:sz w:val="20"/>
              </w:rPr>
            </w:pPr>
            <w:r>
              <w:rPr>
                <w:rFonts w:ascii="Times" w:hAnsi="Times"/>
                <w:sz w:val="20"/>
              </w:rPr>
              <w:t>95</w:t>
            </w:r>
          </w:p>
        </w:tc>
      </w:tr>
      <w:tr>
        <w:trPr/>
        <w:tc>
          <w:tcPr>
            <w:tcW w:w="1906" w:type="dxa"/>
            <w:tcBorders/>
            <w:vAlign w:val="center"/>
          </w:tcPr>
          <w:p>
            <w:pPr>
              <w:pStyle w:val="TableContents"/>
              <w:bidi w:val="0"/>
              <w:spacing w:before="0" w:after="1"/>
              <w:ind w:left="0" w:right="0" w:hanging="0"/>
              <w:jc w:val="left"/>
              <w:rPr>
                <w:rFonts w:ascii="Times" w:hAnsi="Times"/>
                <w:sz w:val="20"/>
              </w:rPr>
            </w:pPr>
            <w:r>
              <w:rPr>
                <w:rFonts w:ascii="Times" w:hAnsi="Times"/>
                <w:sz w:val="20"/>
              </w:rPr>
              <w:t>Less: imputed interest</w:t>
            </w:r>
          </w:p>
        </w:tc>
        <w:tc>
          <w:tcPr>
            <w:tcW w:w="346" w:type="dxa"/>
            <w:tcBorders/>
            <w:vAlign w:val="center"/>
          </w:tcPr>
          <w:p>
            <w:pPr>
              <w:pStyle w:val="TableContents"/>
              <w:bidi w:val="0"/>
              <w:spacing w:before="0" w:after="1"/>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w:hAnsi="Times"/>
                <w:sz w:val="20"/>
              </w:rPr>
            </w:pPr>
            <w:r>
              <w:rPr>
                <w:rFonts w:ascii="Times" w:hAnsi="Times"/>
                <w:sz w:val="20"/>
              </w:rPr>
              <w:t>(73)</w:t>
            </w:r>
          </w:p>
        </w:tc>
        <w:tc>
          <w:tcPr>
            <w:tcW w:w="34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w:hAnsi="Times"/>
                <w:sz w:val="20"/>
              </w:rPr>
            </w:pPr>
            <w:r>
              <w:rPr>
                <w:rFonts w:ascii="Times" w:hAnsi="Times"/>
                <w:sz w:val="20"/>
              </w:rPr>
              <w:t>(7)</w:t>
            </w:r>
          </w:p>
        </w:tc>
      </w:tr>
      <w:tr>
        <w:trPr/>
        <w:tc>
          <w:tcPr>
            <w:tcW w:w="19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w:hAnsi="Times"/>
                <w:sz w:val="20"/>
              </w:rPr>
            </w:pPr>
            <w:r>
              <w:rPr>
                <w:rFonts w:ascii="Times" w:hAnsi="Times"/>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w:hAnsi="Times"/>
                <w:sz w:val="20"/>
              </w:rPr>
            </w:pPr>
            <w:r>
              <w:rPr>
                <w:rFonts w:ascii="Times" w:hAnsi="Times"/>
                <w:sz w:val="20"/>
              </w:rPr>
              <w:t>484</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w:hAnsi="Times"/>
                <w:sz w:val="20"/>
              </w:rPr>
            </w:pPr>
            <w:r>
              <w:rPr>
                <w:rFonts w:ascii="Times" w:hAnsi="Times"/>
                <w:sz w:val="20"/>
              </w:rPr>
              <w:t>$</w:t>
            </w:r>
          </w:p>
        </w:tc>
        <w:tc>
          <w:tcPr>
            <w:tcW w:w="70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w:hAnsi="Times"/>
                <w:sz w:val="20"/>
              </w:rPr>
            </w:pPr>
            <w:r>
              <w:rPr>
                <w:rFonts w:ascii="Times" w:hAnsi="Times"/>
                <w:sz w:val="20"/>
              </w:rPr>
              <w:t>88</w:t>
            </w:r>
          </w:p>
        </w:tc>
      </w:tr>
    </w:tbl>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year ended December 31, 2025, lease cost was comprised of operating lease cost of $180 million, amortization of financing lease right-of-use assets of $9 million and interest expense on financing lease liabilities of $7 million. For the year ended December 31, 2024, lease cost was comprised of operating lease cost of $178 million, amortization of financing lease right-of-use assets of $8 million and interest expense on financing lease liabilities of $6 million. For the year ended December 31, 2023, lease cost was comprised of operating lease cost of $177 million, amortization of financing lease right-of-use assets of $8 million and interest expense on financing lease liabilities of $5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bookmarkStart w:id="1147" w:name="_0e6ff25f_e4d3_4a57_9db2_1b946fd5df19_4"/>
      <w:bookmarkStart w:id="1148" w:name="_0e6ff25f_e4d3_4a57_9db2_1b946fd5df19_3"/>
      <w:bookmarkStart w:id="1149" w:name="_0e6ff25f_e4d3_4a57_9db2_1b946fd5df19_2"/>
      <w:bookmarkStart w:id="1150" w:name="_0e6ff25f_e4d3_4a57_9db2_1b946fd5df19"/>
      <w:bookmarkStart w:id="1151" w:name="_4d5c15d9_fc05_422c_b1da_5b5ab4b4af49_4"/>
      <w:bookmarkStart w:id="1152" w:name="_4d5c15d9_fc05_422c_b1da_5b5ab4b4af49_3"/>
      <w:bookmarkStart w:id="1153" w:name="_4d5c15d9_fc05_422c_b1da_5b5ab4b4af49_2"/>
      <w:bookmarkStart w:id="1154" w:name="_4d5c15d9_fc05_422c_b1da_5b5ab4b4af49"/>
      <w:bookmarkEnd w:id="1147"/>
      <w:bookmarkEnd w:id="1148"/>
      <w:bookmarkEnd w:id="1149"/>
      <w:bookmarkEnd w:id="1150"/>
      <w:bookmarkEnd w:id="1151"/>
      <w:bookmarkEnd w:id="1152"/>
      <w:bookmarkEnd w:id="1153"/>
      <w:bookmarkEnd w:id="1154"/>
      <w:r>
        <w:rPr>
          <w:rFonts w:ascii="Times New Roman;Times;serif" w:hAnsi="Times New Roman;Times;serif"/>
          <w:sz w:val="20"/>
        </w:rPr>
        <w:t>million. Our Automotive segment accounted for $137 million, $141 million and $143 million of total lease cost for the years ended December 31, 2025, 2024 and 2023,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Lessor Arrangements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Automotive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Automotive segment leases available and excess real estate in certain locations under long-term operating leases. Our Automotive segment’s revenues from operating leases were $35 million, $60 million and $56 million for the years ended December 31, 2025, 2024 and 2023, respectively. Our Automotive segment’s expenses from operating leases were $78 million, $97 million and $99 million for the years ended December 31, 2025, 2024 and 2023, respectively. Revenues from operating leases are included in other revenue from operations in the consolidated statements of operations and expenses from operating leases are included in other expenses from operations in the consolidated statements of operations. Our Automotive segment’s anticipated future receipts of minimum operating lease payments are $16 million for 2026 and 2027, $15 million for 2028, $14 million for each of 2029 and 2030, and an aggregate of $30 million for 2031 and </w:t>
      </w:r>
      <w:r>
        <w:rPr>
          <w:rFonts w:ascii="Times New Roman;Times;serif" w:hAnsi="Times New Roman;Times;serif"/>
          <w:b w:val="false"/>
          <w:i w:val="false"/>
          <w:caps w:val="false"/>
          <w:smallCaps w:val="false"/>
          <w:sz w:val="20"/>
        </w:rPr>
        <w:t>thereafter</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Real Estate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Real Estate segment leases real estate, primarily commercial properties under long-term operating leases. As of December 31, 2025 and 2024, our Real Estate segment had assets leased to others included in property, plant and equipment of $484 million and $236 million, respectively, net of accumulated depreciation. Our Real Estate segment’s revenue from operating leases were $14 million, $10 million and $17 million for the years ended December 31, 2025, 2024 and 2023, respectively, and are included in other revenue from operations in the consolidated statements of operations. Our Real Estate segment’s anticipated future receipts of minimum operating lease payments are $15 million for each of 2026 and </w:t>
      </w:r>
      <w:r>
        <w:rPr>
          <w:rFonts w:ascii="Times New Roman;Times;serif" w:hAnsi="Times New Roman;Times;serif"/>
          <w:b w:val="false"/>
          <w:i w:val="false"/>
          <w:caps w:val="false"/>
          <w:smallCaps w:val="false"/>
          <w:sz w:val="20"/>
        </w:rPr>
        <w:t>2027</w:t>
      </w:r>
      <w:r>
        <w:rPr>
          <w:rFonts w:ascii="Times New Roman;Times;serif" w:hAnsi="Times New Roman;Times;serif"/>
          <w:sz w:val="20"/>
        </w:rPr>
        <w:t xml:space="preserve">, $16 million for each of 2028, </w:t>
      </w:r>
      <w:r>
        <w:rPr>
          <w:rFonts w:ascii="Times New Roman;Times;serif" w:hAnsi="Times New Roman;Times;serif"/>
          <w:b w:val="false"/>
          <w:i w:val="false"/>
          <w:caps w:val="false"/>
          <w:smallCaps w:val="false"/>
          <w:sz w:val="20"/>
        </w:rPr>
        <w:t>2029</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2030</w:t>
      </w:r>
      <w:r>
        <w:rPr>
          <w:rFonts w:ascii="Times New Roman;Times;serif" w:hAnsi="Times New Roman;Times;serif"/>
          <w:sz w:val="20"/>
        </w:rPr>
        <w:t xml:space="preserve">, and an aggregate of $32 million for 2031 and </w:t>
      </w:r>
      <w:r>
        <w:rPr>
          <w:rFonts w:ascii="Times New Roman;Times;serif" w:hAnsi="Times New Roman;Times;serif"/>
          <w:b w:val="false"/>
          <w:i w:val="false"/>
          <w:caps w:val="false"/>
          <w:smallCaps w:val="false"/>
          <w:sz w:val="20"/>
        </w:rPr>
        <w:t>thereafter</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1155" w:name="Tc_fWIgoVgEu0Kz1r_ZEcNChA_19_5"/>
      <w:bookmarkStart w:id="1156" w:name="Tc_RFFFzMVkHkSDepqL_G2NeA_19_2"/>
      <w:bookmarkStart w:id="1157" w:name="Tc_hEK5_RDtv0W_bAHmbFDnbw_19_0"/>
      <w:bookmarkStart w:id="1158" w:name="Tc_JCx2GEqLZUeK91VSWyU3sg_17_0"/>
      <w:bookmarkStart w:id="1159" w:name="Tc_VI63lv3Q9U-oYyO4thM7sQ_16_0"/>
      <w:bookmarkStart w:id="1160" w:name="Tc_yNZC1PuQL0eZha4ajnebqg_15_0"/>
      <w:bookmarkStart w:id="1161" w:name="Tc_dxq1lp7DV0eetMBC64ys9A_14_0"/>
      <w:bookmarkStart w:id="1162" w:name="Tc_rgCKi2wDakuId4Xa-dAfUA_13_0"/>
      <w:bookmarkStart w:id="1163" w:name="Tc_Kr4cLdOSOUWDtMsF2TFA4g_12_0"/>
      <w:bookmarkStart w:id="1164" w:name="Tc__dtnJZvD60iPXVSGcbOB0A_10_0"/>
      <w:bookmarkStart w:id="1165" w:name="Tc_ZwH4ds2DKUK_WmEzNVF4zg_9_0"/>
      <w:bookmarkStart w:id="1166" w:name="Tc_h_xGfFD5_kKgPThArTDdxw_8_0"/>
      <w:bookmarkStart w:id="1167" w:name="Tc_2EyeqisbCkWKS8bZj4_tnQ_7_0"/>
      <w:bookmarkStart w:id="1168" w:name="Tc_YS03mMX6A0KUPipGRRfucw_6_0"/>
      <w:bookmarkStart w:id="1169" w:name="Tc_LKnNyumFAkqJdhKhGemm-A_5_0"/>
      <w:bookmarkStart w:id="1170" w:name="Tc_k7UPXWt3GU-1zTJz68bKpQ_4_0"/>
      <w:bookmarkStart w:id="1171" w:name="Tc_IuZ9l8_O9ESjTS8QCp-KEA_3_2"/>
      <w:bookmarkStart w:id="1172" w:name="Tc_opn0lrJHLUWjImp3xmoLsg_2_5"/>
      <w:bookmarkStart w:id="1173" w:name="Tc_58AJQmTXPkefEzKN8KRdJg_2_2"/>
      <w:bookmarkStart w:id="1174" w:name="Tc_iGMNWAW9rkO00vp_mmZaCA_1_2"/>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r>
        <w:rPr>
          <w:rFonts w:ascii="Times New Roman;Times;serif" w:hAnsi="Times New Roman;Times;serif"/>
          <w:b/>
          <w:sz w:val="20"/>
        </w:rPr>
        <w:t>13.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Debt consists of the following:</w:t>
      </w:r>
    </w:p>
    <w:p>
      <w:pPr>
        <w:pStyle w:val="TextBody"/>
        <w:bidi w:val="0"/>
        <w:spacing w:before="0" w:after="0"/>
        <w:ind w:left="0" w:right="0" w:hanging="0"/>
        <w:jc w:val="left"/>
        <w:rPr/>
      </w:pPr>
      <w:r>
        <w:rPr/>
        <w:t>​</w:t>
      </w:r>
    </w:p>
    <w:tbl>
      <w:tblPr>
        <w:tblW w:w="5047" w:type="dxa"/>
        <w:jc w:val="left"/>
        <w:tblInd w:w="0" w:type="dxa"/>
        <w:tblLayout w:type="fixed"/>
        <w:tblCellMar>
          <w:top w:w="0" w:type="dxa"/>
          <w:left w:w="0" w:type="dxa"/>
          <w:bottom w:w="0" w:type="dxa"/>
          <w:right w:w="0" w:type="dxa"/>
        </w:tblCellMar>
      </w:tblPr>
      <w:tblGrid>
        <w:gridCol w:w="2686"/>
        <w:gridCol w:w="346"/>
        <w:gridCol w:w="211"/>
        <w:gridCol w:w="571"/>
        <w:gridCol w:w="346"/>
        <w:gridCol w:w="211"/>
        <w:gridCol w:w="67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705610" cy="175260"/>
                      <wp:effectExtent l="0" t="0" r="0" b="0"/>
                      <wp:wrapNone/>
                      <wp:docPr id="403" name="Frame403"/>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9710" cy="175260"/>
                      <wp:effectExtent l="0" t="0" r="0" b="0"/>
                      <wp:wrapNone/>
                      <wp:docPr id="404"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3985" cy="175260"/>
                      <wp:effectExtent l="0" t="0" r="0" b="0"/>
                      <wp:wrapNone/>
                      <wp:docPr id="405" name="Frame4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362585" cy="175260"/>
                      <wp:effectExtent l="0" t="0" r="0" b="0"/>
                      <wp:wrapNone/>
                      <wp:docPr id="406" name="Frame40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7"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3985" cy="175260"/>
                      <wp:effectExtent l="0" t="0" r="0" b="0"/>
                      <wp:wrapNone/>
                      <wp:docPr id="408" name="Frame4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29260" cy="175260"/>
                      <wp:effectExtent l="0" t="0" r="0" b="0"/>
                      <wp:wrapNone/>
                      <wp:docPr id="409" name="Frame4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504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1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Holding Company: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6.250% senior notes due 2026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5.250% senior notes due 2027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1,384</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4.375% senior notes due 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9.750% senior notes due 2029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10.000% senior notes due 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9.000% senior notes due 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4,699</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Reporting Segments: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Packaging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Fashion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6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2,110</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6,809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Holding Company</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Our Holding Company debt consists of various issues of fixed-rate senior notes issued by Icahn Enterprises and Icahn Enterprises Finance Corp. (together the “Issuers”) and guaranteed by Icahn Enterprises Holdings (the “Guarantor”). Interest on each tranche of the senior unsecured notes is payable semi-annually.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August 2025, we, together with Icahn Enterprises Finance Corp., issued an additional $500 million in aggregate principal amount of our existing 10.000% senior secured notes due 2029. The net proceeds from the issuance, together with cash on hand, were used to partially redeem $500 million of the outstanding 6.250% senior secured notes due 2026 on September 5, 2025. The redemption included $21 million of notes held in treasury, resulting in a net debt extinguishment of $479 million. On February 26, 2026, we expect to use cash on hand to fully redeem the remaining outstanding 6.250% senior secured notes due 2026. See Note 22, “Subsequent Events.”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During the year ended December 31, 2025, we repurchased in the open market approximately $50 million aggregate principal amount of our 9.000% senior notes due 2030 for total cash paid of $46 million. The repurchased notes were extinguished but were not retired and are held in treasury. </w:t>
      </w:r>
    </w:p>
    <w:p>
      <w:pPr>
        <w:pStyle w:val="TextBody"/>
        <w:bidi w:val="0"/>
        <w:spacing w:before="0" w:after="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NRMTPro" w:hAnsi="TimesNRMTPro"/>
          <w:sz w:val="20"/>
        </w:rPr>
        <w:t>In November 2024, the Issuers issued $500</w:t>
      </w:r>
      <w:r>
        <w:rPr>
          <w:rFonts w:ascii="Times New Roman;Times;serif" w:hAnsi="Times New Roman;Times;serif"/>
          <w:sz w:val="20"/>
        </w:rPr>
        <w:t xml:space="preserve"> </w:t>
      </w:r>
      <w:r>
        <w:rPr>
          <w:rFonts w:ascii="TimesNRMTPro" w:hAnsi="TimesNRMTPro"/>
          <w:sz w:val="20"/>
        </w:rPr>
        <w:t>million in aggregate principal amount of secured 10.000%</w:t>
      </w:r>
      <w:r>
        <w:rPr>
          <w:rFonts w:ascii="Times New Roman;Times;serif" w:hAnsi="Times New Roman;Times;serif"/>
          <w:sz w:val="20"/>
        </w:rPr>
        <w:t xml:space="preserve"> </w:t>
      </w:r>
      <w:r>
        <w:rPr>
          <w:rFonts w:ascii="TimesNRMTPro" w:hAnsi="TimesNRMTPro"/>
          <w:sz w:val="20"/>
        </w:rPr>
        <w:t>senior notes due 2029 (the “10%</w:t>
      </w:r>
      <w:r>
        <w:rPr>
          <w:rFonts w:ascii="Times New Roman;Times;serif" w:hAnsi="Times New Roman;Times;serif"/>
          <w:sz w:val="20"/>
        </w:rPr>
        <w:t xml:space="preserve"> </w:t>
      </w:r>
      <w:r>
        <w:rPr>
          <w:rFonts w:ascii="TimesNRMTPro" w:hAnsi="TimesNRMTPro"/>
          <w:sz w:val="20"/>
        </w:rPr>
        <w:t>2029 Notes”). The net proceeds from the issuance were used to partially redeem $500</w:t>
      </w:r>
      <w:r>
        <w:rPr>
          <w:rFonts w:ascii="Times New Roman;Times;serif" w:hAnsi="Times New Roman;Times;serif"/>
          <w:sz w:val="20"/>
        </w:rPr>
        <w:t xml:space="preserve"> </w:t>
      </w:r>
      <w:r>
        <w:rPr>
          <w:rFonts w:ascii="TimesNRMTPro" w:hAnsi="TimesNRMTPro"/>
          <w:sz w:val="20"/>
        </w:rPr>
        <w:t>million of the outstanding 6.250%</w:t>
      </w:r>
      <w:r>
        <w:rPr>
          <w:rFonts w:ascii="Times New Roman;Times;serif" w:hAnsi="Times New Roman;Times;serif"/>
          <w:sz w:val="20"/>
        </w:rPr>
        <w:t xml:space="preserve"> </w:t>
      </w:r>
      <w:r>
        <w:rPr>
          <w:rFonts w:ascii="TimesNRMTPro" w:hAnsi="TimesNRMTPro"/>
          <w:sz w:val="20"/>
        </w:rPr>
        <w:t>senior notes due 2026 on December 16, 2024. Our 10%</w:t>
      </w:r>
      <w:r>
        <w:rPr>
          <w:rFonts w:ascii="Times New Roman;Times;serif" w:hAnsi="Times New Roman;Times;serif"/>
          <w:sz w:val="20"/>
        </w:rPr>
        <w:t xml:space="preserve"> </w:t>
      </w:r>
      <w:r>
        <w:rPr>
          <w:rFonts w:ascii="TimesNRMTPro" w:hAnsi="TimesNRMTPro"/>
          <w:sz w:val="20"/>
        </w:rPr>
        <w:t>2029 Notes are secured by substantially all of our assets directly owned by us and Icahn Enterprises Holdings, subject to customary exceptions. Concurrently with the consummation of this issuance, the Issuers granted a lien in favor of the holders of the Issuers’ 6.250%</w:t>
      </w:r>
      <w:r>
        <w:rPr>
          <w:rFonts w:ascii="Times New Roman;Times;serif" w:hAnsi="Times New Roman;Times;serif"/>
          <w:sz w:val="20"/>
        </w:rPr>
        <w:t xml:space="preserve"> </w:t>
      </w:r>
      <w:r>
        <w:rPr>
          <w:rFonts w:ascii="TimesNRMTPro" w:hAnsi="TimesNRMTPro"/>
          <w:sz w:val="20"/>
        </w:rPr>
        <w:t>senior notes due 2026, 5.250%</w:t>
      </w:r>
      <w:r>
        <w:rPr>
          <w:rFonts w:ascii="Times New Roman;Times;serif" w:hAnsi="Times New Roman;Times;serif"/>
          <w:sz w:val="20"/>
        </w:rPr>
        <w:t xml:space="preserve"> </w:t>
      </w:r>
      <w:r>
        <w:rPr>
          <w:rFonts w:ascii="TimesNRMTPro" w:hAnsi="TimesNRMTPro"/>
          <w:sz w:val="20"/>
        </w:rPr>
        <w:t>senior notes due 2027, 4.375%</w:t>
      </w:r>
      <w:r>
        <w:rPr>
          <w:rFonts w:ascii="Times New Roman;Times;serif" w:hAnsi="Times New Roman;Times;serif"/>
          <w:sz w:val="20"/>
        </w:rPr>
        <w:t xml:space="preserve"> </w:t>
      </w:r>
      <w:r>
        <w:rPr>
          <w:rFonts w:ascii="TimesNRMTPro" w:hAnsi="TimesNRMTPro"/>
          <w:sz w:val="20"/>
        </w:rPr>
        <w:t>senior notes due 2029 and the 9.000%</w:t>
      </w:r>
      <w:r>
        <w:rPr>
          <w:rFonts w:ascii="Times New Roman;Times;serif" w:hAnsi="Times New Roman;Times;serif"/>
          <w:sz w:val="20"/>
        </w:rPr>
        <w:t xml:space="preserve"> </w:t>
      </w:r>
      <w:r>
        <w:rPr>
          <w:rFonts w:ascii="TimesNRMTPro" w:hAnsi="TimesNRMTPro"/>
          <w:sz w:val="20"/>
        </w:rPr>
        <w:t>senior notes due 2030 (collectively, the “Existing Notes”) such that the Existing Notes are secured equally and ratably with the 10%</w:t>
      </w:r>
      <w:r>
        <w:rPr>
          <w:rFonts w:ascii="Times New Roman;Times;serif" w:hAnsi="Times New Roman;Times;serif"/>
          <w:sz w:val="20"/>
        </w:rPr>
        <w:t xml:space="preserve"> </w:t>
      </w:r>
      <w:r>
        <w:rPr>
          <w:rFonts w:ascii="TimesNRMTPro" w:hAnsi="TimesNRMTPro"/>
          <w:sz w:val="20"/>
        </w:rPr>
        <w:t>2029 Notes upon the issuance thereof. Accordingly, while we previously designated the Existing Notes as our senior unsecured notes they are now designated as our senior notes.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firstLine="360"/>
        <w:jc w:val="left"/>
        <w:rPr>
          <w:rFonts w:ascii="Times New Roman;Times;serif" w:hAnsi="Times New Roman;Times;serif"/>
          <w:sz w:val="20"/>
        </w:rPr>
      </w:pPr>
      <w:r>
        <w:rPr>
          <w:rFonts w:ascii="TimesNRMTPro" w:hAnsi="TimesNRMTPro"/>
          <w:sz w:val="20"/>
        </w:rPr>
        <w:t>In May 2024, the Issuers issued $750</w:t>
      </w:r>
      <w:r>
        <w:rPr>
          <w:rFonts w:ascii="Times New Roman;Times;serif" w:hAnsi="Times New Roman;Times;serif"/>
          <w:sz w:val="20"/>
        </w:rPr>
        <w:t xml:space="preserve"> </w:t>
      </w:r>
      <w:r>
        <w:rPr>
          <w:rFonts w:ascii="TimesNRMTPro" w:hAnsi="TimesNRMTPro"/>
          <w:sz w:val="20"/>
        </w:rPr>
        <w:t>million in aggregate principal amount of 9.000%</w:t>
      </w:r>
      <w:r>
        <w:rPr>
          <w:rFonts w:ascii="Times New Roman;Times;serif" w:hAnsi="Times New Roman;Times;serif"/>
          <w:sz w:val="20"/>
        </w:rPr>
        <w:t xml:space="preserve"> </w:t>
      </w:r>
      <w:r>
        <w:rPr>
          <w:rFonts w:ascii="TimesNRMTPro" w:hAnsi="TimesNRMTPro"/>
          <w:sz w:val="20"/>
        </w:rPr>
        <w:t>senior notes due 2030. The net proceeds from the issuance were used to redeem the remaining outstanding 6.375%</w:t>
      </w:r>
      <w:r>
        <w:rPr>
          <w:rFonts w:ascii="Times New Roman;Times;serif" w:hAnsi="Times New Roman;Times;serif"/>
          <w:sz w:val="20"/>
        </w:rPr>
        <w:t xml:space="preserve"> </w:t>
      </w:r>
      <w:r>
        <w:rPr>
          <w:rFonts w:ascii="TimesNRMTPro" w:hAnsi="TimesNRMTPro"/>
          <w:sz w:val="20"/>
        </w:rPr>
        <w:t>senior notes due 2025 in full on June 13, 2024.</w:t>
      </w:r>
      <w:r>
        <w:rPr>
          <w:rFonts w:ascii="Times New Roman;Times;serif" w:hAnsi="Times New Roman;Times;serif"/>
          <w:sz w:val="20"/>
        </w:rPr>
        <w:t xml:space="preserve"> </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April 2024, we sold $12 million in aggregate principal amount of our 6.250% senior notes due 2026 and $5 million in aggregate principal amount of our 5.250% senior notes due 2027, both previously repurchased and held in treasury, in the open market. In August and September of 2024, we repurchased in the open market approximately $52 million aggregate principal amount of our 6.250% senior notes due 2026, $73 million aggregate principal amount of our 5.250% senior notes due 2027 and $52 million aggregate principal amount of our 4.375% senior notes due 2029 for total cash paid of $168 million and a total aggregate principal amount of $177 million of our senior notes repurchased. </w:t>
      </w:r>
      <w:r>
        <w:rPr>
          <w:rFonts w:ascii="TimesNRMTPro" w:hAnsi="TimesNRMTPro"/>
          <w:sz w:val="20"/>
        </w:rPr>
        <w:t>The repurchased notes of $177</w:t>
      </w:r>
      <w:r>
        <w:rPr>
          <w:rFonts w:ascii="Times New Roman;Times;serif" w:hAnsi="Times New Roman;Times;serif"/>
          <w:sz w:val="20"/>
        </w:rPr>
        <w:t xml:space="preserve"> </w:t>
      </w:r>
      <w:r>
        <w:rPr>
          <w:rFonts w:ascii="TimesNRMTPro" w:hAnsi="TimesNRMTPro"/>
          <w:sz w:val="20"/>
        </w:rPr>
        <w:t>million aggregate principal were extinguished but were not retired and are held in treasury.</w:t>
      </w:r>
      <w:r>
        <w:rPr>
          <w:rFonts w:ascii="Times New Roman;Times;serif" w:hAnsi="Times New Roman;Times;serif"/>
          <w:sz w:val="20"/>
        </w:rPr>
        <w:t xml:space="preserve"> </w:t>
      </w:r>
      <w:r>
        <w:rPr>
          <w:rFonts w:ascii="TimesNRMTPro" w:hAnsi="TimesNRMTPro"/>
          <w:sz w:val="20"/>
        </w:rPr>
        <w:t>In December 2024, we received $21</w:t>
      </w:r>
      <w:r>
        <w:rPr>
          <w:rFonts w:ascii="Times New Roman;Times;serif" w:hAnsi="Times New Roman;Times;serif"/>
          <w:sz w:val="20"/>
        </w:rPr>
        <w:t xml:space="preserve"> </w:t>
      </w:r>
      <w:r>
        <w:rPr>
          <w:rFonts w:ascii="TimesNRMTPro" w:hAnsi="TimesNRMTPro"/>
          <w:sz w:val="20"/>
        </w:rPr>
        <w:t>million as a part of the redemption of our 6.25%</w:t>
      </w:r>
      <w:r>
        <w:rPr>
          <w:rFonts w:ascii="Times New Roman;Times;serif" w:hAnsi="Times New Roman;Times;serif"/>
          <w:sz w:val="20"/>
        </w:rPr>
        <w:t xml:space="preserve"> </w:t>
      </w:r>
      <w:r>
        <w:rPr>
          <w:rFonts w:ascii="TimesNRMTPro" w:hAnsi="TimesNRMTPro"/>
          <w:sz w:val="20"/>
        </w:rPr>
        <w:t>senior notes due 2026 held in treasury.</w:t>
      </w:r>
      <w:r>
        <w:rPr>
          <w:rFonts w:ascii="Times New Roman;Times;serif" w:hAnsi="Times New Roman;Times;serif"/>
          <w:sz w:val="20"/>
        </w:rPr>
        <w:t xml:space="preserve">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In November and December of 2023, we repurchased in the open market approximately </w:t>
      </w:r>
      <w:r>
        <w:rPr>
          <w:rFonts w:ascii="Times New Roman;Times;serif" w:hAnsi="Times New Roman;Times;serif"/>
          <w:sz w:val="20"/>
        </w:rPr>
        <w:t>$35 million aggregate principal amount of our 4.750% senior notes due 2024, which the Company then cancelled and reduced the outstanding principal, $12 million aggregate principal amount of our 6.25% senior notes due 2026, $5 million aggregate principal amount of our 5.25% senior notes due 2027, and $40 million aggregate principal amount of our 4.375% senior notes due 2029 for total cash paid of $84 million for a total aggregate principal amount of $92 million. The remaining repurchased notes of $57 million aggregate principal were extinguished but were not retired and are held in treasury.</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2023, the Issuers issued $700 million in aggregate principal amount of 9.750% senior notes due 2029. The net proceeds from such issuance, together with $376 million of cash and cash equivalents on hand, was used to satisfy and discharge the remaining outstanding 4.750% senior notes due 2024, along with any accrued interest associated with the notes and related fees and expenses. </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Icahn Enterprises recorded a gain on extinguishment of $3 million in 2025, a gain on extinguishment of debt of $8 million in 2024 and a gain on extinguishment of debt of $13 million in 2023.</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Each of our senior notes and the related guarantees are the senior obligations of the Issuers and rank equally with all of the Issuers’ and the Guarantor’s existing and future senior indebtedness and senior to all of the Issuers’ and the Guarantor’s existing and future subordinated indebtedness. Each of our senior notes and the related guarantees are effectively subordinated to the Issuers’ and the Guarantor’s existing and future secured indebtedness to the extent of the collateral securing such indebtedness. Each of our senior notes and the related guarantees are also effectively subordinated to all indebtedness and other liabilities of the Issuers’ subsidiaries other than the Guarantor.</w:t>
      </w:r>
    </w:p>
    <w:p>
      <w:pPr>
        <w:pStyle w:val="TextBody"/>
        <w:bidi w:val="0"/>
        <w:spacing w:before="180" w:after="180"/>
        <w:ind w:left="0" w:right="0" w:firstLine="555"/>
        <w:jc w:val="left"/>
        <w:rPr>
          <w:rFonts w:ascii="Times New Roman;Times;serif" w:hAnsi="Times New Roman;Times;serif"/>
          <w:sz w:val="20"/>
        </w:rPr>
      </w:pPr>
      <w:r>
        <w:rPr>
          <w:rFonts w:ascii="Times New Roman;Times;serif" w:hAnsi="Times New Roman;Times;serif"/>
          <w:sz w:val="20"/>
        </w:rPr>
        <w:t>The indentures governing each of our senior notes: restrict the payment of cash distributions, the purchase of equity interests or the purchase, redemption, defeasance or acquisition of debt subordinated to the senior unsecured notes; restrict the incurrence of debt or the issuance of disqualified stock, as defined in the indentures, with certain exceptions; require that on each quarterly determination date, Icahn Enterprises and the guarantor of each of the senior notes (currently only Icahn Enterprises Holdings) maintain certain minimum financial ratios, as defined therein; and restrict the creation of liens, mergers, consolidations and sales of substantially all of our assets, and transactions with affiliates. Additionally, each of the 5.250% senior notes due 2027, the 4.375% senior notes due 2029, the 10.000% senior notes due 2029 and the 9.000% senior notes due 2030 are subject to optional redemption premiums in the event we redeem any of the notes prior to six months before maturity. The 9.750% senior notes due 2029 are subject to optional redemption premiums in the event we redeem these notes prior to three months before maturity. Although we have no obligation to do so, we may continue, from time-to-time, to retire our outstanding debt through privately negotiated transactions, open market repurchases, redemptions or otherwise.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of December 31, 2025 and 2024, we were in compliance with all covenants, including maintaining certain minimum financial ratios, as defined in the indentures. Additionally, as of December 31, 2025 and 2024, based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covenants in the indentures governing our senior notes, we are not permitted to incur additional indebtedness; however, we are permitted to issue new notes in connection with debt refinancings of existing notes.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 Segments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Energy</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Our Energy segment’s debt primarily consists of (i) $400 million in aggregate principal amount of 5.75% senior unsecured notes due 2028 and $600 million in aggregate principal amount of 8.50% senior unsecured notes due 2029 (each issued by CVR Energy), (ii) $550 million in aggregate principal amount of 6.125% senior secured notes due 2028 (issued by CVR Partners), and (iii) $154 million senior secured term loan facility. Interest for each of these notes is accrued and paid based on contractual terms.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February 2026, CVR Energy completed the issuance of $1 billion aggregate principal amount, consisting of $600 million of 7.50% senior notes due February 2031 and $400 million of 7.875% senior notes due February 2034. The proceeds from the issuance of these notes were used to (i) fund the redemption in full of CVR Energy’s existing $600 million in aggregate principal amount of 8.50% senior unsecured notes due 2029 at a redemption price equal to 104.250% of the principal amount in February 2026, resulting in a $28 million loss on extinguishment of debt in the first quarter of 2026, (ii) fund the partial redemption of $217 million of CVR Energy’s existing $400 million in aggregate principal amount of 5.75% senior unsecured notes due 2028 at par in February 2026, resulting in a less than $1 million loss on extinguishment of debt in the first quarter of 2026, and (iii) repaid the aggregate principal balance of CVR Energy’s senior secured term loan facility (the “Term Loan”), resulting in a $3 million loss on extinguishment in the first quarter of 2026. </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In February, 2026, CVR Energy and certain of its subsidiaries entered into Amendment No. 5 to the Amended and Restated ABL Credit Agreement (the “CVR Energy ABL Amendment”) with a group of lenders Wells Fargo Bank, National Association, a national banking associate (“Wells Fargo”), as administrative agent, collateral agent and a lender. The CVR Energy ABL Amendment amended that certain Credit Agreement, dated December 20, 2012, to, among other things, (i) increase the aggregate principal amount available under the CVR Energy ABL from $345</w:t>
      </w:r>
      <w:r>
        <w:rPr>
          <w:rFonts w:ascii="Times New Roman;Times;serif" w:hAnsi="Times New Roman;Times;serif"/>
          <w:sz w:val="24"/>
        </w:rPr>
        <w:t xml:space="preserve"> </w:t>
      </w:r>
      <w:r>
        <w:rPr>
          <w:rFonts w:ascii="Times New Roman;Times;serif" w:hAnsi="Times New Roman;Times;serif"/>
          <w:sz w:val="20"/>
        </w:rPr>
        <w:t>million to $550</w:t>
      </w:r>
      <w:r>
        <w:rPr>
          <w:rFonts w:ascii="Times New Roman;Times;serif" w:hAnsi="Times New Roman;Times;serif"/>
          <w:sz w:val="24"/>
        </w:rPr>
        <w:t xml:space="preserve"> </w:t>
      </w:r>
      <w:r>
        <w:rPr>
          <w:rFonts w:ascii="Times New Roman;Times;serif" w:hAnsi="Times New Roman;Times;serif"/>
          <w:sz w:val="20"/>
        </w:rPr>
        <w:t>million, which commitments may be further increased up to $700</w:t>
      </w:r>
      <w:r>
        <w:rPr>
          <w:rFonts w:ascii="Times New Roman;Times;serif" w:hAnsi="Times New Roman;Times;serif"/>
          <w:sz w:val="24"/>
        </w:rPr>
        <w:t xml:space="preserve"> </w:t>
      </w:r>
      <w:r>
        <w:rPr>
          <w:rFonts w:ascii="Times New Roman;Times;serif" w:hAnsi="Times New Roman;Times;serif"/>
          <w:sz w:val="20"/>
        </w:rPr>
        <w:t>million in accordance with the CVR ABL Amendment, (ii) extend the maturity date by an additional three years</w:t>
      </w:r>
      <w:r>
        <w:rPr>
          <w:rFonts w:ascii="Times New Roman;Times;serif" w:hAnsi="Times New Roman;Times;serif"/>
          <w:sz w:val="24"/>
        </w:rPr>
        <w:t xml:space="preserve"> </w:t>
      </w:r>
      <w:r>
        <w:rPr>
          <w:rFonts w:ascii="Times New Roman;Times;serif" w:hAnsi="Times New Roman;Times;serif"/>
          <w:sz w:val="20"/>
        </w:rPr>
        <w:t xml:space="preserve">from June, 30 2027 to February 12, 2031, and (iii) make certain amendments to the borrowing base calculation and negative covenants. </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2025, certain of our Energy segment’s subsidiaries (the “Term Loan Borrowers”) prepaid $165 million in principal amount of the Term Loan. As a result of these transactions, CVR Energy recognized a $3 million loss on extinguishment of debt for the year ended December 31, 2025.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December 2024, the Term Loan Borrowers entered into a senior secured term loan facility in the amount of $325 million, which was borrowed in full on the closing date, with net proceeds of $318 million. At the option of the Term Loan Borrowers, the term loan facility uses a variable interest rate based on SOFR plus 4.00% per year, or an alternate base rate, plus 3.00%.</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February 2024, CVR Energy redeemed all outstanding 5.250% senior unsecured notes due 2025, at par. As a result of this transaction, CVR Energy recognized a $1 million loss on extinguishment of debt in the year ended December 31, 2024.</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These senior secured notes issued by CVR Partners are guaranteed on a senior secured basis by all of CVR Partners’ existing domestic subsidiaries, excluding CVR Nitrogen Finance Corporation. The indenture governing these notes contain certain covenants that restrict the ability of the issuers and their restricted subsidiaries from incurring additional debt or issuing certain disqualified equity, create liens on certain assets to secure debt, pay dividends/distributions or make other equity distributions, purchase or redeem capital stock/common units, make certain investments, transfer and sell assets, agree to certain restrictions on the ability of restricted subsidiaries to make distributions, loans, or other asset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120"/>
        <w:ind w:left="0" w:right="0" w:hanging="0"/>
        <w:jc w:val="left"/>
        <w:rPr>
          <w:rFonts w:ascii="Times New Roman;Times;serif" w:hAnsi="Times New Roman;Times;serif"/>
          <w:sz w:val="20"/>
        </w:rPr>
      </w:pPr>
      <w:bookmarkStart w:id="1175" w:name="Tc_F3OUXnrlXESsvgPlJd51OA_12_2"/>
      <w:bookmarkStart w:id="1176" w:name="Tc_146GYVMXQEeLpnj_myAa1A_11_0"/>
      <w:bookmarkStart w:id="1177" w:name="Tc_IFwkBP223kSJah5NhgIwQQ_10_0"/>
      <w:bookmarkStart w:id="1178" w:name="Tc_klkUR_Poj0idC8MINR9nFA_9_0"/>
      <w:bookmarkStart w:id="1179" w:name="Tc_1HbSivjOeU-BtcRpJQ__qQ_8_3"/>
      <w:bookmarkStart w:id="1180" w:name="Tc_LMjIJNwiqECU3wnPxG-MMg_8_0"/>
      <w:bookmarkStart w:id="1181" w:name="Tc_9MhZLabH3k-ogePQw1aPxA_7_0"/>
      <w:bookmarkStart w:id="1182" w:name="Tc_Fs-FAjzeDEq9Gq4-vn2gaQ_6_0"/>
      <w:bookmarkStart w:id="1183" w:name="Tc_1bMsGAqnkUaUUw5VZ840mA_5_0"/>
      <w:bookmarkStart w:id="1184" w:name="Tc_yXZgkoY0ZEC6Ylw_FciR0w_4_0"/>
      <w:bookmarkStart w:id="1185" w:name="Tc_ZFv_P19Oc0CMcwrCwgmQOQ_3_2"/>
      <w:bookmarkStart w:id="1186" w:name="Tc__FuwigDwfEy6rnvajKgRaQ_3_0"/>
      <w:bookmarkStart w:id="1187" w:name="Tc_SSQFc2oWMkaDG2cRCY9iuQ_2_2"/>
      <w:bookmarkStart w:id="1188" w:name="Tc_T1g3uUBkjEK2DINVJAEltg_1_2"/>
      <w:bookmarkStart w:id="1189" w:name="Tc_cZxvpqvukk2IVPvN1P1AFg_1_0"/>
      <w:bookmarkStart w:id="1190" w:name="_5ffa6cbf_f08f_42f5_86d5_1da9b1b7e357"/>
      <w:bookmarkStart w:id="1191" w:name="_Hlk191312496"/>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r>
        <w:rPr>
          <w:rFonts w:ascii="Times New Roman;Times;serif" w:hAnsi="Times New Roman;Times;serif"/>
          <w:sz w:val="20"/>
        </w:rPr>
        <w:t>transfers to the issuers, consolidate, merge, sell, or otherwise dispose of all or substantially all of their assets, engage in transactions with affiliates and designate restricted subsidiaries as unrestricted subsidiaries.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As of December 31, 2025 and 2024, total availability under the CVR Energy ABL and CVR Partners variable rate asset based revolving credit facilities aggregated $296 million and $277 million, respectively. The CVR Energy ABL also had $10 million and $24 million of letters of credit outstanding as of December 31, 2025 and 2024,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Food Packaging</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Viskase’s debt primarily consists of a credit agreement providing for a $99 million term loan and a $37 million revolving credit facility, of which $33 million is utilized. The interest rate on Viskase’s term loans were 6.8% and 7.5% as of December 31, 2025 and 2024, respectively. As of December 31, 2025 and 2024, the total availability under the term loan aggregated $5 million and $25 million, respectively.</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 During 2025 and 2026, Viskase entered into an amendment to its credit agreement providing for, among other things, a waiver of any events of default relating to financial covenants under the credit agreement for the measurement period ended December 31, 2025 and December 31, 2024, and greater flexibility for the measurement of the financial covenants for each of the fiscal quarters in 2025.</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Non-Cash Charges to Interest Expense</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amortization of deferred financing costs and debt discounts and premiums included in interest expense in the consolidated statements of operations were $4 million, $3 million and $4 million for the years ended December 31, 2025, 2024 and 2023, respectively.</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Maturities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following is a summary of the maturities of our debt as of December 31, 2025:</w:t>
      </w:r>
    </w:p>
    <w:tbl>
      <w:tblPr>
        <w:tblW w:w="6902" w:type="dxa"/>
        <w:jc w:val="left"/>
        <w:tblInd w:w="0" w:type="dxa"/>
        <w:tblLayout w:type="fixed"/>
        <w:tblCellMar>
          <w:top w:w="0" w:type="dxa"/>
          <w:left w:w="0" w:type="dxa"/>
          <w:bottom w:w="0" w:type="dxa"/>
          <w:right w:w="0" w:type="dxa"/>
        </w:tblCellMar>
      </w:tblPr>
      <w:tblGrid>
        <w:gridCol w:w="5551"/>
        <w:gridCol w:w="346"/>
        <w:gridCol w:w="239"/>
        <w:gridCol w:w="766"/>
      </w:tblGrid>
      <w:tr>
        <w:trPr/>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3524885" cy="175260"/>
                      <wp:effectExtent l="0" t="0" r="0" b="0"/>
                      <wp:wrapNone/>
                      <wp:docPr id="410" name="Frame410"/>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11"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51765" cy="175260"/>
                      <wp:effectExtent l="0" t="0" r="0" b="0"/>
                      <wp:wrapNone/>
                      <wp:docPr id="412" name="Frame41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86410" cy="175260"/>
                      <wp:effectExtent l="0" t="0" r="0" b="0"/>
                      <wp:wrapNone/>
                      <wp:docPr id="413" name="Frame41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w:t>
            </w:r>
          </w:p>
        </w:tc>
        <w:tc>
          <w:tcPr>
            <w:tcW w:w="346" w:type="dxa"/>
            <w:tcBorders/>
            <w:vAlign w:val="center"/>
          </w:tcPr>
          <w:p>
            <w:pPr>
              <w:pStyle w:val="TableContents"/>
              <w:bidi w:val="0"/>
              <w:spacing w:before="0" w:after="1"/>
              <w:ind w:left="0" w:right="0" w:hanging="0"/>
              <w:jc w:val="left"/>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5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1,539</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2,958</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payments (excluding financing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6,552</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unamortized discounts, premiums and deferred financing fees</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leases (Note 12)</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5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6,616</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120"/>
        <w:ind w:left="0" w:right="0" w:hanging="0"/>
        <w:jc w:val="left"/>
        <w:rPr>
          <w:rFonts w:ascii="Times New Roman;Times;serif" w:hAnsi="Times New Roman;Times;serif"/>
          <w:b/>
          <w:sz w:val="20"/>
        </w:rPr>
      </w:pPr>
      <w:bookmarkStart w:id="1192" w:name="Tc_9Nx19_LPYkGf6GugDFIMdg_8_0"/>
      <w:bookmarkStart w:id="1193" w:name="Tc_xqHmMcJixkKWkkraKLM6eQ_7_7"/>
      <w:bookmarkStart w:id="1194" w:name="Tc_s8gK2Mi2Y0SeXtFAkUTqRQ_7_4"/>
      <w:bookmarkStart w:id="1195" w:name="Tc_ksGR9UZR9EWQauXTzms8ZQ_7_1"/>
      <w:bookmarkStart w:id="1196" w:name="Tc_rfBMhdaPwUuMgQUNFOVQYA_7_0"/>
      <w:bookmarkStart w:id="1197" w:name="Tc_f9lRuW7-fEKrJ2SRHPakmQ_5_7"/>
      <w:bookmarkStart w:id="1198" w:name="Tc_aH6BeMFeGU6EHhQLOwnsjQ_5_4"/>
      <w:bookmarkStart w:id="1199" w:name="Tc_NCbbm2HdRkmRez86SrwyAA_5_1"/>
      <w:bookmarkStart w:id="1200" w:name="Tc_8VYBmzX_nky7d-F34k5I-A_5_0"/>
      <w:bookmarkStart w:id="1201" w:name="Tc_JO4S-nmdmk-i9kLWW6_syw_4_7"/>
      <w:bookmarkStart w:id="1202" w:name="Tc_Pv1bbJOKlkKIropVpxbD_Q_4_4"/>
      <w:bookmarkStart w:id="1203" w:name="Tc_oJxpaNR06k2ofh4rjQHKrQ_4_1"/>
      <w:bookmarkStart w:id="1204" w:name="Tc_BzBlpJCL4E-HeZyt9TJ0gA_4_0"/>
      <w:bookmarkStart w:id="1205" w:name="Tc_IsM7UIaYFEaESxJKnKWuOw_3_1"/>
      <w:bookmarkStart w:id="1206" w:name="Tc__pw5DgrMAk-g7ivcv0nhAw_2_7"/>
      <w:bookmarkStart w:id="1207" w:name="Tc_t2TBHML_m0yrdACIaz5DKA_2_4"/>
      <w:bookmarkStart w:id="1208" w:name="Tc_Op_SKGRmukGHc-KBpxRh_g_2_1"/>
      <w:bookmarkStart w:id="1209" w:name="Tc_TVL69sD5EEms8HTVtCmIKA_1_1"/>
      <w:bookmarkStart w:id="1210" w:name="_2b8902b2_a0f2_4bfa_991e_a1f69a9ac0d2"/>
      <w:bookmarkStart w:id="1211" w:name="_e5ffb56e_b54d_44ae_b6fe_f773dac93146"/>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r>
        <w:rPr>
          <w:rFonts w:ascii="Times New Roman;Times;serif" w:hAnsi="Times New Roman;Times;serif"/>
          <w:b/>
          <w:sz w:val="20"/>
        </w:rPr>
        <w:t>14. Net Income (Loss) Per LP Unit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components of the computation of basic and diluted income (loss) per LP unit from continuing and discontinued operations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30"/>
        <w:gridCol w:w="211"/>
        <w:gridCol w:w="568"/>
        <w:gridCol w:w="346"/>
        <w:gridCol w:w="211"/>
        <w:gridCol w:w="568"/>
        <w:gridCol w:w="346"/>
        <w:gridCol w:w="211"/>
        <w:gridCol w:w="614"/>
      </w:tblGrid>
      <w:tr>
        <w:trPr/>
        <w:tc>
          <w:tcPr>
            <w:tcW w:w="7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527550" cy="175260"/>
                      <wp:effectExtent l="0" t="0" r="0" b="0"/>
                      <wp:wrapNone/>
                      <wp:docPr id="414" name="Frame414"/>
                      <a:graphic xmlns:a="http://schemas.openxmlformats.org/drawingml/2006/main">
                        <a:graphicData uri="http://schemas.microsoft.com/office/word/2010/wordprocessingShape">
                          <wps:wsp>
                            <wps:cNvSpPr txBox="1"/>
                            <wps:spPr>
                              <a:xfrm>
                                <a:off x="0" y="0"/>
                                <a:ext cx="4527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33985" cy="175260"/>
                      <wp:effectExtent l="0" t="0" r="0" b="0"/>
                      <wp:wrapNone/>
                      <wp:docPr id="415" name="Frame4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360680" cy="175260"/>
                      <wp:effectExtent l="0" t="0" r="0" b="0"/>
                      <wp:wrapNone/>
                      <wp:docPr id="416" name="Frame416"/>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7" name="Frame4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8"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360680" cy="175260"/>
                      <wp:effectExtent l="0" t="0" r="0" b="0"/>
                      <wp:wrapNone/>
                      <wp:docPr id="419" name="Frame419"/>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20"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3985" cy="175260"/>
                      <wp:effectExtent l="0" t="0" r="0" b="0"/>
                      <wp:wrapNone/>
                      <wp:docPr id="421" name="Frame4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389890" cy="175260"/>
                      <wp:effectExtent l="0" t="0" r="0" b="0"/>
                      <wp:wrapNone/>
                      <wp:docPr id="422" name="Frame422"/>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30" w:type="dxa"/>
            <w:tcBorders/>
            <w:vAlign w:val="center"/>
          </w:tcPr>
          <w:p>
            <w:pPr>
              <w:pStyle w:val="TableContents"/>
              <w:bidi w:val="0"/>
              <w:spacing w:before="0" w:after="0"/>
              <w:ind w:left="0" w:right="0" w:hanging="0"/>
              <w:jc w:val="left"/>
              <w:rPr/>
            </w:pPr>
            <w:r>
              <w:rPr/>
              <w:t>​</w:t>
            </w:r>
          </w:p>
        </w:tc>
        <w:tc>
          <w:tcPr>
            <w:tcW w:w="307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7130" w:type="dxa"/>
            <w:tcBorders/>
            <w:vAlign w:val="center"/>
          </w:tcPr>
          <w:p>
            <w:pPr>
              <w:pStyle w:val="TableContents"/>
              <w:bidi w:val="0"/>
              <w:spacing w:before="0" w:after="0"/>
              <w:ind w:left="0" w:right="0" w:hanging="0"/>
              <w:jc w:val="left"/>
              <w:rPr/>
            </w:pPr>
            <w:r>
              <w:rPr/>
              <w:t>​</w:t>
            </w:r>
          </w:p>
        </w:tc>
        <w:tc>
          <w:tcPr>
            <w:tcW w:w="7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7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1020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7130" w:type="dxa"/>
            <w:tcBorders/>
            <w:vAlign w:val="center"/>
          </w:tcPr>
          <w:p>
            <w:pPr>
              <w:pStyle w:val="TableContents"/>
              <w:bidi w:val="0"/>
              <w:spacing w:before="0" w:after="0"/>
              <w:ind w:left="0" w:right="0" w:hanging="0"/>
              <w:jc w:val="left"/>
              <w:rPr/>
            </w:pPr>
            <w:r>
              <w:rPr/>
              <w:t>​</w:t>
            </w:r>
          </w:p>
        </w:tc>
        <w:tc>
          <w:tcPr>
            <w:tcW w:w="3075" w:type="dxa"/>
            <w:gridSpan w:val="8"/>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millions, except per unit amounts)</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Icahn Enterprises from continuing operations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r>
      <w:tr>
        <w:trPr/>
        <w:tc>
          <w:tcPr>
            <w:tcW w:w="71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Icahn Enterprises from continuing operations allocated to limited partners (98.01% allocation)</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r>
      <w:tr>
        <w:trPr/>
        <w:tc>
          <w:tcPr>
            <w:tcW w:w="7130"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right"/>
              <w:rPr/>
            </w:pPr>
            <w:r>
              <w:rPr/>
              <w:t>​</w:t>
            </w:r>
          </w:p>
        </w:tc>
      </w:tr>
      <w:tr>
        <w:trPr/>
        <w:tc>
          <w:tcPr>
            <w:tcW w:w="71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loss per LP unit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LP units outstanding</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382</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Excludes an immaterial amount of unvested RSU awards during the years ended December 31, 2025, 2024 and 2023, due to their anti-dilutive impact.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GP Allocation</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As disclosed in Note 2, “Basis of Presentation and Summary of Significant Accounting Policies - Acquisition, Investments and Disposition of Entities under Common Control,” upon the sale of common control entities, such as PSC Metals, a portion of the gain or loss on the sale is first allocated to the general partner in order to restore the general partners’ capital account for cumulative charges or credits relating to periods prior to our obtaining a controlling interest in such entities from Mr. Icahn and his affiliates. After such general partner allocation, the remaining gain is allocated among our general partner and limited partners, in accordance with their respective ownership percentages.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i/>
          <w:sz w:val="20"/>
        </w:rPr>
      </w:pPr>
      <w:bookmarkStart w:id="1212" w:name="Tc_U4tOt5JgRU2NC0Nha8Ltyw_11_0"/>
      <w:bookmarkStart w:id="1213" w:name="Tc_tqafRaNfYEGh0v4MMzy6Yg_9_0"/>
      <w:bookmarkStart w:id="1214" w:name="Tc_bDXCcZtXskyEjLZboELpVQ_8_2"/>
      <w:bookmarkStart w:id="1215" w:name="Tc_Jh5mnNUSZk6JPLpvBL_Zrw_8_0"/>
      <w:bookmarkStart w:id="1216" w:name="Tc_m_RlcfRiUU6_6ZCG8YeRPQ_7_0"/>
      <w:bookmarkStart w:id="1217" w:name="Tc_7wJPZVCM60qhGSOtBWuSeQ_6_0"/>
      <w:bookmarkStart w:id="1218" w:name="Tc_Ss6WoOr8JEKvslnul7xLgA_5_2"/>
      <w:bookmarkStart w:id="1219" w:name="Tc_JR1h3HjTz0myrnjZHYJDcg_5_0"/>
      <w:bookmarkStart w:id="1220" w:name="Tc_aCCkDc6MaEyDowshtckurw_4_0"/>
      <w:bookmarkStart w:id="1221" w:name="Tc_TR7tlBpVFUO7R0xy_6skrw_3_0"/>
      <w:bookmarkStart w:id="1222" w:name="Tc_zT5Dn4a6N0upRjevHGqupQ_2_6"/>
      <w:bookmarkStart w:id="1223" w:name="Tc_cAisutXXxEawqWznZsjEeg_2_4"/>
      <w:bookmarkStart w:id="1224" w:name="Tc_Co5GPxv_R0O6992sW6Nukw_2_2"/>
      <w:bookmarkStart w:id="1225" w:name="Tc__QpyBd2qe0qCOMj4ikC_5g_1_4"/>
      <w:bookmarkStart w:id="1226" w:name="Tc_-c8JRkH3YEaZ7MgnbSf9Lg_1_2"/>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r>
        <w:rPr>
          <w:rFonts w:ascii="Times New Roman;Times;serif" w:hAnsi="Times New Roman;Times;serif"/>
          <w:b/>
          <w:i/>
          <w:sz w:val="20"/>
        </w:rPr>
        <w:t>LP Unit Transactions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changes in our outstanding depositary units during each of the years ended December 31, 2025, 2024 and 2023.</w:t>
      </w:r>
    </w:p>
    <w:p>
      <w:pPr>
        <w:pStyle w:val="TextBody"/>
        <w:bidi w:val="0"/>
        <w:spacing w:before="0" w:after="0"/>
        <w:ind w:left="0" w:right="0" w:hanging="0"/>
        <w:jc w:val="left"/>
        <w:rPr/>
      </w:pPr>
      <w:r>
        <w:rPr/>
        <w:t>​</w:t>
      </w:r>
    </w:p>
    <w:tbl>
      <w:tblPr>
        <w:tblW w:w="7057" w:type="dxa"/>
        <w:jc w:val="left"/>
        <w:tblInd w:w="0" w:type="dxa"/>
        <w:tblLayout w:type="fixed"/>
        <w:tblCellMar>
          <w:top w:w="0" w:type="dxa"/>
          <w:left w:w="0" w:type="dxa"/>
          <w:bottom w:w="0" w:type="dxa"/>
          <w:right w:w="0" w:type="dxa"/>
        </w:tblCellMar>
      </w:tblPr>
      <w:tblGrid>
        <w:gridCol w:w="2386"/>
        <w:gridCol w:w="346"/>
        <w:gridCol w:w="1351"/>
        <w:gridCol w:w="346"/>
        <w:gridCol w:w="1096"/>
        <w:gridCol w:w="346"/>
        <w:gridCol w:w="118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515110" cy="175260"/>
                      <wp:effectExtent l="0" t="0" r="0" b="0"/>
                      <wp:wrapNone/>
                      <wp:docPr id="423" name="Frame423"/>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19710" cy="175260"/>
                      <wp:effectExtent l="0" t="0" r="0" b="0"/>
                      <wp:wrapNone/>
                      <wp:docPr id="424"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857885" cy="175260"/>
                      <wp:effectExtent l="0" t="0" r="0" b="0"/>
                      <wp:wrapNone/>
                      <wp:docPr id="425" name="Frame425"/>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6"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5960" cy="175260"/>
                      <wp:effectExtent l="0" t="0" r="0" b="0"/>
                      <wp:wrapNone/>
                      <wp:docPr id="427" name="Frame42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753110" cy="175260"/>
                      <wp:effectExtent l="0" t="0" r="0" b="0"/>
                      <wp:wrapNone/>
                      <wp:docPr id="429" name="Frame42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Mr. Icahn and </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Public </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pPr>
            <w:r>
              <w:rPr/>
              <w:t>​</w: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5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 xml:space="preserve">Affiliates </w:t>
            </w:r>
            <w:r>
              <w:rPr>
                <w:rFonts w:ascii="Times New Roman;Times;serif" w:hAnsi="Times New Roman;Times;serif"/>
                <w:b/>
                <w:sz w:val="15"/>
              </w:rPr>
              <w:t>(1)</w:t>
            </w:r>
          </w:p>
        </w:tc>
        <w:tc>
          <w:tcPr>
            <w:tcW w:w="346" w:type="dxa"/>
            <w:tcBorders/>
            <w:vAlign w:val="center"/>
          </w:tcPr>
          <w:p>
            <w:pPr>
              <w:pStyle w:val="TableContents"/>
              <w:bidi w:val="0"/>
              <w:spacing w:before="0" w:after="1"/>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Unitholders</w:t>
            </w:r>
          </w:p>
        </w:tc>
        <w:tc>
          <w:tcPr>
            <w:tcW w:w="346" w:type="dxa"/>
            <w:tcBorders/>
            <w:vAlign w:val="center"/>
          </w:tcPr>
          <w:p>
            <w:pPr>
              <w:pStyle w:val="TableContents"/>
              <w:bidi w:val="0"/>
              <w:spacing w:before="0" w:after="1"/>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2023</w:t>
            </w:r>
          </w:p>
        </w:tc>
        <w:tc>
          <w:tcPr>
            <w:tcW w:w="346" w:type="dxa"/>
            <w:tcBorders/>
            <w:shd w:fill="CCEEFF" w:val="clear"/>
            <w:vAlign w:val="center"/>
          </w:tcPr>
          <w:p>
            <w:pPr>
              <w:pStyle w:val="TableContents"/>
              <w:bidi w:val="0"/>
              <w:spacing w:before="0" w:after="1"/>
              <w:ind w:left="0" w:right="0" w:hanging="0"/>
              <w:jc w:val="left"/>
              <w:rPr/>
            </w:pPr>
            <w:r>
              <w:rPr/>
              <w:t> </w:t>
            </w:r>
          </w:p>
        </w:tc>
        <w:tc>
          <w:tcPr>
            <w:tcW w:w="13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367,879,902</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61,153,339</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429,033,241</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 distributions</w:t>
            </w:r>
          </w:p>
        </w:tc>
        <w:tc>
          <w:tcPr>
            <w:tcW w:w="34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82,908,268</w:t>
            </w:r>
          </w:p>
        </w:tc>
        <w:tc>
          <w:tcPr>
            <w:tcW w:w="346" w:type="dxa"/>
            <w:tcBorders/>
            <w:vAlign w:val="center"/>
          </w:tcPr>
          <w:p>
            <w:pPr>
              <w:pStyle w:val="TableContents"/>
              <w:bidi w:val="0"/>
              <w:spacing w:before="0" w:after="1"/>
              <w:ind w:left="0" w:right="0" w:hanging="0"/>
              <w:jc w:val="righ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4,987,820</w:t>
            </w:r>
          </w:p>
        </w:tc>
        <w:tc>
          <w:tcPr>
            <w:tcW w:w="34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87,896,088</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At-the-market offerings</w:t>
            </w:r>
          </w:p>
        </w:tc>
        <w:tc>
          <w:tcPr>
            <w:tcW w:w="346" w:type="dxa"/>
            <w:tcBorders/>
            <w:shd w:fill="CCEEFF" w:val="clear"/>
            <w:vAlign w:val="center"/>
          </w:tcPr>
          <w:p>
            <w:pPr>
              <w:pStyle w:val="TableContents"/>
              <w:bidi w:val="0"/>
              <w:spacing w:before="0" w:after="1"/>
              <w:ind w:left="0" w:right="0" w:hanging="0"/>
              <w:jc w:val="left"/>
              <w:rPr/>
            </w:pPr>
            <w:r>
              <w:rPr/>
              <w:t> </w:t>
            </w:r>
          </w:p>
        </w:tc>
        <w:tc>
          <w:tcPr>
            <w:tcW w:w="13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5,806,986</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5,806,986</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346" w:type="dxa"/>
            <w:tcBorders/>
            <w:vAlign w:val="center"/>
          </w:tcPr>
          <w:p>
            <w:pPr>
              <w:pStyle w:val="TableContents"/>
              <w:bidi w:val="0"/>
              <w:spacing w:before="0" w:after="1"/>
              <w:ind w:left="0" w:right="0" w:hanging="0"/>
              <w:jc w:val="left"/>
              <w:rPr/>
            </w:pPr>
            <w:r>
              <w:rPr/>
              <w:t> </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450,788,170</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71,948,145</w:t>
            </w:r>
          </w:p>
        </w:tc>
        <w:tc>
          <w:tcPr>
            <w:tcW w:w="346"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522,736,315</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 distributions</w:t>
            </w:r>
          </w:p>
        </w:tc>
        <w:tc>
          <w:tcPr>
            <w:tcW w:w="34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98,612,369</w:t>
            </w:r>
          </w:p>
        </w:tc>
        <w:tc>
          <w:tcPr>
            <w:tcW w:w="346" w:type="dxa"/>
            <w:tcBorders/>
            <w:shd w:fill="CCEEFF" w:val="clear"/>
            <w:vAlign w:val="center"/>
          </w:tcPr>
          <w:p>
            <w:pPr>
              <w:pStyle w:val="TableContents"/>
              <w:bidi w:val="0"/>
              <w:spacing w:before="0" w:after="1"/>
              <w:ind w:left="0" w:right="0" w:hanging="0"/>
              <w:jc w:val="righ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5,793,369</w:t>
            </w:r>
          </w:p>
        </w:tc>
        <w:tc>
          <w:tcPr>
            <w:tcW w:w="346" w:type="dxa"/>
            <w:tcBorders/>
            <w:shd w:fill="CCEEFF" w:val="clear"/>
            <w:vAlign w:val="center"/>
          </w:tcPr>
          <w:p>
            <w:pPr>
              <w:pStyle w:val="TableContents"/>
              <w:bidi w:val="0"/>
              <w:spacing w:before="0" w:after="1"/>
              <w:ind w:left="0" w:right="0" w:hanging="0"/>
              <w:jc w:val="right"/>
              <w:rPr/>
            </w:pPr>
            <w:r>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104,405,738</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At-the-market offerings</w:t>
            </w:r>
          </w:p>
        </w:tc>
        <w:tc>
          <w:tcPr>
            <w:tcW w:w="346" w:type="dxa"/>
            <w:tcBorders/>
            <w:vAlign w:val="center"/>
          </w:tcPr>
          <w:p>
            <w:pPr>
              <w:pStyle w:val="TableContents"/>
              <w:bidi w:val="0"/>
              <w:spacing w:before="0" w:after="1"/>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10,067,399</w:t>
            </w:r>
          </w:p>
        </w:tc>
        <w:tc>
          <w:tcPr>
            <w:tcW w:w="346" w:type="dxa"/>
            <w:tcBorders/>
            <w:vAlign w:val="center"/>
          </w:tcPr>
          <w:p>
            <w:pPr>
              <w:pStyle w:val="TableContents"/>
              <w:bidi w:val="0"/>
              <w:spacing w:before="0" w:after="1"/>
              <w:ind w:left="0" w:right="0" w:hanging="0"/>
              <w:jc w:val="righ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10,067,399</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3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549,400,539</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87,808,913</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637,209,452</w: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pPr>
            <w:r>
              <w:rPr/>
              <w:t>​</w:t>
            </w:r>
          </w:p>
        </w:tc>
      </w:tr>
      <w:tr>
        <w:trPr/>
        <w:tc>
          <w:tcPr>
            <w:tcW w:w="23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Excluding us and Brett Icahn</w:t>
            </w:r>
          </w:p>
        </w:tc>
        <w:tc>
          <w:tcPr>
            <w:tcW w:w="34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Unit Distributions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each of the years ended December 31, 2025, 2024 and 2023, we declared four quarterly distributions. Depositary unitholders were given the option to make an election to receive the distributions in either cash or additional depositary units. If a holder did not make a timely election, it was automatically deemed to have elected to receive the distributions in additional depositary units.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year ended December 31, 2025, we declared four quarterly distributions aggregating $2.00 per share. In connection with these distributions, we distributed an aggregate of 104,405,738 depositary units to unitholders who did not elect to receive cash, of which an aggregate of 98,612,369 depositary units were distributed to Mr. Icahn and his affiliates. The aggregate cash distributions to all depositary unitholders that made a timely election to receive cash was $282 million, of which $175 million was distributed to Mr. Icahn and his affiliates, for the year ended December 31,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year ended December 31, 2024, we declared four quarterly distributions aggregating $3.50 per share. In connection with these distributions, we distributed an aggregate of 87,896,088 depositary units to unitholders who did not elect to receive cash, of which an aggregate of 82,908,268 depositary units were distributed to Mr. Icahn and his affiliates. The aggregate cash distributions to all depositary unitholders that made a timely election to receive cash was $383 million, of which $220 million was distributed to Mr. Icahn and his affiliates, for the year ended December 31, 2024.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At-The-Market Offerings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From time to time Icahn Enterprises enters into Open Market Sale Agreements providing for the sale of its depositary units under its ongoing “at-the-market” offering program. During the year ended December 31, 2025, Icahn Enterprises sold 10,067,399 depositary units for aggregate gross proceeds of $84 million. Icahn Enterprises sold the maximum aggregate amount permitted under the Open Market Sale Agreement entered into on November 21, 2022. As of December 31, 2025, Icahn Enterprises may sell depositary units for up to an additional $363 million in aggregate gross proceeds pursuant to the Open Market Sale Agreement entered into on August 26,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Repurchase Authorization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May 9, 2023, the Board of Directors of the General Partner approved a repurchase program which authorizes Icahn Enterprises or affiliates of Icahn Enterprises to repurchase up to an aggregate of $500 million worth of any of our outstanding fixed-rate senior notes issued by Icahn Enterprises and Icahn Enterprises Finance Corp. and up to an aggregate of $500 million worth of the depositary units issued by Icahn Enterprises (the “Repurchase Program”), in each case subject to restrictions on use of our cash contained in the indentures governing our indebtedness.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On November 6, 2024, the Board re-approved the Repurchase Program, and, pursuant to the reapproved Program, we were reauthorized to repurchase up to $500 million worth of our outstanding fixed-rate senior notes, in addition to the $269 million we repurchased prior to the Board’s reapproval of the Repurchase Program. During the year ended December 31, 2025, the Company did not repurchase any of the Company’s depositary units under the Repurchase Program and has repurchased $50 million worth of our outstanding fixed-rate senior notes. The repurchased notes were extinguished but were not retired and are held in treasury. We remain authorized to repurchase up to $450 million of our senior notes and up to $500 million of our outstanding depositary units, in each case subject to restrictions on use of our cash contained in the indentures governing our indebtedness.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2017 Incentive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years ended December 31, 2025, 2024 and 2023, we distributed depositary units to Brett Icahn net of payroll withholdings with respect to certain restricted depositary units and deferred unit awards that vested during the respective periods in connection with the Icahn Enterprises L.P. 2017 Long Term Incentive Plan (the “2017 Incentive Plan”). The aggregate impact of the units distributed pursuant to the 2017 Incentive Plan is not material with respect to our consolidated financial statements, including the calculation of potentially dilutive units and diluted income per LP unit.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Segment and Geographic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reportable segments reflect the way the Company is managed, and for which separate financial information is available and evaluated regularly by the Company’s Chief Operating Decision Maker (“CODM”) in deciding how to allocate resources and assess performance. The Chairman of the Board of Directors of our general partner, who is our CODM, reviews financial information for each segment and evaluates the results in relation to our broader business strategies. Accordingly, segment operating results are assessed based on net income from continuing operations attributable to Icahn Enterprises. Assets provided to the CODM are consistent with those reported in the condensed consolidated balance sheets, and there are no intra-entity sales or transfers, or significant expense categories regularly reviewed by the CODM beyond those disclosed in the condensed consolidated statements of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bookmarkStart w:id="1227" w:name="Tc_0ZZLnz1Y-k2eDyJ4L8qf7Q_27_26"/>
      <w:bookmarkStart w:id="1228" w:name="Tc_hfUcbszH_E22Y39QnnRLPw_27_23"/>
      <w:bookmarkStart w:id="1229" w:name="Tc_Oxy8UclaPUKo6OpA8mpM6g_27_20"/>
      <w:bookmarkStart w:id="1230" w:name="Tc_4ay5RSPb8keK3vHbCfiddg_27_17"/>
      <w:bookmarkStart w:id="1231" w:name="Tc_xpvu0dsNykWwuqXXmGOSpw_27_14"/>
      <w:bookmarkStart w:id="1232" w:name="Tc_5nmZ16ur7USui5b3FZuTLA_27_11"/>
      <w:bookmarkStart w:id="1233" w:name="Tc_v--LKqsPYUaC1ejZ-_YinA_27_8"/>
      <w:bookmarkStart w:id="1234" w:name="Tc_0SRomWll8kqCoHiHqBlVUQ_27_5"/>
      <w:bookmarkStart w:id="1235" w:name="Tc_rSpsaa-7ZU6SfT6oNIQBwQ_27_3"/>
      <w:bookmarkStart w:id="1236" w:name="Tc_t9GCkHUjBEWdd3YT6A3y-w_27_2"/>
      <w:bookmarkStart w:id="1237" w:name="Tc_aI4Af3lHH0Gyec35huxOdQ_27_0"/>
      <w:bookmarkStart w:id="1238" w:name="Tc_3LSJFXgKN0CEwwBwSyDttA_26_26"/>
      <w:bookmarkStart w:id="1239" w:name="Tc_P-CJbrNcRketudUj3NdOyg_26_24"/>
      <w:bookmarkStart w:id="1240" w:name="Tc_OmvQXodN4EWsCKZ5OznC8A_26_23"/>
      <w:bookmarkStart w:id="1241" w:name="Tc_t0Z59KqjVUKyuReakpbtEA_26_21"/>
      <w:bookmarkStart w:id="1242" w:name="Tc_p09ACyB8pEmKTg3MXT1d7A_26_20"/>
      <w:bookmarkStart w:id="1243" w:name="Tc_PN73COl-ckaUX1dJEdLZGA_26_17"/>
      <w:bookmarkStart w:id="1244" w:name="Tc_PJrBsvGwo0qqCXKHdPzxIA_26_14"/>
      <w:bookmarkStart w:id="1245" w:name="Tc_5YOvuWEDP0WVPoMApHcSlg_26_11"/>
      <w:bookmarkStart w:id="1246" w:name="Tc_ZAwcKpm72kWmJU_DEiOv1A_26_8"/>
      <w:bookmarkStart w:id="1247" w:name="Tc_2gF5AWzALEmTYDs926p8Jw_26_5"/>
      <w:bookmarkStart w:id="1248" w:name="Tc_nv-4L7co20G4Zb9HdC9e7g_26_3"/>
      <w:bookmarkStart w:id="1249" w:name="Tc_KsjlyM0NvE2O1TgoWxWr8w_26_2"/>
      <w:bookmarkStart w:id="1250" w:name="Tc_Nw-8x5k5_EKrkQcBMgAiKQ_26_0"/>
      <w:bookmarkStart w:id="1251" w:name="Tc_0V12-6pXwUWuqY5p26oWaw_25_0"/>
      <w:bookmarkStart w:id="1252" w:name="Tc_x-4uxf8xc0Ovnefff0bsyw_24_26"/>
      <w:bookmarkStart w:id="1253" w:name="Tc_Dv0e-aOLLEWs4_2y0n6DeQ_24_23"/>
      <w:bookmarkStart w:id="1254" w:name="Tc_vF2NFvu9_kShskLRaa9WIg_24_20"/>
      <w:bookmarkStart w:id="1255" w:name="Tc_pow7JJfo3k2yRPuiotecgg_24_17"/>
      <w:bookmarkStart w:id="1256" w:name="Tc_KOFgNnAETUCoyYo3uzS7BA_24_14"/>
      <w:bookmarkStart w:id="1257" w:name="Tc_YLUJEwZM1UCEilFOsMFERA_24_11"/>
      <w:bookmarkStart w:id="1258" w:name="Tc_9PzDE3pfEESe2a9dUl-T_g_24_8"/>
      <w:bookmarkStart w:id="1259" w:name="Tc_IaI44UnIO0OZA8Y1zpVTQw_24_5"/>
      <w:bookmarkStart w:id="1260" w:name="Tc_edvxw36jDk65ce76oQWKzw_24_2"/>
      <w:bookmarkStart w:id="1261" w:name="Tc_przhsAxjjkW6d_wbuJyPTw_24_0"/>
      <w:bookmarkStart w:id="1262" w:name="Tc_CLwcuSo-60St9vg4sq_qjA_23_24"/>
      <w:bookmarkStart w:id="1263" w:name="Tc_CAckF8jS5Eymt1ICByhIIg_23_21"/>
      <w:bookmarkStart w:id="1264" w:name="Tc_vyJUIjfs3Em0nL9uF6YAiw_23_18"/>
      <w:bookmarkStart w:id="1265" w:name="Tc_29IJgurdrE2gwm45OI5zKQ_23_15"/>
      <w:bookmarkStart w:id="1266" w:name="Tc_JcgatsTFnkademBig92yPw_23_9"/>
      <w:bookmarkStart w:id="1267" w:name="Tc_zbGNFuhuKUGn36ThaHSvFA_23_0"/>
      <w:bookmarkStart w:id="1268" w:name="Tc_P5mVqhEGeEiopTkW6HLX6w_22_0"/>
      <w:bookmarkStart w:id="1269" w:name="Tc_CgdOR6iv2Ea6g0OKip0r1g_21_21"/>
      <w:bookmarkStart w:id="1270" w:name="Tc_mnb_CznRwUGtk3HK5WqIrw_21_18"/>
      <w:bookmarkStart w:id="1271" w:name="Tc_SKJNgnli2kSLLC4t6uMNKg_21_15"/>
      <w:bookmarkStart w:id="1272" w:name="Tc_BuxJ3aKPmEi3DshYJmMLBw_21_12"/>
      <w:bookmarkStart w:id="1273" w:name="Tc_XeV_oCc6kkqyjplu6zGXhw_21_3"/>
      <w:bookmarkStart w:id="1274" w:name="Tc_sQbJ8XC6jkKyKLXJ_xWe6Q_21_0"/>
      <w:bookmarkStart w:id="1275" w:name="Tc_j00oYhk2c06hoLG-OfXrzg_20_0"/>
      <w:bookmarkStart w:id="1276" w:name="Tc_a2j3eQzvpU2YFCKyrBeMBg_18_21"/>
      <w:bookmarkStart w:id="1277" w:name="Tc_SJdL_z4Ce0yzLdmz598RLw_18_15"/>
      <w:bookmarkStart w:id="1278" w:name="Tc_CtIjo0vwjUOPxxcnBAmq7A_18_0"/>
      <w:bookmarkStart w:id="1279" w:name="Tc_8XbqSr231kCNoAR4SuxZNQ_17_24"/>
      <w:bookmarkStart w:id="1280" w:name="Tc_Uy0ZOP2ZkUeaqzqHk66mnA_17_21"/>
      <w:bookmarkStart w:id="1281" w:name="Tc_iwHdgXljsUC23AXpeN09ug_17_15"/>
      <w:bookmarkStart w:id="1282" w:name="Tc_3n_yIT6kpUqHgUxicGqzpg_17_9"/>
      <w:bookmarkStart w:id="1283" w:name="Tc_Q_NjURwdk0CldlF1zHat6Q_17_6"/>
      <w:bookmarkStart w:id="1284" w:name="Tc_SLx5ebzoeESSEH2z0N_iWg_17_3"/>
      <w:bookmarkStart w:id="1285" w:name="Tc_sdljojxbDUur7adRFvnEbg_17_0"/>
      <w:bookmarkStart w:id="1286" w:name="Tc_-ujZhFlGMUqHnL9fiE0xig_16_24"/>
      <w:bookmarkStart w:id="1287" w:name="Tc_2IkdrZ1v7kyic80X3YmHsA_16_21"/>
      <w:bookmarkStart w:id="1288" w:name="Tc_nivlic4zlUKctNiKRF5BWw_16_18"/>
      <w:bookmarkStart w:id="1289" w:name="Tc_MU3AUF9RGEql7VpMcnlpnQ_16_15"/>
      <w:bookmarkStart w:id="1290" w:name="Tc_qgnRgMNyyU-nwUZWK9eWQQ_16_12"/>
      <w:bookmarkStart w:id="1291" w:name="Tc_KtlYMXNy2U-6fGe0C2h1Gw_16_9"/>
      <w:bookmarkStart w:id="1292" w:name="Tc_kToMV0bvdUKe5tP0qB9NAw_16_6"/>
      <w:bookmarkStart w:id="1293" w:name="Tc_KculdNMLm0Kq3e1rw8cS6A_16_0"/>
      <w:bookmarkStart w:id="1294" w:name="Tc_cYqHuJAld0m3GCGB4b__Cw_15_0"/>
      <w:bookmarkStart w:id="1295" w:name="Tc_mcSbWPO8fE6hsjtTGB6xXw_14_24"/>
      <w:bookmarkStart w:id="1296" w:name="Tc_BRfmwa2ecUifpsIDsDJT4g_14_21"/>
      <w:bookmarkStart w:id="1297" w:name="Tc_zh-Qs204Vk-J0VODIwHbQw_14_18"/>
      <w:bookmarkStart w:id="1298" w:name="Tc_ncYT_c7pB0CHTHm06G8RWQ_14_12"/>
      <w:bookmarkStart w:id="1299" w:name="Tc_7lyc6v5pwUa6uoCdAYDtIA_14_6"/>
      <w:bookmarkStart w:id="1300" w:name="Tc_C_tcesPTSECZfQxIC0wXrA_14_3"/>
      <w:bookmarkStart w:id="1301" w:name="Tc_97tvVK96EE2FT792Ht8WAw_14_0"/>
      <w:bookmarkStart w:id="1302" w:name="Tc_TYdwaX3FVEiTo6H_CijImQ_13_24"/>
      <w:bookmarkStart w:id="1303" w:name="Tc_d-z7S7nUOkGa5M26YpzgaA_13_3"/>
      <w:bookmarkStart w:id="1304" w:name="Tc_CfbkIqExKkmrMWcBp_SqhQ_13_0"/>
      <w:bookmarkStart w:id="1305" w:name="Tc_wSVM38gxbEKVKYLkj7xFlg_12_0"/>
      <w:bookmarkStart w:id="1306" w:name="Tc_RPGi_Eao0Ei7uuC2sU935w_10_21"/>
      <w:bookmarkStart w:id="1307" w:name="Tc_h-HPIeEeFUusyQyHqbdQ8Q_10_15"/>
      <w:bookmarkStart w:id="1308" w:name="Tc_-y6LlbM2qkmc5JiyAPeDJQ_10_3"/>
      <w:bookmarkStart w:id="1309" w:name="Tc_yZguXoRn3U2ebN5hPh2fmA_10_0"/>
      <w:bookmarkStart w:id="1310" w:name="Tc_2IKH9msKOUi9MdkuGRymIw_9_21"/>
      <w:bookmarkStart w:id="1311" w:name="Tc_Vr_dsgzfUUizi75TiKnGCw_9_18"/>
      <w:bookmarkStart w:id="1312" w:name="Tc_7NhC8hL1eUebLydYzJeAig_9_15"/>
      <w:bookmarkStart w:id="1313" w:name="Tc_NmDHZoDrU0mdqTqLCrp-FA_9_12"/>
      <w:bookmarkStart w:id="1314" w:name="Tc_Z2yTr_pICUOYywy_c4w6EQ_9_6"/>
      <w:bookmarkStart w:id="1315" w:name="Tc_FLdWvRgqS0aJszU59QcnYA_9_3"/>
      <w:bookmarkStart w:id="1316" w:name="Tc_9Y4kINDLK0e2L1Ul0XY95A_9_0"/>
      <w:bookmarkStart w:id="1317" w:name="Tc_tg2xWMVWDkyfGbiMVaTaLw_8_18"/>
      <w:bookmarkStart w:id="1318" w:name="Tc_be_kXsENTUGyFPVDsmpvWQ_8_12"/>
      <w:bookmarkStart w:id="1319" w:name="Tc_s0Khxikk3kiP2W5ArC28Gg_8_0"/>
      <w:bookmarkStart w:id="1320" w:name="Tc_PDl8vDEY5Uy11ikf_kcLMw_7_24"/>
      <w:bookmarkStart w:id="1321" w:name="Tc_lzeMAbx7O0iwTK2-Sqbz2w_7_21"/>
      <w:bookmarkStart w:id="1322" w:name="Tc_iuA6j55960Cb17z5lDrd_w_7_18"/>
      <w:bookmarkStart w:id="1323" w:name="Tc_YQg6BVZ9bkO1--JK3CR6Bg_7_15"/>
      <w:bookmarkStart w:id="1324" w:name="Tc_AHJqajID9kWWKLJefyrLmA_7_12"/>
      <w:bookmarkStart w:id="1325" w:name="Tc_6R6Lin6EoUCYjaEWyNIARQ_7_9"/>
      <w:bookmarkStart w:id="1326" w:name="Tc_Qy9UIOKxN0uFlplX-MJb3w_7_6"/>
      <w:bookmarkStart w:id="1327" w:name="Tc_2FSWX4MM5Uej7nVFTWuOAA_7_0"/>
      <w:bookmarkStart w:id="1328" w:name="Tc_XCH4zckTJkSJeNBSDA2kKQ_6_24"/>
      <w:bookmarkStart w:id="1329" w:name="Tc_bTw956adr0i5BjZe5-FD9Q_6_18"/>
      <w:bookmarkStart w:id="1330" w:name="Tc_Z9O3mItAvkm_iRNVUpOZPQ_6_12"/>
      <w:bookmarkStart w:id="1331" w:name="Tc_cXwYVRRIkEOKIy6PuTZoNw_6_6"/>
      <w:bookmarkStart w:id="1332" w:name="Tc_vVDYRneikUaWt5aMqPb70A_6_3"/>
      <w:bookmarkStart w:id="1333" w:name="Tc_kDcYMMf620eq1t59Tqi7hA_6_0"/>
      <w:bookmarkStart w:id="1334" w:name="Tc_KPqZU2gbBkGt5eoj2PKM-Q_5_26"/>
      <w:bookmarkStart w:id="1335" w:name="Tc_39NEQJIj40aWzA7kcXCclw_5_24"/>
      <w:bookmarkStart w:id="1336" w:name="Tc_CvRMxvow5UGrLm3QHay42g_5_23"/>
      <w:bookmarkStart w:id="1337" w:name="Tc_T1nfNc57Jkyb4SYzO36FFg_5_20"/>
      <w:bookmarkStart w:id="1338" w:name="Tc_M_RWFquXRECDkN5ST4YBRg_5_17"/>
      <w:bookmarkStart w:id="1339" w:name="Tc_ySdCNGcopUaWBHTc5y3wKA_5_14"/>
      <w:bookmarkStart w:id="1340" w:name="Tc_3ZgCmOp33UCF4QuQSyy0bg_5_11"/>
      <w:bookmarkStart w:id="1341" w:name="Tc_mNCfY5_JgkeJfnVWFYQetg_5_8"/>
      <w:bookmarkStart w:id="1342" w:name="Tc_973JwB7fm0CeJQd6ekw3SQ_5_5"/>
      <w:bookmarkStart w:id="1343" w:name="Tc_rlTkWWdmy0O6-UMMsLePBQ_5_3"/>
      <w:bookmarkStart w:id="1344" w:name="Tc_CtnsyjP9EUeUVqFjRTZi0g_5_2"/>
      <w:bookmarkStart w:id="1345" w:name="Tc_Ad-OuSAtNE226FPgxsdFfg_5_0"/>
      <w:bookmarkStart w:id="1346" w:name="Tc_wGuoVRIqlE2CETkKrUAEMw_4_0"/>
      <w:bookmarkStart w:id="1347" w:name="Tc_CYwYQPre3EeFMyhsc6XkAg_3_2"/>
      <w:bookmarkStart w:id="1348" w:name="Tc_eoFSzm3GGUW-9AskLfHrwQ_2_26"/>
      <w:bookmarkStart w:id="1349" w:name="Tc_4Q2Oj04xwEevIMk4JhGB5Q_2_23"/>
      <w:bookmarkStart w:id="1350" w:name="Tc_MKmp6HgXeEOCvzi9zUhTHA_2_20"/>
      <w:bookmarkStart w:id="1351" w:name="Tc_f9V4RTz9pkSunbokVMBMUw_2_17"/>
      <w:bookmarkStart w:id="1352" w:name="Tc_atH9f3MpSEatuBlm--Tw_w_2_14"/>
      <w:bookmarkStart w:id="1353" w:name="Tc_JvlIDkyy3UuA869QWOBliA_2_11"/>
      <w:bookmarkStart w:id="1354" w:name="Tc_X23Fzspcrka3E7_0izK6QA_2_8"/>
      <w:bookmarkStart w:id="1355" w:name="Tc_rPwYHhVFlkequl799VM0Gw_2_5"/>
      <w:bookmarkStart w:id="1356" w:name="Tc_xGwOmA4zEEmxz3EeJhFLFQ_2_2"/>
      <w:bookmarkStart w:id="1357" w:name="Tc_BHFubQnUYkKOwYljLQB-oA_1_2"/>
      <w:bookmarkStart w:id="1358" w:name="_41b9e9c8_e567_484f_9522_944f36ab9a58"/>
      <w:bookmarkStart w:id="1359" w:name="Tc_lQGr-W0tbUq3aO_9ZhDVNQ_28_26"/>
      <w:bookmarkStart w:id="1360" w:name="Tc_r0RFDH3ANUG8lOfBGA03YQ_28_23"/>
      <w:bookmarkStart w:id="1361" w:name="Tc_dg7H9Enp7kyGFhwM2UUXrQ_28_20"/>
      <w:bookmarkStart w:id="1362" w:name="Tc_PMU15nPBDkSP_hHGRMOl_g_28_17"/>
      <w:bookmarkStart w:id="1363" w:name="Tc_1H6BsKB7Q0ukINCfyfR9Lg_28_14"/>
      <w:bookmarkStart w:id="1364" w:name="Tc_2b0ItC9wvUWI2Mt3AzM7wA_28_11"/>
      <w:bookmarkStart w:id="1365" w:name="Tc_RtD-vwibHk-cVStFy0NTYQ_28_8"/>
      <w:bookmarkStart w:id="1366" w:name="Tc_i1G5Y2zuH0-zz2YITVk3nA_28_5"/>
      <w:bookmarkStart w:id="1367" w:name="Tc_9KGaCgrbZES2OxJzlsQYhw_28_2"/>
      <w:bookmarkStart w:id="1368" w:name="Tc_CLC40n7k6UWdGZG1VcZuNQ_28_0"/>
      <w:bookmarkStart w:id="1369" w:name="Tc_WZaYGAoIA0W3XKjL2ElUOg_27_26"/>
      <w:bookmarkStart w:id="1370" w:name="Tc_TYBmGJmzdkOsA5Acl5GNRA_27_23"/>
      <w:bookmarkStart w:id="1371" w:name="Tc_riLAhaNS-0q_zNuQIaGwwg_27_20"/>
      <w:bookmarkStart w:id="1372" w:name="Tc_kAFhwY4scEWHCKYpTLayvA_27_17"/>
      <w:bookmarkStart w:id="1373" w:name="Tc_ysXf_zmY6EmMJUhVz2fQwg_27_14"/>
      <w:bookmarkStart w:id="1374" w:name="Tc_ThAcHmMWqUuAtr0Txm237w_27_11"/>
      <w:bookmarkStart w:id="1375" w:name="Tc_bmPh2T9AdEaGcXQAvgVb2Q_27_8"/>
      <w:bookmarkStart w:id="1376" w:name="Tc_wMGbg57_LE-B9wjMthYXZw_27_5"/>
      <w:bookmarkStart w:id="1377" w:name="Tc_Gqcf8zlx9keG8Pam3xvQGg_27_2"/>
      <w:bookmarkStart w:id="1378" w:name="Tc_1qRo1Euqs0OYl9fe2ZEiGQ_27_0"/>
      <w:bookmarkStart w:id="1379" w:name="Tc_k4LPtXWZp0igEBxHnb-2Xw_26_0"/>
      <w:bookmarkStart w:id="1380" w:name="Tc_1S17N_DFoEaamV9msgb-rA_25_26"/>
      <w:bookmarkStart w:id="1381" w:name="Tc_-1kfwLKinUKVRrJq09VcWQ_25_23"/>
      <w:bookmarkStart w:id="1382" w:name="Tc_lCv2PT1o-E2VArYO-WJf5A_25_20"/>
      <w:bookmarkStart w:id="1383" w:name="Tc_zslayesmqUeg7c2CC8GlBw_25_17"/>
      <w:bookmarkStart w:id="1384" w:name="Tc_xm_e3SdfqkuUlhhgGrDvLw_25_14"/>
      <w:bookmarkStart w:id="1385" w:name="Tc_0FjewW9cLUiJJ-ybRnVF5Q_25_11"/>
      <w:bookmarkStart w:id="1386" w:name="Tc_j0zr3hy18kecFSx0xMbeFg_25_8"/>
      <w:bookmarkStart w:id="1387" w:name="Tc_3T94mSV9A0-znw3U1Jyyvg_25_5"/>
      <w:bookmarkStart w:id="1388" w:name="Tc_b9Wddn7AwUa4RvMiB7o68g_25_2"/>
      <w:bookmarkStart w:id="1389" w:name="Tc_dncGa89hdEi_EOK-ENjtHw_25_0"/>
      <w:bookmarkStart w:id="1390" w:name="Tc_UE0qQAuaqEyWwHQGnAAd7A_24_0"/>
      <w:bookmarkStart w:id="1391" w:name="Tc_nWD_EFnn2E2MdRMKa26JsQ_23_0"/>
      <w:bookmarkStart w:id="1392" w:name="Tc_qS1N2G_sRU68pukQFHlaRw_22_0"/>
      <w:bookmarkStart w:id="1393" w:name="Tc_iqaf46M2H0GAFEybJjTfcA_21_0"/>
      <w:bookmarkStart w:id="1394" w:name="Tc_00v1Zc16gkeqKURziCuCog_19_0"/>
      <w:bookmarkStart w:id="1395" w:name="Tc_LspkIM2Zm0yDc1NCXMxD1A_18_0"/>
      <w:bookmarkStart w:id="1396" w:name="Tc_JxlsMPx3vUuqQMi-FcB4xg_17_0"/>
      <w:bookmarkStart w:id="1397" w:name="Tc_V0q7C_WSbEewtzsLtGSjLQ_16_0"/>
      <w:bookmarkStart w:id="1398" w:name="Tc_JM5OSlZiUkuecC_acTMSHw_15_0"/>
      <w:bookmarkStart w:id="1399" w:name="Tc_cCZrzRI8ykCAh4ED4Eq4ag_14_0"/>
      <w:bookmarkStart w:id="1400" w:name="Tc_miXa5jXov0CU3pxUQe1cEg_13_0"/>
      <w:bookmarkStart w:id="1401" w:name="Tc_aIu7yBJTBkGzPd7T0algmw_12_0"/>
      <w:bookmarkStart w:id="1402" w:name="Tc_BfC4Puu9806Hqe4dksGK6Q_10_0"/>
      <w:bookmarkStart w:id="1403" w:name="Tc_bzIsJrLNCEGddc7CZDmOHg_9_0"/>
      <w:bookmarkStart w:id="1404" w:name="Tc_yYTJWLA7O0qkPg4K9eXQzg_8_0"/>
      <w:bookmarkStart w:id="1405" w:name="Tc_X43Grs3yDEyD_N1L8Pjtqg_7_0"/>
      <w:bookmarkStart w:id="1406" w:name="Tc_i9w-wvC8dEKS-lQ-J1Fb9Q_6_0"/>
      <w:bookmarkStart w:id="1407" w:name="Tc_iSupJM5clEisw-xKNPITkA_5_26"/>
      <w:bookmarkStart w:id="1408" w:name="Tc_8M8rWTtrYkGdm38_TuWltg_5_23"/>
      <w:bookmarkStart w:id="1409" w:name="Tc_xUbTbt434Uaj9_zvyaMB6A_5_20"/>
      <w:bookmarkStart w:id="1410" w:name="Tc_k9eSLzfWsEqfJD2zwnVvSg_5_17"/>
      <w:bookmarkStart w:id="1411" w:name="Tc_PZ7LBViUVUeidwdqUc-mFw_5_14"/>
      <w:bookmarkStart w:id="1412" w:name="Tc_H49z7V5KsUyI9NUaiQ-9jA_5_11"/>
      <w:bookmarkStart w:id="1413" w:name="Tc_QHn3uxrmD0ajwleIeiKBgA_5_8"/>
      <w:bookmarkStart w:id="1414" w:name="Tc_4P2hlqWh6U6u_wjn0MNz7g_5_5"/>
      <w:bookmarkStart w:id="1415" w:name="Tc_CPqpAeEtv0Kvmctk5oOvag_5_2"/>
      <w:bookmarkStart w:id="1416" w:name="Tc_54QCr_IBZ0G4N9i6m3xjyA_5_0"/>
      <w:bookmarkStart w:id="1417" w:name="Tc_A7g1dNipt0KjVtnXaU4S0A_4_0"/>
      <w:bookmarkStart w:id="1418" w:name="Tc_pxi7gb0R80q0TQp3lDLG6Q_3_2"/>
      <w:bookmarkStart w:id="1419" w:name="Tc_u9eoR3f4FUa-kf9tutCC_Q_2_26"/>
      <w:bookmarkStart w:id="1420" w:name="Tc_ZIOd1SV2KUWQVjKw1XoCqQ_2_23"/>
      <w:bookmarkStart w:id="1421" w:name="Tc_2pDpyn2u4EukSQwf5m6gQA_2_20"/>
      <w:bookmarkStart w:id="1422" w:name="Tc_6U-_iksysEK7X1J8jJzXrA_2_17"/>
      <w:bookmarkStart w:id="1423" w:name="Tc_1MasKRemw0GNB9eNeUDduQ_2_14"/>
      <w:bookmarkStart w:id="1424" w:name="Tc_XeH6mNnfvUS3KZSXLgy2Cw_2_11"/>
      <w:bookmarkStart w:id="1425" w:name="Tc_-C3iK4Xs7UO8Nq_w7D5mgg_2_8"/>
      <w:bookmarkStart w:id="1426" w:name="Tc_EDRc0AJ37EKWfMn_z65Wig_2_5"/>
      <w:bookmarkStart w:id="1427" w:name="Tc_obApoy9BM02L4oU0ssHkkw_2_2"/>
      <w:bookmarkStart w:id="1428" w:name="Tc_P27IcL8bhUarPaDJwVY5qQ_1_2"/>
      <w:bookmarkStart w:id="1429" w:name="_d7bc5e75_7e50_4958_9493_6f1d13e7c7fd"/>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r>
        <w:rPr>
          <w:rFonts w:ascii="Times New Roman;Times;serif" w:hAnsi="Times New Roman;Times;serif"/>
          <w:sz w:val="20"/>
        </w:rPr>
        <w:t>Certain terms of financings for certain of our businesses impose restrictions on the business’ ability to transfer funds to us, including restrictions on dividends, distributions, loans and other transactions. Our condensed statements of operations and balance sheets by reporting segment are presented below.</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Statements of Operations</w:t>
      </w:r>
    </w:p>
    <w:p>
      <w:pPr>
        <w:pStyle w:val="TextBody"/>
        <w:bidi w:val="0"/>
        <w:spacing w:before="0" w:after="0"/>
        <w:ind w:left="0" w:right="0" w:hanging="0"/>
        <w:jc w:val="left"/>
        <w:rPr/>
      </w:pPr>
      <w:r>
        <w:rPr/>
        <w:t>​</w:t>
      </w:r>
    </w:p>
    <w:tbl>
      <w:tblPr>
        <w:tblW w:w="10386" w:type="dxa"/>
        <w:jc w:val="left"/>
        <w:tblInd w:w="0" w:type="dxa"/>
        <w:tblLayout w:type="fixed"/>
        <w:tblCellMar>
          <w:top w:w="0" w:type="dxa"/>
          <w:left w:w="0" w:type="dxa"/>
          <w:bottom w:w="0" w:type="dxa"/>
          <w:right w:w="0" w:type="dxa"/>
        </w:tblCellMar>
      </w:tblPr>
      <w:tblGrid>
        <w:gridCol w:w="1051"/>
        <w:gridCol w:w="346"/>
        <w:gridCol w:w="248"/>
        <w:gridCol w:w="518"/>
        <w:gridCol w:w="346"/>
        <w:gridCol w:w="181"/>
        <w:gridCol w:w="436"/>
        <w:gridCol w:w="346"/>
        <w:gridCol w:w="233"/>
        <w:gridCol w:w="563"/>
        <w:gridCol w:w="346"/>
        <w:gridCol w:w="252"/>
        <w:gridCol w:w="484"/>
        <w:gridCol w:w="346"/>
        <w:gridCol w:w="181"/>
        <w:gridCol w:w="346"/>
        <w:gridCol w:w="346"/>
        <w:gridCol w:w="201"/>
        <w:gridCol w:w="385"/>
        <w:gridCol w:w="346"/>
        <w:gridCol w:w="196"/>
        <w:gridCol w:w="375"/>
        <w:gridCol w:w="346"/>
        <w:gridCol w:w="219"/>
        <w:gridCol w:w="457"/>
        <w:gridCol w:w="346"/>
        <w:gridCol w:w="232"/>
        <w:gridCol w:w="714"/>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67385" cy="175260"/>
                      <wp:effectExtent l="0" t="0" r="0" b="0"/>
                      <wp:wrapNone/>
                      <wp:docPr id="430" name="Frame43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57480" cy="175260"/>
                      <wp:effectExtent l="0" t="0" r="0" b="0"/>
                      <wp:wrapNone/>
                      <wp:docPr id="432" name="Frame432"/>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328930" cy="175260"/>
                      <wp:effectExtent l="0" t="0" r="0" b="0"/>
                      <wp:wrapNone/>
                      <wp:docPr id="433" name="Frame433"/>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260"/>
                      <wp:effectExtent l="0" t="0" r="0" b="0"/>
                      <wp:wrapNone/>
                      <wp:docPr id="434"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14935" cy="175260"/>
                      <wp:effectExtent l="0" t="0" r="0" b="0"/>
                      <wp:wrapNone/>
                      <wp:docPr id="435" name="Frame43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76860" cy="175260"/>
                      <wp:effectExtent l="0" t="0" r="0" b="0"/>
                      <wp:wrapNone/>
                      <wp:docPr id="436" name="Frame43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19710" cy="175260"/>
                      <wp:effectExtent l="0" t="0" r="0" b="0"/>
                      <wp:wrapNone/>
                      <wp:docPr id="437"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47955" cy="175260"/>
                      <wp:effectExtent l="0" t="0" r="0" b="0"/>
                      <wp:wrapNone/>
                      <wp:docPr id="438" name="Frame438"/>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57505" cy="175260"/>
                      <wp:effectExtent l="0" t="0" r="0" b="0"/>
                      <wp:wrapNone/>
                      <wp:docPr id="439" name="Frame439"/>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40"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60020" cy="175260"/>
                      <wp:effectExtent l="0" t="0" r="0" b="0"/>
                      <wp:wrapNone/>
                      <wp:docPr id="441" name="Frame44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307340" cy="175260"/>
                      <wp:effectExtent l="0" t="0" r="0" b="0"/>
                      <wp:wrapNone/>
                      <wp:docPr id="442" name="Frame442"/>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9710" cy="175260"/>
                      <wp:effectExtent l="0" t="0" r="0" b="0"/>
                      <wp:wrapNone/>
                      <wp:docPr id="443" name="Frame4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14935" cy="175260"/>
                      <wp:effectExtent l="0" t="0" r="0" b="0"/>
                      <wp:wrapNone/>
                      <wp:docPr id="444" name="Frame44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710" cy="175260"/>
                      <wp:effectExtent l="0" t="0" r="0" b="0"/>
                      <wp:wrapNone/>
                      <wp:docPr id="445"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9710" cy="175260"/>
                      <wp:effectExtent l="0" t="0" r="0" b="0"/>
                      <wp:wrapNone/>
                      <wp:docPr id="446" name="Frame4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27635" cy="175260"/>
                      <wp:effectExtent l="0" t="0" r="0" b="0"/>
                      <wp:wrapNone/>
                      <wp:docPr id="447" name="Frame447"/>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44475" cy="175260"/>
                      <wp:effectExtent l="0" t="0" r="0" b="0"/>
                      <wp:wrapNone/>
                      <wp:docPr id="448" name="Frame448"/>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24460" cy="175260"/>
                      <wp:effectExtent l="0" t="0" r="0" b="0"/>
                      <wp:wrapNone/>
                      <wp:docPr id="450" name="Frame4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38125" cy="175260"/>
                      <wp:effectExtent l="0" t="0" r="0" b="0"/>
                      <wp:wrapNone/>
                      <wp:docPr id="451" name="Frame45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52" name="Frame4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9065" cy="175260"/>
                      <wp:effectExtent l="0" t="0" r="0" b="0"/>
                      <wp:wrapNone/>
                      <wp:docPr id="453" name="Frame453"/>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90195" cy="175260"/>
                      <wp:effectExtent l="0" t="0" r="0" b="0"/>
                      <wp:wrapNone/>
                      <wp:docPr id="454" name="Frame454"/>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9710" cy="175260"/>
                      <wp:effectExtent l="0" t="0" r="0" b="0"/>
                      <wp:wrapNone/>
                      <wp:docPr id="455" name="Frame4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47320" cy="175260"/>
                      <wp:effectExtent l="0" t="0" r="0" b="0"/>
                      <wp:wrapNone/>
                      <wp:docPr id="456" name="Frame456"/>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53390" cy="175260"/>
                      <wp:effectExtent l="0" t="0" r="0" b="0"/>
                      <wp:wrapNone/>
                      <wp:docPr id="457" name="Frame457"/>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89"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Year Ended December 31, 2025</w:t>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46" w:type="dxa"/>
            <w:tcBorders/>
            <w:vAlign w:val="center"/>
          </w:tcPr>
          <w:p>
            <w:pPr>
              <w:pStyle w:val="TableContents"/>
              <w:bidi w:val="0"/>
              <w:spacing w:before="0" w:after="0"/>
              <w:ind w:left="0" w:right="0" w:hanging="0"/>
              <w:jc w:val="left"/>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46" w:type="dxa"/>
            <w:tcBorders/>
            <w:vAlign w:val="center"/>
          </w:tcPr>
          <w:p>
            <w:pPr>
              <w:pStyle w:val="TableContents"/>
              <w:bidi w:val="0"/>
              <w:spacing w:before="0" w:after="0"/>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46" w:type="dxa"/>
            <w:tcBorders/>
            <w:vAlign w:val="center"/>
          </w:tcPr>
          <w:p>
            <w:pPr>
              <w:pStyle w:val="TableContents"/>
              <w:bidi w:val="0"/>
              <w:spacing w:before="0" w:after="0"/>
              <w:ind w:left="0" w:right="0" w:hanging="0"/>
              <w:jc w:val="left"/>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46" w:type="dxa"/>
            <w:tcBorders/>
            <w:vAlign w:val="center"/>
          </w:tcPr>
          <w:p>
            <w:pPr>
              <w:pStyle w:val="TableContents"/>
              <w:bidi w:val="0"/>
              <w:spacing w:before="0" w:after="0"/>
              <w:ind w:left="0" w:right="0" w:hanging="0"/>
              <w:jc w:val="left"/>
              <w:rPr/>
            </w:pPr>
            <w:r>
              <w:rPr/>
              <w:t>  ​ ​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46" w:type="dxa"/>
            <w:tcBorders/>
            <w:vAlign w:val="center"/>
          </w:tcPr>
          <w:p>
            <w:pPr>
              <w:pStyle w:val="TableContents"/>
              <w:bidi w:val="0"/>
              <w:spacing w:before="0" w:after="0"/>
              <w:ind w:left="0" w:right="0" w:hanging="0"/>
              <w:jc w:val="left"/>
              <w:rPr/>
            </w:pPr>
            <w:r>
              <w:rPr/>
              <w:t>  ​ ​ ​</w:t>
            </w:r>
          </w:p>
        </w:tc>
        <w:tc>
          <w:tcPr>
            <w:tcW w:w="5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46" w:type="dxa"/>
            <w:tcBorders/>
            <w:vAlign w:val="center"/>
          </w:tcPr>
          <w:p>
            <w:pPr>
              <w:pStyle w:val="TableContents"/>
              <w:bidi w:val="0"/>
              <w:spacing w:before="0" w:after="0"/>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346" w:type="dxa"/>
            <w:tcBorders/>
            <w:vAlign w:val="center"/>
          </w:tcPr>
          <w:p>
            <w:pPr>
              <w:pStyle w:val="TableContents"/>
              <w:bidi w:val="0"/>
              <w:spacing w:before="0" w:after="0"/>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386"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89" w:type="dxa"/>
            <w:gridSpan w:val="26"/>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center"/>
              <w:rPr/>
            </w:pPr>
            <w:r>
              <w:rPr/>
              <w:t>​</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7,162</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835</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8,631</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601</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664</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(183)</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(183)</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189</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288</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gain on disposition of assets, net</w:t>
            </w:r>
          </w:p>
        </w:tc>
        <w:tc>
          <w:tcPr>
            <w:tcW w:w="3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270</w:t>
            </w:r>
          </w:p>
        </w:tc>
        <w:tc>
          <w:tcPr>
            <w:tcW w:w="3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247</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income (loss), net</w:t>
            </w:r>
          </w:p>
        </w:tc>
        <w:tc>
          <w:tcPr>
            <w:tcW w:w="346" w:type="dxa"/>
            <w:tcBorders/>
            <w:shd w:fill="CCEEFF" w:val="cle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r>
      <w:tr>
        <w:trPr/>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7,188</w:t>
            </w:r>
          </w:p>
        </w:tc>
        <w:tc>
          <w:tcPr>
            <w:tcW w:w="346" w:type="dxa"/>
            <w:tcBorders/>
            <w:vAlign w:val="center"/>
          </w:tcPr>
          <w:p>
            <w:pPr>
              <w:pStyle w:val="TableContents"/>
              <w:bidi w:val="0"/>
              <w:spacing w:before="0" w:after="0"/>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1,423</w:t>
            </w:r>
          </w:p>
        </w:tc>
        <w:tc>
          <w:tcPr>
            <w:tcW w:w="346"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362</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336</w:t>
            </w:r>
          </w:p>
        </w:tc>
        <w:tc>
          <w:tcPr>
            <w:tcW w:w="346" w:type="dxa"/>
            <w:tcBorders/>
            <w:vAlign w:val="center"/>
          </w:tcPr>
          <w:p>
            <w:pPr>
              <w:pStyle w:val="TableContents"/>
              <w:bidi w:val="0"/>
              <w:spacing w:before="0" w:after="0"/>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171</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w:t>
            </w:r>
          </w:p>
        </w:tc>
        <w:tc>
          <w:tcPr>
            <w:tcW w:w="346" w:type="dxa"/>
            <w:tcBorders/>
            <w:vAlign w:val="center"/>
          </w:tcPr>
          <w:p>
            <w:pPr>
              <w:pStyle w:val="TableContents"/>
              <w:bidi w:val="0"/>
              <w:spacing w:before="0" w:after="0"/>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w:t>
            </w:r>
          </w:p>
        </w:tc>
        <w:tc>
          <w:tcPr>
            <w:tcW w:w="346" w:type="dxa"/>
            <w:tcBorders/>
            <w:vAlign w:val="center"/>
          </w:tcPr>
          <w:p>
            <w:pPr>
              <w:pStyle w:val="TableContents"/>
              <w:bidi w:val="0"/>
              <w:spacing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9,658</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6,860</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591</w:t>
            </w:r>
          </w:p>
        </w:tc>
        <w:tc>
          <w:tcPr>
            <w:tcW w:w="3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327</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7,978</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537</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599</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446</w:t>
            </w:r>
          </w:p>
        </w:tc>
        <w:tc>
          <w:tcPr>
            <w:tcW w:w="3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w:t>
            </w:r>
          </w:p>
        </w:tc>
        <w:tc>
          <w:tcPr>
            <w:tcW w:w="3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837</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Impairment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46" w:type="dxa"/>
            <w:tcBorders/>
            <w:vAlign w:val="center"/>
          </w:tcPr>
          <w:p>
            <w:pPr>
              <w:pStyle w:val="TableContents"/>
              <w:bidi w:val="0"/>
              <w:spacing w:before="0" w:after="0"/>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w:t>
            </w:r>
          </w:p>
        </w:tc>
        <w:tc>
          <w:tcPr>
            <w:tcW w:w="346" w:type="dxa"/>
            <w:tcBorders/>
            <w:vAlign w:val="center"/>
          </w:tcPr>
          <w:p>
            <w:pPr>
              <w:pStyle w:val="TableContents"/>
              <w:bidi w:val="0"/>
              <w:spacing w:before="0" w:after="0"/>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340</w:t>
            </w:r>
          </w:p>
        </w:tc>
        <w:tc>
          <w:tcPr>
            <w:tcW w:w="346" w:type="dxa"/>
            <w:tcBorders/>
            <w:vAlign w:val="center"/>
          </w:tcPr>
          <w:p>
            <w:pPr>
              <w:pStyle w:val="TableContents"/>
              <w:bidi w:val="0"/>
              <w:spacing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504</w:t>
            </w:r>
          </w:p>
        </w:tc>
      </w:tr>
      <w:tr>
        <w:trPr/>
        <w:tc>
          <w:tcPr>
            <w:tcW w:w="1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7,173</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1,601</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415</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185</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369</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10,003</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income before income tax (expense) benefit</w:t>
            </w:r>
          </w:p>
        </w:tc>
        <w:tc>
          <w:tcPr>
            <w:tcW w:w="3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w:t>
            </w:r>
          </w:p>
        </w:tc>
        <w:tc>
          <w:tcPr>
            <w:tcW w:w="3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251</w:t>
            </w:r>
          </w:p>
        </w:tc>
        <w:tc>
          <w:tcPr>
            <w:tcW w:w="3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(308)</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(345)</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46" w:type="dxa"/>
            <w:tcBorders/>
            <w:shd w:fill="CCEEFF" w:val="cle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c>
          <w:tcPr>
            <w:tcW w:w="3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256</w:t>
            </w:r>
          </w:p>
        </w:tc>
        <w:tc>
          <w:tcPr>
            <w:tcW w:w="3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(356)</w:t>
            </w:r>
          </w:p>
        </w:tc>
        <w:tc>
          <w:tcPr>
            <w:tcW w:w="3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(326)</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Less: net (loss) income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income attributable to Icahn Enterprises</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256</w:t>
            </w:r>
          </w:p>
        </w:tc>
        <w:tc>
          <w:tcPr>
            <w:tcW w:w="346"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(356)</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185</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341</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468</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4" w:type="dxa"/>
            <w:tcBorders/>
            <w:shd w:fill="CCEEFF" w:val="cle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603</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63"/>
        <w:gridCol w:w="346"/>
        <w:gridCol w:w="248"/>
        <w:gridCol w:w="518"/>
        <w:gridCol w:w="346"/>
        <w:gridCol w:w="181"/>
        <w:gridCol w:w="436"/>
        <w:gridCol w:w="346"/>
        <w:gridCol w:w="233"/>
        <w:gridCol w:w="563"/>
        <w:gridCol w:w="346"/>
        <w:gridCol w:w="252"/>
        <w:gridCol w:w="484"/>
        <w:gridCol w:w="346"/>
        <w:gridCol w:w="181"/>
        <w:gridCol w:w="346"/>
        <w:gridCol w:w="346"/>
        <w:gridCol w:w="201"/>
        <w:gridCol w:w="386"/>
        <w:gridCol w:w="346"/>
        <w:gridCol w:w="196"/>
        <w:gridCol w:w="375"/>
        <w:gridCol w:w="346"/>
        <w:gridCol w:w="219"/>
        <w:gridCol w:w="458"/>
        <w:gridCol w:w="146"/>
        <w:gridCol w:w="232"/>
        <w:gridCol w:w="719"/>
      </w:tblGrid>
      <w:tr>
        <w:trPr/>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75005" cy="175260"/>
                      <wp:effectExtent l="0" t="0" r="0" b="0"/>
                      <wp:wrapNone/>
                      <wp:docPr id="458" name="Frame458"/>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9" name="Frame4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57480" cy="175260"/>
                      <wp:effectExtent l="0" t="0" r="0" b="0"/>
                      <wp:wrapNone/>
                      <wp:docPr id="460" name="Frame460"/>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328930" cy="175260"/>
                      <wp:effectExtent l="0" t="0" r="0" b="0"/>
                      <wp:wrapNone/>
                      <wp:docPr id="461" name="Frame461"/>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9710" cy="175260"/>
                      <wp:effectExtent l="0" t="0" r="0" b="0"/>
                      <wp:wrapNone/>
                      <wp:docPr id="462" name="Frame4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14935" cy="175260"/>
                      <wp:effectExtent l="0" t="0" r="0" b="0"/>
                      <wp:wrapNone/>
                      <wp:docPr id="463" name="Frame46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76860" cy="175260"/>
                      <wp:effectExtent l="0" t="0" r="0" b="0"/>
                      <wp:wrapNone/>
                      <wp:docPr id="464" name="Frame46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19710" cy="175260"/>
                      <wp:effectExtent l="0" t="0" r="0" b="0"/>
                      <wp:wrapNone/>
                      <wp:docPr id="465" name="Frame4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47955" cy="175260"/>
                      <wp:effectExtent l="0" t="0" r="0" b="0"/>
                      <wp:wrapNone/>
                      <wp:docPr id="466" name="Frame46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357505" cy="175260"/>
                      <wp:effectExtent l="0" t="0" r="0" b="0"/>
                      <wp:wrapNone/>
                      <wp:docPr id="467" name="Frame467"/>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19710" cy="175260"/>
                      <wp:effectExtent l="0" t="0" r="0" b="0"/>
                      <wp:wrapNone/>
                      <wp:docPr id="468" name="Frame4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60020" cy="175260"/>
                      <wp:effectExtent l="0" t="0" r="0" b="0"/>
                      <wp:wrapNone/>
                      <wp:docPr id="469" name="Frame46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307340" cy="175260"/>
                      <wp:effectExtent l="0" t="0" r="0" b="0"/>
                      <wp:wrapNone/>
                      <wp:docPr id="470" name="Frame470"/>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710" cy="175260"/>
                      <wp:effectExtent l="0" t="0" r="0" b="0"/>
                      <wp:wrapNone/>
                      <wp:docPr id="471" name="Frame4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14935" cy="175260"/>
                      <wp:effectExtent l="0" t="0" r="0" b="0"/>
                      <wp:wrapNone/>
                      <wp:docPr id="472" name="Frame47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73"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74" name="Frame4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27635" cy="175260"/>
                      <wp:effectExtent l="0" t="0" r="0" b="0"/>
                      <wp:wrapNone/>
                      <wp:docPr id="475" name="Frame475"/>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45110" cy="175260"/>
                      <wp:effectExtent l="0" t="0" r="0" b="0"/>
                      <wp:wrapNone/>
                      <wp:docPr id="476" name="Frame476"/>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7" name="Frame4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24460" cy="175260"/>
                      <wp:effectExtent l="0" t="0" r="0" b="0"/>
                      <wp:wrapNone/>
                      <wp:docPr id="478" name="Frame4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38125" cy="175260"/>
                      <wp:effectExtent l="0" t="0" r="0" b="0"/>
                      <wp:wrapNone/>
                      <wp:docPr id="479" name="Frame47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80"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9065" cy="175260"/>
                      <wp:effectExtent l="0" t="0" r="0" b="0"/>
                      <wp:wrapNone/>
                      <wp:docPr id="481" name="Frame48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90830" cy="175260"/>
                      <wp:effectExtent l="0" t="0" r="0" b="0"/>
                      <wp:wrapNone/>
                      <wp:docPr id="482" name="Frame482"/>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92710" cy="175260"/>
                      <wp:effectExtent l="0" t="0" r="0" b="0"/>
                      <wp:wrapNone/>
                      <wp:docPr id="483" name="Frame48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47320" cy="175260"/>
                      <wp:effectExtent l="0" t="0" r="0" b="0"/>
                      <wp:wrapNone/>
                      <wp:docPr id="484" name="Frame484"/>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456565" cy="175260"/>
                      <wp:effectExtent l="0" t="0" r="0" b="0"/>
                      <wp:wrapNone/>
                      <wp:docPr id="485" name="Frame485"/>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6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796"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Year Ended December 31, 2024</w:t>
            </w:r>
          </w:p>
        </w:tc>
      </w:tr>
      <w:tr>
        <w:trPr/>
        <w:tc>
          <w:tcPr>
            <w:tcW w:w="106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46" w:type="dxa"/>
            <w:tcBorders/>
            <w:vAlign w:val="center"/>
          </w:tcPr>
          <w:p>
            <w:pPr>
              <w:pStyle w:val="TableContents"/>
              <w:bidi w:val="0"/>
              <w:spacing w:before="0" w:after="0"/>
              <w:ind w:left="0" w:right="0" w:hanging="0"/>
              <w:jc w:val="left"/>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46" w:type="dxa"/>
            <w:tcBorders/>
            <w:vAlign w:val="center"/>
          </w:tcPr>
          <w:p>
            <w:pPr>
              <w:pStyle w:val="TableContents"/>
              <w:bidi w:val="0"/>
              <w:spacing w:before="0" w:after="0"/>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46" w:type="dxa"/>
            <w:tcBorders/>
            <w:vAlign w:val="center"/>
          </w:tcPr>
          <w:p>
            <w:pPr>
              <w:pStyle w:val="TableContents"/>
              <w:bidi w:val="0"/>
              <w:spacing w:before="0" w:after="0"/>
              <w:ind w:left="0" w:right="0" w:hanging="0"/>
              <w:jc w:val="left"/>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46" w:type="dxa"/>
            <w:tcBorders/>
            <w:vAlign w:val="center"/>
          </w:tcPr>
          <w:p>
            <w:pPr>
              <w:pStyle w:val="TableContents"/>
              <w:bidi w:val="0"/>
              <w:spacing w:before="0" w:after="0"/>
              <w:ind w:left="0" w:right="0" w:hanging="0"/>
              <w:jc w:val="left"/>
              <w:rPr/>
            </w:pPr>
            <w:r>
              <w:rPr/>
              <w:t>  ​ ​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46" w:type="dxa"/>
            <w:tcBorders/>
            <w:vAlign w:val="center"/>
          </w:tcPr>
          <w:p>
            <w:pPr>
              <w:pStyle w:val="TableContents"/>
              <w:bidi w:val="0"/>
              <w:spacing w:before="0" w:after="0"/>
              <w:ind w:left="0" w:right="0" w:hanging="0"/>
              <w:jc w:val="left"/>
              <w:rPr/>
            </w:pPr>
            <w:r>
              <w:rPr/>
              <w:t>  ​ ​ ​</w:t>
            </w:r>
          </w:p>
        </w:tc>
        <w:tc>
          <w:tcPr>
            <w:tcW w:w="5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46"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146" w:type="dxa"/>
            <w:tcBorders/>
            <w:vAlign w:val="center"/>
          </w:tcPr>
          <w:p>
            <w:pPr>
              <w:pStyle w:val="TableContents"/>
              <w:bidi w:val="0"/>
              <w:spacing w:before="0" w:after="0"/>
              <w:ind w:left="0" w:right="0" w:hanging="0"/>
              <w:jc w:val="left"/>
              <w:rPr/>
            </w:pPr>
            <w:r>
              <w:rPr/>
              <w:t> </w:t>
            </w:r>
          </w:p>
        </w:tc>
        <w:tc>
          <w:tcPr>
            <w:tcW w:w="9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06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796" w:type="dxa"/>
            <w:gridSpan w:val="26"/>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106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center"/>
              <w:rPr/>
            </w:pPr>
            <w:r>
              <w:rPr/>
              <w:t>​</w:t>
            </w:r>
          </w:p>
        </w:tc>
      </w:tr>
      <w:tr>
        <w:trPr/>
        <w:tc>
          <w:tcPr>
            <w:tcW w:w="106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7,610</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877</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9,193</w:t>
            </w:r>
          </w:p>
        </w:tc>
      </w:tr>
      <w:tr>
        <w:trPr/>
        <w:tc>
          <w:tcPr>
            <w:tcW w:w="106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628</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707</w:t>
            </w:r>
          </w:p>
        </w:tc>
      </w:tr>
      <w:tr>
        <w:trPr/>
        <w:tc>
          <w:tcPr>
            <w:tcW w:w="106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from investment activities</w:t>
            </w:r>
          </w:p>
        </w:tc>
        <w:tc>
          <w:tcPr>
            <w:tcW w:w="3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(421)</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(421)</w:t>
            </w:r>
          </w:p>
        </w:tc>
      </w:tr>
      <w:tr>
        <w:trPr/>
        <w:tc>
          <w:tcPr>
            <w:tcW w:w="106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335</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w:t>
            </w:r>
          </w:p>
        </w:tc>
        <w:tc>
          <w:tcPr>
            <w:tcW w:w="1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477</w:t>
            </w:r>
          </w:p>
        </w:tc>
      </w:tr>
      <w:tr>
        <w:trPr/>
        <w:tc>
          <w:tcPr>
            <w:tcW w:w="106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gain on disposition of assets, net</w:t>
            </w:r>
          </w:p>
        </w:tc>
        <w:tc>
          <w:tcPr>
            <w:tcW w:w="3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r>
      <w:tr>
        <w:trPr/>
        <w:tc>
          <w:tcPr>
            <w:tcW w:w="106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income (loss), net</w:t>
            </w:r>
          </w:p>
        </w:tc>
        <w:tc>
          <w:tcPr>
            <w:tcW w:w="346" w:type="dxa"/>
            <w:tcBorders/>
            <w:shd w:fill="CCEEFF" w:val="cle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146" w:type="dxa"/>
            <w:tcBorders/>
            <w:shd w:fill="CCEE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w:t>
            </w:r>
          </w:p>
        </w:tc>
      </w:tr>
      <w:tr>
        <w:trPr/>
        <w:tc>
          <w:tcPr>
            <w:tcW w:w="106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7,684</w:t>
            </w:r>
          </w:p>
        </w:tc>
        <w:tc>
          <w:tcPr>
            <w:tcW w:w="346" w:type="dxa"/>
            <w:tcBorders/>
            <w:vAlign w:val="center"/>
          </w:tcPr>
          <w:p>
            <w:pPr>
              <w:pStyle w:val="TableContents"/>
              <w:bidi w:val="0"/>
              <w:spacing w:before="0" w:after="0"/>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1,540</w:t>
            </w:r>
          </w:p>
        </w:tc>
        <w:tc>
          <w:tcPr>
            <w:tcW w:w="346"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393</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w:t>
            </w:r>
          </w:p>
        </w:tc>
        <w:tc>
          <w:tcPr>
            <w:tcW w:w="346" w:type="dxa"/>
            <w:tcBorders/>
            <w:vAlign w:val="center"/>
          </w:tcPr>
          <w:p>
            <w:pPr>
              <w:pStyle w:val="TableContents"/>
              <w:bidi w:val="0"/>
              <w:spacing w:before="0" w:after="0"/>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172</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w:t>
            </w:r>
          </w:p>
        </w:tc>
        <w:tc>
          <w:tcPr>
            <w:tcW w:w="346" w:type="dxa"/>
            <w:tcBorders/>
            <w:vAlign w:val="center"/>
          </w:tcPr>
          <w:p>
            <w:pPr>
              <w:pStyle w:val="TableContents"/>
              <w:bidi w:val="0"/>
              <w:spacing w:before="0" w:after="0"/>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10,020</w:t>
            </w:r>
          </w:p>
        </w:tc>
      </w:tr>
      <w:tr>
        <w:trPr/>
        <w:tc>
          <w:tcPr>
            <w:tcW w:w="106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pPr>
            <w:r>
              <w:rPr/>
              <w:t>​</w:t>
            </w:r>
          </w:p>
        </w:tc>
      </w:tr>
      <w:tr>
        <w:trPr/>
        <w:tc>
          <w:tcPr>
            <w:tcW w:w="106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7,450</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628</w:t>
            </w:r>
          </w:p>
        </w:tc>
        <w:tc>
          <w:tcPr>
            <w:tcW w:w="3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336</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c>
          <w:tcPr>
            <w:tcW w:w="3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8,619</w:t>
            </w:r>
          </w:p>
        </w:tc>
      </w:tr>
      <w:tr>
        <w:trPr/>
        <w:tc>
          <w:tcPr>
            <w:tcW w:w="106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536</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603</w:t>
            </w:r>
          </w:p>
        </w:tc>
      </w:tr>
      <w:tr>
        <w:trPr/>
        <w:tc>
          <w:tcPr>
            <w:tcW w:w="106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405</w:t>
            </w:r>
          </w:p>
        </w:tc>
        <w:tc>
          <w:tcPr>
            <w:tcW w:w="3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c>
          <w:tcPr>
            <w:tcW w:w="3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w:t>
            </w:r>
          </w:p>
        </w:tc>
        <w:tc>
          <w:tcPr>
            <w:tcW w:w="3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783</w:t>
            </w:r>
          </w:p>
        </w:tc>
      </w:tr>
      <w:tr>
        <w:trPr/>
        <w:tc>
          <w:tcPr>
            <w:tcW w:w="106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w:t>
            </w:r>
          </w:p>
        </w:tc>
      </w:tr>
      <w:tr>
        <w:trPr/>
        <w:tc>
          <w:tcPr>
            <w:tcW w:w="106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r>
      <w:tr>
        <w:trPr/>
        <w:tc>
          <w:tcPr>
            <w:tcW w:w="106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317</w:t>
            </w:r>
          </w:p>
        </w:tc>
        <w:tc>
          <w:tcPr>
            <w:tcW w:w="146" w:type="dxa"/>
            <w:tcBorders/>
            <w:shd w:fill="CCEE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523</w:t>
            </w:r>
          </w:p>
        </w:tc>
      </w:tr>
      <w:tr>
        <w:trPr/>
        <w:tc>
          <w:tcPr>
            <w:tcW w:w="106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7,730</w:t>
            </w:r>
          </w:p>
        </w:tc>
        <w:tc>
          <w:tcPr>
            <w:tcW w:w="346" w:type="dxa"/>
            <w:tcBorders/>
            <w:vAlign w:val="center"/>
          </w:tcPr>
          <w:p>
            <w:pPr>
              <w:pStyle w:val="TableContents"/>
              <w:bidi w:val="0"/>
              <w:spacing w:before="0" w:after="0"/>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1,571</w:t>
            </w:r>
          </w:p>
        </w:tc>
        <w:tc>
          <w:tcPr>
            <w:tcW w:w="346"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399</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w:t>
            </w:r>
          </w:p>
        </w:tc>
        <w:tc>
          <w:tcPr>
            <w:tcW w:w="346" w:type="dxa"/>
            <w:tcBorders/>
            <w:vAlign w:val="center"/>
          </w:tcPr>
          <w:p>
            <w:pPr>
              <w:pStyle w:val="TableContents"/>
              <w:bidi w:val="0"/>
              <w:spacing w:before="0" w:after="0"/>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180</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w:t>
            </w:r>
          </w:p>
        </w:tc>
        <w:tc>
          <w:tcPr>
            <w:tcW w:w="346" w:type="dxa"/>
            <w:tcBorders/>
            <w:vAlign w:val="center"/>
          </w:tcPr>
          <w:p>
            <w:pPr>
              <w:pStyle w:val="TableContents"/>
              <w:bidi w:val="0"/>
              <w:spacing w:before="0" w:after="0"/>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348</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10,587</w:t>
            </w:r>
          </w:p>
        </w:tc>
      </w:tr>
      <w:tr>
        <w:trPr/>
        <w:tc>
          <w:tcPr>
            <w:tcW w:w="106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income before income tax (expense) benefit</w:t>
            </w:r>
          </w:p>
        </w:tc>
        <w:tc>
          <w:tcPr>
            <w:tcW w:w="34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w:t>
            </w:r>
          </w:p>
        </w:tc>
        <w:tc>
          <w:tcPr>
            <w:tcW w:w="1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(567)</w:t>
            </w:r>
          </w:p>
        </w:tc>
      </w:tr>
      <w:tr>
        <w:trPr/>
        <w:tc>
          <w:tcPr>
            <w:tcW w:w="106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46" w:type="dxa"/>
            <w:tcBorders/>
            <w:vAlign w:val="center"/>
          </w:tcPr>
          <w:p>
            <w:pPr>
              <w:pStyle w:val="TableContents"/>
              <w:bidi w:val="0"/>
              <w:spacing w:before="0" w:after="0"/>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346" w:type="dxa"/>
            <w:tcBorders/>
            <w:vAlign w:val="center"/>
          </w:tcPr>
          <w:p>
            <w:pPr>
              <w:pStyle w:val="TableContents"/>
              <w:bidi w:val="0"/>
              <w:spacing w:before="0" w:after="0"/>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r>
      <w:tr>
        <w:trPr/>
        <w:tc>
          <w:tcPr>
            <w:tcW w:w="106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(271)</w:t>
            </w:r>
          </w:p>
        </w:tc>
        <w:tc>
          <w:tcPr>
            <w:tcW w:w="14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(542)</w:t>
            </w:r>
          </w:p>
        </w:tc>
      </w:tr>
      <w:tr>
        <w:trPr/>
        <w:tc>
          <w:tcPr>
            <w:tcW w:w="106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Less: net (loss) income attributable to non-controlling interests</w:t>
            </w:r>
          </w:p>
        </w:tc>
        <w:tc>
          <w:tcPr>
            <w:tcW w:w="346" w:type="dxa"/>
            <w:tcBorders/>
            <w:vAlign w:val="center"/>
          </w:tcPr>
          <w:p>
            <w:pPr>
              <w:pStyle w:val="TableContents"/>
              <w:bidi w:val="0"/>
              <w:spacing w:before="0" w:after="0"/>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vAlign w:val="center"/>
          </w:tcPr>
          <w:p>
            <w:pPr>
              <w:pStyle w:val="TableContents"/>
              <w:bidi w:val="0"/>
              <w:spacing w:before="0" w:after="0"/>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w:t>
            </w:r>
          </w:p>
        </w:tc>
      </w:tr>
      <w:tr>
        <w:trPr/>
        <w:tc>
          <w:tcPr>
            <w:tcW w:w="106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income attributable to Icahn Enterprises</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(271)</w:t>
            </w:r>
          </w:p>
        </w:tc>
        <w:tc>
          <w:tcPr>
            <w:tcW w:w="14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(445)</w:t>
            </w:r>
          </w:p>
        </w:tc>
      </w:tr>
      <w:tr>
        <w:trPr/>
        <w:tc>
          <w:tcPr>
            <w:tcW w:w="106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r>
      <w:tr>
        <w:trPr/>
        <w:tc>
          <w:tcPr>
            <w:tcW w:w="106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58"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w:t>
            </w:r>
          </w:p>
        </w:tc>
      </w:tr>
      <w:tr>
        <w:trPr/>
        <w:tc>
          <w:tcPr>
            <w:tcW w:w="106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363</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5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511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Normal"/>
        <w:bidi w:val="0"/>
        <w:spacing w:before="0" w:after="0"/>
        <w:jc w:val="left"/>
        <w:rPr>
          <w:sz w:val="4"/>
          <w:szCs w:val="4"/>
        </w:rPr>
      </w:pPr>
      <w:r>
        <w:rPr>
          <w:sz w:val="4"/>
          <w:szCs w:val="4"/>
        </w:rPr>
      </w:r>
      <w:bookmarkStart w:id="1430" w:name="Tc_MS65RZHf7kOQnKCDmnid-A_7_8"/>
      <w:bookmarkStart w:id="1431" w:name="Tc_00LLm6ANd0eLpOW9DIZmCA_7_5"/>
      <w:bookmarkStart w:id="1432" w:name="Tc_2fQ_LMgSokieNwp1M5BGAA_7_2"/>
      <w:bookmarkStart w:id="1433" w:name="Tc_KLT7WU6wuUCAgRIUZY3LNg_6_0"/>
      <w:bookmarkStart w:id="1434" w:name="Tc_Ko5j2zIgKE2NVBpR2otBIQ_5_0"/>
      <w:bookmarkStart w:id="1435" w:name="Tc_FaT__gCG0k-d6eS29IfGng_4_8"/>
      <w:bookmarkStart w:id="1436" w:name="Tc_sUdY7aZaPk6i9xUKT1pnTw_4_5"/>
      <w:bookmarkStart w:id="1437" w:name="Tc_CFtF4prrbk2UT0Jwr2wznA_4_2"/>
      <w:bookmarkStart w:id="1438" w:name="Tc_mZdAks9LTUeI7qWgP01Qew_4_0"/>
      <w:bookmarkStart w:id="1439" w:name="Tc_R6Txoaiwb0KPpfCjsZHi6g_3_2"/>
      <w:bookmarkStart w:id="1440" w:name="Tc_wydIddPfLkW0_-eXQNIpqg_2_8"/>
      <w:bookmarkStart w:id="1441" w:name="Tc_Ms1nJRh2TkqwcxUIAVU8jQ_2_5"/>
      <w:bookmarkStart w:id="1442" w:name="Tc_HLcE3oHh1EWLMWZO0BHIqg_2_2"/>
      <w:bookmarkStart w:id="1443" w:name="Tc_JZi0FWnwkkG0sHouzv9oMQ_1_2"/>
      <w:bookmarkStart w:id="1444" w:name="Tc_1VfTvcLSq0mxbSvUgukURA_30_26"/>
      <w:bookmarkStart w:id="1445" w:name="Tc_galDb5yOjka_ZvwBFGJkrQ_30_23"/>
      <w:bookmarkStart w:id="1446" w:name="Tc_nqPAsCJGk0yiUpDSISEpnw_30_20"/>
      <w:bookmarkStart w:id="1447" w:name="Tc_StVx627y7U-w3CnujGX9Zg_30_17"/>
      <w:bookmarkStart w:id="1448" w:name="Tc_b0aCBFIyvUGlXvtrSHgaSA_30_14"/>
      <w:bookmarkStart w:id="1449" w:name="Tc_XxHV7mz-xUWK-KVpLTM7bg_30_11"/>
      <w:bookmarkStart w:id="1450" w:name="Tc_g2d_gWxRU0iJ6pHhKykRzw_30_8"/>
      <w:bookmarkStart w:id="1451" w:name="Tc_getPaeO74Uy7glDPcC8Vbw_30_5"/>
      <w:bookmarkStart w:id="1452" w:name="Tc_1htJdr9c8E-9-GEQf8chKw_30_3"/>
      <w:bookmarkStart w:id="1453" w:name="Tc_32CCEnU6NEeHwOb-xF5_uw_30_2"/>
      <w:bookmarkStart w:id="1454" w:name="Tc_8uqEgfMh3UWPDcHRqi7spA_30_0"/>
      <w:bookmarkStart w:id="1455" w:name="Tc_YT_m6r96AUWk45MC_vdK4w_29_26"/>
      <w:bookmarkStart w:id="1456" w:name="Tc_RWM3SYugP0OdUQf8OTZLeQ_29_24"/>
      <w:bookmarkStart w:id="1457" w:name="Tc_xMDq9uyP9UuP_Ipi3Y1zNw_29_23"/>
      <w:bookmarkStart w:id="1458" w:name="Tc_jTGT5ztdiUKowSfd_gPz5Q_29_21"/>
      <w:bookmarkStart w:id="1459" w:name="Tc_yrFOA5O5gEGVpmqiW53zkQ_29_20"/>
      <w:bookmarkStart w:id="1460" w:name="Tc_X3jQwIJs00OnHf-QDgTcSw_29_17"/>
      <w:bookmarkStart w:id="1461" w:name="Tc_GdlIt9VMFEuEwpTQIKBwkg_29_14"/>
      <w:bookmarkStart w:id="1462" w:name="Tc_bIWdergCUESfsJMeQlHrLg_29_11"/>
      <w:bookmarkStart w:id="1463" w:name="Tc_OT__nlBQzUiz3c_EvmQV2g_29_8"/>
      <w:bookmarkStart w:id="1464" w:name="Tc_Xm-JnSfXe0-9YduuDmGeRA_29_5"/>
      <w:bookmarkStart w:id="1465" w:name="Tc_RosOhXMa80aGUCkabaenSw_29_3"/>
      <w:bookmarkStart w:id="1466" w:name="Tc_CMorY7u4QU2OevyE4NtMYQ_29_2"/>
      <w:bookmarkStart w:id="1467" w:name="Tc_g4d_WrLf_kW-4o2vHlP0WA_29_0"/>
      <w:bookmarkStart w:id="1468" w:name="Tc_HYb_kEFeJkKIIhZRD2DSwA_28_0"/>
      <w:bookmarkStart w:id="1469" w:name="Tc_jE5Egs2FcEeRJddYxj4gcA_27_26"/>
      <w:bookmarkStart w:id="1470" w:name="Tc_AiS-Nq6iM0i45BEJeXssHQ_27_23"/>
      <w:bookmarkStart w:id="1471" w:name="Tc_oQPPeKY5fEirmuKBhXRfKA_27_20"/>
      <w:bookmarkStart w:id="1472" w:name="Tc_rFJ68fvSsE6v4CIjaxKlzg_27_17"/>
      <w:bookmarkStart w:id="1473" w:name="Tc_Pv48eItCDEeRwbGv3Dh3uw_27_14"/>
      <w:bookmarkStart w:id="1474" w:name="Tc_XUTlg1x86UulUqiArC4mNA_27_11"/>
      <w:bookmarkStart w:id="1475" w:name="Tc_TUpoxI8C9kuO7F5uBkLPhg_27_8"/>
      <w:bookmarkStart w:id="1476" w:name="Tc_aaJpv4csEkSezqgw_Swy6Q_27_5"/>
      <w:bookmarkStart w:id="1477" w:name="Tc_ZpBc56fvSUiJesfErWcbxw_27_2"/>
      <w:bookmarkStart w:id="1478" w:name="Tc_WIRVCoE9okiopwD29FWb3w_27_0"/>
      <w:bookmarkStart w:id="1479" w:name="Tc_nqaFdlevn0W_oTlfK5BPEg_26_24"/>
      <w:bookmarkStart w:id="1480" w:name="Tc_NXK6PFjjnESK_Tz0yaGt7A_26_21"/>
      <w:bookmarkStart w:id="1481" w:name="Tc_edh0_KdLg0Wzr85PxoJ2eA_26_18"/>
      <w:bookmarkStart w:id="1482" w:name="Tc_0j6tW7LyRUqXOmy5T1tscw_26_15"/>
      <w:bookmarkStart w:id="1483" w:name="Tc_o4gbGwM7h0W1PwaqtrGDBA_26_9"/>
      <w:bookmarkStart w:id="1484" w:name="Tc_6prrc4lBR0uNvSlBZFp-fw_26_0"/>
      <w:bookmarkStart w:id="1485" w:name="Tc_z0JVDjnKy0-Ua67yN0ABMw_25_0"/>
      <w:bookmarkStart w:id="1486" w:name="Tc_GeK2W9gYM0ai2lrkjpEzag_24_21"/>
      <w:bookmarkStart w:id="1487" w:name="Tc_nymYOqB8AUip1wnRtK3i3g_24_18"/>
      <w:bookmarkStart w:id="1488" w:name="Tc_FBKqkoOptUuDK1GgTQvLxQ_24_15"/>
      <w:bookmarkStart w:id="1489" w:name="Tc_yRuaoyvxv0iyCyXbvrTOwg_24_3"/>
      <w:bookmarkStart w:id="1490" w:name="Tc_lv4q2DJ28EW9rSv4GmWk0w_24_0"/>
      <w:bookmarkStart w:id="1491" w:name="Tc_EHWjFQ_6M0WIRTm2JJB7Pw_23_0"/>
      <w:bookmarkStart w:id="1492" w:name="Tc_Pki6uk_qrk6K7Aw8D5kZAw_21_21"/>
      <w:bookmarkStart w:id="1493" w:name="Tc_KUt498lSjkmsFjpTrbD_jg_21_15"/>
      <w:bookmarkStart w:id="1494" w:name="Tc_qIIauRlIqkaYE54xiZv51g_21_0"/>
      <w:bookmarkStart w:id="1495" w:name="Tc_A57kn1xOzU6ZrQvRT9uTwg_20_21"/>
      <w:bookmarkStart w:id="1496" w:name="Tc_aUvpN2tMLE2q3m1In4XheA_20_18"/>
      <w:bookmarkStart w:id="1497" w:name="Tc_aXlWmSjLUUCFB3zxtK-Rag_20_15"/>
      <w:bookmarkStart w:id="1498" w:name="Tc_JXv1xV5dPkqCJUc_vkiTdA_20_12"/>
      <w:bookmarkStart w:id="1499" w:name="Tc_K6ymU7C18EmtaN2SheeUwg_20_9"/>
      <w:bookmarkStart w:id="1500" w:name="Tc_JftBXqq8GkaSmNfsghl_YQ_20_6"/>
      <w:bookmarkStart w:id="1501" w:name="Tc_lTMFUm9h10Ka9xb3aJ7K_A_20_3"/>
      <w:bookmarkStart w:id="1502" w:name="Tc_xhi3ucRdcEOnNckOYivXkA_20_0"/>
      <w:bookmarkStart w:id="1503" w:name="Tc_rjdKuDljlka1F3ScTtEfvg_19_21"/>
      <w:bookmarkStart w:id="1504" w:name="Tc_SE7epjKEEkqZMZVnXpiHJA_19_18"/>
      <w:bookmarkStart w:id="1505" w:name="Tc_0WnrN7S3Mkm08_4TV2NETg_19_15"/>
      <w:bookmarkStart w:id="1506" w:name="Tc_uIeui6xGPkK912BfAmGSag_19_12"/>
      <w:bookmarkStart w:id="1507" w:name="Tc_sxcUuCTOOEWdA54cV0MogA_19_9"/>
      <w:bookmarkStart w:id="1508" w:name="Tc_Zfu7Kugo_UKq_tFofQv5ww_19_6"/>
      <w:bookmarkStart w:id="1509" w:name="Tc_E7xS0qysZk6FmuLcBUJrcQ_19_3"/>
      <w:bookmarkStart w:id="1510" w:name="Tc_jKrc7_EFWkOOS1HPxbXy3A_19_0"/>
      <w:bookmarkStart w:id="1511" w:name="Tc_1N81kjC3Vk2w3xTRuoGYFg_18_24"/>
      <w:bookmarkStart w:id="1512" w:name="Tc_-AtgStHLlUyVofLJW2hQLw_18_21"/>
      <w:bookmarkStart w:id="1513" w:name="Tc_8SUvNnD4ukyqYdU_tEha-g_18_18"/>
      <w:bookmarkStart w:id="1514" w:name="Tc_SjJgxJNzo0ucCbB1UKcEeQ_18_15"/>
      <w:bookmarkStart w:id="1515" w:name="Tc_nbWXrhELJku05Gy_qiKuzA_18_12"/>
      <w:bookmarkStart w:id="1516" w:name="Tc_w-tB4-ik0E2ijMJaEArAVw_18_6"/>
      <w:bookmarkStart w:id="1517" w:name="Tc_qpakvg0r10-TRXT9HwCLOw_18_3"/>
      <w:bookmarkStart w:id="1518" w:name="Tc_evIPfnFtukOIPmQ9P-JtfA_18_0"/>
      <w:bookmarkStart w:id="1519" w:name="Tc_BU827zsEyEiTZ9QqLNQfJw_17_24"/>
      <w:bookmarkStart w:id="1520" w:name="Tc_rJlTvg10rUyRTJQzCTBr5A_17_21"/>
      <w:bookmarkStart w:id="1521" w:name="Tc_Op86wLQ_F0mrn1QXL9xm2w_17_15"/>
      <w:bookmarkStart w:id="1522" w:name="Tc_4jDVONFsNEmrdejb0Qm0oQ_17_12"/>
      <w:bookmarkStart w:id="1523" w:name="Tc_ElCpcOjz4EiFIigDoirvDw_17_9"/>
      <w:bookmarkStart w:id="1524" w:name="Tc_KpIw4s2j6UmOastMNUP2Rw_17_6"/>
      <w:bookmarkStart w:id="1525" w:name="Tc_ZvOzOVHqSUum0bpS5DvyKg_17_3"/>
      <w:bookmarkStart w:id="1526" w:name="Tc_MsVQb3b_JkKSIcMKv1Zo1A_17_0"/>
      <w:bookmarkStart w:id="1527" w:name="Tc_lGRvR0IMHkibRqchw6ksaA_16_24"/>
      <w:bookmarkStart w:id="1528" w:name="Tc__eMZNNJVX02LZ9zzVBQA2A_16_21"/>
      <w:bookmarkStart w:id="1529" w:name="Tc_SeMzcgu6F0ChvBjPGvGkqw_16_18"/>
      <w:bookmarkStart w:id="1530" w:name="Tc_jPB-QfCzJEalyMQmmQwESg_16_15"/>
      <w:bookmarkStart w:id="1531" w:name="Tc_K30wsW_9AEm2TFzbWHvr6A_16_12"/>
      <w:bookmarkStart w:id="1532" w:name="Tc_tFvCzZWXmEKBN5eQsmIgIg_16_9"/>
      <w:bookmarkStart w:id="1533" w:name="Tc_rLktOoaYEkC7FHxJtKzAyQ_16_6"/>
      <w:bookmarkStart w:id="1534" w:name="Tc_Dby2rk19IUqJ12Oaxu_leg_16_0"/>
      <w:bookmarkStart w:id="1535" w:name="Tc_CmgLmra8U0isd_RkByVdOg_15_0"/>
      <w:bookmarkStart w:id="1536" w:name="Tc_Nd00GsAR0kemCw6KbpmXXw_14_24"/>
      <w:bookmarkStart w:id="1537" w:name="Tc_P2GfDnY4gUehKFAIEGn33A_14_21"/>
      <w:bookmarkStart w:id="1538" w:name="Tc_cp5dz89V-kyJPtmeuXc6Yg_14_18"/>
      <w:bookmarkStart w:id="1539" w:name="Tc_DEH7B2dBEkGc45d-Ch0fNw_14_12"/>
      <w:bookmarkStart w:id="1540" w:name="Tc_R1TgggSHiUKYcQnKGSexiw_14_6"/>
      <w:bookmarkStart w:id="1541" w:name="Tc_mZ8wD0W1zEOV9dQa7ZOMLg_14_3"/>
      <w:bookmarkStart w:id="1542" w:name="Tc_nNEzJzYMTUqVNs4HRlN9Tg_14_0"/>
      <w:bookmarkStart w:id="1543" w:name="Tc_wsmArYsly0uXL8l0qoa6bA_13_24"/>
      <w:bookmarkStart w:id="1544" w:name="Tc_r3wpf4Umc0uEtSZ6To4j_A_13_3"/>
      <w:bookmarkStart w:id="1545" w:name="Tc_RunVKmwSLEOshRxDg6--4g_13_0"/>
      <w:bookmarkStart w:id="1546" w:name="Tc_3qLlbA8Jkk2FfNfhcWBR8Q_12_0"/>
      <w:bookmarkStart w:id="1547" w:name="Tc_jPrbpBpzUEuTKuf9spzPdQ_10_18"/>
      <w:bookmarkStart w:id="1548" w:name="Tc_Q0ac0C8txk2nG0h1bbLMsQ_10_9"/>
      <w:bookmarkStart w:id="1549" w:name="Tc_S0kQdDoB20Su4sdfF5FITA_10_3"/>
      <w:bookmarkStart w:id="1550" w:name="Tc_f3ulp6t9fkaxoggrGZVWdQ_10_0"/>
      <w:bookmarkStart w:id="1551" w:name="Tc_R52qN6AXyU--J65wR1RC-Q_9_24"/>
      <w:bookmarkStart w:id="1552" w:name="Tc_sAto31lMUUuUh4jU6YgN2g_9_21"/>
      <w:bookmarkStart w:id="1553" w:name="Tc_XyOSfz04wE6nGlRkBNTHBA_9_18"/>
      <w:bookmarkStart w:id="1554" w:name="Tc_SH5HE2u8S0Cc1ejJQQBv-w_9_15"/>
      <w:bookmarkStart w:id="1555" w:name="Tc__UekP0T6K0CTRpkgXfvyXA_9_12"/>
      <w:bookmarkStart w:id="1556" w:name="Tc_RL422U1bKUSd889DjIAfpQ_9_3"/>
      <w:bookmarkStart w:id="1557" w:name="Tc_RvB1bucDx0mIjYnzk2WKmw_9_0"/>
      <w:bookmarkStart w:id="1558" w:name="Tc_Xvwz0sW3EUWT9LJuXvr2vQ_8_18"/>
      <w:bookmarkStart w:id="1559" w:name="Tc_B-B1cw-sek2-K4wYJDMHcA_8_15"/>
      <w:bookmarkStart w:id="1560" w:name="Tc_PvOu1v8YwEedwG_71SjaPg_8_12"/>
      <w:bookmarkStart w:id="1561" w:name="Tc_k98B_gr_Nk2Ofts4F9bGVw_8_0"/>
      <w:bookmarkStart w:id="1562" w:name="Tc_LD27PHoOtkGXtiejl7vYgg_7_24"/>
      <w:bookmarkStart w:id="1563" w:name="Tc_1US6KlCDN0irNoHc3eF3Fw_7_21"/>
      <w:bookmarkStart w:id="1564" w:name="Tc_6RmlB00wXU29FyLGOdx2xA_7_18"/>
      <w:bookmarkStart w:id="1565" w:name="Tc_ME10Cuk4k0G53nM51BdwZQ_7_15"/>
      <w:bookmarkStart w:id="1566" w:name="Tc_jnrN5oXlB0uMPNPEoPznWA_7_12"/>
      <w:bookmarkStart w:id="1567" w:name="Tc_toJ5KAwq9Um6HZsM9WK_WQ_7_9"/>
      <w:bookmarkStart w:id="1568" w:name="Tc_GRjJqKLZr0WGSK4kJEx8Zw_7_6"/>
      <w:bookmarkStart w:id="1569" w:name="Tc_BuNK6tZrLEiUaXr2QBiAXA_7_0"/>
      <w:bookmarkStart w:id="1570" w:name="Tc_zNaKuZ2mDEm3bgG1gquBfA_6_24"/>
      <w:bookmarkStart w:id="1571" w:name="Tc_qGlg_4zut0OtmmZ73eS2Kg_6_18"/>
      <w:bookmarkStart w:id="1572" w:name="Tc_eKp0pQCKj0W5daE2Mng5aQ_6_12"/>
      <w:bookmarkStart w:id="1573" w:name="Tc_PrYu6AxP6EOk1MtkAAI9bg_6_6"/>
      <w:bookmarkStart w:id="1574" w:name="Tc_oVLdGWBw90-pL_h4w7SwYQ_6_3"/>
      <w:bookmarkStart w:id="1575" w:name="Tc_QKZCTfnLrUuAsKzCrHR0iQ_6_0"/>
      <w:bookmarkStart w:id="1576" w:name="Tc_P78hD8XPLUaHr52QhKjgrg_5_26"/>
      <w:bookmarkStart w:id="1577" w:name="Tc_dNTloxxEjUG0mLjrM6v4AA_5_24"/>
      <w:bookmarkStart w:id="1578" w:name="Tc_0wu6ceXh2E6o3055Vm9Nuw_5_23"/>
      <w:bookmarkStart w:id="1579" w:name="Tc_4lc6n1987E6sjb1aX4IuHw_5_20"/>
      <w:bookmarkStart w:id="1580" w:name="Tc_fVr6ltsj4EaJXqllVd7_kA_5_17"/>
      <w:bookmarkStart w:id="1581" w:name="Tc_vbID7jxykEOiAzCgKH_akw_5_14"/>
      <w:bookmarkStart w:id="1582" w:name="Tc_dN0QXTApfkGfPlXb9YEmwg_5_11"/>
      <w:bookmarkStart w:id="1583" w:name="Tc_l9a28zLA2kWW335MRaDEzA_5_8"/>
      <w:bookmarkStart w:id="1584" w:name="Tc_qLdmVVY9yUCnDOs50Ola6g_5_5"/>
      <w:bookmarkStart w:id="1585" w:name="Tc_D68xdiS61Em6GMJrqmcJ-A_5_3"/>
      <w:bookmarkStart w:id="1586" w:name="Tc_pJx4qSqIrEe7-zwVeCBmlg_5_2"/>
      <w:bookmarkStart w:id="1587" w:name="Tc_7lEZPVmUcUqvTzb2McduWw_5_0"/>
      <w:bookmarkStart w:id="1588" w:name="Tc_M9bRDtm9KEee2qHpHt0oDA_4_0"/>
      <w:bookmarkStart w:id="1589" w:name="Tc_odFMWYFttke91jhvVDKkbQ_3_2"/>
      <w:bookmarkStart w:id="1590" w:name="Tc_M_H8xAdr0UWjyPupEN-wgA_2_26"/>
      <w:bookmarkStart w:id="1591" w:name="Tc_p4R0mG1In0CEV_hzhh5FzA_2_23"/>
      <w:bookmarkStart w:id="1592" w:name="Tc_foJkvtSsiEy2YTZrBNTSVg_2_20"/>
      <w:bookmarkStart w:id="1593" w:name="Tc_VrKevweYZEShDo3Z6Xk1Qg_2_17"/>
      <w:bookmarkStart w:id="1594" w:name="Tc_xn9GyKltOUGiAaI0zGlkpg_2_14"/>
      <w:bookmarkStart w:id="1595" w:name="Tc_ZfQ9LYEoBE6RwCnPMtbGAQ_2_11"/>
      <w:bookmarkStart w:id="1596" w:name="Tc_p-LUXerhiESwnI_RE93K4Q_2_8"/>
      <w:bookmarkStart w:id="1597" w:name="Tc_BAdvEefOmU6Qk8-TU_G9uQ_2_5"/>
      <w:bookmarkStart w:id="1598" w:name="Tc_SgGD49fpA02aGqRu7_SDBw_2_2"/>
      <w:bookmarkStart w:id="1599" w:name="Tc_Qz6YEWUff0e4jdDrIBagtw_1_2"/>
      <w:bookmarkStart w:id="1600" w:name="_4618694e_7f67_4fa6_ac33_001b054f10e6"/>
      <w:bookmarkStart w:id="1601" w:name="Tc_MS65RZHf7kOQnKCDmnid-A_7_8"/>
      <w:bookmarkStart w:id="1602" w:name="Tc_00LLm6ANd0eLpOW9DIZmCA_7_5"/>
      <w:bookmarkStart w:id="1603" w:name="Tc_2fQ_LMgSokieNwp1M5BGAA_7_2"/>
      <w:bookmarkStart w:id="1604" w:name="Tc_KLT7WU6wuUCAgRIUZY3LNg_6_0"/>
      <w:bookmarkStart w:id="1605" w:name="Tc_Ko5j2zIgKE2NVBpR2otBIQ_5_0"/>
      <w:bookmarkStart w:id="1606" w:name="Tc_FaT__gCG0k-d6eS29IfGng_4_8"/>
      <w:bookmarkStart w:id="1607" w:name="Tc_sUdY7aZaPk6i9xUKT1pnTw_4_5"/>
      <w:bookmarkStart w:id="1608" w:name="Tc_CFtF4prrbk2UT0Jwr2wznA_4_2"/>
      <w:bookmarkStart w:id="1609" w:name="Tc_mZdAks9LTUeI7qWgP01Qew_4_0"/>
      <w:bookmarkStart w:id="1610" w:name="Tc_R6Txoaiwb0KPpfCjsZHi6g_3_2"/>
      <w:bookmarkStart w:id="1611" w:name="Tc_wydIddPfLkW0_-eXQNIpqg_2_8"/>
      <w:bookmarkStart w:id="1612" w:name="Tc_Ms1nJRh2TkqwcxUIAVU8jQ_2_5"/>
      <w:bookmarkStart w:id="1613" w:name="Tc_HLcE3oHh1EWLMWZO0BHIqg_2_2"/>
      <w:bookmarkStart w:id="1614" w:name="Tc_JZi0FWnwkkG0sHouzv9oMQ_1_2"/>
      <w:bookmarkStart w:id="1615" w:name="Tc_1VfTvcLSq0mxbSvUgukURA_30_26"/>
      <w:bookmarkStart w:id="1616" w:name="Tc_galDb5yOjka_ZvwBFGJkrQ_30_23"/>
      <w:bookmarkStart w:id="1617" w:name="Tc_nqPAsCJGk0yiUpDSISEpnw_30_20"/>
      <w:bookmarkStart w:id="1618" w:name="Tc_StVx627y7U-w3CnujGX9Zg_30_17"/>
      <w:bookmarkStart w:id="1619" w:name="Tc_b0aCBFIyvUGlXvtrSHgaSA_30_14"/>
      <w:bookmarkStart w:id="1620" w:name="Tc_XxHV7mz-xUWK-KVpLTM7bg_30_11"/>
      <w:bookmarkStart w:id="1621" w:name="Tc_g2d_gWxRU0iJ6pHhKykRzw_30_8"/>
      <w:bookmarkStart w:id="1622" w:name="Tc_getPaeO74Uy7glDPcC8Vbw_30_5"/>
      <w:bookmarkStart w:id="1623" w:name="Tc_1htJdr9c8E-9-GEQf8chKw_30_3"/>
      <w:bookmarkStart w:id="1624" w:name="Tc_32CCEnU6NEeHwOb-xF5_uw_30_2"/>
      <w:bookmarkStart w:id="1625" w:name="Tc_8uqEgfMh3UWPDcHRqi7spA_30_0"/>
      <w:bookmarkStart w:id="1626" w:name="Tc_YT_m6r96AUWk45MC_vdK4w_29_26"/>
      <w:bookmarkStart w:id="1627" w:name="Tc_RWM3SYugP0OdUQf8OTZLeQ_29_24"/>
      <w:bookmarkStart w:id="1628" w:name="Tc_xMDq9uyP9UuP_Ipi3Y1zNw_29_23"/>
      <w:bookmarkStart w:id="1629" w:name="Tc_jTGT5ztdiUKowSfd_gPz5Q_29_21"/>
      <w:bookmarkStart w:id="1630" w:name="Tc_yrFOA5O5gEGVpmqiW53zkQ_29_20"/>
      <w:bookmarkStart w:id="1631" w:name="Tc_X3jQwIJs00OnHf-QDgTcSw_29_17"/>
      <w:bookmarkStart w:id="1632" w:name="Tc_GdlIt9VMFEuEwpTQIKBwkg_29_14"/>
      <w:bookmarkStart w:id="1633" w:name="Tc_bIWdergCUESfsJMeQlHrLg_29_11"/>
      <w:bookmarkStart w:id="1634" w:name="Tc_OT__nlBQzUiz3c_EvmQV2g_29_8"/>
      <w:bookmarkStart w:id="1635" w:name="Tc_Xm-JnSfXe0-9YduuDmGeRA_29_5"/>
      <w:bookmarkStart w:id="1636" w:name="Tc_RosOhXMa80aGUCkabaenSw_29_3"/>
      <w:bookmarkStart w:id="1637" w:name="Tc_CMorY7u4QU2OevyE4NtMYQ_29_2"/>
      <w:bookmarkStart w:id="1638" w:name="Tc_g4d_WrLf_kW-4o2vHlP0WA_29_0"/>
      <w:bookmarkStart w:id="1639" w:name="Tc_HYb_kEFeJkKIIhZRD2DSwA_28_0"/>
      <w:bookmarkStart w:id="1640" w:name="Tc_jE5Egs2FcEeRJddYxj4gcA_27_26"/>
      <w:bookmarkStart w:id="1641" w:name="Tc_AiS-Nq6iM0i45BEJeXssHQ_27_23"/>
      <w:bookmarkStart w:id="1642" w:name="Tc_oQPPeKY5fEirmuKBhXRfKA_27_20"/>
      <w:bookmarkStart w:id="1643" w:name="Tc_rFJ68fvSsE6v4CIjaxKlzg_27_17"/>
      <w:bookmarkStart w:id="1644" w:name="Tc_Pv48eItCDEeRwbGv3Dh3uw_27_14"/>
      <w:bookmarkStart w:id="1645" w:name="Tc_XUTlg1x86UulUqiArC4mNA_27_11"/>
      <w:bookmarkStart w:id="1646" w:name="Tc_TUpoxI8C9kuO7F5uBkLPhg_27_8"/>
      <w:bookmarkStart w:id="1647" w:name="Tc_aaJpv4csEkSezqgw_Swy6Q_27_5"/>
      <w:bookmarkStart w:id="1648" w:name="Tc_ZpBc56fvSUiJesfErWcbxw_27_2"/>
      <w:bookmarkStart w:id="1649" w:name="Tc_WIRVCoE9okiopwD29FWb3w_27_0"/>
      <w:bookmarkStart w:id="1650" w:name="Tc_nqaFdlevn0W_oTlfK5BPEg_26_24"/>
      <w:bookmarkStart w:id="1651" w:name="Tc_NXK6PFjjnESK_Tz0yaGt7A_26_21"/>
      <w:bookmarkStart w:id="1652" w:name="Tc_edh0_KdLg0Wzr85PxoJ2eA_26_18"/>
      <w:bookmarkStart w:id="1653" w:name="Tc_0j6tW7LyRUqXOmy5T1tscw_26_15"/>
      <w:bookmarkStart w:id="1654" w:name="Tc_o4gbGwM7h0W1PwaqtrGDBA_26_9"/>
      <w:bookmarkStart w:id="1655" w:name="Tc_6prrc4lBR0uNvSlBZFp-fw_26_0"/>
      <w:bookmarkStart w:id="1656" w:name="Tc_z0JVDjnKy0-Ua67yN0ABMw_25_0"/>
      <w:bookmarkStart w:id="1657" w:name="Tc_GeK2W9gYM0ai2lrkjpEzag_24_21"/>
      <w:bookmarkStart w:id="1658" w:name="Tc_nymYOqB8AUip1wnRtK3i3g_24_18"/>
      <w:bookmarkStart w:id="1659" w:name="Tc_FBKqkoOptUuDK1GgTQvLxQ_24_15"/>
      <w:bookmarkStart w:id="1660" w:name="Tc_yRuaoyvxv0iyCyXbvrTOwg_24_3"/>
      <w:bookmarkStart w:id="1661" w:name="Tc_lv4q2DJ28EW9rSv4GmWk0w_24_0"/>
      <w:bookmarkStart w:id="1662" w:name="Tc_EHWjFQ_6M0WIRTm2JJB7Pw_23_0"/>
      <w:bookmarkStart w:id="1663" w:name="Tc_Pki6uk_qrk6K7Aw8D5kZAw_21_21"/>
      <w:bookmarkStart w:id="1664" w:name="Tc_KUt498lSjkmsFjpTrbD_jg_21_15"/>
      <w:bookmarkStart w:id="1665" w:name="Tc_qIIauRlIqkaYE54xiZv51g_21_0"/>
      <w:bookmarkStart w:id="1666" w:name="Tc_A57kn1xOzU6ZrQvRT9uTwg_20_21"/>
      <w:bookmarkStart w:id="1667" w:name="Tc_aUvpN2tMLE2q3m1In4XheA_20_18"/>
      <w:bookmarkStart w:id="1668" w:name="Tc_aXlWmSjLUUCFB3zxtK-Rag_20_15"/>
      <w:bookmarkStart w:id="1669" w:name="Tc_JXv1xV5dPkqCJUc_vkiTdA_20_12"/>
      <w:bookmarkStart w:id="1670" w:name="Tc_K6ymU7C18EmtaN2SheeUwg_20_9"/>
      <w:bookmarkStart w:id="1671" w:name="Tc_JftBXqq8GkaSmNfsghl_YQ_20_6"/>
      <w:bookmarkStart w:id="1672" w:name="Tc_lTMFUm9h10Ka9xb3aJ7K_A_20_3"/>
      <w:bookmarkStart w:id="1673" w:name="Tc_xhi3ucRdcEOnNckOYivXkA_20_0"/>
      <w:bookmarkStart w:id="1674" w:name="Tc_rjdKuDljlka1F3ScTtEfvg_19_21"/>
      <w:bookmarkStart w:id="1675" w:name="Tc_SE7epjKEEkqZMZVnXpiHJA_19_18"/>
      <w:bookmarkStart w:id="1676" w:name="Tc_0WnrN7S3Mkm08_4TV2NETg_19_15"/>
      <w:bookmarkStart w:id="1677" w:name="Tc_uIeui6xGPkK912BfAmGSag_19_12"/>
      <w:bookmarkStart w:id="1678" w:name="Tc_sxcUuCTOOEWdA54cV0MogA_19_9"/>
      <w:bookmarkStart w:id="1679" w:name="Tc_Zfu7Kugo_UKq_tFofQv5ww_19_6"/>
      <w:bookmarkStart w:id="1680" w:name="Tc_E7xS0qysZk6FmuLcBUJrcQ_19_3"/>
      <w:bookmarkStart w:id="1681" w:name="Tc_jKrc7_EFWkOOS1HPxbXy3A_19_0"/>
      <w:bookmarkStart w:id="1682" w:name="Tc_1N81kjC3Vk2w3xTRuoGYFg_18_24"/>
      <w:bookmarkStart w:id="1683" w:name="Tc_-AtgStHLlUyVofLJW2hQLw_18_21"/>
      <w:bookmarkStart w:id="1684" w:name="Tc_8SUvNnD4ukyqYdU_tEha-g_18_18"/>
      <w:bookmarkStart w:id="1685" w:name="Tc_SjJgxJNzo0ucCbB1UKcEeQ_18_15"/>
      <w:bookmarkStart w:id="1686" w:name="Tc_nbWXrhELJku05Gy_qiKuzA_18_12"/>
      <w:bookmarkStart w:id="1687" w:name="Tc_w-tB4-ik0E2ijMJaEArAVw_18_6"/>
      <w:bookmarkStart w:id="1688" w:name="Tc_qpakvg0r10-TRXT9HwCLOw_18_3"/>
      <w:bookmarkStart w:id="1689" w:name="Tc_evIPfnFtukOIPmQ9P-JtfA_18_0"/>
      <w:bookmarkStart w:id="1690" w:name="Tc_BU827zsEyEiTZ9QqLNQfJw_17_24"/>
      <w:bookmarkStart w:id="1691" w:name="Tc_rJlTvg10rUyRTJQzCTBr5A_17_21"/>
      <w:bookmarkStart w:id="1692" w:name="Tc_Op86wLQ_F0mrn1QXL9xm2w_17_15"/>
      <w:bookmarkStart w:id="1693" w:name="Tc_4jDVONFsNEmrdejb0Qm0oQ_17_12"/>
      <w:bookmarkStart w:id="1694" w:name="Tc_ElCpcOjz4EiFIigDoirvDw_17_9"/>
      <w:bookmarkStart w:id="1695" w:name="Tc_KpIw4s2j6UmOastMNUP2Rw_17_6"/>
      <w:bookmarkStart w:id="1696" w:name="Tc_ZvOzOVHqSUum0bpS5DvyKg_17_3"/>
      <w:bookmarkStart w:id="1697" w:name="Tc_MsVQb3b_JkKSIcMKv1Zo1A_17_0"/>
      <w:bookmarkStart w:id="1698" w:name="Tc_lGRvR0IMHkibRqchw6ksaA_16_24"/>
      <w:bookmarkStart w:id="1699" w:name="Tc__eMZNNJVX02LZ9zzVBQA2A_16_21"/>
      <w:bookmarkStart w:id="1700" w:name="Tc_SeMzcgu6F0ChvBjPGvGkqw_16_18"/>
      <w:bookmarkStart w:id="1701" w:name="Tc_jPB-QfCzJEalyMQmmQwESg_16_15"/>
      <w:bookmarkStart w:id="1702" w:name="Tc_K30wsW_9AEm2TFzbWHvr6A_16_12"/>
      <w:bookmarkStart w:id="1703" w:name="Tc_tFvCzZWXmEKBN5eQsmIgIg_16_9"/>
      <w:bookmarkStart w:id="1704" w:name="Tc_rLktOoaYEkC7FHxJtKzAyQ_16_6"/>
      <w:bookmarkStart w:id="1705" w:name="Tc_Dby2rk19IUqJ12Oaxu_leg_16_0"/>
      <w:bookmarkStart w:id="1706" w:name="Tc_CmgLmra8U0isd_RkByVdOg_15_0"/>
      <w:bookmarkStart w:id="1707" w:name="Tc_Nd00GsAR0kemCw6KbpmXXw_14_24"/>
      <w:bookmarkStart w:id="1708" w:name="Tc_P2GfDnY4gUehKFAIEGn33A_14_21"/>
      <w:bookmarkStart w:id="1709" w:name="Tc_cp5dz89V-kyJPtmeuXc6Yg_14_18"/>
      <w:bookmarkStart w:id="1710" w:name="Tc_DEH7B2dBEkGc45d-Ch0fNw_14_12"/>
      <w:bookmarkStart w:id="1711" w:name="Tc_R1TgggSHiUKYcQnKGSexiw_14_6"/>
      <w:bookmarkStart w:id="1712" w:name="Tc_mZ8wD0W1zEOV9dQa7ZOMLg_14_3"/>
      <w:bookmarkStart w:id="1713" w:name="Tc_nNEzJzYMTUqVNs4HRlN9Tg_14_0"/>
      <w:bookmarkStart w:id="1714" w:name="Tc_wsmArYsly0uXL8l0qoa6bA_13_24"/>
      <w:bookmarkStart w:id="1715" w:name="Tc_r3wpf4Umc0uEtSZ6To4j_A_13_3"/>
      <w:bookmarkStart w:id="1716" w:name="Tc_RunVKmwSLEOshRxDg6--4g_13_0"/>
      <w:bookmarkStart w:id="1717" w:name="Tc_3qLlbA8Jkk2FfNfhcWBR8Q_12_0"/>
      <w:bookmarkStart w:id="1718" w:name="Tc_jPrbpBpzUEuTKuf9spzPdQ_10_18"/>
      <w:bookmarkStart w:id="1719" w:name="Tc_Q0ac0C8txk2nG0h1bbLMsQ_10_9"/>
      <w:bookmarkStart w:id="1720" w:name="Tc_S0kQdDoB20Su4sdfF5FITA_10_3"/>
      <w:bookmarkStart w:id="1721" w:name="Tc_f3ulp6t9fkaxoggrGZVWdQ_10_0"/>
      <w:bookmarkStart w:id="1722" w:name="Tc_R52qN6AXyU--J65wR1RC-Q_9_24"/>
      <w:bookmarkStart w:id="1723" w:name="Tc_sAto31lMUUuUh4jU6YgN2g_9_21"/>
      <w:bookmarkStart w:id="1724" w:name="Tc_XyOSfz04wE6nGlRkBNTHBA_9_18"/>
      <w:bookmarkStart w:id="1725" w:name="Tc_SH5HE2u8S0Cc1ejJQQBv-w_9_15"/>
      <w:bookmarkStart w:id="1726" w:name="Tc__UekP0T6K0CTRpkgXfvyXA_9_12"/>
      <w:bookmarkStart w:id="1727" w:name="Tc_RL422U1bKUSd889DjIAfpQ_9_3"/>
      <w:bookmarkStart w:id="1728" w:name="Tc_RvB1bucDx0mIjYnzk2WKmw_9_0"/>
      <w:bookmarkStart w:id="1729" w:name="Tc_Xvwz0sW3EUWT9LJuXvr2vQ_8_18"/>
      <w:bookmarkStart w:id="1730" w:name="Tc_B-B1cw-sek2-K4wYJDMHcA_8_15"/>
      <w:bookmarkStart w:id="1731" w:name="Tc_PvOu1v8YwEedwG_71SjaPg_8_12"/>
      <w:bookmarkStart w:id="1732" w:name="Tc_k98B_gr_Nk2Ofts4F9bGVw_8_0"/>
      <w:bookmarkStart w:id="1733" w:name="Tc_LD27PHoOtkGXtiejl7vYgg_7_24"/>
      <w:bookmarkStart w:id="1734" w:name="Tc_1US6KlCDN0irNoHc3eF3Fw_7_21"/>
      <w:bookmarkStart w:id="1735" w:name="Tc_6RmlB00wXU29FyLGOdx2xA_7_18"/>
      <w:bookmarkStart w:id="1736" w:name="Tc_ME10Cuk4k0G53nM51BdwZQ_7_15"/>
      <w:bookmarkStart w:id="1737" w:name="Tc_jnrN5oXlB0uMPNPEoPznWA_7_12"/>
      <w:bookmarkStart w:id="1738" w:name="Tc_toJ5KAwq9Um6HZsM9WK_WQ_7_9"/>
      <w:bookmarkStart w:id="1739" w:name="Tc_GRjJqKLZr0WGSK4kJEx8Zw_7_6"/>
      <w:bookmarkStart w:id="1740" w:name="Tc_BuNK6tZrLEiUaXr2QBiAXA_7_0"/>
      <w:bookmarkStart w:id="1741" w:name="Tc_zNaKuZ2mDEm3bgG1gquBfA_6_24"/>
      <w:bookmarkStart w:id="1742" w:name="Tc_qGlg_4zut0OtmmZ73eS2Kg_6_18"/>
      <w:bookmarkStart w:id="1743" w:name="Tc_eKp0pQCKj0W5daE2Mng5aQ_6_12"/>
      <w:bookmarkStart w:id="1744" w:name="Tc_PrYu6AxP6EOk1MtkAAI9bg_6_6"/>
      <w:bookmarkStart w:id="1745" w:name="Tc_oVLdGWBw90-pL_h4w7SwYQ_6_3"/>
      <w:bookmarkStart w:id="1746" w:name="Tc_QKZCTfnLrUuAsKzCrHR0iQ_6_0"/>
      <w:bookmarkStart w:id="1747" w:name="Tc_P78hD8XPLUaHr52QhKjgrg_5_26"/>
      <w:bookmarkStart w:id="1748" w:name="Tc_dNTloxxEjUG0mLjrM6v4AA_5_24"/>
      <w:bookmarkStart w:id="1749" w:name="Tc_0wu6ceXh2E6o3055Vm9Nuw_5_23"/>
      <w:bookmarkStart w:id="1750" w:name="Tc_4lc6n1987E6sjb1aX4IuHw_5_20"/>
      <w:bookmarkStart w:id="1751" w:name="Tc_fVr6ltsj4EaJXqllVd7_kA_5_17"/>
      <w:bookmarkStart w:id="1752" w:name="Tc_vbID7jxykEOiAzCgKH_akw_5_14"/>
      <w:bookmarkStart w:id="1753" w:name="Tc_dN0QXTApfkGfPlXb9YEmwg_5_11"/>
      <w:bookmarkStart w:id="1754" w:name="Tc_l9a28zLA2kWW335MRaDEzA_5_8"/>
      <w:bookmarkStart w:id="1755" w:name="Tc_qLdmVVY9yUCnDOs50Ola6g_5_5"/>
      <w:bookmarkStart w:id="1756" w:name="Tc_D68xdiS61Em6GMJrqmcJ-A_5_3"/>
      <w:bookmarkStart w:id="1757" w:name="Tc_pJx4qSqIrEe7-zwVeCBmlg_5_2"/>
      <w:bookmarkStart w:id="1758" w:name="Tc_7lEZPVmUcUqvTzb2McduWw_5_0"/>
      <w:bookmarkStart w:id="1759" w:name="Tc_M9bRDtm9KEee2qHpHt0oDA_4_0"/>
      <w:bookmarkStart w:id="1760" w:name="Tc_odFMWYFttke91jhvVDKkbQ_3_2"/>
      <w:bookmarkStart w:id="1761" w:name="Tc_M_H8xAdr0UWjyPupEN-wgA_2_26"/>
      <w:bookmarkStart w:id="1762" w:name="Tc_p4R0mG1In0CEV_hzhh5FzA_2_23"/>
      <w:bookmarkStart w:id="1763" w:name="Tc_foJkvtSsiEy2YTZrBNTSVg_2_20"/>
      <w:bookmarkStart w:id="1764" w:name="Tc_VrKevweYZEShDo3Z6Xk1Qg_2_17"/>
      <w:bookmarkStart w:id="1765" w:name="Tc_xn9GyKltOUGiAaI0zGlkpg_2_14"/>
      <w:bookmarkStart w:id="1766" w:name="Tc_ZfQ9LYEoBE6RwCnPMtbGAQ_2_11"/>
      <w:bookmarkStart w:id="1767" w:name="Tc_p-LUXerhiESwnI_RE93K4Q_2_8"/>
      <w:bookmarkStart w:id="1768" w:name="Tc_BAdvEefOmU6Qk8-TU_G9uQ_2_5"/>
      <w:bookmarkStart w:id="1769" w:name="Tc_SgGD49fpA02aGqRu7_SDBw_2_2"/>
      <w:bookmarkStart w:id="1770" w:name="Tc_Qz6YEWUff0e4jdDrIBagtw_1_2"/>
      <w:bookmarkStart w:id="1771" w:name="_4618694e_7f67_4fa6_ac33_001b054f10e6"/>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p>
    <w:tbl>
      <w:tblPr>
        <w:tblW w:w="10492" w:type="dxa"/>
        <w:jc w:val="left"/>
        <w:tblInd w:w="0" w:type="dxa"/>
        <w:tblLayout w:type="fixed"/>
        <w:tblCellMar>
          <w:top w:w="0" w:type="dxa"/>
          <w:left w:w="0" w:type="dxa"/>
          <w:bottom w:w="0" w:type="dxa"/>
          <w:right w:w="0" w:type="dxa"/>
        </w:tblCellMar>
      </w:tblPr>
      <w:tblGrid>
        <w:gridCol w:w="1066"/>
        <w:gridCol w:w="346"/>
        <w:gridCol w:w="244"/>
        <w:gridCol w:w="522"/>
        <w:gridCol w:w="346"/>
        <w:gridCol w:w="226"/>
        <w:gridCol w:w="436"/>
        <w:gridCol w:w="346"/>
        <w:gridCol w:w="271"/>
        <w:gridCol w:w="525"/>
        <w:gridCol w:w="346"/>
        <w:gridCol w:w="290"/>
        <w:gridCol w:w="446"/>
        <w:gridCol w:w="346"/>
        <w:gridCol w:w="226"/>
        <w:gridCol w:w="346"/>
        <w:gridCol w:w="346"/>
        <w:gridCol w:w="231"/>
        <w:gridCol w:w="355"/>
        <w:gridCol w:w="346"/>
        <w:gridCol w:w="226"/>
        <w:gridCol w:w="346"/>
        <w:gridCol w:w="346"/>
        <w:gridCol w:w="253"/>
        <w:gridCol w:w="423"/>
        <w:gridCol w:w="346"/>
        <w:gridCol w:w="273"/>
        <w:gridCol w:w="673"/>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76910" cy="175260"/>
                      <wp:effectExtent l="0" t="0" r="0" b="0"/>
                      <wp:wrapNone/>
                      <wp:docPr id="486" name="Frame48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19710" cy="175260"/>
                      <wp:effectExtent l="0" t="0" r="0" b="0"/>
                      <wp:wrapNone/>
                      <wp:docPr id="487" name="Frame4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54940" cy="175260"/>
                      <wp:effectExtent l="0" t="0" r="0" b="0"/>
                      <wp:wrapNone/>
                      <wp:docPr id="488" name="Frame488"/>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331470" cy="175260"/>
                      <wp:effectExtent l="0" t="0" r="0" b="0"/>
                      <wp:wrapNone/>
                      <wp:docPr id="489" name="Frame489"/>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19710" cy="175260"/>
                      <wp:effectExtent l="0" t="0" r="0" b="0"/>
                      <wp:wrapNone/>
                      <wp:docPr id="490" name="Frame4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43510" cy="175260"/>
                      <wp:effectExtent l="0" t="0" r="0" b="0"/>
                      <wp:wrapNone/>
                      <wp:docPr id="491" name="Frame49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76860" cy="175260"/>
                      <wp:effectExtent l="0" t="0" r="0" b="0"/>
                      <wp:wrapNone/>
                      <wp:docPr id="492" name="Frame49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19710" cy="175260"/>
                      <wp:effectExtent l="0" t="0" r="0" b="0"/>
                      <wp:wrapNone/>
                      <wp:docPr id="493" name="Frame4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72085" cy="175260"/>
                      <wp:effectExtent l="0" t="0" r="0" b="0"/>
                      <wp:wrapNone/>
                      <wp:docPr id="494" name="Frame49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333375" cy="175260"/>
                      <wp:effectExtent l="0" t="0" r="0" b="0"/>
                      <wp:wrapNone/>
                      <wp:docPr id="495" name="Frame495"/>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19710" cy="175260"/>
                      <wp:effectExtent l="0" t="0" r="0" b="0"/>
                      <wp:wrapNone/>
                      <wp:docPr id="496" name="Frame4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84150" cy="175260"/>
                      <wp:effectExtent l="0" t="0" r="0" b="0"/>
                      <wp:wrapNone/>
                      <wp:docPr id="497" name="Frame497"/>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83210" cy="175260"/>
                      <wp:effectExtent l="0" t="0" r="0" b="0"/>
                      <wp:wrapNone/>
                      <wp:docPr id="498" name="Frame498"/>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175260"/>
                      <wp:effectExtent l="0" t="0" r="0" b="0"/>
                      <wp:wrapNone/>
                      <wp:docPr id="499"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43510" cy="175260"/>
                      <wp:effectExtent l="0" t="0" r="0" b="0"/>
                      <wp:wrapNone/>
                      <wp:docPr id="500" name="Frame50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501" name="Frame5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19710" cy="175260"/>
                      <wp:effectExtent l="0" t="0" r="0" b="0"/>
                      <wp:wrapNone/>
                      <wp:docPr id="502" name="Frame5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46685" cy="175260"/>
                      <wp:effectExtent l="0" t="0" r="0" b="0"/>
                      <wp:wrapNone/>
                      <wp:docPr id="503" name="Frame50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25425" cy="175260"/>
                      <wp:effectExtent l="0" t="0" r="0" b="0"/>
                      <wp:wrapNone/>
                      <wp:docPr id="504" name="Frame504"/>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9710" cy="175260"/>
                      <wp:effectExtent l="0" t="0" r="0" b="0"/>
                      <wp:wrapNone/>
                      <wp:docPr id="505" name="Frame5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43510" cy="175260"/>
                      <wp:effectExtent l="0" t="0" r="0" b="0"/>
                      <wp:wrapNone/>
                      <wp:docPr id="506" name="Frame50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19710" cy="175260"/>
                      <wp:effectExtent l="0" t="0" r="0" b="0"/>
                      <wp:wrapNone/>
                      <wp:docPr id="507" name="Frame5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508" name="Frame5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60655" cy="175260"/>
                      <wp:effectExtent l="0" t="0" r="0" b="0"/>
                      <wp:wrapNone/>
                      <wp:docPr id="509" name="Frame509"/>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68605" cy="175260"/>
                      <wp:effectExtent l="0" t="0" r="0" b="0"/>
                      <wp:wrapNone/>
                      <wp:docPr id="510" name="Frame510"/>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11" name="Frame5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73355" cy="175260"/>
                      <wp:effectExtent l="0" t="0" r="0" b="0"/>
                      <wp:wrapNone/>
                      <wp:docPr id="512" name="Frame512"/>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427355" cy="175260"/>
                      <wp:effectExtent l="0" t="0" r="0" b="0"/>
                      <wp:wrapNone/>
                      <wp:docPr id="513" name="Frame513"/>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80"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Year Ended December 31, 2023</w:t>
            </w:r>
          </w:p>
        </w:tc>
      </w:tr>
      <w:tr>
        <w:trPr/>
        <w:tc>
          <w:tcPr>
            <w:tcW w:w="1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46" w:type="dxa"/>
            <w:tcBorders/>
            <w:vAlign w:val="center"/>
          </w:tcPr>
          <w:p>
            <w:pPr>
              <w:pStyle w:val="TableContents"/>
              <w:bidi w:val="0"/>
              <w:spacing w:before="0" w:after="1"/>
              <w:ind w:left="0" w:right="0" w:hanging="0"/>
              <w:jc w:val="left"/>
              <w:rPr/>
            </w:pPr>
            <w:r>
              <w:rPr/>
              <w:t>  ​ ​ ​</w:t>
            </w:r>
          </w:p>
        </w:tc>
        <w:tc>
          <w:tcPr>
            <w:tcW w:w="6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46"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346" w:type="dxa"/>
            <w:tcBorders/>
            <w:vAlign w:val="center"/>
          </w:tcPr>
          <w:p>
            <w:pPr>
              <w:pStyle w:val="TableContents"/>
              <w:bidi w:val="0"/>
              <w:spacing w:before="0" w:after="1"/>
              <w:ind w:left="0" w:right="0" w:hanging="0"/>
              <w:jc w:val="left"/>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Food Packaging</w:t>
            </w:r>
          </w:p>
        </w:tc>
        <w:tc>
          <w:tcPr>
            <w:tcW w:w="346" w:type="dxa"/>
            <w:tcBorders/>
            <w:vAlign w:val="center"/>
          </w:tcPr>
          <w:p>
            <w:pPr>
              <w:pStyle w:val="TableContents"/>
              <w:bidi w:val="0"/>
              <w:spacing w:before="0" w:after="1"/>
              <w:ind w:left="0" w:right="0" w:hanging="0"/>
              <w:jc w:val="left"/>
              <w:rPr/>
            </w:pPr>
            <w:r>
              <w:rPr/>
              <w:t>  ​ ​ ​</w:t>
            </w:r>
          </w:p>
        </w:tc>
        <w:tc>
          <w:tcPr>
            <w:tcW w:w="5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Real Estate</w:t>
            </w:r>
          </w:p>
        </w:tc>
        <w:tc>
          <w:tcPr>
            <w:tcW w:w="346" w:type="dxa"/>
            <w:tcBorders/>
            <w:vAlign w:val="center"/>
          </w:tcPr>
          <w:p>
            <w:pPr>
              <w:pStyle w:val="TableContents"/>
              <w:bidi w:val="0"/>
              <w:spacing w:before="0" w:after="1"/>
              <w:ind w:left="0" w:right="0" w:hanging="0"/>
              <w:jc w:val="left"/>
              <w:rPr/>
            </w:pPr>
            <w:r>
              <w:rPr/>
              <w:t>  ​ ​ ​</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Home Fashion</w:t>
            </w:r>
          </w:p>
        </w:tc>
        <w:tc>
          <w:tcPr>
            <w:tcW w:w="346" w:type="dxa"/>
            <w:tcBorders/>
            <w:vAlign w:val="center"/>
          </w:tcPr>
          <w:p>
            <w:pPr>
              <w:pStyle w:val="TableContents"/>
              <w:bidi w:val="0"/>
              <w:spacing w:before="0" w:after="1"/>
              <w:ind w:left="0" w:right="0" w:hanging="0"/>
              <w:jc w:val="left"/>
              <w:rPr/>
            </w:pPr>
            <w:r>
              <w:rPr/>
              <w:t>  ​ ​ ​</w:t>
            </w:r>
          </w:p>
        </w:tc>
        <w:tc>
          <w:tcPr>
            <w:tcW w:w="5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346" w:type="dxa"/>
            <w:tcBorders/>
            <w:vAlign w:val="center"/>
          </w:tcPr>
          <w:p>
            <w:pPr>
              <w:pStyle w:val="TableContents"/>
              <w:bidi w:val="0"/>
              <w:spacing w:before="0" w:after="1"/>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Holding Company</w:t>
            </w:r>
          </w:p>
        </w:tc>
        <w:tc>
          <w:tcPr>
            <w:tcW w:w="346" w:type="dxa"/>
            <w:tcBorders/>
            <w:vAlign w:val="center"/>
          </w:tcPr>
          <w:p>
            <w:pPr>
              <w:pStyle w:val="TableContents"/>
              <w:bidi w:val="0"/>
              <w:spacing w:before="0" w:after="1"/>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492"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80" w:type="dxa"/>
            <w:gridSpan w:val="26"/>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Revenues:</w:t>
            </w:r>
          </w:p>
        </w:tc>
        <w:tc>
          <w:tcPr>
            <w:tcW w:w="346" w:type="dxa"/>
            <w:tcBorders/>
            <w:shd w:fill="CCEEFF" w:val="clear"/>
            <w:vAlign w:val="center"/>
          </w:tcPr>
          <w:p>
            <w:pPr>
              <w:pStyle w:val="TableContents"/>
              <w:bidi w:val="0"/>
              <w:spacing w:before="0" w:after="1"/>
              <w:ind w:left="0" w:right="0" w:hanging="0"/>
              <w:jc w:val="center"/>
              <w:rPr/>
            </w:pPr>
            <w:r>
              <w:rPr/>
              <w:t>  ​ ​ ​</w:t>
            </w:r>
          </w:p>
        </w:tc>
        <w:tc>
          <w:tcPr>
            <w:tcW w:w="244" w:type="dxa"/>
            <w:tcBorders/>
            <w:shd w:fill="CCEEFF" w:val="clear"/>
            <w:vAlign w:val="center"/>
          </w:tcPr>
          <w:p>
            <w:pPr>
              <w:pStyle w:val="TableContents"/>
              <w:bidi w:val="0"/>
              <w:spacing w:before="0" w:after="1"/>
              <w:ind w:left="0" w:right="0" w:hanging="0"/>
              <w:jc w:val="center"/>
              <w:rPr/>
            </w:pPr>
            <w:r>
              <w:rPr/>
              <w:t>  ​</w:t>
            </w:r>
          </w:p>
        </w:tc>
        <w:tc>
          <w:tcPr>
            <w:tcW w:w="522"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43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71" w:type="dxa"/>
            <w:tcBorders/>
            <w:shd w:fill="CCEEFF" w:val="clear"/>
            <w:vAlign w:val="center"/>
          </w:tcPr>
          <w:p>
            <w:pPr>
              <w:pStyle w:val="TableContents"/>
              <w:bidi w:val="0"/>
              <w:spacing w:before="0" w:after="1"/>
              <w:ind w:left="0" w:right="0" w:hanging="0"/>
              <w:jc w:val="center"/>
              <w:rPr/>
            </w:pPr>
            <w:r>
              <w:rPr/>
              <w:t>  ​</w:t>
            </w:r>
          </w:p>
        </w:tc>
        <w:tc>
          <w:tcPr>
            <w:tcW w:w="52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90" w:type="dxa"/>
            <w:tcBorders/>
            <w:shd w:fill="CCEEFF" w:val="clear"/>
            <w:vAlign w:val="center"/>
          </w:tcPr>
          <w:p>
            <w:pPr>
              <w:pStyle w:val="TableContents"/>
              <w:bidi w:val="0"/>
              <w:spacing w:before="0" w:after="1"/>
              <w:ind w:left="0" w:right="0" w:hanging="0"/>
              <w:jc w:val="center"/>
              <w:rPr/>
            </w:pPr>
            <w:r>
              <w:rPr/>
              <w:t>  ​</w:t>
            </w:r>
          </w:p>
        </w:tc>
        <w:tc>
          <w:tcPr>
            <w:tcW w:w="4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center"/>
              <w:rPr/>
            </w:pPr>
            <w:r>
              <w:rPr/>
              <w:t>  ​</w:t>
            </w:r>
          </w:p>
        </w:tc>
        <w:tc>
          <w:tcPr>
            <w:tcW w:w="35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53" w:type="dxa"/>
            <w:tcBorders/>
            <w:shd w:fill="CCEEFF" w:val="clear"/>
            <w:vAlign w:val="center"/>
          </w:tcPr>
          <w:p>
            <w:pPr>
              <w:pStyle w:val="TableContents"/>
              <w:bidi w:val="0"/>
              <w:spacing w:before="0" w:after="1"/>
              <w:ind w:left="0" w:right="0" w:hanging="0"/>
              <w:jc w:val="center"/>
              <w:rPr/>
            </w:pPr>
            <w:r>
              <w:rPr/>
              <w:t>  ​</w:t>
            </w:r>
          </w:p>
        </w:tc>
        <w:tc>
          <w:tcPr>
            <w:tcW w:w="423"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 </w:t>
            </w:r>
          </w:p>
        </w:tc>
        <w:tc>
          <w:tcPr>
            <w:tcW w:w="273" w:type="dxa"/>
            <w:tcBorders/>
            <w:shd w:fill="CCEEFF" w:val="clear"/>
            <w:vAlign w:val="center"/>
          </w:tcPr>
          <w:p>
            <w:pPr>
              <w:pStyle w:val="TableContents"/>
              <w:bidi w:val="0"/>
              <w:spacing w:before="0" w:after="1"/>
              <w:ind w:left="0" w:right="0" w:hanging="0"/>
              <w:jc w:val="center"/>
              <w:rPr/>
            </w:pPr>
            <w:r>
              <w:rPr/>
              <w:t>  ​</w:t>
            </w:r>
          </w:p>
        </w:tc>
        <w:tc>
          <w:tcPr>
            <w:tcW w:w="673" w:type="dxa"/>
            <w:tcBorders/>
            <w:shd w:fill="CCEEFF" w:val="clear"/>
            <w:vAlign w:val="center"/>
          </w:tcPr>
          <w:p>
            <w:pPr>
              <w:pStyle w:val="TableContents"/>
              <w:bidi w:val="0"/>
              <w:spacing w:before="0" w:after="1"/>
              <w:ind w:left="0" w:right="0" w:hanging="0"/>
              <w:jc w:val="center"/>
              <w:rPr/>
            </w:pPr>
            <w:r>
              <w:rPr/>
              <w:t>​</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sales</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9,247</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1,047</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446</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175</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11,077</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revenues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 </w:t>
            </w:r>
          </w:p>
        </w:tc>
        <w:tc>
          <w:tcPr>
            <w:tcW w:w="5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71" w:type="dxa"/>
            <w:tcBorders/>
            <w:shd w:fill="CCEEFF" w:val="clear"/>
            <w:vAlign w:val="center"/>
          </w:tcPr>
          <w:p>
            <w:pPr>
              <w:pStyle w:val="TableContents"/>
              <w:bidi w:val="0"/>
              <w:spacing w:before="0" w:after="1"/>
              <w:ind w:left="0" w:right="0" w:hanging="0"/>
              <w:jc w:val="left"/>
              <w:rPr/>
            </w:pPr>
            <w:r>
              <w:rPr/>
              <w:t>​</w:t>
            </w:r>
          </w:p>
        </w:tc>
        <w:tc>
          <w:tcPr>
            <w:tcW w:w="52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694</w:t>
            </w:r>
          </w:p>
        </w:tc>
        <w:tc>
          <w:tcPr>
            <w:tcW w:w="346" w:type="dxa"/>
            <w:tcBorders/>
            <w:shd w:fill="CCEEFF" w:val="clear"/>
            <w:vAlign w:val="center"/>
          </w:tcPr>
          <w:p>
            <w:pPr>
              <w:pStyle w:val="TableContents"/>
              <w:bidi w:val="0"/>
              <w:spacing w:before="0" w:after="1"/>
              <w:ind w:left="0" w:right="0" w:hanging="0"/>
              <w:jc w:val="left"/>
              <w:rPr/>
            </w:pPr>
            <w:r>
              <w:rPr/>
              <w:t> </w:t>
            </w:r>
          </w:p>
        </w:tc>
        <w:tc>
          <w:tcPr>
            <w:tcW w:w="290"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w:t>
            </w:r>
          </w:p>
        </w:tc>
        <w:tc>
          <w:tcPr>
            <w:tcW w:w="346" w:type="dxa"/>
            <w:tcBorders/>
            <w:shd w:fill="CCEEFF" w:val="clear"/>
            <w:vAlign w:val="center"/>
          </w:tcPr>
          <w:p>
            <w:pPr>
              <w:pStyle w:val="TableContents"/>
              <w:bidi w:val="0"/>
              <w:spacing w:before="0" w:after="1"/>
              <w:ind w:left="0" w:right="0" w:hanging="0"/>
              <w:jc w:val="left"/>
              <w:rPr/>
            </w:pPr>
            <w:r>
              <w:rPr/>
              <w:t> </w:t>
            </w:r>
          </w:p>
        </w:tc>
        <w:tc>
          <w:tcPr>
            <w:tcW w:w="231"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253"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770</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gain from investment activities</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(1,575)</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71" w:type="dxa"/>
            <w:tcBorders/>
            <w:vAlign w:val="center"/>
          </w:tcPr>
          <w:p>
            <w:pPr>
              <w:pStyle w:val="TableContents"/>
              <w:bidi w:val="0"/>
              <w:spacing w:before="0" w:after="1"/>
              <w:ind w:left="0" w:right="0" w:hanging="0"/>
              <w:jc w:val="left"/>
              <w:rPr/>
            </w:pPr>
            <w:r>
              <w:rPr/>
              <w:t>​</w:t>
            </w:r>
          </w:p>
        </w:tc>
        <w:tc>
          <w:tcPr>
            <w:tcW w:w="52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90"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31"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3"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(1,575)</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and dividend income</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 </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497</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346" w:type="dxa"/>
            <w:tcBorders/>
            <w:shd w:fill="CCEEFF" w:val="clear"/>
            <w:vAlign w:val="center"/>
          </w:tcPr>
          <w:p>
            <w:pPr>
              <w:pStyle w:val="TableContents"/>
              <w:bidi w:val="0"/>
              <w:spacing w:before="0" w:after="1"/>
              <w:ind w:left="0" w:right="0" w:hanging="0"/>
              <w:jc w:val="left"/>
              <w:rPr/>
            </w:pPr>
            <w:r>
              <w:rPr/>
              <w:t> </w:t>
            </w:r>
          </w:p>
        </w:tc>
        <w:tc>
          <w:tcPr>
            <w:tcW w:w="271" w:type="dxa"/>
            <w:tcBorders/>
            <w:shd w:fill="CCEEFF" w:val="clear"/>
            <w:vAlign w:val="center"/>
          </w:tcPr>
          <w:p>
            <w:pPr>
              <w:pStyle w:val="TableContents"/>
              <w:bidi w:val="0"/>
              <w:spacing w:before="0" w:after="1"/>
              <w:ind w:left="0" w:right="0" w:hanging="0"/>
              <w:jc w:val="left"/>
              <w:rPr/>
            </w:pPr>
            <w:r>
              <w:rPr/>
              <w:t>​</w:t>
            </w:r>
          </w:p>
        </w:tc>
        <w:tc>
          <w:tcPr>
            <w:tcW w:w="52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290"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31"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253"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636</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gain on disposition of assets, net</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 </w:t>
            </w:r>
          </w:p>
        </w:tc>
        <w:tc>
          <w:tcPr>
            <w:tcW w:w="271" w:type="dxa"/>
            <w:tcBorders/>
            <w:vAlign w:val="center"/>
          </w:tcPr>
          <w:p>
            <w:pPr>
              <w:pStyle w:val="TableContents"/>
              <w:bidi w:val="0"/>
              <w:spacing w:before="0" w:after="1"/>
              <w:ind w:left="0" w:right="0" w:hanging="0"/>
              <w:jc w:val="left"/>
              <w:rPr/>
            </w:pPr>
            <w:r>
              <w:rPr/>
              <w:t>​</w:t>
            </w:r>
          </w:p>
        </w:tc>
        <w:tc>
          <w:tcPr>
            <w:tcW w:w="52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46" w:type="dxa"/>
            <w:tcBorders/>
            <w:vAlign w:val="center"/>
          </w:tcPr>
          <w:p>
            <w:pPr>
              <w:pStyle w:val="TableContents"/>
              <w:bidi w:val="0"/>
              <w:spacing w:before="0" w:after="1"/>
              <w:ind w:left="0" w:right="0" w:hanging="0"/>
              <w:jc w:val="left"/>
              <w:rPr/>
            </w:pPr>
            <w:r>
              <w:rPr/>
              <w:t> </w:t>
            </w:r>
          </w:p>
        </w:tc>
        <w:tc>
          <w:tcPr>
            <w:tcW w:w="290"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31"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3"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(loss)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shd w:fill="CCEEFF" w:val="clear"/>
            <w:vAlign w:val="center"/>
          </w:tcPr>
          <w:p>
            <w:pPr>
              <w:pStyle w:val="TableContents"/>
              <w:bidi w:val="0"/>
              <w:spacing w:before="0" w:after="1"/>
              <w:ind w:left="0" w:right="0" w:hanging="0"/>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r>
      <w:tr>
        <w:trPr/>
        <w:tc>
          <w:tcPr>
            <w:tcW w:w="1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(1,078)</w:t>
            </w:r>
          </w:p>
        </w:tc>
        <w:tc>
          <w:tcPr>
            <w:tcW w:w="346" w:type="dxa"/>
            <w:tcBorders/>
            <w:vAlign w:val="center"/>
          </w:tcPr>
          <w:p>
            <w:pPr>
              <w:pStyle w:val="TableContents"/>
              <w:bidi w:val="0"/>
              <w:spacing w:before="0" w:after="1"/>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9,297</w:t>
            </w:r>
          </w:p>
        </w:tc>
        <w:tc>
          <w:tcPr>
            <w:tcW w:w="346" w:type="dxa"/>
            <w:tcBorders/>
            <w:vAlign w:val="center"/>
          </w:tcPr>
          <w:p>
            <w:pPr>
              <w:pStyle w:val="TableContents"/>
              <w:bidi w:val="0"/>
              <w:spacing w:before="0" w:after="1"/>
              <w:ind w:left="0" w:right="0" w:hanging="0"/>
              <w:jc w:val="left"/>
              <w:rPr/>
            </w:pPr>
            <w:r>
              <w:rPr/>
              <w:t> </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1,754</w:t>
            </w:r>
          </w:p>
        </w:tc>
        <w:tc>
          <w:tcPr>
            <w:tcW w:w="346" w:type="dxa"/>
            <w:tcBorders/>
            <w:vAlign w:val="center"/>
          </w:tcPr>
          <w:p>
            <w:pPr>
              <w:pStyle w:val="TableContents"/>
              <w:bidi w:val="0"/>
              <w:spacing w:before="0" w:after="1"/>
              <w:ind w:left="0" w:right="0" w:hanging="0"/>
              <w:jc w:val="left"/>
              <w:rPr/>
            </w:pPr>
            <w:r>
              <w:rPr/>
              <w:t> </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435</w:t>
            </w:r>
          </w:p>
        </w:tc>
        <w:tc>
          <w:tcPr>
            <w:tcW w:w="346" w:type="dxa"/>
            <w:tcBorders/>
            <w:vAlign w:val="center"/>
          </w:tcPr>
          <w:p>
            <w:pPr>
              <w:pStyle w:val="TableContents"/>
              <w:bidi w:val="0"/>
              <w:spacing w:before="0" w:after="1"/>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w:t>
            </w:r>
          </w:p>
        </w:tc>
        <w:tc>
          <w:tcPr>
            <w:tcW w:w="346" w:type="dxa"/>
            <w:tcBorders/>
            <w:vAlign w:val="center"/>
          </w:tcPr>
          <w:p>
            <w:pPr>
              <w:pStyle w:val="TableContents"/>
              <w:bidi w:val="0"/>
              <w:spacing w:before="0" w:after="1"/>
              <w:ind w:left="0" w:right="0" w:hanging="0"/>
              <w:jc w:val="left"/>
              <w:rPr/>
            </w:pPr>
            <w:r>
              <w:rPr/>
              <w:t> </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175</w:t>
            </w:r>
          </w:p>
        </w:tc>
        <w:tc>
          <w:tcPr>
            <w:tcW w:w="346" w:type="dxa"/>
            <w:tcBorders/>
            <w:vAlign w:val="center"/>
          </w:tcPr>
          <w:p>
            <w:pPr>
              <w:pStyle w:val="TableContents"/>
              <w:bidi w:val="0"/>
              <w:spacing w:before="0" w:after="1"/>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w:t>
            </w:r>
          </w:p>
        </w:tc>
        <w:tc>
          <w:tcPr>
            <w:tcW w:w="346" w:type="dxa"/>
            <w:tcBorders/>
            <w:vAlign w:val="center"/>
          </w:tcPr>
          <w:p>
            <w:pPr>
              <w:pStyle w:val="TableContents"/>
              <w:bidi w:val="0"/>
              <w:spacing w:before="0" w:after="1"/>
              <w:ind w:left="0" w:right="0" w:hanging="0"/>
              <w:jc w:val="left"/>
              <w:rPr/>
            </w:pPr>
            <w:r>
              <w:rPr/>
              <w:t> </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w:t>
            </w:r>
          </w:p>
        </w:tc>
        <w:tc>
          <w:tcPr>
            <w:tcW w:w="34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10,934</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 </w:t>
            </w:r>
          </w:p>
        </w:tc>
        <w:tc>
          <w:tcPr>
            <w:tcW w:w="5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52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pPr>
            <w:r>
              <w:rPr/>
              <w:t>​</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Cost of goods sold</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8,019</w:t>
            </w:r>
          </w:p>
        </w:tc>
        <w:tc>
          <w:tcPr>
            <w:tcW w:w="346" w:type="dxa"/>
            <w:tcBorders/>
            <w:vAlign w:val="center"/>
          </w:tcPr>
          <w:p>
            <w:pPr>
              <w:pStyle w:val="TableContents"/>
              <w:bidi w:val="0"/>
              <w:spacing w:before="0" w:after="1"/>
              <w:ind w:left="0" w:right="0" w:hanging="0"/>
              <w:jc w:val="left"/>
              <w:rPr/>
            </w:pPr>
            <w:r>
              <w:rPr/>
              <w:t> </w:t>
            </w:r>
          </w:p>
        </w:tc>
        <w:tc>
          <w:tcPr>
            <w:tcW w:w="271" w:type="dxa"/>
            <w:tcBorders/>
            <w:vAlign w:val="center"/>
          </w:tcPr>
          <w:p>
            <w:pPr>
              <w:pStyle w:val="TableContents"/>
              <w:bidi w:val="0"/>
              <w:spacing w:before="0" w:after="1"/>
              <w:ind w:left="0" w:right="0" w:hanging="0"/>
              <w:jc w:val="left"/>
              <w:rPr/>
            </w:pPr>
            <w:r>
              <w:rPr/>
              <w:t>​</w:t>
            </w:r>
          </w:p>
        </w:tc>
        <w:tc>
          <w:tcPr>
            <w:tcW w:w="52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714</w:t>
            </w:r>
          </w:p>
        </w:tc>
        <w:tc>
          <w:tcPr>
            <w:tcW w:w="346" w:type="dxa"/>
            <w:tcBorders/>
            <w:vAlign w:val="center"/>
          </w:tcPr>
          <w:p>
            <w:pPr>
              <w:pStyle w:val="TableContents"/>
              <w:bidi w:val="0"/>
              <w:spacing w:before="0" w:after="1"/>
              <w:ind w:left="0" w:right="0" w:hanging="0"/>
              <w:jc w:val="left"/>
              <w:rPr/>
            </w:pPr>
            <w:r>
              <w:rPr/>
              <w:t> </w:t>
            </w:r>
          </w:p>
        </w:tc>
        <w:tc>
          <w:tcPr>
            <w:tcW w:w="290"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352</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w:t>
            </w:r>
          </w:p>
        </w:tc>
        <w:tc>
          <w:tcPr>
            <w:tcW w:w="346" w:type="dxa"/>
            <w:tcBorders/>
            <w:vAlign w:val="center"/>
          </w:tcPr>
          <w:p>
            <w:pPr>
              <w:pStyle w:val="TableContents"/>
              <w:bidi w:val="0"/>
              <w:spacing w:before="0" w:after="1"/>
              <w:ind w:left="0" w:right="0" w:hanging="0"/>
              <w:jc w:val="left"/>
              <w:rPr/>
            </w:pPr>
            <w:r>
              <w:rPr/>
              <w:t> </w:t>
            </w:r>
          </w:p>
        </w:tc>
        <w:tc>
          <w:tcPr>
            <w:tcW w:w="231"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138</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w:t>
            </w:r>
          </w:p>
        </w:tc>
        <w:tc>
          <w:tcPr>
            <w:tcW w:w="346" w:type="dxa"/>
            <w:tcBorders/>
            <w:vAlign w:val="center"/>
          </w:tcPr>
          <w:p>
            <w:pPr>
              <w:pStyle w:val="TableContents"/>
              <w:bidi w:val="0"/>
              <w:spacing w:before="0" w:after="1"/>
              <w:ind w:left="0" w:right="0" w:hanging="0"/>
              <w:jc w:val="left"/>
              <w:rPr/>
            </w:pPr>
            <w:r>
              <w:rPr/>
              <w:t> </w:t>
            </w:r>
          </w:p>
        </w:tc>
        <w:tc>
          <w:tcPr>
            <w:tcW w:w="253"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9,327</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expenses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 </w:t>
            </w:r>
          </w:p>
        </w:tc>
        <w:tc>
          <w:tcPr>
            <w:tcW w:w="5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71" w:type="dxa"/>
            <w:tcBorders/>
            <w:shd w:fill="CCEEFF" w:val="clear"/>
            <w:vAlign w:val="center"/>
          </w:tcPr>
          <w:p>
            <w:pPr>
              <w:pStyle w:val="TableContents"/>
              <w:bidi w:val="0"/>
              <w:spacing w:before="0" w:after="1"/>
              <w:ind w:left="0" w:right="0" w:hanging="0"/>
              <w:jc w:val="left"/>
              <w:rPr/>
            </w:pPr>
            <w:r>
              <w:rPr/>
              <w:t>​</w:t>
            </w:r>
          </w:p>
        </w:tc>
        <w:tc>
          <w:tcPr>
            <w:tcW w:w="52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581</w:t>
            </w:r>
          </w:p>
        </w:tc>
        <w:tc>
          <w:tcPr>
            <w:tcW w:w="346" w:type="dxa"/>
            <w:tcBorders/>
            <w:shd w:fill="CCEEFF" w:val="clear"/>
            <w:vAlign w:val="center"/>
          </w:tcPr>
          <w:p>
            <w:pPr>
              <w:pStyle w:val="TableContents"/>
              <w:bidi w:val="0"/>
              <w:spacing w:before="0" w:after="1"/>
              <w:ind w:left="0" w:right="0" w:hanging="0"/>
              <w:jc w:val="left"/>
              <w:rPr/>
            </w:pPr>
            <w:r>
              <w:rPr/>
              <w:t> </w:t>
            </w:r>
          </w:p>
        </w:tc>
        <w:tc>
          <w:tcPr>
            <w:tcW w:w="290"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w:t>
            </w:r>
          </w:p>
        </w:tc>
        <w:tc>
          <w:tcPr>
            <w:tcW w:w="346" w:type="dxa"/>
            <w:tcBorders/>
            <w:shd w:fill="CCEEFF" w:val="clear"/>
            <w:vAlign w:val="center"/>
          </w:tcPr>
          <w:p>
            <w:pPr>
              <w:pStyle w:val="TableContents"/>
              <w:bidi w:val="0"/>
              <w:spacing w:before="0" w:after="1"/>
              <w:ind w:left="0" w:right="0" w:hanging="0"/>
              <w:jc w:val="left"/>
              <w:rPr/>
            </w:pPr>
            <w:r>
              <w:rPr/>
              <w:t> </w:t>
            </w:r>
          </w:p>
        </w:tc>
        <w:tc>
          <w:tcPr>
            <w:tcW w:w="231"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3"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643</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168</w:t>
            </w:r>
          </w:p>
        </w:tc>
        <w:tc>
          <w:tcPr>
            <w:tcW w:w="346" w:type="dxa"/>
            <w:tcBorders/>
            <w:vAlign w:val="center"/>
          </w:tcPr>
          <w:p>
            <w:pPr>
              <w:pStyle w:val="TableContents"/>
              <w:bidi w:val="0"/>
              <w:spacing w:before="0" w:after="1"/>
              <w:ind w:left="0" w:right="0" w:hanging="0"/>
              <w:jc w:val="left"/>
              <w:rPr/>
            </w:pPr>
            <w:r>
              <w:rPr/>
              <w:t> </w:t>
            </w:r>
          </w:p>
        </w:tc>
        <w:tc>
          <w:tcPr>
            <w:tcW w:w="271" w:type="dxa"/>
            <w:tcBorders/>
            <w:vAlign w:val="center"/>
          </w:tcPr>
          <w:p>
            <w:pPr>
              <w:pStyle w:val="TableContents"/>
              <w:bidi w:val="0"/>
              <w:spacing w:before="0" w:after="1"/>
              <w:ind w:left="0" w:right="0" w:hanging="0"/>
              <w:jc w:val="left"/>
              <w:rPr/>
            </w:pPr>
            <w:r>
              <w:rPr/>
              <w:t>​</w:t>
            </w:r>
          </w:p>
        </w:tc>
        <w:tc>
          <w:tcPr>
            <w:tcW w:w="52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465</w:t>
            </w:r>
          </w:p>
        </w:tc>
        <w:tc>
          <w:tcPr>
            <w:tcW w:w="346" w:type="dxa"/>
            <w:tcBorders/>
            <w:vAlign w:val="center"/>
          </w:tcPr>
          <w:p>
            <w:pPr>
              <w:pStyle w:val="TableContents"/>
              <w:bidi w:val="0"/>
              <w:spacing w:before="0" w:after="1"/>
              <w:ind w:left="0" w:right="0" w:hanging="0"/>
              <w:jc w:val="left"/>
              <w:rPr/>
            </w:pPr>
            <w:r>
              <w:rPr/>
              <w:t> </w:t>
            </w:r>
          </w:p>
        </w:tc>
        <w:tc>
          <w:tcPr>
            <w:tcW w:w="290"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46" w:type="dxa"/>
            <w:tcBorders/>
            <w:vAlign w:val="center"/>
          </w:tcPr>
          <w:p>
            <w:pPr>
              <w:pStyle w:val="TableContents"/>
              <w:bidi w:val="0"/>
              <w:spacing w:before="0" w:after="1"/>
              <w:ind w:left="0" w:right="0" w:hanging="0"/>
              <w:jc w:val="left"/>
              <w:rPr/>
            </w:pPr>
            <w:r>
              <w:rPr/>
              <w:t> </w:t>
            </w:r>
          </w:p>
        </w:tc>
        <w:tc>
          <w:tcPr>
            <w:tcW w:w="231"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w:t>
            </w:r>
          </w:p>
        </w:tc>
        <w:tc>
          <w:tcPr>
            <w:tcW w:w="346" w:type="dxa"/>
            <w:tcBorders/>
            <w:vAlign w:val="center"/>
          </w:tcPr>
          <w:p>
            <w:pPr>
              <w:pStyle w:val="TableContents"/>
              <w:bidi w:val="0"/>
              <w:spacing w:before="0" w:after="1"/>
              <w:ind w:left="0" w:right="0" w:hanging="0"/>
              <w:jc w:val="left"/>
              <w:rPr/>
            </w:pPr>
            <w:r>
              <w:rPr/>
              <w:t> </w:t>
            </w:r>
          </w:p>
        </w:tc>
        <w:tc>
          <w:tcPr>
            <w:tcW w:w="253"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852</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52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Restructuring, net</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71" w:type="dxa"/>
            <w:tcBorders/>
            <w:vAlign w:val="center"/>
          </w:tcPr>
          <w:p>
            <w:pPr>
              <w:pStyle w:val="TableContents"/>
              <w:bidi w:val="0"/>
              <w:spacing w:before="0" w:after="1"/>
              <w:ind w:left="0" w:right="0" w:hanging="0"/>
              <w:jc w:val="left"/>
              <w:rPr/>
            </w:pPr>
            <w:r>
              <w:rPr/>
              <w:t>​</w:t>
            </w:r>
          </w:p>
        </w:tc>
        <w:tc>
          <w:tcPr>
            <w:tcW w:w="52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90"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31"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3"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Impairment</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 </w:t>
            </w:r>
          </w:p>
        </w:tc>
        <w:tc>
          <w:tcPr>
            <w:tcW w:w="5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52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Credit loss on notes receivable</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5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52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139</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139</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on deconsolidation</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5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52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246</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246</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46"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w:t>
            </w:r>
          </w:p>
        </w:tc>
        <w:tc>
          <w:tcPr>
            <w:tcW w:w="346" w:type="dxa"/>
            <w:tcBorders/>
            <w:vAlign w:val="center"/>
          </w:tcPr>
          <w:p>
            <w:pPr>
              <w:pStyle w:val="TableContents"/>
              <w:bidi w:val="0"/>
              <w:spacing w:before="0" w:after="1"/>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w:t>
            </w:r>
          </w:p>
        </w:tc>
        <w:tc>
          <w:tcPr>
            <w:tcW w:w="346" w:type="dxa"/>
            <w:tcBorders/>
            <w:vAlign w:val="center"/>
          </w:tcPr>
          <w:p>
            <w:pPr>
              <w:pStyle w:val="TableContents"/>
              <w:bidi w:val="0"/>
              <w:spacing w:before="0" w:after="1"/>
              <w:ind w:left="0" w:right="0" w:hanging="0"/>
              <w:jc w:val="left"/>
              <w:rPr/>
            </w:pPr>
            <w:r>
              <w:rPr/>
              <w:t> </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1"/>
              <w:ind w:left="0" w:right="0" w:hanging="0"/>
              <w:jc w:val="left"/>
              <w:rPr/>
            </w:pPr>
            <w:r>
              <w:rPr/>
              <w:t> </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46" w:type="dxa"/>
            <w:tcBorders/>
            <w:vAlign w:val="center"/>
          </w:tcPr>
          <w:p>
            <w:pPr>
              <w:pStyle w:val="TableContents"/>
              <w:bidi w:val="0"/>
              <w:spacing w:before="0" w:after="1"/>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286</w:t>
            </w:r>
          </w:p>
        </w:tc>
        <w:tc>
          <w:tcPr>
            <w:tcW w:w="346" w:type="dxa"/>
            <w:tcBorders/>
            <w:vAlign w:val="center"/>
          </w:tcPr>
          <w:p>
            <w:pPr>
              <w:pStyle w:val="TableContents"/>
              <w:bidi w:val="0"/>
              <w:spacing w:before="0" w:after="1"/>
              <w:ind w:left="0" w:right="0" w:hanging="0"/>
              <w:jc w:val="left"/>
              <w:rPr/>
            </w:pPr>
            <w:r>
              <w:rPr/>
              <w:t> </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554</w:t>
            </w:r>
          </w:p>
        </w:tc>
      </w:tr>
      <w:tr>
        <w:trPr/>
        <w:tc>
          <w:tcPr>
            <w:tcW w:w="10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275</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8,277</w:t>
            </w:r>
          </w:p>
        </w:tc>
        <w:tc>
          <w:tcPr>
            <w:tcW w:w="346" w:type="dxa"/>
            <w:tcBorders/>
            <w:shd w:fill="CCEEFF" w:val="clear"/>
            <w:vAlign w:val="center"/>
          </w:tcPr>
          <w:p>
            <w:pPr>
              <w:pStyle w:val="TableContents"/>
              <w:bidi w:val="0"/>
              <w:spacing w:before="0" w:after="1"/>
              <w:ind w:left="0" w:right="0" w:hanging="0"/>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1,770</w:t>
            </w:r>
          </w:p>
        </w:tc>
        <w:tc>
          <w:tcPr>
            <w:tcW w:w="346" w:type="dxa"/>
            <w:tcBorders/>
            <w:shd w:fill="CCEEFF" w:val="clear"/>
            <w:vAlign w:val="center"/>
          </w:tcPr>
          <w:p>
            <w:pPr>
              <w:pStyle w:val="TableContents"/>
              <w:bidi w:val="0"/>
              <w:spacing w:before="0" w:after="1"/>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418</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127</w:t>
            </w:r>
          </w:p>
        </w:tc>
        <w:tc>
          <w:tcPr>
            <w:tcW w:w="346" w:type="dxa"/>
            <w:tcBorders/>
            <w:shd w:fill="CCEEFF" w:val="clear"/>
            <w:vAlign w:val="center"/>
          </w:tcPr>
          <w:p>
            <w:pPr>
              <w:pStyle w:val="TableContents"/>
              <w:bidi w:val="0"/>
              <w:spacing w:before="0" w:after="1"/>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181</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w:t>
            </w:r>
          </w:p>
        </w:tc>
        <w:tc>
          <w:tcPr>
            <w:tcW w:w="346" w:type="dxa"/>
            <w:tcBorders/>
            <w:shd w:fill="CCEEFF" w:val="clear"/>
            <w:vAlign w:val="center"/>
          </w:tcPr>
          <w:p>
            <w:pPr>
              <w:pStyle w:val="TableContents"/>
              <w:bidi w:val="0"/>
              <w:spacing w:before="0" w:after="1"/>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707</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11,856</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income before income tax benefit (expense)</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(1,353)</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1,020</w:t>
            </w:r>
          </w:p>
        </w:tc>
        <w:tc>
          <w:tcPr>
            <w:tcW w:w="346" w:type="dxa"/>
            <w:tcBorders/>
            <w:vAlign w:val="center"/>
          </w:tcPr>
          <w:p>
            <w:pPr>
              <w:pStyle w:val="TableContents"/>
              <w:bidi w:val="0"/>
              <w:spacing w:before="0" w:after="1"/>
              <w:ind w:left="0" w:right="0" w:hanging="0"/>
              <w:jc w:val="left"/>
              <w:rPr/>
            </w:pPr>
            <w:r>
              <w:rPr/>
              <w:t> </w:t>
            </w:r>
          </w:p>
        </w:tc>
        <w:tc>
          <w:tcPr>
            <w:tcW w:w="271" w:type="dxa"/>
            <w:tcBorders/>
            <w:vAlign w:val="center"/>
          </w:tcPr>
          <w:p>
            <w:pPr>
              <w:pStyle w:val="TableContents"/>
              <w:bidi w:val="0"/>
              <w:spacing w:before="0" w:after="1"/>
              <w:ind w:left="0" w:right="0" w:hanging="0"/>
              <w:jc w:val="left"/>
              <w:rPr/>
            </w:pPr>
            <w:r>
              <w:rPr/>
              <w:t>​</w:t>
            </w:r>
          </w:p>
        </w:tc>
        <w:tc>
          <w:tcPr>
            <w:tcW w:w="52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vAlign w:val="center"/>
          </w:tcPr>
          <w:p>
            <w:pPr>
              <w:pStyle w:val="TableContents"/>
              <w:bidi w:val="0"/>
              <w:spacing w:before="0" w:after="1"/>
              <w:ind w:left="0" w:right="0" w:hanging="0"/>
              <w:jc w:val="left"/>
              <w:rPr/>
            </w:pPr>
            <w:r>
              <w:rPr/>
              <w:t> </w:t>
            </w:r>
          </w:p>
        </w:tc>
        <w:tc>
          <w:tcPr>
            <w:tcW w:w="290"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vAlign w:val="center"/>
          </w:tcPr>
          <w:p>
            <w:pPr>
              <w:pStyle w:val="TableContents"/>
              <w:bidi w:val="0"/>
              <w:spacing w:before="0" w:after="1"/>
              <w:ind w:left="0" w:right="0" w:hanging="0"/>
              <w:jc w:val="left"/>
              <w:rPr/>
            </w:pPr>
            <w:r>
              <w:rPr/>
              <w:t> </w:t>
            </w:r>
          </w:p>
        </w:tc>
        <w:tc>
          <w:tcPr>
            <w:tcW w:w="231"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1"/>
              <w:ind w:left="0" w:right="0" w:hanging="0"/>
              <w:jc w:val="left"/>
              <w:rPr/>
            </w:pPr>
            <w:r>
              <w:rPr/>
              <w:t> </w:t>
            </w:r>
          </w:p>
        </w:tc>
        <w:tc>
          <w:tcPr>
            <w:tcW w:w="253"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(597)</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(922)</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(189)</w:t>
            </w:r>
          </w:p>
        </w:tc>
        <w:tc>
          <w:tcPr>
            <w:tcW w:w="346" w:type="dxa"/>
            <w:tcBorders/>
            <w:shd w:fill="CCEEFF" w:val="clear"/>
            <w:vAlign w:val="center"/>
          </w:tcPr>
          <w:p>
            <w:pPr>
              <w:pStyle w:val="TableContents"/>
              <w:bidi w:val="0"/>
              <w:spacing w:before="0" w:after="1"/>
              <w:ind w:left="0" w:right="0" w:hanging="0"/>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346" w:type="dxa"/>
            <w:tcBorders/>
            <w:shd w:fill="CCEEFF" w:val="clear"/>
            <w:vAlign w:val="center"/>
          </w:tcPr>
          <w:p>
            <w:pPr>
              <w:pStyle w:val="TableContents"/>
              <w:bidi w:val="0"/>
              <w:spacing w:before="0" w:after="1"/>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Net (loss) income </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(1,353)</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831</w:t>
            </w:r>
          </w:p>
        </w:tc>
        <w:tc>
          <w:tcPr>
            <w:tcW w:w="346" w:type="dxa"/>
            <w:tcBorders/>
            <w:vAlign w:val="center"/>
          </w:tcPr>
          <w:p>
            <w:pPr>
              <w:pStyle w:val="TableContents"/>
              <w:bidi w:val="0"/>
              <w:spacing w:before="0" w:after="1"/>
              <w:ind w:left="0" w:right="0" w:hanging="0"/>
              <w:jc w:val="left"/>
              <w:rPr/>
            </w:pPr>
            <w:r>
              <w:rPr/>
              <w:t> </w:t>
            </w:r>
          </w:p>
        </w:tc>
        <w:tc>
          <w:tcPr>
            <w:tcW w:w="271" w:type="dxa"/>
            <w:tcBorders/>
            <w:vAlign w:val="center"/>
          </w:tcPr>
          <w:p>
            <w:pPr>
              <w:pStyle w:val="TableContents"/>
              <w:bidi w:val="0"/>
              <w:spacing w:before="0" w:after="1"/>
              <w:ind w:left="0" w:right="0" w:hanging="0"/>
              <w:jc w:val="left"/>
              <w:rPr/>
            </w:pPr>
            <w:r>
              <w:rPr/>
              <w:t>​</w:t>
            </w:r>
          </w:p>
        </w:tc>
        <w:tc>
          <w:tcPr>
            <w:tcW w:w="52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vAlign w:val="center"/>
          </w:tcPr>
          <w:p>
            <w:pPr>
              <w:pStyle w:val="TableContents"/>
              <w:bidi w:val="0"/>
              <w:spacing w:before="0" w:after="1"/>
              <w:ind w:left="0" w:right="0" w:hanging="0"/>
              <w:jc w:val="left"/>
              <w:rPr/>
            </w:pPr>
            <w:r>
              <w:rPr/>
              <w:t> </w:t>
            </w:r>
          </w:p>
        </w:tc>
        <w:tc>
          <w:tcPr>
            <w:tcW w:w="290" w:type="dxa"/>
            <w:tcBorders/>
            <w:vAlign w:val="center"/>
          </w:tcPr>
          <w:p>
            <w:pPr>
              <w:pStyle w:val="TableContents"/>
              <w:bidi w:val="0"/>
              <w:spacing w:before="0" w:after="1"/>
              <w:ind w:left="0" w:right="0" w:hanging="0"/>
              <w:jc w:val="left"/>
              <w:rPr/>
            </w:pPr>
            <w:r>
              <w:rPr/>
              <w:t>​</w:t>
            </w:r>
          </w:p>
        </w:tc>
        <w:tc>
          <w:tcPr>
            <w:tcW w:w="4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vAlign w:val="center"/>
          </w:tcPr>
          <w:p>
            <w:pPr>
              <w:pStyle w:val="TableContents"/>
              <w:bidi w:val="0"/>
              <w:spacing w:before="0" w:after="1"/>
              <w:ind w:left="0" w:right="0" w:hanging="0"/>
              <w:jc w:val="left"/>
              <w:rPr/>
            </w:pPr>
            <w:r>
              <w:rPr/>
              <w:t> </w:t>
            </w:r>
          </w:p>
        </w:tc>
        <w:tc>
          <w:tcPr>
            <w:tcW w:w="231"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1"/>
              <w:ind w:left="0" w:right="0" w:hanging="0"/>
              <w:jc w:val="left"/>
              <w:rPr/>
            </w:pPr>
            <w:r>
              <w:rPr/>
              <w:t> </w:t>
            </w:r>
          </w:p>
        </w:tc>
        <w:tc>
          <w:tcPr>
            <w:tcW w:w="253" w:type="dxa"/>
            <w:tcBorders/>
            <w:vAlign w:val="center"/>
          </w:tcPr>
          <w:p>
            <w:pPr>
              <w:pStyle w:val="TableContents"/>
              <w:bidi w:val="0"/>
              <w:spacing w:before="0" w:after="1"/>
              <w:ind w:left="0" w:right="0" w:hanging="0"/>
              <w:jc w:val="left"/>
              <w:rPr/>
            </w:pPr>
            <w:r>
              <w:rPr/>
              <w:t>​</w:t>
            </w:r>
          </w:p>
        </w:tc>
        <w:tc>
          <w:tcPr>
            <w:tcW w:w="42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(504)</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(1,012)</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Less: net (loss) income attributable to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(652)</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323</w:t>
            </w:r>
          </w:p>
        </w:tc>
        <w:tc>
          <w:tcPr>
            <w:tcW w:w="346" w:type="dxa"/>
            <w:tcBorders/>
            <w:shd w:fill="CCEEFF" w:val="clear"/>
            <w:vAlign w:val="center"/>
          </w:tcPr>
          <w:p>
            <w:pPr>
              <w:pStyle w:val="TableContents"/>
              <w:bidi w:val="0"/>
              <w:spacing w:before="0" w:after="1"/>
              <w:ind w:left="0" w:right="0" w:hanging="0"/>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(328)</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 income attributable to Icahn Enterprises</w:t>
            </w:r>
          </w:p>
        </w:tc>
        <w:tc>
          <w:tcPr>
            <w:tcW w:w="346" w:type="dxa"/>
            <w:tcBorders/>
            <w:vAlign w:val="center"/>
          </w:tcPr>
          <w:p>
            <w:pPr>
              <w:pStyle w:val="TableContents"/>
              <w:bidi w:val="0"/>
              <w:spacing w:before="0" w:after="1"/>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(701)</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508</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vAlign w:val="center"/>
          </w:tcPr>
          <w:p>
            <w:pPr>
              <w:pStyle w:val="TableContents"/>
              <w:bidi w:val="0"/>
              <w:spacing w:before="0"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(504)</w:t>
            </w:r>
          </w:p>
        </w:tc>
        <w:tc>
          <w:tcPr>
            <w:tcW w:w="346" w:type="dxa"/>
            <w:tcBorders/>
            <w:vAlign w:val="center"/>
          </w:tcPr>
          <w:p>
            <w:pPr>
              <w:pStyle w:val="TableContents"/>
              <w:bidi w:val="0"/>
              <w:spacing w:before="0" w:after="1"/>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(684)</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Supplemental information:</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 </w:t>
            </w:r>
          </w:p>
        </w:tc>
        <w:tc>
          <w:tcPr>
            <w:tcW w:w="5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52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4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4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673" w:type="dxa"/>
            <w:tcBorders/>
            <w:shd w:fill="CCEEFF" w:val="clear"/>
            <w:vAlign w:val="center"/>
          </w:tcPr>
          <w:p>
            <w:pPr>
              <w:pStyle w:val="TableContents"/>
              <w:bidi w:val="0"/>
              <w:spacing w:before="0" w:after="1"/>
              <w:ind w:left="0" w:right="0" w:hanging="0"/>
              <w:jc w:val="right"/>
              <w:rPr/>
            </w:pPr>
            <w:r>
              <w:rPr/>
              <w:t>​</w:t>
            </w:r>
          </w:p>
        </w:tc>
      </w:tr>
      <w:tr>
        <w:trPr/>
        <w:tc>
          <w:tcPr>
            <w:tcW w:w="10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expenditures</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205</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303</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363</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2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2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3" w:type="dxa"/>
            <w:tcBorders/>
            <w:shd w:fill="CCEEFF" w:val="cle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518</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Disaggregation of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condensed statements of operations by reporting segment above, we provide additional disaggregated revenue information for our Energy and Automotive segments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Energy</w:t>
      </w:r>
    </w:p>
    <w:p>
      <w:pPr>
        <w:pStyle w:val="TextBody"/>
        <w:bidi w:val="0"/>
        <w:spacing w:before="0" w:after="0"/>
        <w:ind w:left="0" w:right="0" w:hanging="0"/>
        <w:jc w:val="left"/>
        <w:rPr/>
      </w:pPr>
      <w:r>
        <w:rPr/>
        <w:t>​</w:t>
      </w:r>
    </w:p>
    <w:tbl>
      <w:tblPr>
        <w:tblW w:w="5815" w:type="dxa"/>
        <w:jc w:val="left"/>
        <w:tblInd w:w="0" w:type="dxa"/>
        <w:tblLayout w:type="fixed"/>
        <w:tblCellMar>
          <w:top w:w="0" w:type="dxa"/>
          <w:left w:w="0" w:type="dxa"/>
          <w:bottom w:w="0" w:type="dxa"/>
          <w:right w:w="0" w:type="dxa"/>
        </w:tblCellMar>
      </w:tblPr>
      <w:tblGrid>
        <w:gridCol w:w="2326"/>
        <w:gridCol w:w="346"/>
        <w:gridCol w:w="211"/>
        <w:gridCol w:w="571"/>
        <w:gridCol w:w="346"/>
        <w:gridCol w:w="211"/>
        <w:gridCol w:w="571"/>
        <w:gridCol w:w="346"/>
        <w:gridCol w:w="211"/>
        <w:gridCol w:w="67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477010" cy="175260"/>
                      <wp:effectExtent l="0" t="0" r="0" b="0"/>
                      <wp:wrapNone/>
                      <wp:docPr id="514" name="Frame514"/>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515" name="Frame5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33985" cy="175260"/>
                      <wp:effectExtent l="0" t="0" r="0" b="0"/>
                      <wp:wrapNone/>
                      <wp:docPr id="516" name="Frame5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362585" cy="175260"/>
                      <wp:effectExtent l="0" t="0" r="0" b="0"/>
                      <wp:wrapNone/>
                      <wp:docPr id="517" name="Frame5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9710" cy="175260"/>
                      <wp:effectExtent l="0" t="0" r="0" b="0"/>
                      <wp:wrapNone/>
                      <wp:docPr id="518" name="Frame5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33985" cy="175260"/>
                      <wp:effectExtent l="0" t="0" r="0" b="0"/>
                      <wp:wrapNone/>
                      <wp:docPr id="519" name="Frame5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362585" cy="175260"/>
                      <wp:effectExtent l="0" t="0" r="0" b="0"/>
                      <wp:wrapNone/>
                      <wp:docPr id="520" name="Frame5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19710" cy="175260"/>
                      <wp:effectExtent l="0" t="0" r="0" b="0"/>
                      <wp:wrapNone/>
                      <wp:docPr id="521" name="Frame5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33985" cy="175260"/>
                      <wp:effectExtent l="0" t="0" r="0" b="0"/>
                      <wp:wrapNone/>
                      <wp:docPr id="522" name="Frame5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429260" cy="175260"/>
                      <wp:effectExtent l="0" t="0" r="0" b="0"/>
                      <wp:wrapNone/>
                      <wp:docPr id="523" name="Frame5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4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2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581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43"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Petroleum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8,267</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products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Nitrogen fertilizer products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w:t>
            </w:r>
          </w:p>
        </w:tc>
      </w:tr>
      <w:tr>
        <w:trPr/>
        <w:tc>
          <w:tcPr>
            <w:tcW w:w="2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9,247</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i/>
          <w:sz w:val="20"/>
        </w:rPr>
      </w:pPr>
      <w:bookmarkStart w:id="1772" w:name="Tc_w41K-qHDt0us4zMidE8y2g_24_26"/>
      <w:bookmarkStart w:id="1773" w:name="Tc_XjrWa4a2Y0u0--6jODHpUQ_24_23"/>
      <w:bookmarkStart w:id="1774" w:name="Tc_-22WHxzVu0yKyXzpahtKVQ_24_20"/>
      <w:bookmarkStart w:id="1775" w:name="Tc_msxckytnTkuBCZjCaKjKqQ_24_17"/>
      <w:bookmarkStart w:id="1776" w:name="Tc_vg6hOzGJ70CLjaasDqwszQ_24_14"/>
      <w:bookmarkStart w:id="1777" w:name="Tc_HcSeKi1C6UWKEzmc0bfvKg_24_11"/>
      <w:bookmarkStart w:id="1778" w:name="Tc_yJbld54000egxin5hYKz8Q_24_8"/>
      <w:bookmarkStart w:id="1779" w:name="Tc_zrf3hs3DBkmPqrGY51HIUQ_24_5"/>
      <w:bookmarkStart w:id="1780" w:name="Tc_nInUh7qIJEuyodYxfNx6qw_24_2"/>
      <w:bookmarkStart w:id="1781" w:name="Tc_K2Aw-OERxkmqTouFqADWcw_24_0"/>
      <w:bookmarkStart w:id="1782" w:name="Tc_ZJuNX8Rgl02j8fhl3vk8CQ_23_0"/>
      <w:bookmarkStart w:id="1783" w:name="Tc_nLLkXgZnwkitr5W7-paqjw_22_24"/>
      <w:bookmarkStart w:id="1784" w:name="Tc_f1x4cBzWXEu6PdHmFaWpRg_22_21"/>
      <w:bookmarkStart w:id="1785" w:name="Tc_PkjOHr5i_0eA_4MnnwaAVA_22_18"/>
      <w:bookmarkStart w:id="1786" w:name="Tc_EPCVP9V0hEidGgr4GrtyeQ_22_15"/>
      <w:bookmarkStart w:id="1787" w:name="Tc_ojguh-WNVk208JpRMu_2Aw_22_9"/>
      <w:bookmarkStart w:id="1788" w:name="Tc_awgS69Y7nkSfgzZYVftQjQ_22_0"/>
      <w:bookmarkStart w:id="1789" w:name="Tc_QY4gGQ-xDUCxoqx7I3JJ6g_21_0"/>
      <w:bookmarkStart w:id="1790" w:name="Tc_jchioZrKfEW1Mo0pn_757A_19_0"/>
      <w:bookmarkStart w:id="1791" w:name="Tc_yEQ0Cc-ZTUixjDhC5Xy9bg_18_21"/>
      <w:bookmarkStart w:id="1792" w:name="Tc_mLpe6x0iO0-88Ya2KWfcBw_18_3"/>
      <w:bookmarkStart w:id="1793" w:name="Tc_7ta-1iVRmUCpnF3jG6El4g_18_0"/>
      <w:bookmarkStart w:id="1794" w:name="Tc_czBfc5cKmEGL72af68VshA_17_24"/>
      <w:bookmarkStart w:id="1795" w:name="Tc_zr5FpXSN7k-FhTpkrDfNRA_17_21"/>
      <w:bookmarkStart w:id="1796" w:name="Tc_dWi4SIQC90yXDfDiHmpECQ_17_18"/>
      <w:bookmarkStart w:id="1797" w:name="Tc_A32PBRBzUU-6mpuI-j45RQ_17_15"/>
      <w:bookmarkStart w:id="1798" w:name="Tc_Uc9lZ2H_FkaW07SZgJO-JA_17_12"/>
      <w:bookmarkStart w:id="1799" w:name="Tc_2WNWDKA5b0upz3dDnvXKWA_17_9"/>
      <w:bookmarkStart w:id="1800" w:name="Tc_OerkE2s3XUiklUhSwSq7QQ_17_6"/>
      <w:bookmarkStart w:id="1801" w:name="Tc_UTUwragJpEeWHEMaR-L_JQ_17_0"/>
      <w:bookmarkStart w:id="1802" w:name="Tc_zt_Fifj2nku_FlJuJ8jR5g_16_26"/>
      <w:bookmarkStart w:id="1803" w:name="Tc_Ff2HBkr8QUO0SocQqwT4Qw_16_23"/>
      <w:bookmarkStart w:id="1804" w:name="Tc_n4sRF0vq80yZstUwFv4N7Q_16_20"/>
      <w:bookmarkStart w:id="1805" w:name="Tc_xfae3DEDTEOu06_YzFQ3LQ_16_17"/>
      <w:bookmarkStart w:id="1806" w:name="Tc_deTxO5QSVkmEBEGkvCeZ6g_16_14"/>
      <w:bookmarkStart w:id="1807" w:name="Tc_E5xsy2Dva0ShFIxw2b8k0g_16_11"/>
      <w:bookmarkStart w:id="1808" w:name="Tc_2XILuGAqYUKaZtuDgWuwww_16_8"/>
      <w:bookmarkStart w:id="1809" w:name="Tc_hv6T1lWBGU6ybl3aNgK4EA_16_5"/>
      <w:bookmarkStart w:id="1810" w:name="Tc_PlbMLbjgsU6QqNDnqnWIFQ_16_2"/>
      <w:bookmarkStart w:id="1811" w:name="Tc_MKTbBk9f0USVKlGzo7_rvQ_16_0"/>
      <w:bookmarkStart w:id="1812" w:name="Tc_Ib5Vqrl3_kOISVqbLeVcvQ_15_0"/>
      <w:bookmarkStart w:id="1813" w:name="Tc_juIuMAN4EE2K9voh7wQr8w_14_26"/>
      <w:bookmarkStart w:id="1814" w:name="Tc_EHzEkgtqwUOZ9BFp2gSLnA_14_23"/>
      <w:bookmarkStart w:id="1815" w:name="Tc_qoR8Sd23WE6KSFslJCI7oA_14_20"/>
      <w:bookmarkStart w:id="1816" w:name="Tc_04pFosU4PEOSU7TnP9aVMA_14_17"/>
      <w:bookmarkStart w:id="1817" w:name="Tc_ve83zaoplE-P7lwnzvTD7A_14_14"/>
      <w:bookmarkStart w:id="1818" w:name="Tc_cgyplPmoXUqGqa7tDmxAOA_14_11"/>
      <w:bookmarkStart w:id="1819" w:name="Tc_eES3gNN_h0y_47U9gWR6Xg_14_8"/>
      <w:bookmarkStart w:id="1820" w:name="Tc_LiHtKFGhmEm_kiFHfQ-jWg_14_5"/>
      <w:bookmarkStart w:id="1821" w:name="Tc_UTBHrfLv60yLXI-27qrSBA_14_2"/>
      <w:bookmarkStart w:id="1822" w:name="Tc_Ox7vnULECUyuG55FpB207g_14_0"/>
      <w:bookmarkStart w:id="1823" w:name="Tc_105rSsZxZkmX4RGkBIt3NQ_13_0"/>
      <w:bookmarkStart w:id="1824" w:name="Tc_u1_4gXLSNUyqCHUQ04S94w_12_24"/>
      <w:bookmarkStart w:id="1825" w:name="Tc_BBKlj18rHkGcFtSepa0mYA_12_15"/>
      <w:bookmarkStart w:id="1826" w:name="Tc__6OZNgAo2UecKk2zLDQaaQ_12_3"/>
      <w:bookmarkStart w:id="1827" w:name="Tc_yLHdnUj8WUuKP7NX-bVjsQ_12_0"/>
      <w:bookmarkStart w:id="1828" w:name="Tc_QmJKr9rTSUyxmzjjDARWcA_11_21"/>
      <w:bookmarkStart w:id="1829" w:name="Tc_SfcDf438g0qBYd5_MvgOfQ_11_3"/>
      <w:bookmarkStart w:id="1830" w:name="Tc_2q-V3eigHEmy-OC-pJWSGQ_11_0"/>
      <w:bookmarkStart w:id="1831" w:name="Tc_xhJUDV7G60ewRnac35sHcg_10_24"/>
      <w:bookmarkStart w:id="1832" w:name="Tc_G7cc2lovAE6c0_cM1yhiJw_10_15"/>
      <w:bookmarkStart w:id="1833" w:name="Tc_A8_OgOpPd0KT4pRhkum1mQ_10_3"/>
      <w:bookmarkStart w:id="1834" w:name="Tc_nb_lLdacekmoMkXYqfKQCQ_10_0"/>
      <w:bookmarkStart w:id="1835" w:name="Tc_0WxdRHbugkC6NMA_UjuADg_9_24"/>
      <w:bookmarkStart w:id="1836" w:name="Tc_L-OOwR1BsUW2cvuGjMsPmQ_9_21"/>
      <w:bookmarkStart w:id="1837" w:name="Tc_Jdx_dkhgWk2Ybz3UZPBJlQ_9_18"/>
      <w:bookmarkStart w:id="1838" w:name="Tc_qOVLKcRiMkGpmjo52UhbiQ_9_12"/>
      <w:bookmarkStart w:id="1839" w:name="Tc_IqNgKPaT6UCPG6O_3RP62A_9_9"/>
      <w:bookmarkStart w:id="1840" w:name="Tc_nfhDq4Sv4EaUhj1PkGzRvQ_9_6"/>
      <w:bookmarkStart w:id="1841" w:name="Tc_IaHqDTnK-0KGIUhAfNewdg_9_3"/>
      <w:bookmarkStart w:id="1842" w:name="Tc_uHjkfluxHUO9mrnqf5JOtQ_9_0"/>
      <w:bookmarkStart w:id="1843" w:name="Tc_jBwEq4R2AUWjwv4aVdPT5A_8_24"/>
      <w:bookmarkStart w:id="1844" w:name="Tc_hYDLU_9zCE6EOGlPyQNR2Q_8_3"/>
      <w:bookmarkStart w:id="1845" w:name="Tc_Sn6X0UAhaEOJFlWY_qAS1g_8_0"/>
      <w:bookmarkStart w:id="1846" w:name="Tc_oRzGCUJsBkyu0E1HUEVn9A_7_24"/>
      <w:bookmarkStart w:id="1847" w:name="Tc_YHVZwoflfkijKDyPx2va5w_7_21"/>
      <w:bookmarkStart w:id="1848" w:name="Tc_MxYBsr_9a0SyBGORtfLYJg_7_18"/>
      <w:bookmarkStart w:id="1849" w:name="Tc_Y_-_sYKutEu_2bUV_REvuA_7_12"/>
      <w:bookmarkStart w:id="1850" w:name="Tc_dGpVoJ05Ykm3_-EbqSPQ4A_7_9"/>
      <w:bookmarkStart w:id="1851" w:name="Tc_O3m6Q64Y2UOWADWwq0Qvng_7_0"/>
      <w:bookmarkStart w:id="1852" w:name="Tc_uEh4van4mU2OVtpScBmyfg_6_21"/>
      <w:bookmarkStart w:id="1853" w:name="Tc_doHOY3adqEq2n84UbF2jzg_6_15"/>
      <w:bookmarkStart w:id="1854" w:name="Tc_c1lphTVtb0uPtKkzFLGdmQ_6_12"/>
      <w:bookmarkStart w:id="1855" w:name="Tc_gLw8Qdyth0WhoNkkIRkLTg_6_6"/>
      <w:bookmarkStart w:id="1856" w:name="Tc_qxCA6U1Ovka0W2ny4iQevg_6_0"/>
      <w:bookmarkStart w:id="1857" w:name="Tc_E8INw-7v50Gy1L8OtpFAaw_5_26"/>
      <w:bookmarkStart w:id="1858" w:name="Tc_Q0uUC8OXQUC6YDI7fd9CbQ_5_23"/>
      <w:bookmarkStart w:id="1859" w:name="Tc_KYkHVTwqlk2ciUxhtaVB3w_5_20"/>
      <w:bookmarkStart w:id="1860" w:name="Tc_QjjxEGvp_k2vHE9nOCuPFg_5_17"/>
      <w:bookmarkStart w:id="1861" w:name="Tc_lD1qaUPWyUuNX785gav2Xg_5_14"/>
      <w:bookmarkStart w:id="1862" w:name="Tc_ecbfVS5pBEGEolQHMSUT3A_5_11"/>
      <w:bookmarkStart w:id="1863" w:name="Tc_H1dXtYQUYEWvx2w_27lPKw_5_8"/>
      <w:bookmarkStart w:id="1864" w:name="Tc_Q7a5mI00t0uxWkThby8Aqw_5_5"/>
      <w:bookmarkStart w:id="1865" w:name="Tc_uySciqxMp0qdCM2ukDSWMw_5_2"/>
      <w:bookmarkStart w:id="1866" w:name="Tc_Yfj-qHpWaUWQIOStDKhsig_5_0"/>
      <w:bookmarkStart w:id="1867" w:name="Tc_Xf8Mr61H-EmvgA_21KBVLg_4_0"/>
      <w:bookmarkStart w:id="1868" w:name="Tc_fwXZHqZu6UiTECRbGAoYJQ_3_2"/>
      <w:bookmarkStart w:id="1869" w:name="Tc_APTkx1j2ukq3XhT3WJ4tRg_2_26"/>
      <w:bookmarkStart w:id="1870" w:name="Tc_1L-P4AsvTk62nRHj7mDt5w_2_23"/>
      <w:bookmarkStart w:id="1871" w:name="Tc_YsGce6Tho0yRJhdqoxjDRA_2_20"/>
      <w:bookmarkStart w:id="1872" w:name="Tc_AaldvgyNiUazD56e5jxw4w_2_17"/>
      <w:bookmarkStart w:id="1873" w:name="Tc_GVEGPALd9kegNle1jxHExQ_2_14"/>
      <w:bookmarkStart w:id="1874" w:name="Tc_UEa1lXT8j0eiISz_Unc-Vw_2_11"/>
      <w:bookmarkStart w:id="1875" w:name="Tc_68Zj6AbTDkGUTfu6vePEfw_2_8"/>
      <w:bookmarkStart w:id="1876" w:name="Tc_o2avPXMNZEO9SAAXhu4CuQ_2_5"/>
      <w:bookmarkStart w:id="1877" w:name="Tc_5Umvqe2GzkS_63nG2FREEQ_2_2"/>
      <w:bookmarkStart w:id="1878" w:name="Tc_bZQEMGANSU6R93K2wTbZ0A_1_2"/>
      <w:bookmarkStart w:id="1879" w:name="_1a2c80ac_dadd_426f_9c0d_b5867c9f9d37"/>
      <w:bookmarkStart w:id="1880" w:name="Tc_1CFbLkXaNkiPmeB3F1LCjQ_8_8"/>
      <w:bookmarkStart w:id="1881" w:name="Tc_BPBl_fW-dUO-6U4kvGqafQ_8_5"/>
      <w:bookmarkStart w:id="1882" w:name="Tc_-O69C93Uu0mk6Aq_x3wNfw_8_2"/>
      <w:bookmarkStart w:id="1883" w:name="Tc_KL4WG-bnK02Kzqd0mfLMQg_8_0"/>
      <w:bookmarkStart w:id="1884" w:name="Tc_w_7Nzen530ScwPPC5TEUkA_7_0"/>
      <w:bookmarkStart w:id="1885" w:name="Tc_qQKKGAfgKE6JfAS7WAWgmw_6_0"/>
      <w:bookmarkStart w:id="1886" w:name="Tc_RLNsmRwJb0S4nxq2TLCaSQ_5_0"/>
      <w:bookmarkStart w:id="1887" w:name="Tc_ktjfGOmNB0GyFCceXgCCwA_4_8"/>
      <w:bookmarkStart w:id="1888" w:name="Tc_n0sCD8mujEaWBoj3-JIc1w_4_5"/>
      <w:bookmarkStart w:id="1889" w:name="Tc_mwP_uM8rmEGL6kxG0dm1YQ_4_2"/>
      <w:bookmarkStart w:id="1890" w:name="Tc_LcdIZag6P0Kvlr45X1tuDw_4_0"/>
      <w:bookmarkStart w:id="1891" w:name="Tc_brndVha6_EOKRcz1tWepXw_3_2"/>
      <w:bookmarkStart w:id="1892" w:name="Tc_Yuc3c57rMEiRtm3GDf6nMA_2_8"/>
      <w:bookmarkStart w:id="1893" w:name="Tc_3CDxxbRDkU22qIw8qW2S2A_2_5"/>
      <w:bookmarkStart w:id="1894" w:name="Tc_WMMC4kt5N02vI4Up6gmwHQ_2_2"/>
      <w:bookmarkStart w:id="1895" w:name="Tc_lRcXVLggqEWWz4naLxofAA_1_2"/>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r>
        <w:rPr>
          <w:rFonts w:ascii="Times New Roman;Times;serif" w:hAnsi="Times New Roman;Times;serif"/>
          <w:b/>
          <w:i/>
          <w:sz w:val="20"/>
        </w:rPr>
        <w:t>Automotive</w:t>
      </w:r>
    </w:p>
    <w:p>
      <w:pPr>
        <w:pStyle w:val="TextBody"/>
        <w:bidi w:val="0"/>
        <w:spacing w:before="0" w:after="0"/>
        <w:ind w:left="0" w:right="0" w:hanging="0"/>
        <w:jc w:val="left"/>
        <w:rPr/>
      </w:pPr>
      <w:r>
        <w:rPr/>
        <w:t>​</w:t>
      </w:r>
    </w:p>
    <w:tbl>
      <w:tblPr>
        <w:tblW w:w="8695" w:type="dxa"/>
        <w:jc w:val="left"/>
        <w:tblInd w:w="0" w:type="dxa"/>
        <w:tblLayout w:type="fixed"/>
        <w:tblCellMar>
          <w:top w:w="0" w:type="dxa"/>
          <w:left w:w="0" w:type="dxa"/>
          <w:bottom w:w="0" w:type="dxa"/>
          <w:right w:w="0" w:type="dxa"/>
        </w:tblCellMar>
      </w:tblPr>
      <w:tblGrid>
        <w:gridCol w:w="5206"/>
        <w:gridCol w:w="346"/>
        <w:gridCol w:w="211"/>
        <w:gridCol w:w="571"/>
        <w:gridCol w:w="346"/>
        <w:gridCol w:w="211"/>
        <w:gridCol w:w="571"/>
        <w:gridCol w:w="346"/>
        <w:gridCol w:w="211"/>
        <w:gridCol w:w="676"/>
      </w:tblGrid>
      <w:tr>
        <w:trPr/>
        <w:tc>
          <w:tcPr>
            <w:tcW w:w="5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3305810" cy="175260"/>
                      <wp:effectExtent l="0" t="0" r="0" b="0"/>
                      <wp:wrapNone/>
                      <wp:docPr id="524" name="Frame524"/>
                      <a:graphic xmlns:a="http://schemas.openxmlformats.org/drawingml/2006/main">
                        <a:graphicData uri="http://schemas.microsoft.com/office/word/2010/wordprocessingShape">
                          <wps:wsp>
                            <wps:cNvSpPr txBox="1"/>
                            <wps:spPr>
                              <a:xfrm>
                                <a:off x="0" y="0"/>
                                <a:ext cx="3305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25" name="Frame5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260"/>
                      <wp:effectExtent l="0" t="0" r="0" b="0"/>
                      <wp:wrapNone/>
                      <wp:docPr id="526" name="Frame5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362585" cy="175260"/>
                      <wp:effectExtent l="0" t="0" r="0" b="0"/>
                      <wp:wrapNone/>
                      <wp:docPr id="527" name="Frame5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28"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3985" cy="175260"/>
                      <wp:effectExtent l="0" t="0" r="0" b="0"/>
                      <wp:wrapNone/>
                      <wp:docPr id="529" name="Frame5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362585" cy="175260"/>
                      <wp:effectExtent l="0" t="0" r="0" b="0"/>
                      <wp:wrapNone/>
                      <wp:docPr id="530" name="Frame53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31" name="Frame5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33985" cy="175260"/>
                      <wp:effectExtent l="0" t="0" r="0" b="0"/>
                      <wp:wrapNone/>
                      <wp:docPr id="532" name="Frame5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429260" cy="175260"/>
                      <wp:effectExtent l="0" t="0" r="0" b="0"/>
                      <wp:wrapNone/>
                      <wp:docPr id="533" name="Frame53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4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5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869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2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43"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Automotive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1,548</w:t>
            </w:r>
          </w:p>
        </w:tc>
      </w:tr>
      <w:tr>
        <w:trPr/>
        <w:tc>
          <w:tcPr>
            <w:tcW w:w="5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Aftermarket Parts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5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 from customers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w:t>
            </w:r>
          </w:p>
        </w:tc>
      </w:tr>
      <w:tr>
        <w:trPr/>
        <w:tc>
          <w:tcPr>
            <w:tcW w:w="5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revenue outside scope ASC 606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5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Automotive net sales and other revenues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1,741</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Condensed Balance Sheets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59"/>
        <w:gridCol w:w="109"/>
        <w:gridCol w:w="224"/>
        <w:gridCol w:w="542"/>
        <w:gridCol w:w="109"/>
        <w:gridCol w:w="181"/>
        <w:gridCol w:w="436"/>
        <w:gridCol w:w="109"/>
        <w:gridCol w:w="233"/>
        <w:gridCol w:w="563"/>
        <w:gridCol w:w="109"/>
        <w:gridCol w:w="252"/>
        <w:gridCol w:w="484"/>
        <w:gridCol w:w="109"/>
        <w:gridCol w:w="181"/>
        <w:gridCol w:w="436"/>
        <w:gridCol w:w="109"/>
        <w:gridCol w:w="201"/>
        <w:gridCol w:w="385"/>
        <w:gridCol w:w="346"/>
        <w:gridCol w:w="196"/>
        <w:gridCol w:w="375"/>
        <w:gridCol w:w="109"/>
        <w:gridCol w:w="181"/>
        <w:gridCol w:w="511"/>
        <w:gridCol w:w="109"/>
        <w:gridCol w:w="218"/>
        <w:gridCol w:w="729"/>
      </w:tblGrid>
      <w:tr>
        <w:trPr/>
        <w:tc>
          <w:tcPr>
            <w:tcW w:w="2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688465" cy="175260"/>
                      <wp:effectExtent l="0" t="0" r="0" b="0"/>
                      <wp:wrapNone/>
                      <wp:docPr id="534" name="Frame534"/>
                      <a:graphic xmlns:a="http://schemas.openxmlformats.org/drawingml/2006/main">
                        <a:graphicData uri="http://schemas.microsoft.com/office/word/2010/wordprocessingShape">
                          <wps:wsp>
                            <wps:cNvSpPr txBox="1"/>
                            <wps:spPr>
                              <a:xfrm>
                                <a:off x="0" y="0"/>
                                <a:ext cx="1688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9215" cy="175260"/>
                      <wp:effectExtent l="0" t="0" r="0" b="0"/>
                      <wp:wrapNone/>
                      <wp:docPr id="535" name="Frame5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42240" cy="175260"/>
                      <wp:effectExtent l="0" t="0" r="0" b="0"/>
                      <wp:wrapNone/>
                      <wp:docPr id="536" name="Frame536"/>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344170" cy="175260"/>
                      <wp:effectExtent l="0" t="0" r="0" b="0"/>
                      <wp:wrapNone/>
                      <wp:docPr id="537" name="Frame537"/>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9215" cy="175260"/>
                      <wp:effectExtent l="0" t="0" r="0" b="0"/>
                      <wp:wrapNone/>
                      <wp:docPr id="538" name="Frame5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14935" cy="175260"/>
                      <wp:effectExtent l="0" t="0" r="0" b="0"/>
                      <wp:wrapNone/>
                      <wp:docPr id="539" name="Frame53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76860" cy="175260"/>
                      <wp:effectExtent l="0" t="0" r="0" b="0"/>
                      <wp:wrapNone/>
                      <wp:docPr id="540" name="Frame54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9215" cy="175260"/>
                      <wp:effectExtent l="0" t="0" r="0" b="0"/>
                      <wp:wrapNone/>
                      <wp:docPr id="541" name="Frame5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47955" cy="175260"/>
                      <wp:effectExtent l="0" t="0" r="0" b="0"/>
                      <wp:wrapNone/>
                      <wp:docPr id="542" name="Frame54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357505" cy="175260"/>
                      <wp:effectExtent l="0" t="0" r="0" b="0"/>
                      <wp:wrapNone/>
                      <wp:docPr id="543" name="Frame543"/>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9215" cy="175260"/>
                      <wp:effectExtent l="0" t="0" r="0" b="0"/>
                      <wp:wrapNone/>
                      <wp:docPr id="544" name="Frame5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60020" cy="175260"/>
                      <wp:effectExtent l="0" t="0" r="0" b="0"/>
                      <wp:wrapNone/>
                      <wp:docPr id="545" name="Frame54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307340" cy="175260"/>
                      <wp:effectExtent l="0" t="0" r="0" b="0"/>
                      <wp:wrapNone/>
                      <wp:docPr id="546" name="Frame546"/>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9215" cy="175260"/>
                      <wp:effectExtent l="0" t="0" r="0" b="0"/>
                      <wp:wrapNone/>
                      <wp:docPr id="547" name="Frame5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14935" cy="175260"/>
                      <wp:effectExtent l="0" t="0" r="0" b="0"/>
                      <wp:wrapNone/>
                      <wp:docPr id="548" name="Frame54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76860" cy="175260"/>
                      <wp:effectExtent l="0" t="0" r="0" b="0"/>
                      <wp:wrapNone/>
                      <wp:docPr id="549" name="Frame54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9215" cy="175260"/>
                      <wp:effectExtent l="0" t="0" r="0" b="0"/>
                      <wp:wrapNone/>
                      <wp:docPr id="550" name="Frame5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27635" cy="175260"/>
                      <wp:effectExtent l="0" t="0" r="0" b="0"/>
                      <wp:wrapNone/>
                      <wp:docPr id="551" name="Frame551"/>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44475" cy="175260"/>
                      <wp:effectExtent l="0" t="0" r="0" b="0"/>
                      <wp:wrapNone/>
                      <wp:docPr id="552" name="Frame552"/>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19710" cy="175260"/>
                      <wp:effectExtent l="0" t="0" r="0" b="0"/>
                      <wp:wrapNone/>
                      <wp:docPr id="553" name="Frame5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124460" cy="175260"/>
                      <wp:effectExtent l="0" t="0" r="0" b="0"/>
                      <wp:wrapNone/>
                      <wp:docPr id="554" name="Frame5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38125" cy="175260"/>
                      <wp:effectExtent l="0" t="0" r="0" b="0"/>
                      <wp:wrapNone/>
                      <wp:docPr id="555" name="Frame55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9215" cy="175260"/>
                      <wp:effectExtent l="0" t="0" r="0" b="0"/>
                      <wp:wrapNone/>
                      <wp:docPr id="556" name="Frame5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114935" cy="175260"/>
                      <wp:effectExtent l="0" t="0" r="0" b="0"/>
                      <wp:wrapNone/>
                      <wp:docPr id="557" name="Frame55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324485" cy="175260"/>
                      <wp:effectExtent l="0" t="0" r="0" b="0"/>
                      <wp:wrapNone/>
                      <wp:docPr id="558" name="Frame55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9215" cy="175260"/>
                      <wp:effectExtent l="0" t="0" r="0" b="0"/>
                      <wp:wrapNone/>
                      <wp:docPr id="559" name="Frame5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38430" cy="175260"/>
                      <wp:effectExtent l="0" t="0" r="0" b="0"/>
                      <wp:wrapNone/>
                      <wp:docPr id="560" name="Frame560"/>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462915" cy="175260"/>
                      <wp:effectExtent l="0" t="0" r="0" b="0"/>
                      <wp:wrapNone/>
                      <wp:docPr id="561" name="Frame561"/>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5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437"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2025</w:t>
            </w:r>
          </w:p>
        </w:tc>
      </w:tr>
      <w:tr>
        <w:trPr/>
        <w:tc>
          <w:tcPr>
            <w:tcW w:w="265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109" w:type="dxa"/>
            <w:tcBorders/>
            <w:vAlign w:val="center"/>
          </w:tcPr>
          <w:p>
            <w:pPr>
              <w:pStyle w:val="TableContents"/>
              <w:bidi w:val="0"/>
              <w:spacing w:before="0" w:after="1"/>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109" w:type="dxa"/>
            <w:tcBorders/>
            <w:vAlign w:val="center"/>
          </w:tcPr>
          <w:p>
            <w:pPr>
              <w:pStyle w:val="TableContents"/>
              <w:bidi w:val="0"/>
              <w:spacing w:before="0" w:after="1"/>
              <w:ind w:left="0" w:right="0" w:hanging="0"/>
              <w:jc w:val="center"/>
              <w:rPr/>
            </w:pPr>
            <w:r>
              <w:rPr/>
              <w:t>​</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Food </w:t>
              <w:br/>
              <w:t>Packaging</w:t>
            </w:r>
          </w:p>
        </w:tc>
        <w:tc>
          <w:tcPr>
            <w:tcW w:w="109" w:type="dxa"/>
            <w:tcBorders/>
            <w:vAlign w:val="center"/>
          </w:tcPr>
          <w:p>
            <w:pPr>
              <w:pStyle w:val="TableContents"/>
              <w:bidi w:val="0"/>
              <w:spacing w:before="0" w:after="1"/>
              <w:ind w:left="0" w:right="0" w:hanging="0"/>
              <w:jc w:val="center"/>
              <w:rPr/>
            </w:pPr>
            <w:r>
              <w:rPr/>
              <w:t>​</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Real </w:t>
              <w:br/>
              <w:t>Estate</w:t>
            </w:r>
          </w:p>
        </w:tc>
        <w:tc>
          <w:tcPr>
            <w:tcW w:w="109" w:type="dxa"/>
            <w:tcBorders/>
            <w:vAlign w:val="center"/>
          </w:tcPr>
          <w:p>
            <w:pPr>
              <w:pStyle w:val="TableContents"/>
              <w:bidi w:val="0"/>
              <w:spacing w:before="0" w:after="1"/>
              <w:ind w:left="0" w:right="0" w:hanging="0"/>
              <w:jc w:val="center"/>
              <w:rPr/>
            </w:pPr>
            <w:r>
              <w:rPr/>
              <w:t>​</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Home </w:t>
              <w:br/>
              <w:t>Fashion</w:t>
            </w:r>
          </w:p>
        </w:tc>
        <w:tc>
          <w:tcPr>
            <w:tcW w:w="346" w:type="dxa"/>
            <w:tcBorders/>
            <w:vAlign w:val="center"/>
          </w:tcPr>
          <w:p>
            <w:pPr>
              <w:pStyle w:val="TableContents"/>
              <w:bidi w:val="0"/>
              <w:spacing w:before="0" w:after="1"/>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109" w:type="dxa"/>
            <w:tcBorders/>
            <w:vAlign w:val="center"/>
          </w:tcPr>
          <w:p>
            <w:pPr>
              <w:pStyle w:val="TableContents"/>
              <w:bidi w:val="0"/>
              <w:spacing w:before="0" w:after="1"/>
              <w:ind w:left="0" w:right="0" w:hanging="0"/>
              <w:jc w:val="center"/>
              <w:rPr/>
            </w:pPr>
            <w:r>
              <w:rPr/>
              <w:t>​</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Holding </w:t>
              <w:br/>
              <w:t>Company</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265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437" w:type="dxa"/>
            <w:gridSpan w:val="26"/>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2659"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542"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center"/>
              <w:rPr/>
            </w:pPr>
            <w:r>
              <w:rPr/>
              <w:t>​</w:t>
            </w:r>
          </w:p>
        </w:tc>
      </w:tr>
      <w:tr>
        <w:trPr/>
        <w:tc>
          <w:tcPr>
            <w:tcW w:w="26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511</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839</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1,450</w:t>
            </w:r>
          </w:p>
        </w:tc>
      </w:tr>
      <w:tr>
        <w:trPr/>
        <w:tc>
          <w:tcPr>
            <w:tcW w:w="26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held at consolidated affiliated partnerships and restricted cash</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54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1,788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4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170</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1,969</w:t>
            </w:r>
          </w:p>
        </w:tc>
      </w:tr>
      <w:tr>
        <w:trPr/>
        <w:tc>
          <w:tcPr>
            <w:tcW w:w="26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Investments</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54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2,146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4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2,251</w:t>
            </w:r>
          </w:p>
        </w:tc>
      </w:tr>
      <w:tr>
        <w:trPr/>
        <w:tc>
          <w:tcPr>
            <w:tcW w:w="26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Accounts receivable, net</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54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235</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393</w:t>
            </w:r>
          </w:p>
        </w:tc>
      </w:tr>
      <w:tr>
        <w:trPr/>
        <w:tc>
          <w:tcPr>
            <w:tcW w:w="26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Related party note receivable</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54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129</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129</w:t>
            </w:r>
          </w:p>
        </w:tc>
      </w:tr>
      <w:tr>
        <w:trPr/>
        <w:tc>
          <w:tcPr>
            <w:tcW w:w="26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Inventories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54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472</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165</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845</w:t>
            </w:r>
          </w:p>
        </w:tc>
      </w:tr>
      <w:tr>
        <w:trPr/>
        <w:tc>
          <w:tcPr>
            <w:tcW w:w="26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Property, plant and equipment, net</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54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2,333</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351</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787</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3,670</w:t>
            </w:r>
          </w:p>
        </w:tc>
      </w:tr>
      <w:tr>
        <w:trPr/>
        <w:tc>
          <w:tcPr>
            <w:tcW w:w="26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Goodwill and intangible assets, net</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54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139</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316</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639</w:t>
            </w:r>
          </w:p>
        </w:tc>
      </w:tr>
      <w:tr>
        <w:trPr/>
        <w:tc>
          <w:tcPr>
            <w:tcW w:w="26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assets</w:t>
            </w:r>
          </w:p>
        </w:tc>
        <w:tc>
          <w:tcPr>
            <w:tcW w:w="109"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422</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369</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w:t>
            </w:r>
          </w:p>
        </w:tc>
        <w:tc>
          <w:tcPr>
            <w:tcW w:w="109"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236</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2,869</w:t>
            </w:r>
          </w:p>
        </w:tc>
      </w:tr>
      <w:tr>
        <w:trPr/>
        <w:tc>
          <w:tcPr>
            <w:tcW w:w="26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assets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5,611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4,129</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1,248</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1,124</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1,248</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14,215</w:t>
            </w:r>
          </w:p>
        </w:tc>
      </w:tr>
      <w:tr>
        <w:trPr/>
        <w:tc>
          <w:tcPr>
            <w:tcW w:w="2659"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LIABILITIES AND EQUITY</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542"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484"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pPr>
            <w:r>
              <w:rPr/>
              <w:t>​</w:t>
            </w:r>
          </w:p>
        </w:tc>
      </w:tr>
      <w:tr>
        <w:trPr/>
        <w:tc>
          <w:tcPr>
            <w:tcW w:w="26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Accounts payable, accrued expenses and other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1,079</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772</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2,791</w:t>
            </w:r>
          </w:p>
        </w:tc>
      </w:tr>
      <w:tr>
        <w:trPr/>
        <w:tc>
          <w:tcPr>
            <w:tcW w:w="26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Securities sold, not yet purchased, at fair value</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54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1,382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4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1,382</w:t>
            </w:r>
          </w:p>
        </w:tc>
      </w:tr>
      <w:tr>
        <w:trPr/>
        <w:tc>
          <w:tcPr>
            <w:tcW w:w="26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Debt</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1,765</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4,664</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6,616</w:t>
            </w:r>
          </w:p>
        </w:tc>
      </w:tr>
      <w:tr>
        <w:trPr/>
        <w:tc>
          <w:tcPr>
            <w:tcW w:w="26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liabilities</w:t>
            </w:r>
          </w:p>
        </w:tc>
        <w:tc>
          <w:tcPr>
            <w:tcW w:w="109"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1,988</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2,844</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793</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259</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w:t>
            </w:r>
          </w:p>
        </w:tc>
        <w:tc>
          <w:tcPr>
            <w:tcW w:w="109"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4,748</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10,789</w:t>
            </w:r>
          </w:p>
        </w:tc>
      </w:tr>
      <w:tr>
        <w:trPr/>
        <w:tc>
          <w:tcPr>
            <w:tcW w:w="265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54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left"/>
              <w:rPr/>
            </w:pPr>
            <w:r>
              <w:rPr/>
              <w:t>​</w:t>
            </w:r>
          </w:p>
        </w:tc>
      </w:tr>
      <w:tr>
        <w:trPr/>
        <w:tc>
          <w:tcPr>
            <w:tcW w:w="26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 attributable to Icahn Enterprises</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54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2,711</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722</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455</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1,091</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(3,500)</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1,942</w:t>
            </w:r>
          </w:p>
        </w:tc>
      </w:tr>
      <w:tr>
        <w:trPr/>
        <w:tc>
          <w:tcPr>
            <w:tcW w:w="26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 attributable to non-controlling interests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563</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1,484</w:t>
            </w:r>
          </w:p>
        </w:tc>
      </w:tr>
      <w:tr>
        <w:trPr/>
        <w:tc>
          <w:tcPr>
            <w:tcW w:w="26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equity</w:t>
            </w:r>
          </w:p>
        </w:tc>
        <w:tc>
          <w:tcPr>
            <w:tcW w:w="109"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3,623</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1,285</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455</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1,091</w:t>
            </w:r>
          </w:p>
        </w:tc>
        <w:tc>
          <w:tcPr>
            <w:tcW w:w="109"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169</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(3,500)</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3,426</w:t>
            </w:r>
          </w:p>
        </w:tc>
      </w:tr>
      <w:tr>
        <w:trPr/>
        <w:tc>
          <w:tcPr>
            <w:tcW w:w="26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liabilities and equity</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5,611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4,129</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1,248</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1,124</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236</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1,248</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14,215</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Normal"/>
        <w:bidi w:val="0"/>
        <w:spacing w:before="0" w:after="0"/>
        <w:jc w:val="left"/>
        <w:rPr>
          <w:sz w:val="4"/>
          <w:szCs w:val="4"/>
        </w:rPr>
      </w:pPr>
      <w:r>
        <w:rPr>
          <w:sz w:val="4"/>
          <w:szCs w:val="4"/>
        </w:rPr>
      </w:r>
      <w:bookmarkStart w:id="1896" w:name="Tc_fCAuAG6TmEeCHMS93I-WnQ_24_26"/>
      <w:bookmarkStart w:id="1897" w:name="Tc_uWA9L-EX_Uu-A5zOUCAr4w_24_23"/>
      <w:bookmarkStart w:id="1898" w:name="Tc_zEFwl_tcM0CHavT7muyZGA_24_20"/>
      <w:bookmarkStart w:id="1899" w:name="Tc_rOo9XjhU3U6IcnLILeqcew_24_17"/>
      <w:bookmarkStart w:id="1900" w:name="Tc_Ht-TiYOQ6kW8ro3D4tdtcw_24_14"/>
      <w:bookmarkStart w:id="1901" w:name="Tc_3ZRkh3sLC0Otggkd6gixAQ_24_11"/>
      <w:bookmarkStart w:id="1902" w:name="Tc_GhWnc20FSEGjueRmci8gjA_24_8"/>
      <w:bookmarkStart w:id="1903" w:name="Tc_1yhmYfydEEK7BTaLN7oX7g_24_5"/>
      <w:bookmarkStart w:id="1904" w:name="Tc_uM4nsXfTNEqgw3WevfMAYw_24_2"/>
      <w:bookmarkStart w:id="1905" w:name="Tc_ZVi3XEBUrkm5bk3Mrp9BTQ_24_0"/>
      <w:bookmarkStart w:id="1906" w:name="Tc_HPm_pzGVf0yskPl-SLLsQQ_23_0"/>
      <w:bookmarkStart w:id="1907" w:name="Tc_Y6o6aW3TqkC-xVM1gc81_g_22_24"/>
      <w:bookmarkStart w:id="1908" w:name="Tc_bTFD-n__LUeV3JeGHrBlTA_22_21"/>
      <w:bookmarkStart w:id="1909" w:name="Tc_wjZ4G4vgDE6k91uMOdMPGg_22_18"/>
      <w:bookmarkStart w:id="1910" w:name="Tc_23gWI6vTA0WEzSQNHruGrQ_22_9"/>
      <w:bookmarkStart w:id="1911" w:name="Tc_xRELPWamzUaETZimKpdgyA_22_0"/>
      <w:bookmarkStart w:id="1912" w:name="Tc_DjSucj3hTU2LG_4bAO3iSQ_21_0"/>
      <w:bookmarkStart w:id="1913" w:name="Tc_9oCXkUS0p0mjwTgyMZqSdA_19_0"/>
      <w:bookmarkStart w:id="1914" w:name="Tc_xHO6Z9WWMkeQ3UaOSKx9KQ_18_21"/>
      <w:bookmarkStart w:id="1915" w:name="Tc_gdvBvIjEn0CfeunHrBpxPw_18_3"/>
      <w:bookmarkStart w:id="1916" w:name="Tc_0h0Ex4XFBkWJJWQhQdWd8A_18_0"/>
      <w:bookmarkStart w:id="1917" w:name="Tc_upcwPZr230yE7N6VNBqI8w_17_24"/>
      <w:bookmarkStart w:id="1918" w:name="Tc_xbPJSt5Tz0y2KFWUT5G5qg_17_21"/>
      <w:bookmarkStart w:id="1919" w:name="Tc_9UGzm0dgB02KMgKGPQoahw_17_18"/>
      <w:bookmarkStart w:id="1920" w:name="Tc_5HXtq_-nGU6WnpKYY7LXsg_17_15"/>
      <w:bookmarkStart w:id="1921" w:name="Tc_Ydcd_DrLZEi_1B2xzT3WzA_17_12"/>
      <w:bookmarkStart w:id="1922" w:name="Tc_DtL5LVsMwUuGRhsOSoEqgw_17_9"/>
      <w:bookmarkStart w:id="1923" w:name="Tc_ZAVfY2kaykWgdwgJMdyTLg_17_6"/>
      <w:bookmarkStart w:id="1924" w:name="Tc_vJezyOezrUyRRczgBbXnIw_17_0"/>
      <w:bookmarkStart w:id="1925" w:name="Tc_bO7bdhe_QEWz-Kibpwxkgg_16_26"/>
      <w:bookmarkStart w:id="1926" w:name="Tc_hfjLR8lL-kiH49JIaxZ5KQ_16_23"/>
      <w:bookmarkStart w:id="1927" w:name="Tc_MapnQwYkhEOHn-ElY-Po0A_16_20"/>
      <w:bookmarkStart w:id="1928" w:name="Tc_QvjMpwnbAEmw6fGR8LoMSQ_16_17"/>
      <w:bookmarkStart w:id="1929" w:name="Tc_JwNLUuPhPUeqNdw4s9GC1g_16_14"/>
      <w:bookmarkStart w:id="1930" w:name="Tc_SzXJfu9rnUSbHXuzCIQz3g_16_11"/>
      <w:bookmarkStart w:id="1931" w:name="Tc_7gBpWiZhlUGIrTlduyfd6g_16_8"/>
      <w:bookmarkStart w:id="1932" w:name="Tc_eGaPXvFXJE-E4_08aDnrog_16_5"/>
      <w:bookmarkStart w:id="1933" w:name="Tc_hz14wOTPIkS3YqM1E0RXeA_16_2"/>
      <w:bookmarkStart w:id="1934" w:name="Tc_FmnfmB2lj0ioZ60e8FroDw_16_0"/>
      <w:bookmarkStart w:id="1935" w:name="Tc_FcJkU_5fWky_L-YrlVpdvg_15_0"/>
      <w:bookmarkStart w:id="1936" w:name="Tc_Nlvb1s_afkqGfnE9MJZjDA_14_26"/>
      <w:bookmarkStart w:id="1937" w:name="Tc_Rp2xFuI7h0yZ5dHXxmRKOw_14_23"/>
      <w:bookmarkStart w:id="1938" w:name="Tc_7sbuy-1ErUql1wJq8rzIVg_14_20"/>
      <w:bookmarkStart w:id="1939" w:name="Tc_WVrfDNXRIkqQrb3CLPecFw_14_17"/>
      <w:bookmarkStart w:id="1940" w:name="Tc_fDGguM60g0-dkHZBYNzVkw_14_14"/>
      <w:bookmarkStart w:id="1941" w:name="Tc_DTyi44qv5UuytelqwR0xWw_14_11"/>
      <w:bookmarkStart w:id="1942" w:name="Tc_G8L0hG1anEGTw2G-g76DxA_14_8"/>
      <w:bookmarkStart w:id="1943" w:name="Tc_80DqCM95qECnQNq4WBPwmw_14_5"/>
      <w:bookmarkStart w:id="1944" w:name="Tc_JlQcVmmOP0mFrW09QDntwQ_14_2"/>
      <w:bookmarkStart w:id="1945" w:name="Tc_KVvYGBmpAUe8lZyoQjW0sg_14_0"/>
      <w:bookmarkStart w:id="1946" w:name="Tc_KGt5fgIWGk-WdTXzaE1Cbg_13_0"/>
      <w:bookmarkStart w:id="1947" w:name="Tc_EiMeB-6QzkyYviYbw4kW7w_12_24"/>
      <w:bookmarkStart w:id="1948" w:name="Tc_mx7n0yMSz0GOzy6rAgEYSg_12_15"/>
      <w:bookmarkStart w:id="1949" w:name="Tc_KViQZ76VM02NAWGgxqowrg_12_3"/>
      <w:bookmarkStart w:id="1950" w:name="Tc_81lLYNpGlk2JmteO0ZJEYQ_12_0"/>
      <w:bookmarkStart w:id="1951" w:name="Tc_T6I-k5wUqkGfWM5uol1CNA_11_21"/>
      <w:bookmarkStart w:id="1952" w:name="Tc_LxGFITNc8UuSwBfURJUA6A_11_3"/>
      <w:bookmarkStart w:id="1953" w:name="Tc_hR3I0PPfUkCuwrsc4kQ78Q_11_0"/>
      <w:bookmarkStart w:id="1954" w:name="Tc__TVKcNup60m-5m5aq-u0BA_10_24"/>
      <w:bookmarkStart w:id="1955" w:name="Tc_GbcGOU6BuUOwq2W7iWHTyw_10_15"/>
      <w:bookmarkStart w:id="1956" w:name="Tc_W5CSn4iPx0uIukbBO1w_og_10_3"/>
      <w:bookmarkStart w:id="1957" w:name="Tc___9bV2WjPkKyBII9cDIAHQ_10_0"/>
      <w:bookmarkStart w:id="1958" w:name="Tc_gQD_-LgxFUCbsSHB0gjbjg_9_21"/>
      <w:bookmarkStart w:id="1959" w:name="Tc_tLETXmpRCkuhAo0o-9MFNw_9_18"/>
      <w:bookmarkStart w:id="1960" w:name="Tc_Slt2sGu6E0WjeD9xkKi_jw_9_15"/>
      <w:bookmarkStart w:id="1961" w:name="Tc_8qKanBXEkkyzGJPg4EcMFw_9_12"/>
      <w:bookmarkStart w:id="1962" w:name="Tc_BIPYGaOfkU66I3g5KAphqQ_9_9"/>
      <w:bookmarkStart w:id="1963" w:name="Tc_PiOCNPHW4k-5YmSSOY3MeQ_9_6"/>
      <w:bookmarkStart w:id="1964" w:name="Tc_bWnxyr0qM02TVDsleMR-jA_9_3"/>
      <w:bookmarkStart w:id="1965" w:name="Tc_N7BK5DXGHEOuP0gqU7wbsA_9_0"/>
      <w:bookmarkStart w:id="1966" w:name="Tc_rGQO3uYQgU6SAfJ5nwRcaw_8_24"/>
      <w:bookmarkStart w:id="1967" w:name="Tc_Jd2ihbwMgUyXGtuvu9_4Sw_8_3"/>
      <w:bookmarkStart w:id="1968" w:name="Tc_-KSgS7OM6USyN52SlSNU5g_8_0"/>
      <w:bookmarkStart w:id="1969" w:name="Tc_dte-DSQL50m58-ShwNP4eg_7_24"/>
      <w:bookmarkStart w:id="1970" w:name="Tc_E3eEg4Zbc0CnW6lvJvplLw_7_21"/>
      <w:bookmarkStart w:id="1971" w:name="Tc_9Pk5asFJUEirqsHS8ypTKw_7_18"/>
      <w:bookmarkStart w:id="1972" w:name="Tc_0fZLnTz84E2hu5uxb_i3IA_7_12"/>
      <w:bookmarkStart w:id="1973" w:name="Tc_v5U0BpT5tUGY8YRdvn6aeA_7_9"/>
      <w:bookmarkStart w:id="1974" w:name="Tc_-Tba9KyfbEW-lmq1RdASkQ_7_0"/>
      <w:bookmarkStart w:id="1975" w:name="Tc_N6Eh8Atv2k63ZXR3XX4MKw_6_21"/>
      <w:bookmarkStart w:id="1976" w:name="Tc_qXsaDh2650ahqGAAhb2Qmg_6_12"/>
      <w:bookmarkStart w:id="1977" w:name="Tc_k-tPzj3VxU-3hRb8f9rJUA_6_6"/>
      <w:bookmarkStart w:id="1978" w:name="Tc_QB6A0JhMrkit1A4Jkhyq0Q_6_0"/>
      <w:bookmarkStart w:id="1979" w:name="Tc_LYvZ9v87J0qEbHsI8VYt0g_5_26"/>
      <w:bookmarkStart w:id="1980" w:name="Tc_q6TeKPXitU26EH7Da2hiGA_5_23"/>
      <w:bookmarkStart w:id="1981" w:name="Tc_3IqvIBy_HEGZujAfxXBuig_5_20"/>
      <w:bookmarkStart w:id="1982" w:name="Tc_cskVrqNIyUSnSV-2Q78csQ_5_17"/>
      <w:bookmarkStart w:id="1983" w:name="Tc_VyZmnpqYbUulC54auWLzFQ_5_14"/>
      <w:bookmarkStart w:id="1984" w:name="Tc_eA1sErVQ40apADoBx5MTPw_5_11"/>
      <w:bookmarkStart w:id="1985" w:name="Tc_QjJkwYsns0imaILy6DlziA_5_8"/>
      <w:bookmarkStart w:id="1986" w:name="Tc_eorAiBfAd0urmekoP8SOPw_5_5"/>
      <w:bookmarkStart w:id="1987" w:name="Tc_P3zbk95cX0-eADSLw8ROJQ_5_2"/>
      <w:bookmarkStart w:id="1988" w:name="Tc_mxihTI4Gk0m93V1sKEworQ_5_0"/>
      <w:bookmarkStart w:id="1989" w:name="Tc_sU2sReaNjESIC7MQiE-__Q_4_0"/>
      <w:bookmarkStart w:id="1990" w:name="Tc_nzY6xWwmQUC22m_xRsVQQw_3_2"/>
      <w:bookmarkStart w:id="1991" w:name="Tc_sOf1093kfk6LZBT5le9Mlg_2_26"/>
      <w:bookmarkStart w:id="1992" w:name="Tc_0ISPgGr6kUSoX4UpiNXw8w_2_23"/>
      <w:bookmarkStart w:id="1993" w:name="Tc_PCj5M0ECwkGAS6e4Z5cd5w_2_20"/>
      <w:bookmarkStart w:id="1994" w:name="Tc_WXBQTjrSpkOHV67QDpsR_A_2_17"/>
      <w:bookmarkStart w:id="1995" w:name="Tc_el2sLxQpqk-ZatK7vYOPmA_2_14"/>
      <w:bookmarkStart w:id="1996" w:name="Tc_aVsLqmf2g0ii18SjfkbeJA_2_11"/>
      <w:bookmarkStart w:id="1997" w:name="Tc_525fIvN5ZkGKVSQ3TcDD-Q_2_8"/>
      <w:bookmarkStart w:id="1998" w:name="Tc_1ZR7yarBBEKDTeIRY8f96A_2_5"/>
      <w:bookmarkStart w:id="1999" w:name="Tc_Vsg_8I1__EqN-jci16i3Aw_2_2"/>
      <w:bookmarkStart w:id="2000" w:name="Tc_KpXXU7IGjEuHD6UWHv5XFg_1_2"/>
      <w:bookmarkStart w:id="2001" w:name="_db4d9aaf_ef02_4b10_b431_0cb3c929f029"/>
      <w:bookmarkStart w:id="2002" w:name="Tc_fCAuAG6TmEeCHMS93I-WnQ_24_26"/>
      <w:bookmarkStart w:id="2003" w:name="Tc_uWA9L-EX_Uu-A5zOUCAr4w_24_23"/>
      <w:bookmarkStart w:id="2004" w:name="Tc_zEFwl_tcM0CHavT7muyZGA_24_20"/>
      <w:bookmarkStart w:id="2005" w:name="Tc_rOo9XjhU3U6IcnLILeqcew_24_17"/>
      <w:bookmarkStart w:id="2006" w:name="Tc_Ht-TiYOQ6kW8ro3D4tdtcw_24_14"/>
      <w:bookmarkStart w:id="2007" w:name="Tc_3ZRkh3sLC0Otggkd6gixAQ_24_11"/>
      <w:bookmarkStart w:id="2008" w:name="Tc_GhWnc20FSEGjueRmci8gjA_24_8"/>
      <w:bookmarkStart w:id="2009" w:name="Tc_1yhmYfydEEK7BTaLN7oX7g_24_5"/>
      <w:bookmarkStart w:id="2010" w:name="Tc_uM4nsXfTNEqgw3WevfMAYw_24_2"/>
      <w:bookmarkStart w:id="2011" w:name="Tc_ZVi3XEBUrkm5bk3Mrp9BTQ_24_0"/>
      <w:bookmarkStart w:id="2012" w:name="Tc_HPm_pzGVf0yskPl-SLLsQQ_23_0"/>
      <w:bookmarkStart w:id="2013" w:name="Tc_Y6o6aW3TqkC-xVM1gc81_g_22_24"/>
      <w:bookmarkStart w:id="2014" w:name="Tc_bTFD-n__LUeV3JeGHrBlTA_22_21"/>
      <w:bookmarkStart w:id="2015" w:name="Tc_wjZ4G4vgDE6k91uMOdMPGg_22_18"/>
      <w:bookmarkStart w:id="2016" w:name="Tc_23gWI6vTA0WEzSQNHruGrQ_22_9"/>
      <w:bookmarkStart w:id="2017" w:name="Tc_xRELPWamzUaETZimKpdgyA_22_0"/>
      <w:bookmarkStart w:id="2018" w:name="Tc_DjSucj3hTU2LG_4bAO3iSQ_21_0"/>
      <w:bookmarkStart w:id="2019" w:name="Tc_9oCXkUS0p0mjwTgyMZqSdA_19_0"/>
      <w:bookmarkStart w:id="2020" w:name="Tc_xHO6Z9WWMkeQ3UaOSKx9KQ_18_21"/>
      <w:bookmarkStart w:id="2021" w:name="Tc_gdvBvIjEn0CfeunHrBpxPw_18_3"/>
      <w:bookmarkStart w:id="2022" w:name="Tc_0h0Ex4XFBkWJJWQhQdWd8A_18_0"/>
      <w:bookmarkStart w:id="2023" w:name="Tc_upcwPZr230yE7N6VNBqI8w_17_24"/>
      <w:bookmarkStart w:id="2024" w:name="Tc_xbPJSt5Tz0y2KFWUT5G5qg_17_21"/>
      <w:bookmarkStart w:id="2025" w:name="Tc_9UGzm0dgB02KMgKGPQoahw_17_18"/>
      <w:bookmarkStart w:id="2026" w:name="Tc_5HXtq_-nGU6WnpKYY7LXsg_17_15"/>
      <w:bookmarkStart w:id="2027" w:name="Tc_Ydcd_DrLZEi_1B2xzT3WzA_17_12"/>
      <w:bookmarkStart w:id="2028" w:name="Tc_DtL5LVsMwUuGRhsOSoEqgw_17_9"/>
      <w:bookmarkStart w:id="2029" w:name="Tc_ZAVfY2kaykWgdwgJMdyTLg_17_6"/>
      <w:bookmarkStart w:id="2030" w:name="Tc_vJezyOezrUyRRczgBbXnIw_17_0"/>
      <w:bookmarkStart w:id="2031" w:name="Tc_bO7bdhe_QEWz-Kibpwxkgg_16_26"/>
      <w:bookmarkStart w:id="2032" w:name="Tc_hfjLR8lL-kiH49JIaxZ5KQ_16_23"/>
      <w:bookmarkStart w:id="2033" w:name="Tc_MapnQwYkhEOHn-ElY-Po0A_16_20"/>
      <w:bookmarkStart w:id="2034" w:name="Tc_QvjMpwnbAEmw6fGR8LoMSQ_16_17"/>
      <w:bookmarkStart w:id="2035" w:name="Tc_JwNLUuPhPUeqNdw4s9GC1g_16_14"/>
      <w:bookmarkStart w:id="2036" w:name="Tc_SzXJfu9rnUSbHXuzCIQz3g_16_11"/>
      <w:bookmarkStart w:id="2037" w:name="Tc_7gBpWiZhlUGIrTlduyfd6g_16_8"/>
      <w:bookmarkStart w:id="2038" w:name="Tc_eGaPXvFXJE-E4_08aDnrog_16_5"/>
      <w:bookmarkStart w:id="2039" w:name="Tc_hz14wOTPIkS3YqM1E0RXeA_16_2"/>
      <w:bookmarkStart w:id="2040" w:name="Tc_FmnfmB2lj0ioZ60e8FroDw_16_0"/>
      <w:bookmarkStart w:id="2041" w:name="Tc_FcJkU_5fWky_L-YrlVpdvg_15_0"/>
      <w:bookmarkStart w:id="2042" w:name="Tc_Nlvb1s_afkqGfnE9MJZjDA_14_26"/>
      <w:bookmarkStart w:id="2043" w:name="Tc_Rp2xFuI7h0yZ5dHXxmRKOw_14_23"/>
      <w:bookmarkStart w:id="2044" w:name="Tc_7sbuy-1ErUql1wJq8rzIVg_14_20"/>
      <w:bookmarkStart w:id="2045" w:name="Tc_WVrfDNXRIkqQrb3CLPecFw_14_17"/>
      <w:bookmarkStart w:id="2046" w:name="Tc_fDGguM60g0-dkHZBYNzVkw_14_14"/>
      <w:bookmarkStart w:id="2047" w:name="Tc_DTyi44qv5UuytelqwR0xWw_14_11"/>
      <w:bookmarkStart w:id="2048" w:name="Tc_G8L0hG1anEGTw2G-g76DxA_14_8"/>
      <w:bookmarkStart w:id="2049" w:name="Tc_80DqCM95qECnQNq4WBPwmw_14_5"/>
      <w:bookmarkStart w:id="2050" w:name="Tc_JlQcVmmOP0mFrW09QDntwQ_14_2"/>
      <w:bookmarkStart w:id="2051" w:name="Tc_KVvYGBmpAUe8lZyoQjW0sg_14_0"/>
      <w:bookmarkStart w:id="2052" w:name="Tc_KGt5fgIWGk-WdTXzaE1Cbg_13_0"/>
      <w:bookmarkStart w:id="2053" w:name="Tc_EiMeB-6QzkyYviYbw4kW7w_12_24"/>
      <w:bookmarkStart w:id="2054" w:name="Tc_mx7n0yMSz0GOzy6rAgEYSg_12_15"/>
      <w:bookmarkStart w:id="2055" w:name="Tc_KViQZ76VM02NAWGgxqowrg_12_3"/>
      <w:bookmarkStart w:id="2056" w:name="Tc_81lLYNpGlk2JmteO0ZJEYQ_12_0"/>
      <w:bookmarkStart w:id="2057" w:name="Tc_T6I-k5wUqkGfWM5uol1CNA_11_21"/>
      <w:bookmarkStart w:id="2058" w:name="Tc_LxGFITNc8UuSwBfURJUA6A_11_3"/>
      <w:bookmarkStart w:id="2059" w:name="Tc_hR3I0PPfUkCuwrsc4kQ78Q_11_0"/>
      <w:bookmarkStart w:id="2060" w:name="Tc__TVKcNup60m-5m5aq-u0BA_10_24"/>
      <w:bookmarkStart w:id="2061" w:name="Tc_GbcGOU6BuUOwq2W7iWHTyw_10_15"/>
      <w:bookmarkStart w:id="2062" w:name="Tc_W5CSn4iPx0uIukbBO1w_og_10_3"/>
      <w:bookmarkStart w:id="2063" w:name="Tc___9bV2WjPkKyBII9cDIAHQ_10_0"/>
      <w:bookmarkStart w:id="2064" w:name="Tc_gQD_-LgxFUCbsSHB0gjbjg_9_21"/>
      <w:bookmarkStart w:id="2065" w:name="Tc_tLETXmpRCkuhAo0o-9MFNw_9_18"/>
      <w:bookmarkStart w:id="2066" w:name="Tc_Slt2sGu6E0WjeD9xkKi_jw_9_15"/>
      <w:bookmarkStart w:id="2067" w:name="Tc_8qKanBXEkkyzGJPg4EcMFw_9_12"/>
      <w:bookmarkStart w:id="2068" w:name="Tc_BIPYGaOfkU66I3g5KAphqQ_9_9"/>
      <w:bookmarkStart w:id="2069" w:name="Tc_PiOCNPHW4k-5YmSSOY3MeQ_9_6"/>
      <w:bookmarkStart w:id="2070" w:name="Tc_bWnxyr0qM02TVDsleMR-jA_9_3"/>
      <w:bookmarkStart w:id="2071" w:name="Tc_N7BK5DXGHEOuP0gqU7wbsA_9_0"/>
      <w:bookmarkStart w:id="2072" w:name="Tc_rGQO3uYQgU6SAfJ5nwRcaw_8_24"/>
      <w:bookmarkStart w:id="2073" w:name="Tc_Jd2ihbwMgUyXGtuvu9_4Sw_8_3"/>
      <w:bookmarkStart w:id="2074" w:name="Tc_-KSgS7OM6USyN52SlSNU5g_8_0"/>
      <w:bookmarkStart w:id="2075" w:name="Tc_dte-DSQL50m58-ShwNP4eg_7_24"/>
      <w:bookmarkStart w:id="2076" w:name="Tc_E3eEg4Zbc0CnW6lvJvplLw_7_21"/>
      <w:bookmarkStart w:id="2077" w:name="Tc_9Pk5asFJUEirqsHS8ypTKw_7_18"/>
      <w:bookmarkStart w:id="2078" w:name="Tc_0fZLnTz84E2hu5uxb_i3IA_7_12"/>
      <w:bookmarkStart w:id="2079" w:name="Tc_v5U0BpT5tUGY8YRdvn6aeA_7_9"/>
      <w:bookmarkStart w:id="2080" w:name="Tc_-Tba9KyfbEW-lmq1RdASkQ_7_0"/>
      <w:bookmarkStart w:id="2081" w:name="Tc_N6Eh8Atv2k63ZXR3XX4MKw_6_21"/>
      <w:bookmarkStart w:id="2082" w:name="Tc_qXsaDh2650ahqGAAhb2Qmg_6_12"/>
      <w:bookmarkStart w:id="2083" w:name="Tc_k-tPzj3VxU-3hRb8f9rJUA_6_6"/>
      <w:bookmarkStart w:id="2084" w:name="Tc_QB6A0JhMrkit1A4Jkhyq0Q_6_0"/>
      <w:bookmarkStart w:id="2085" w:name="Tc_LYvZ9v87J0qEbHsI8VYt0g_5_26"/>
      <w:bookmarkStart w:id="2086" w:name="Tc_q6TeKPXitU26EH7Da2hiGA_5_23"/>
      <w:bookmarkStart w:id="2087" w:name="Tc_3IqvIBy_HEGZujAfxXBuig_5_20"/>
      <w:bookmarkStart w:id="2088" w:name="Tc_cskVrqNIyUSnSV-2Q78csQ_5_17"/>
      <w:bookmarkStart w:id="2089" w:name="Tc_VyZmnpqYbUulC54auWLzFQ_5_14"/>
      <w:bookmarkStart w:id="2090" w:name="Tc_eA1sErVQ40apADoBx5MTPw_5_11"/>
      <w:bookmarkStart w:id="2091" w:name="Tc_QjJkwYsns0imaILy6DlziA_5_8"/>
      <w:bookmarkStart w:id="2092" w:name="Tc_eorAiBfAd0urmekoP8SOPw_5_5"/>
      <w:bookmarkStart w:id="2093" w:name="Tc_P3zbk95cX0-eADSLw8ROJQ_5_2"/>
      <w:bookmarkStart w:id="2094" w:name="Tc_mxihTI4Gk0m93V1sKEworQ_5_0"/>
      <w:bookmarkStart w:id="2095" w:name="Tc_sU2sReaNjESIC7MQiE-__Q_4_0"/>
      <w:bookmarkStart w:id="2096" w:name="Tc_nzY6xWwmQUC22m_xRsVQQw_3_2"/>
      <w:bookmarkStart w:id="2097" w:name="Tc_sOf1093kfk6LZBT5le9Mlg_2_26"/>
      <w:bookmarkStart w:id="2098" w:name="Tc_0ISPgGr6kUSoX4UpiNXw8w_2_23"/>
      <w:bookmarkStart w:id="2099" w:name="Tc_PCj5M0ECwkGAS6e4Z5cd5w_2_20"/>
      <w:bookmarkStart w:id="2100" w:name="Tc_WXBQTjrSpkOHV67QDpsR_A_2_17"/>
      <w:bookmarkStart w:id="2101" w:name="Tc_el2sLxQpqk-ZatK7vYOPmA_2_14"/>
      <w:bookmarkStart w:id="2102" w:name="Tc_aVsLqmf2g0ii18SjfkbeJA_2_11"/>
      <w:bookmarkStart w:id="2103" w:name="Tc_525fIvN5ZkGKVSQ3TcDD-Q_2_8"/>
      <w:bookmarkStart w:id="2104" w:name="Tc_1ZR7yarBBEKDTeIRY8f96A_2_5"/>
      <w:bookmarkStart w:id="2105" w:name="Tc_Vsg_8I1__EqN-jci16i3Aw_2_2"/>
      <w:bookmarkStart w:id="2106" w:name="Tc_KpXXU7IGjEuHD6UWHv5XFg_1_2"/>
      <w:bookmarkStart w:id="2107" w:name="_db4d9aaf_ef02_4b10_b431_0cb3c929f029"/>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p>
    <w:tbl>
      <w:tblPr>
        <w:tblW w:w="10205" w:type="dxa"/>
        <w:jc w:val="left"/>
        <w:tblInd w:w="0" w:type="dxa"/>
        <w:tblLayout w:type="fixed"/>
        <w:tblCellMar>
          <w:top w:w="0" w:type="dxa"/>
          <w:left w:w="0" w:type="dxa"/>
          <w:bottom w:w="0" w:type="dxa"/>
          <w:right w:w="0" w:type="dxa"/>
        </w:tblCellMar>
      </w:tblPr>
      <w:tblGrid>
        <w:gridCol w:w="2748"/>
        <w:gridCol w:w="109"/>
        <w:gridCol w:w="224"/>
        <w:gridCol w:w="542"/>
        <w:gridCol w:w="109"/>
        <w:gridCol w:w="181"/>
        <w:gridCol w:w="436"/>
        <w:gridCol w:w="109"/>
        <w:gridCol w:w="233"/>
        <w:gridCol w:w="563"/>
        <w:gridCol w:w="109"/>
        <w:gridCol w:w="252"/>
        <w:gridCol w:w="484"/>
        <w:gridCol w:w="109"/>
        <w:gridCol w:w="181"/>
        <w:gridCol w:w="346"/>
        <w:gridCol w:w="109"/>
        <w:gridCol w:w="201"/>
        <w:gridCol w:w="385"/>
        <w:gridCol w:w="346"/>
        <w:gridCol w:w="196"/>
        <w:gridCol w:w="375"/>
        <w:gridCol w:w="109"/>
        <w:gridCol w:w="181"/>
        <w:gridCol w:w="512"/>
        <w:gridCol w:w="109"/>
        <w:gridCol w:w="218"/>
        <w:gridCol w:w="729"/>
      </w:tblGrid>
      <w:tr>
        <w:trPr/>
        <w:tc>
          <w:tcPr>
            <w:tcW w:w="2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744980" cy="175260"/>
                      <wp:effectExtent l="0" t="0" r="0" b="0"/>
                      <wp:wrapNone/>
                      <wp:docPr id="562" name="Frame562"/>
                      <a:graphic xmlns:a="http://schemas.openxmlformats.org/drawingml/2006/main">
                        <a:graphicData uri="http://schemas.microsoft.com/office/word/2010/wordprocessingShape">
                          <wps:wsp>
                            <wps:cNvSpPr txBox="1"/>
                            <wps:spPr>
                              <a:xfrm>
                                <a:off x="0" y="0"/>
                                <a:ext cx="1744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9215" cy="175260"/>
                      <wp:effectExtent l="0" t="0" r="0" b="0"/>
                      <wp:wrapNone/>
                      <wp:docPr id="563" name="Frame5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142240" cy="175260"/>
                      <wp:effectExtent l="0" t="0" r="0" b="0"/>
                      <wp:wrapNone/>
                      <wp:docPr id="564" name="Frame564"/>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344170" cy="175260"/>
                      <wp:effectExtent l="0" t="0" r="0" b="0"/>
                      <wp:wrapNone/>
                      <wp:docPr id="565" name="Frame565"/>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9215" cy="175260"/>
                      <wp:effectExtent l="0" t="0" r="0" b="0"/>
                      <wp:wrapNone/>
                      <wp:docPr id="566" name="Frame5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14935" cy="175260"/>
                      <wp:effectExtent l="0" t="0" r="0" b="0"/>
                      <wp:wrapNone/>
                      <wp:docPr id="567" name="Frame56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76860" cy="175260"/>
                      <wp:effectExtent l="0" t="0" r="0" b="0"/>
                      <wp:wrapNone/>
                      <wp:docPr id="568" name="Frame56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9215" cy="175260"/>
                      <wp:effectExtent l="0" t="0" r="0" b="0"/>
                      <wp:wrapNone/>
                      <wp:docPr id="569" name="Frame5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47955" cy="175260"/>
                      <wp:effectExtent l="0" t="0" r="0" b="0"/>
                      <wp:wrapNone/>
                      <wp:docPr id="570" name="Frame570"/>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357505" cy="175260"/>
                      <wp:effectExtent l="0" t="0" r="0" b="0"/>
                      <wp:wrapNone/>
                      <wp:docPr id="571" name="Frame571"/>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9215" cy="175260"/>
                      <wp:effectExtent l="0" t="0" r="0" b="0"/>
                      <wp:wrapNone/>
                      <wp:docPr id="572" name="Frame5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60020" cy="175260"/>
                      <wp:effectExtent l="0" t="0" r="0" b="0"/>
                      <wp:wrapNone/>
                      <wp:docPr id="573" name="Frame57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307340" cy="175260"/>
                      <wp:effectExtent l="0" t="0" r="0" b="0"/>
                      <wp:wrapNone/>
                      <wp:docPr id="574" name="Frame574"/>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9215" cy="175260"/>
                      <wp:effectExtent l="0" t="0" r="0" b="0"/>
                      <wp:wrapNone/>
                      <wp:docPr id="575" name="Frame5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14935" cy="175260"/>
                      <wp:effectExtent l="0" t="0" r="0" b="0"/>
                      <wp:wrapNone/>
                      <wp:docPr id="576" name="Frame57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19710" cy="175260"/>
                      <wp:effectExtent l="0" t="0" r="0" b="0"/>
                      <wp:wrapNone/>
                      <wp:docPr id="577" name="Frame5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9215" cy="175260"/>
                      <wp:effectExtent l="0" t="0" r="0" b="0"/>
                      <wp:wrapNone/>
                      <wp:docPr id="578" name="Frame5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27635" cy="175260"/>
                      <wp:effectExtent l="0" t="0" r="0" b="0"/>
                      <wp:wrapNone/>
                      <wp:docPr id="579" name="Frame579"/>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44475" cy="175260"/>
                      <wp:effectExtent l="0" t="0" r="0" b="0"/>
                      <wp:wrapNone/>
                      <wp:docPr id="580" name="Frame580"/>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19710" cy="175260"/>
                      <wp:effectExtent l="0" t="0" r="0" b="0"/>
                      <wp:wrapNone/>
                      <wp:docPr id="581" name="Frame5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24460" cy="175260"/>
                      <wp:effectExtent l="0" t="0" r="0" b="0"/>
                      <wp:wrapNone/>
                      <wp:docPr id="582" name="Frame5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38125" cy="175260"/>
                      <wp:effectExtent l="0" t="0" r="0" b="0"/>
                      <wp:wrapNone/>
                      <wp:docPr id="583" name="Frame58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9215" cy="175260"/>
                      <wp:effectExtent l="0" t="0" r="0" b="0"/>
                      <wp:wrapNone/>
                      <wp:docPr id="584" name="Frame5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114935" cy="175260"/>
                      <wp:effectExtent l="0" t="0" r="0" b="0"/>
                      <wp:wrapNone/>
                      <wp:docPr id="585" name="Frame58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325120" cy="175260"/>
                      <wp:effectExtent l="0" t="0" r="0" b="0"/>
                      <wp:wrapNone/>
                      <wp:docPr id="586" name="Frame586"/>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9215" cy="175260"/>
                      <wp:effectExtent l="0" t="0" r="0" b="0"/>
                      <wp:wrapNone/>
                      <wp:docPr id="587" name="Frame5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38430" cy="175260"/>
                      <wp:effectExtent l="0" t="0" r="0" b="0"/>
                      <wp:wrapNone/>
                      <wp:docPr id="588" name="Frame588"/>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462915" cy="175260"/>
                      <wp:effectExtent l="0" t="0" r="0" b="0"/>
                      <wp:wrapNone/>
                      <wp:docPr id="589" name="Frame589"/>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48" w:type="dxa"/>
            <w:gridSpan w:val="2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2024</w:t>
            </w:r>
          </w:p>
        </w:tc>
      </w:tr>
      <w:tr>
        <w:trPr/>
        <w:tc>
          <w:tcPr>
            <w:tcW w:w="274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109" w:type="dxa"/>
            <w:tcBorders/>
            <w:vAlign w:val="center"/>
          </w:tcPr>
          <w:p>
            <w:pPr>
              <w:pStyle w:val="TableContents"/>
              <w:bidi w:val="0"/>
              <w:spacing w:before="0" w:after="1"/>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Automotive</w:t>
            </w:r>
          </w:p>
        </w:tc>
        <w:tc>
          <w:tcPr>
            <w:tcW w:w="109" w:type="dxa"/>
            <w:tcBorders/>
            <w:vAlign w:val="center"/>
          </w:tcPr>
          <w:p>
            <w:pPr>
              <w:pStyle w:val="TableContents"/>
              <w:bidi w:val="0"/>
              <w:spacing w:before="0" w:after="1"/>
              <w:ind w:left="0" w:right="0" w:hanging="0"/>
              <w:jc w:val="center"/>
              <w:rPr/>
            </w:pPr>
            <w:r>
              <w:rPr/>
              <w:t>​</w:t>
            </w:r>
          </w:p>
        </w:tc>
        <w:tc>
          <w:tcPr>
            <w:tcW w:w="7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Food </w:t>
              <w:br/>
              <w:t>Packaging</w:t>
            </w:r>
          </w:p>
        </w:tc>
        <w:tc>
          <w:tcPr>
            <w:tcW w:w="109" w:type="dxa"/>
            <w:tcBorders/>
            <w:vAlign w:val="center"/>
          </w:tcPr>
          <w:p>
            <w:pPr>
              <w:pStyle w:val="TableContents"/>
              <w:bidi w:val="0"/>
              <w:spacing w:before="0" w:after="1"/>
              <w:ind w:left="0" w:right="0" w:hanging="0"/>
              <w:jc w:val="center"/>
              <w:rPr/>
            </w:pPr>
            <w:r>
              <w:rPr/>
              <w:t>​</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Real </w:t>
              <w:br/>
              <w:t>Estate</w:t>
            </w:r>
          </w:p>
        </w:tc>
        <w:tc>
          <w:tcPr>
            <w:tcW w:w="109" w:type="dxa"/>
            <w:tcBorders/>
            <w:vAlign w:val="center"/>
          </w:tcPr>
          <w:p>
            <w:pPr>
              <w:pStyle w:val="TableContents"/>
              <w:bidi w:val="0"/>
              <w:spacing w:before="0" w:after="1"/>
              <w:ind w:left="0" w:right="0" w:hanging="0"/>
              <w:jc w:val="center"/>
              <w:rPr/>
            </w:pPr>
            <w:r>
              <w:rPr/>
              <w:t>​</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Home </w:t>
              <w:br/>
              <w:t>Fashion</w:t>
            </w:r>
          </w:p>
        </w:tc>
        <w:tc>
          <w:tcPr>
            <w:tcW w:w="346" w:type="dxa"/>
            <w:tcBorders/>
            <w:vAlign w:val="center"/>
          </w:tcPr>
          <w:p>
            <w:pPr>
              <w:pStyle w:val="TableContents"/>
              <w:bidi w:val="0"/>
              <w:spacing w:before="0" w:after="1"/>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Pharma</w:t>
            </w:r>
          </w:p>
        </w:tc>
        <w:tc>
          <w:tcPr>
            <w:tcW w:w="109" w:type="dxa"/>
            <w:tcBorders/>
            <w:vAlign w:val="center"/>
          </w:tcPr>
          <w:p>
            <w:pPr>
              <w:pStyle w:val="TableContents"/>
              <w:bidi w:val="0"/>
              <w:spacing w:before="0" w:after="1"/>
              <w:ind w:left="0" w:right="0" w:hanging="0"/>
              <w:jc w:val="center"/>
              <w:rPr/>
            </w:pPr>
            <w:r>
              <w:rPr/>
              <w:t>​</w:t>
            </w:r>
          </w:p>
        </w:tc>
        <w:tc>
          <w:tcPr>
            <w:tcW w:w="6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Holding </w:t>
              <w:br/>
              <w:t>Company</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0205"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274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48" w:type="dxa"/>
            <w:gridSpan w:val="26"/>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(in millions)</w:t>
            </w:r>
          </w:p>
        </w:tc>
      </w:tr>
      <w:tr>
        <w:trPr/>
        <w:tc>
          <w:tcPr>
            <w:tcW w:w="2748" w:type="dxa"/>
            <w:tcBorders/>
            <w:shd w:fill="CCEEFF" w:val="cle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542"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center"/>
              <w:rPr/>
            </w:pPr>
            <w:r>
              <w:rPr/>
              <w:t>​</w:t>
            </w:r>
          </w:p>
        </w:tc>
      </w:tr>
      <w:tr>
        <w:trPr/>
        <w:tc>
          <w:tcPr>
            <w:tcW w:w="274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987</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133</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1,397</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2,603</w:t>
            </w:r>
          </w:p>
        </w:tc>
      </w:tr>
      <w:tr>
        <w:trPr/>
        <w:tc>
          <w:tcPr>
            <w:tcW w:w="27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held at consolidated affiliated partnerships and restricted cash</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54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2,449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4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173</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2,636</w:t>
            </w:r>
          </w:p>
        </w:tc>
      </w:tr>
      <w:tr>
        <w:trPr/>
        <w:tc>
          <w:tcPr>
            <w:tcW w:w="274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Investments</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54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2,272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4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2,310</w:t>
            </w:r>
          </w:p>
        </w:tc>
      </w:tr>
      <w:tr>
        <w:trPr/>
        <w:tc>
          <w:tcPr>
            <w:tcW w:w="27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Accounts receivable, net</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54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295</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479</w:t>
            </w:r>
          </w:p>
        </w:tc>
      </w:tr>
      <w:tr>
        <w:trPr/>
        <w:tc>
          <w:tcPr>
            <w:tcW w:w="274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Related party note receivable</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54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27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Inventories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54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502</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168</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897</w:t>
            </w:r>
          </w:p>
        </w:tc>
      </w:tr>
      <w:tr>
        <w:trPr/>
        <w:tc>
          <w:tcPr>
            <w:tcW w:w="274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Property, plant and equipment, net</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54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2,504</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808</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124</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3,843</w:t>
            </w:r>
          </w:p>
        </w:tc>
      </w:tr>
      <w:tr>
        <w:trPr/>
        <w:tc>
          <w:tcPr>
            <w:tcW w:w="27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Goodwill and intangible assets, net</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54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328</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697</w:t>
            </w:r>
          </w:p>
        </w:tc>
      </w:tr>
      <w:tr>
        <w:trPr/>
        <w:tc>
          <w:tcPr>
            <w:tcW w:w="274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assets</w:t>
            </w:r>
          </w:p>
        </w:tc>
        <w:tc>
          <w:tcPr>
            <w:tcW w:w="109"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1,660</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464</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w:t>
            </w:r>
          </w:p>
        </w:tc>
        <w:tc>
          <w:tcPr>
            <w:tcW w:w="109"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197</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2,807</w:t>
            </w:r>
          </w:p>
        </w:tc>
      </w:tr>
      <w:tr>
        <w:trPr/>
        <w:tc>
          <w:tcPr>
            <w:tcW w:w="27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assets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6,390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4,751</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1,939</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495</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1,778</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16,279</w:t>
            </w:r>
          </w:p>
        </w:tc>
      </w:tr>
      <w:tr>
        <w:trPr/>
        <w:tc>
          <w:tcPr>
            <w:tcW w:w="2748"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LIABILITIES AND EQUITY</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542"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484"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2"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pPr>
            <w:r>
              <w:rPr/>
              <w:t>​</w:t>
            </w:r>
          </w:p>
        </w:tc>
      </w:tr>
      <w:tr>
        <w:trPr/>
        <w:tc>
          <w:tcPr>
            <w:tcW w:w="27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Accounts payable, accrued expenses and other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1,509</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809</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2"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3,476</w:t>
            </w:r>
          </w:p>
        </w:tc>
      </w:tr>
      <w:tr>
        <w:trPr/>
        <w:tc>
          <w:tcPr>
            <w:tcW w:w="274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Securities sold, not yet purchased, at fair value</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54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1,373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4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1,373</w:t>
            </w:r>
          </w:p>
        </w:tc>
      </w:tr>
      <w:tr>
        <w:trPr/>
        <w:tc>
          <w:tcPr>
            <w:tcW w:w="27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Debt</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1,919</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4,699</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6,809</w:t>
            </w:r>
          </w:p>
        </w:tc>
      </w:tr>
      <w:tr>
        <w:trPr/>
        <w:tc>
          <w:tcPr>
            <w:tcW w:w="274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liabilities</w:t>
            </w:r>
          </w:p>
        </w:tc>
        <w:tc>
          <w:tcPr>
            <w:tcW w:w="109"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2,190</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3,428</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840</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251</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w:t>
            </w:r>
          </w:p>
        </w:tc>
        <w:tc>
          <w:tcPr>
            <w:tcW w:w="109"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4,776</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11,658</w:t>
            </w:r>
          </w:p>
        </w:tc>
      </w:tr>
      <w:tr>
        <w:trPr/>
        <w:tc>
          <w:tcPr>
            <w:tcW w:w="274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54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48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29" w:type="dxa"/>
            <w:tcBorders/>
            <w:shd w:fill="CCEEFF" w:val="clear"/>
            <w:vAlign w:val="center"/>
          </w:tcPr>
          <w:p>
            <w:pPr>
              <w:pStyle w:val="TableContents"/>
              <w:bidi w:val="0"/>
              <w:spacing w:before="0" w:after="1"/>
              <w:ind w:left="0" w:right="0" w:hanging="0"/>
              <w:jc w:val="left"/>
              <w:rPr/>
            </w:pPr>
            <w:r>
              <w:rPr/>
              <w:t>​</w:t>
            </w:r>
          </w:p>
        </w:tc>
      </w:tr>
      <w:tr>
        <w:trPr/>
        <w:tc>
          <w:tcPr>
            <w:tcW w:w="274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 attributable to Icahn Enterprises</w:t>
            </w:r>
          </w:p>
        </w:tc>
        <w:tc>
          <w:tcPr>
            <w:tcW w:w="109"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54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2,703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685</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1,099</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4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447</w:t>
            </w:r>
          </w:p>
        </w:tc>
        <w:tc>
          <w:tcPr>
            <w:tcW w:w="109"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209</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2"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(2,998)</w:t>
            </w:r>
          </w:p>
        </w:tc>
        <w:tc>
          <w:tcPr>
            <w:tcW w:w="109"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729"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2,466</w:t>
            </w:r>
          </w:p>
        </w:tc>
      </w:tr>
      <w:tr>
        <w:trPr/>
        <w:tc>
          <w:tcPr>
            <w:tcW w:w="27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 attributable to non-controlling interests</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1,497</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638</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2,155</w:t>
            </w:r>
          </w:p>
        </w:tc>
      </w:tr>
      <w:tr>
        <w:trPr/>
        <w:tc>
          <w:tcPr>
            <w:tcW w:w="2748"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equity</w:t>
            </w:r>
          </w:p>
        </w:tc>
        <w:tc>
          <w:tcPr>
            <w:tcW w:w="109"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4,200</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1,323</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1,099</w:t>
            </w:r>
          </w:p>
        </w:tc>
        <w:tc>
          <w:tcPr>
            <w:tcW w:w="109"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174</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452</w:t>
            </w:r>
          </w:p>
        </w:tc>
        <w:tc>
          <w:tcPr>
            <w:tcW w:w="109"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209</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(2,998)</w:t>
            </w:r>
          </w:p>
        </w:tc>
        <w:tc>
          <w:tcPr>
            <w:tcW w:w="109"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4,621</w:t>
            </w:r>
          </w:p>
        </w:tc>
      </w:tr>
      <w:tr>
        <w:trPr/>
        <w:tc>
          <w:tcPr>
            <w:tcW w:w="274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Total liabilities and equity</w:t>
            </w:r>
          </w:p>
        </w:tc>
        <w:tc>
          <w:tcPr>
            <w:tcW w:w="109"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6,390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4,751</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1,939</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425</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495</w:t>
            </w:r>
          </w:p>
        </w:tc>
        <w:tc>
          <w:tcPr>
            <w:tcW w:w="109"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1,778</w:t>
            </w:r>
          </w:p>
        </w:tc>
        <w:tc>
          <w:tcPr>
            <w:tcW w:w="109"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29"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16,279</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2108" w:name="Tc_t1G1pbA1yEOEDtPEJ51inA_8_23"/>
      <w:bookmarkStart w:id="2109" w:name="Tc_xQGjFHFLrkmDMXVAEmOISw_8_20"/>
      <w:bookmarkStart w:id="2110" w:name="Tc_o2SCXgfgfUKi3mIr0ncGGg_8_17"/>
      <w:bookmarkStart w:id="2111" w:name="Tc_T32dUubo1U6T9fm7BDvnSg_8_14"/>
      <w:bookmarkStart w:id="2112" w:name="Tc_fAcSRsIaUUmxeLvExSz1mw_8_11"/>
      <w:bookmarkStart w:id="2113" w:name="Tc_cDQokQjxXE2LHAZ1TggSPA_8_8"/>
      <w:bookmarkStart w:id="2114" w:name="Tc_PAVaYLld5ki2wg1-QQ5oxQ_8_5"/>
      <w:bookmarkStart w:id="2115" w:name="Tc_U10FcXae9kiu1ooRgke9ZA_8_2"/>
      <w:bookmarkStart w:id="2116" w:name="Tc_EyBS3WMQIECV7gmrZ55L1g_7_0"/>
      <w:bookmarkStart w:id="2117" w:name="Tc_Krcwd63NjUCzwAjXkuUGHQ_6_23"/>
      <w:bookmarkStart w:id="2118" w:name="Tc_F7m6dgQhtUiU8V0QeURRNg_6_20"/>
      <w:bookmarkStart w:id="2119" w:name="Tc_ZFdtcgWGnEKPwmNW0-7L_Q_6_17"/>
      <w:bookmarkStart w:id="2120" w:name="Tc_QGQg2evRRkWt1sDpSQZZvg_6_14"/>
      <w:bookmarkStart w:id="2121" w:name="Tc_ACxW4RpeUkK54gpXjIRf5g_6_11"/>
      <w:bookmarkStart w:id="2122" w:name="Tc_UCdx4PD2skWipWeh5M1JAw_6_8"/>
      <w:bookmarkStart w:id="2123" w:name="Tc_6L6-8x0Cq0W68hsoJqN0aw_6_5"/>
      <w:bookmarkStart w:id="2124" w:name="Tc_QMq9ICjYSEiqDO17bAZQ6Q_6_2"/>
      <w:bookmarkStart w:id="2125" w:name="Tc_gWUu4DiVZ0OLzeMlO1eS5w_6_0"/>
      <w:bookmarkStart w:id="2126" w:name="Tc_cHJmKvS9zkyfOwYiMzixBA_5_1"/>
      <w:bookmarkStart w:id="2127" w:name="Tc_euA_xlYTVk2eyTX1nZd7TQ_4_23"/>
      <w:bookmarkStart w:id="2128" w:name="Tc_ihsFUUThu06I2tckwZ1bjg_4_20"/>
      <w:bookmarkStart w:id="2129" w:name="Tc_GYz3Utev70SXCV1z-Y9ZpQ_4_17"/>
      <w:bookmarkStart w:id="2130" w:name="Tc_n_c8nJ-frkGETnd935otpg_4_14"/>
      <w:bookmarkStart w:id="2131" w:name="Tc_yB1rCQIPZkaHjBdJ0ZGOTQ_4_11"/>
      <w:bookmarkStart w:id="2132" w:name="Tc_9VVlSgXmT0SCtXNnl9iU0Q_4_8"/>
      <w:bookmarkStart w:id="2133" w:name="Tc_aYCTdEaZqkqHEzy83Jce9A_4_5"/>
      <w:bookmarkStart w:id="2134" w:name="Tc_28Dsd8but0a40qQ9JZfesw_4_2"/>
      <w:bookmarkStart w:id="2135" w:name="Tc_b0_U5WA7akKCRUpAa8RVuA_3_20"/>
      <w:bookmarkStart w:id="2136" w:name="Tc_SbV7uKwlUE-4_A_YRFyvQA_3_11"/>
      <w:bookmarkStart w:id="2137" w:name="Tc_cLA6F9zrBUyAvFiX8CkMYg_3_2"/>
      <w:bookmarkStart w:id="2138" w:name="Tc_IrM0I8AnMES2Fw2iFJhUFA_2_20"/>
      <w:bookmarkStart w:id="2139" w:name="Tc_2-1_zVZZH066ty-1eV5Y5g_2_11"/>
      <w:bookmarkStart w:id="2140" w:name="Tc_xP8BGYfauUaO2hCbs6GqHw_2_2"/>
      <w:bookmarkStart w:id="2141" w:name="Tc_uK0LOQCxkUWDuznUIeZJdA_1_20"/>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r>
        <w:rPr>
          <w:rFonts w:ascii="Times New Roman;Times;serif" w:hAnsi="Times New Roman;Times;serif"/>
          <w:b/>
          <w:sz w:val="20"/>
        </w:rPr>
        <w:t>Geographic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our consolidated geographic net sales from external customers, other revenues from operations and property, plant and equipment, net for the periods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89"/>
        <w:gridCol w:w="346"/>
        <w:gridCol w:w="211"/>
        <w:gridCol w:w="571"/>
        <w:gridCol w:w="346"/>
        <w:gridCol w:w="211"/>
        <w:gridCol w:w="571"/>
        <w:gridCol w:w="346"/>
        <w:gridCol w:w="211"/>
        <w:gridCol w:w="676"/>
        <w:gridCol w:w="346"/>
        <w:gridCol w:w="229"/>
        <w:gridCol w:w="458"/>
        <w:gridCol w:w="377"/>
        <w:gridCol w:w="229"/>
        <w:gridCol w:w="458"/>
        <w:gridCol w:w="377"/>
        <w:gridCol w:w="229"/>
        <w:gridCol w:w="458"/>
        <w:gridCol w:w="346"/>
        <w:gridCol w:w="211"/>
        <w:gridCol w:w="571"/>
        <w:gridCol w:w="346"/>
        <w:gridCol w:w="211"/>
        <w:gridCol w:w="681"/>
      </w:tblGrid>
      <w:tr>
        <w:trPr/>
        <w:tc>
          <w:tcPr>
            <w:tcW w:w="1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755015" cy="175260"/>
                      <wp:effectExtent l="0" t="0" r="0" b="0"/>
                      <wp:wrapNone/>
                      <wp:docPr id="590" name="Frame590"/>
                      <a:graphic xmlns:a="http://schemas.openxmlformats.org/drawingml/2006/main">
                        <a:graphicData uri="http://schemas.microsoft.com/office/word/2010/wordprocessingShape">
                          <wps:wsp>
                            <wps:cNvSpPr txBox="1"/>
                            <wps:spPr>
                              <a:xfrm>
                                <a:off x="0" y="0"/>
                                <a:ext cx="755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19710" cy="175260"/>
                      <wp:effectExtent l="0" t="0" r="0" b="0"/>
                      <wp:wrapNone/>
                      <wp:docPr id="591" name="Frame5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133985" cy="175260"/>
                      <wp:effectExtent l="0" t="0" r="0" b="0"/>
                      <wp:wrapNone/>
                      <wp:docPr id="592" name="Frame5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362585" cy="175260"/>
                      <wp:effectExtent l="0" t="0" r="0" b="0"/>
                      <wp:wrapNone/>
                      <wp:docPr id="593" name="Frame5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19710" cy="175260"/>
                      <wp:effectExtent l="0" t="0" r="0" b="0"/>
                      <wp:wrapNone/>
                      <wp:docPr id="594" name="Frame5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133985" cy="175260"/>
                      <wp:effectExtent l="0" t="0" r="0" b="0"/>
                      <wp:wrapNone/>
                      <wp:docPr id="595" name="Frame5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362585" cy="175260"/>
                      <wp:effectExtent l="0" t="0" r="0" b="0"/>
                      <wp:wrapNone/>
                      <wp:docPr id="596" name="Frame5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19710" cy="175260"/>
                      <wp:effectExtent l="0" t="0" r="0" b="0"/>
                      <wp:wrapNone/>
                      <wp:docPr id="597" name="Frame5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133985" cy="175260"/>
                      <wp:effectExtent l="0" t="0" r="0" b="0"/>
                      <wp:wrapNone/>
                      <wp:docPr id="598" name="Frame5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429260" cy="175260"/>
                      <wp:effectExtent l="0" t="0" r="0" b="0"/>
                      <wp:wrapNone/>
                      <wp:docPr id="599" name="Frame5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19710" cy="175260"/>
                      <wp:effectExtent l="0" t="0" r="0" b="0"/>
                      <wp:wrapNone/>
                      <wp:docPr id="600" name="Frame6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45415" cy="175260"/>
                      <wp:effectExtent l="0" t="0" r="0" b="0"/>
                      <wp:wrapNone/>
                      <wp:docPr id="601" name="Frame601"/>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90830" cy="175260"/>
                      <wp:effectExtent l="0" t="0" r="0" b="0"/>
                      <wp:wrapNone/>
                      <wp:docPr id="602" name="Frame602"/>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39395" cy="175260"/>
                      <wp:effectExtent l="0" t="0" r="0" b="0"/>
                      <wp:wrapNone/>
                      <wp:docPr id="603" name="Frame603"/>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45415" cy="175260"/>
                      <wp:effectExtent l="0" t="0" r="0" b="0"/>
                      <wp:wrapNone/>
                      <wp:docPr id="604" name="Frame604"/>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90830" cy="175260"/>
                      <wp:effectExtent l="0" t="0" r="0" b="0"/>
                      <wp:wrapNone/>
                      <wp:docPr id="605" name="Frame605"/>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39395" cy="175260"/>
                      <wp:effectExtent l="0" t="0" r="0" b="0"/>
                      <wp:wrapNone/>
                      <wp:docPr id="606" name="Frame606"/>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45415" cy="175260"/>
                      <wp:effectExtent l="0" t="0" r="0" b="0"/>
                      <wp:wrapNone/>
                      <wp:docPr id="607" name="Frame607"/>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90830" cy="175260"/>
                      <wp:effectExtent l="0" t="0" r="0" b="0"/>
                      <wp:wrapNone/>
                      <wp:docPr id="608" name="Frame608"/>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19710" cy="175260"/>
                      <wp:effectExtent l="0" t="0" r="0" b="0"/>
                      <wp:wrapNone/>
                      <wp:docPr id="609" name="Frame6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33985" cy="175260"/>
                      <wp:effectExtent l="0" t="0" r="0" b="0"/>
                      <wp:wrapNone/>
                      <wp:docPr id="610" name="Frame6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362585" cy="175260"/>
                      <wp:effectExtent l="0" t="0" r="0" b="0"/>
                      <wp:wrapNone/>
                      <wp:docPr id="611" name="Frame61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19710" cy="175260"/>
                      <wp:effectExtent l="0" t="0" r="0" b="0"/>
                      <wp:wrapNone/>
                      <wp:docPr id="612" name="Frame6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33985" cy="175260"/>
                      <wp:effectExtent l="0" t="0" r="0" b="0"/>
                      <wp:wrapNone/>
                      <wp:docPr id="613" name="Frame6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432435" cy="175260"/>
                      <wp:effectExtent l="0" t="0" r="0" b="0"/>
                      <wp:wrapNone/>
                      <wp:docPr id="614" name="Frame614"/>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815" w:type="dxa"/>
            <w:gridSpan w:val="8"/>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02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Property, Plant and</w:t>
            </w:r>
          </w:p>
        </w:tc>
      </w:tr>
      <w:tr>
        <w:trPr/>
        <w:tc>
          <w:tcPr>
            <w:tcW w:w="11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4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Net Sales</w:t>
            </w:r>
          </w:p>
        </w:tc>
        <w:tc>
          <w:tcPr>
            <w:tcW w:w="346" w:type="dxa"/>
            <w:tcBorders/>
            <w:vAlign w:val="center"/>
          </w:tcPr>
          <w:p>
            <w:pPr>
              <w:pStyle w:val="TableContents"/>
              <w:bidi w:val="0"/>
              <w:spacing w:before="0" w:after="1"/>
              <w:ind w:left="0" w:right="0" w:hanging="0"/>
              <w:jc w:val="left"/>
              <w:rPr/>
            </w:pPr>
            <w:r>
              <w:rPr/>
              <w:t>​</w:t>
            </w:r>
          </w:p>
        </w:tc>
        <w:tc>
          <w:tcPr>
            <w:tcW w:w="281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Other Revenues From Operations</w:t>
            </w:r>
          </w:p>
        </w:tc>
        <w:tc>
          <w:tcPr>
            <w:tcW w:w="346" w:type="dxa"/>
            <w:tcBorders/>
            <w:vAlign w:val="center"/>
          </w:tcPr>
          <w:p>
            <w:pPr>
              <w:pStyle w:val="TableContents"/>
              <w:bidi w:val="0"/>
              <w:spacing w:before="0" w:after="1"/>
              <w:ind w:left="0" w:right="0" w:hanging="0"/>
              <w:jc w:val="center"/>
              <w:rPr/>
            </w:pPr>
            <w:r>
              <w:rPr/>
              <w:t>​</w:t>
            </w:r>
          </w:p>
        </w:tc>
        <w:tc>
          <w:tcPr>
            <w:tcW w:w="20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Equipment, Net</w:t>
            </w:r>
          </w:p>
        </w:tc>
      </w:tr>
      <w:tr>
        <w:trPr/>
        <w:tc>
          <w:tcPr>
            <w:tcW w:w="11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14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c>
          <w:tcPr>
            <w:tcW w:w="346" w:type="dxa"/>
            <w:tcBorders/>
            <w:vAlign w:val="center"/>
          </w:tcPr>
          <w:p>
            <w:pPr>
              <w:pStyle w:val="TableContents"/>
              <w:bidi w:val="0"/>
              <w:spacing w:before="0" w:after="1"/>
              <w:ind w:left="0" w:right="0" w:hanging="0"/>
              <w:jc w:val="center"/>
              <w:rPr/>
            </w:pPr>
            <w:r>
              <w:rPr/>
              <w:t>​</w:t>
            </w:r>
          </w:p>
        </w:tc>
        <w:tc>
          <w:tcPr>
            <w:tcW w:w="281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c>
          <w:tcPr>
            <w:tcW w:w="346" w:type="dxa"/>
            <w:tcBorders/>
            <w:vAlign w:val="center"/>
          </w:tcPr>
          <w:p>
            <w:pPr>
              <w:pStyle w:val="TableContents"/>
              <w:bidi w:val="0"/>
              <w:spacing w:before="0" w:after="1"/>
              <w:ind w:left="0" w:right="0" w:hanging="0"/>
              <w:jc w:val="center"/>
              <w:rPr/>
            </w:pPr>
            <w:r>
              <w:rPr/>
              <w:t>​</w:t>
            </w:r>
          </w:p>
        </w:tc>
        <w:tc>
          <w:tcPr>
            <w:tcW w:w="20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1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0" w:after="1"/>
              <w:ind w:left="0" w:right="0" w:hanging="0"/>
              <w:jc w:val="left"/>
              <w:rPr/>
            </w:pPr>
            <w:r>
              <w:rPr/>
              <w:t>  ​ ​ ​</w:t>
            </w:r>
          </w:p>
        </w:tc>
        <w:tc>
          <w:tcPr>
            <w:tcW w:w="6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7" w:type="dxa"/>
            <w:tcBorders/>
            <w:vAlign w:val="center"/>
          </w:tcPr>
          <w:p>
            <w:pPr>
              <w:pStyle w:val="TableContents"/>
              <w:bidi w:val="0"/>
              <w:spacing w:before="0" w:after="1"/>
              <w:ind w:left="0" w:right="0" w:hanging="0"/>
              <w:jc w:val="left"/>
              <w:rPr/>
            </w:pPr>
            <w:r>
              <w:rPr/>
              <w:t>  ​ ​ ​</w:t>
            </w:r>
          </w:p>
        </w:tc>
        <w:tc>
          <w:tcPr>
            <w:tcW w:w="6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77" w:type="dxa"/>
            <w:tcBorders/>
            <w:vAlign w:val="center"/>
          </w:tcPr>
          <w:p>
            <w:pPr>
              <w:pStyle w:val="TableContents"/>
              <w:bidi w:val="0"/>
              <w:spacing w:before="0" w:after="1"/>
              <w:ind w:left="0" w:right="0" w:hanging="0"/>
              <w:jc w:val="left"/>
              <w:rPr/>
            </w:pPr>
            <w:r>
              <w:rPr/>
              <w:t>  ​ ​ ​</w:t>
            </w:r>
          </w:p>
        </w:tc>
        <w:tc>
          <w:tcPr>
            <w:tcW w:w="6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8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189" w:type="dxa"/>
            <w:tcBorders/>
            <w:vAlign w:val="center"/>
          </w:tcPr>
          <w:p>
            <w:pPr>
              <w:pStyle w:val="TableContents"/>
              <w:bidi w:val="0"/>
              <w:spacing w:before="0" w:after="1"/>
              <w:ind w:left="0" w:right="0" w:hanging="0"/>
              <w:jc w:val="left"/>
              <w:rPr/>
            </w:pPr>
            <w:r>
              <w:rPr/>
              <w:t>​</w:t>
            </w:r>
          </w:p>
        </w:tc>
        <w:tc>
          <w:tcPr>
            <w:tcW w:w="9016" w:type="dxa"/>
            <w:gridSpan w:val="2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1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10,687</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w:t>
            </w:r>
          </w:p>
        </w:tc>
        <w:tc>
          <w:tcPr>
            <w:tcW w:w="377"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c>
          <w:tcPr>
            <w:tcW w:w="377"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3,731</w:t>
            </w:r>
          </w:p>
        </w:tc>
      </w:tr>
      <w:tr>
        <w:trPr/>
        <w:tc>
          <w:tcPr>
            <w:tcW w:w="11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77"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77"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118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11,077</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w:t>
            </w:r>
          </w:p>
        </w:tc>
        <w:tc>
          <w:tcPr>
            <w:tcW w:w="377"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w:t>
            </w:r>
          </w:p>
        </w:tc>
        <w:tc>
          <w:tcPr>
            <w:tcW w:w="377"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3,843</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Geographic locations for net sales and other revenues from operations are based on locations of the customers and geographic locations for property, plant, and equipment are based on the locations of the assets.</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142" w:name="Tc_NmW2Zve_v0iLNA-68xpYqA_6_8"/>
      <w:bookmarkStart w:id="2143" w:name="Tc_SmDU6pJbGEuayipzGwSyOQ_6_5"/>
      <w:bookmarkStart w:id="2144" w:name="Tc_2W3lw3ysHUq1zliEeNDPxg_6_2"/>
      <w:bookmarkStart w:id="2145" w:name="Tc_atYaBMzzr0Sh30xxojIXxw_5_0"/>
      <w:bookmarkStart w:id="2146" w:name="Tc_yPDukji6GU-nOp_yn4U2AQ_4_8"/>
      <w:bookmarkStart w:id="2147" w:name="Tc_c5WvIOUVUUS2AQ6ZNbyynw_4_5"/>
      <w:bookmarkStart w:id="2148" w:name="Tc_S_NIQG7gaEGFoOSMWOxLfw_4_2"/>
      <w:bookmarkStart w:id="2149" w:name="Tc_izkgGbrHp0e3RfrgDWynmQ_4_0"/>
      <w:bookmarkStart w:id="2150" w:name="Tc_Y38EdAga80CSWSYT7PZ6vA_3_2"/>
      <w:bookmarkStart w:id="2151" w:name="Tc_7SQ32Nfrz0qbraCe11gCag_2_8"/>
      <w:bookmarkStart w:id="2152" w:name="Tc_LMaoAhX0GkOxqZOTKjhEew_2_5"/>
      <w:bookmarkStart w:id="2153" w:name="Tc_nteBvFmss0qLXUd3yaUH5w_2_2"/>
      <w:bookmarkStart w:id="2154" w:name="Tc_91AKB6XZYEekv5hx5UXm6Q_1_2"/>
      <w:bookmarkStart w:id="2155" w:name="Tc_YoBD7_ENnEyrTqhoocRAXQ_7_5"/>
      <w:bookmarkStart w:id="2156" w:name="Tc_eVZdi-OB8UCEqGz6MSNiGw_7_2"/>
      <w:bookmarkStart w:id="2157" w:name="Tc_JbUwFOHThkCBe5nhaCxK-Q_7_0"/>
      <w:bookmarkStart w:id="2158" w:name="Tc_ZzUlHD4b906MDiKd0Q8YjA_6_0"/>
      <w:bookmarkStart w:id="2159" w:name="Tc_LV6yCyZqIU6fxDp1OIiRUw_5_5"/>
      <w:bookmarkStart w:id="2160" w:name="Tc_4W5UDL__wEWuqsDLqzvKNg_5_2"/>
      <w:bookmarkStart w:id="2161" w:name="Tc_95rLY3P9aECv2jo5jNSaPA_5_0"/>
      <w:bookmarkStart w:id="2162" w:name="Tc_2QsexcLS-EO3MwBIculGtQ_4_3"/>
      <w:bookmarkStart w:id="2163" w:name="Tc_AfA-eAsOeUi1qRnfAiBsRg_3_5"/>
      <w:bookmarkStart w:id="2164" w:name="Tc_UgxrnzE_7EOXW__oB6QfFw_3_2"/>
      <w:bookmarkStart w:id="2165" w:name="Tc_o2QG0fH0y0yaJ72VBUmleQ_2_2"/>
      <w:bookmarkStart w:id="2166" w:name="Tc_eqUo5G2XGk2lW2XbZxpg2w_1_2"/>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r>
        <w:rPr>
          <w:rFonts w:ascii="Times New Roman;Times;serif" w:hAnsi="Times New Roman;Times;serif"/>
          <w:b/>
          <w:sz w:val="20"/>
        </w:rPr>
        <w:t>16.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Effective January 1, 2025, we adopted ASU 2023-09, Income Taxes (Topic 740) Improvements to Income Taxes Disclosures prospectively.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difference between the book basis and the tax basis of our net assets, not directly subject to income taxes, is as follows:</w:t>
      </w:r>
    </w:p>
    <w:p>
      <w:pPr>
        <w:pStyle w:val="TextBody"/>
        <w:bidi w:val="0"/>
        <w:spacing w:before="0" w:after="0"/>
        <w:ind w:left="0" w:right="0" w:hanging="0"/>
        <w:jc w:val="left"/>
        <w:rPr/>
      </w:pPr>
      <w:r>
        <w:rPr/>
        <w:t>​</w:t>
      </w:r>
    </w:p>
    <w:tbl>
      <w:tblPr>
        <w:tblW w:w="4552" w:type="dxa"/>
        <w:jc w:val="left"/>
        <w:tblInd w:w="0" w:type="dxa"/>
        <w:tblLayout w:type="fixed"/>
        <w:tblCellMar>
          <w:top w:w="0" w:type="dxa"/>
          <w:left w:w="0" w:type="dxa"/>
          <w:bottom w:w="0" w:type="dxa"/>
          <w:right w:w="0" w:type="dxa"/>
        </w:tblCellMar>
      </w:tblPr>
      <w:tblGrid>
        <w:gridCol w:w="2191"/>
        <w:gridCol w:w="346"/>
        <w:gridCol w:w="211"/>
        <w:gridCol w:w="571"/>
        <w:gridCol w:w="346"/>
        <w:gridCol w:w="211"/>
        <w:gridCol w:w="67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391285" cy="175260"/>
                      <wp:effectExtent l="0" t="0" r="0" b="0"/>
                      <wp:wrapNone/>
                      <wp:docPr id="615" name="Frame615"/>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19710" cy="175260"/>
                      <wp:effectExtent l="0" t="0" r="0" b="0"/>
                      <wp:wrapNone/>
                      <wp:docPr id="616" name="Frame6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33985" cy="175260"/>
                      <wp:effectExtent l="0" t="0" r="0" b="0"/>
                      <wp:wrapNone/>
                      <wp:docPr id="617" name="Frame6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362585" cy="175260"/>
                      <wp:effectExtent l="0" t="0" r="0" b="0"/>
                      <wp:wrapNone/>
                      <wp:docPr id="618" name="Frame61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19710" cy="175260"/>
                      <wp:effectExtent l="0" t="0" r="0" b="0"/>
                      <wp:wrapNone/>
                      <wp:docPr id="619" name="Frame6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133985" cy="175260"/>
                      <wp:effectExtent l="0" t="0" r="0" b="0"/>
                      <wp:wrapNone/>
                      <wp:docPr id="620" name="Frame6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429260" cy="175260"/>
                      <wp:effectExtent l="0" t="0" r="0" b="0"/>
                      <wp:wrapNone/>
                      <wp:docPr id="621" name="Frame6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Icahn Enterprises</w:t>
            </w:r>
          </w:p>
        </w:tc>
      </w:tr>
      <w:tr>
        <w:trPr/>
        <w:tc>
          <w:tcPr>
            <w:tcW w:w="21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1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455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1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804" w:type="dxa"/>
            <w:gridSpan w:val="4"/>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Book basis of net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2,449</w:t>
            </w:r>
          </w:p>
        </w:tc>
      </w:tr>
      <w:tr>
        <w:trPr/>
        <w:tc>
          <w:tcPr>
            <w:tcW w:w="2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Book/tax basis difference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basis of net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2,083</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Income (loss) from continuing operations before income tax benefit (expense) is as follows:</w:t>
      </w:r>
    </w:p>
    <w:p>
      <w:pPr>
        <w:pStyle w:val="TextBody"/>
        <w:bidi w:val="0"/>
        <w:spacing w:before="0" w:after="0"/>
        <w:ind w:left="0" w:right="0" w:hanging="0"/>
        <w:jc w:val="left"/>
        <w:rPr/>
      </w:pPr>
      <w:r>
        <w:rPr/>
        <w:t>​</w:t>
      </w:r>
    </w:p>
    <w:tbl>
      <w:tblPr>
        <w:tblW w:w="4510" w:type="dxa"/>
        <w:jc w:val="left"/>
        <w:tblInd w:w="0" w:type="dxa"/>
        <w:tblLayout w:type="fixed"/>
        <w:tblCellMar>
          <w:top w:w="0" w:type="dxa"/>
          <w:left w:w="0" w:type="dxa"/>
          <w:bottom w:w="0" w:type="dxa"/>
          <w:right w:w="0" w:type="dxa"/>
        </w:tblCellMar>
      </w:tblPr>
      <w:tblGrid>
        <w:gridCol w:w="1171"/>
        <w:gridCol w:w="346"/>
        <w:gridCol w:w="211"/>
        <w:gridCol w:w="541"/>
        <w:gridCol w:w="346"/>
        <w:gridCol w:w="211"/>
        <w:gridCol w:w="541"/>
        <w:gridCol w:w="346"/>
        <w:gridCol w:w="211"/>
        <w:gridCol w:w="586"/>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743585" cy="175260"/>
                      <wp:effectExtent l="0" t="0" r="0" b="0"/>
                      <wp:wrapNone/>
                      <wp:docPr id="622" name="Frame62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19710" cy="175260"/>
                      <wp:effectExtent l="0" t="0" r="0" b="0"/>
                      <wp:wrapNone/>
                      <wp:docPr id="623" name="Frame6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133985" cy="175260"/>
                      <wp:effectExtent l="0" t="0" r="0" b="0"/>
                      <wp:wrapNone/>
                      <wp:docPr id="624" name="Frame6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343535" cy="175260"/>
                      <wp:effectExtent l="0" t="0" r="0" b="0"/>
                      <wp:wrapNone/>
                      <wp:docPr id="625" name="Frame62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219710" cy="175260"/>
                      <wp:effectExtent l="0" t="0" r="0" b="0"/>
                      <wp:wrapNone/>
                      <wp:docPr id="626" name="Frame6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33985" cy="175260"/>
                      <wp:effectExtent l="0" t="0" r="0" b="0"/>
                      <wp:wrapNone/>
                      <wp:docPr id="627" name="Frame6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343535" cy="175260"/>
                      <wp:effectExtent l="0" t="0" r="0" b="0"/>
                      <wp:wrapNone/>
                      <wp:docPr id="628" name="Frame62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19710" cy="175260"/>
                      <wp:effectExtent l="0" t="0" r="0" b="0"/>
                      <wp:wrapNone/>
                      <wp:docPr id="629" name="Frame6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133985" cy="175260"/>
                      <wp:effectExtent l="0" t="0" r="0" b="0"/>
                      <wp:wrapNone/>
                      <wp:docPr id="630" name="Frame6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372110" cy="175260"/>
                      <wp:effectExtent l="0" t="0" r="0" b="0"/>
                      <wp:wrapNone/>
                      <wp:docPr id="631" name="Frame63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9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451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93"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Domestic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(943)</w:t>
            </w:r>
          </w:p>
        </w:tc>
      </w:tr>
      <w:tr>
        <w:trPr/>
        <w:tc>
          <w:tcPr>
            <w:tcW w:w="1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11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bookmarkStart w:id="2167" w:name="Tc_tMZwn_uUwUet1WH_2MLXLg_12_4"/>
      <w:bookmarkStart w:id="2168" w:name="Tc_PFXLKbChCUOq4ZAlPW_MZg_12_1"/>
      <w:bookmarkStart w:id="2169" w:name="Tc_nxLS5s3lIkOdsMgP_vrVCA_11_0"/>
      <w:bookmarkStart w:id="2170" w:name="Tc_zS6g2MB5TUWHDOZPrEXo8Q_10_0"/>
      <w:bookmarkStart w:id="2171" w:name="Tc_XCSHqW_fX0S7dgrb3umdCg_9_0"/>
      <w:bookmarkStart w:id="2172" w:name="Tc_T1xKkkzzZ0uzD_-O5L2vfg_8_0"/>
      <w:bookmarkStart w:id="2173" w:name="Tc_EuEKUWXwQEOAj1h-qWHgOw_7_0"/>
      <w:bookmarkStart w:id="2174" w:name="Tc_DsYMS6xh50ipZdzh5_9mmw_6_0"/>
      <w:bookmarkStart w:id="2175" w:name="Tc_1QxOqlEtWEiTYX1VnhPNSA_5_4"/>
      <w:bookmarkStart w:id="2176" w:name="Tc_8MYPrxgKVkONk5Ym85F5KQ_5_1"/>
      <w:bookmarkStart w:id="2177" w:name="Tc_nTA9eZYj9kO7TuIlTgMujA_5_0"/>
      <w:bookmarkStart w:id="2178" w:name="Tc_L6iqcce4YEyHuV-iQdTduw_4_0"/>
      <w:bookmarkStart w:id="2179" w:name="Tc__y5ZkWE13kSJY_XHrtMHSQ_2_4"/>
      <w:bookmarkStart w:id="2180" w:name="Tc_8_8myingCUup7h8LWaep_A_2_1"/>
      <w:bookmarkStart w:id="2181" w:name="Tc_qmLMpwwZQEWGnq6mTXhBwQ_1_1"/>
      <w:bookmarkStart w:id="2182" w:name="Tc_wujfT2CAb0uiAVixfe0rGw_14_2"/>
      <w:bookmarkStart w:id="2183" w:name="Tc_SQFKCfnHh0SiUQpW2VK83Q_13_0"/>
      <w:bookmarkStart w:id="2184" w:name="Tc_04pf8ohIvUeS4uY9dka-sw_12_0"/>
      <w:bookmarkStart w:id="2185" w:name="Tc_YQhrSP3vHUuSYG0vTF94Xg_11_0"/>
      <w:bookmarkStart w:id="2186" w:name="Tc_3yLuJO0N5Umd6o-OaHZ3DA_10_3"/>
      <w:bookmarkStart w:id="2187" w:name="Tc_HDcGpDwd8U2BgcheSawSlw_10_0"/>
      <w:bookmarkStart w:id="2188" w:name="Tc_Aka9s44u3UW__VLniHayWg_9_0"/>
      <w:bookmarkStart w:id="2189" w:name="Tc_iL7U-oA2402-CVzeT4pttQ_8_0"/>
      <w:bookmarkStart w:id="2190" w:name="Tc_l1MVWWTFGEKtlTBjQV_rMQ_7_0"/>
      <w:bookmarkStart w:id="2191" w:name="Tc_56SdTexcbku-nIskP66szg_6_0"/>
      <w:bookmarkStart w:id="2192" w:name="Tc_e-f8t8FLYkWxkW_Fuudoog_5_2"/>
      <w:bookmarkStart w:id="2193" w:name="Tc_PqC0kFCpBE6Of9XiO6yNmw_5_0"/>
      <w:bookmarkStart w:id="2194" w:name="Tc_T2kEQL081ECFmsv8yEdtAw_4_0"/>
      <w:bookmarkStart w:id="2195" w:name="Tc_-pmdapLwaUunMvBkq-eYaA_3_2"/>
      <w:bookmarkStart w:id="2196" w:name="Tc_TBirX9esZkuIrTIBKYTPCQ_2_2"/>
      <w:bookmarkStart w:id="2197" w:name="Tc_6Vc0WLg3ZUCMDPepRB2EIA_1_1"/>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r>
        <w:rPr>
          <w:rFonts w:ascii="Times New Roman;Times;serif" w:hAnsi="Times New Roman;Times;serif"/>
          <w:sz w:val="20"/>
        </w:rPr>
        <w:t>Income tax benefit (expense) attributable to continuing operations using the updated requirements of ASU 2023-09 for 2025 is as follows:</w:t>
      </w:r>
    </w:p>
    <w:p>
      <w:pPr>
        <w:pStyle w:val="TextBody"/>
        <w:bidi w:val="0"/>
        <w:spacing w:before="0" w:after="0"/>
        <w:ind w:left="0" w:right="0" w:hanging="0"/>
        <w:jc w:val="left"/>
        <w:rPr/>
      </w:pPr>
      <w:r>
        <w:rPr/>
        <w:t>​</w:t>
      </w:r>
    </w:p>
    <w:tbl>
      <w:tblPr>
        <w:tblW w:w="2885" w:type="dxa"/>
        <w:jc w:val="left"/>
        <w:tblInd w:w="0" w:type="dxa"/>
        <w:tblLayout w:type="fixed"/>
        <w:tblCellMar>
          <w:top w:w="0" w:type="dxa"/>
          <w:left w:w="0" w:type="dxa"/>
          <w:bottom w:w="0" w:type="dxa"/>
          <w:right w:w="0" w:type="dxa"/>
        </w:tblCellMar>
      </w:tblPr>
      <w:tblGrid>
        <w:gridCol w:w="1531"/>
        <w:gridCol w:w="349"/>
        <w:gridCol w:w="223"/>
        <w:gridCol w:w="367"/>
        <w:gridCol w:w="415"/>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972185" cy="175260"/>
                      <wp:effectExtent l="0" t="0" r="0" b="0"/>
                      <wp:wrapNone/>
                      <wp:docPr id="632" name="Frame632"/>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21615" cy="175260"/>
                      <wp:effectExtent l="0" t="0" r="0" b="0"/>
                      <wp:wrapNone/>
                      <wp:docPr id="633" name="Frame633"/>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141605" cy="175260"/>
                      <wp:effectExtent l="0" t="0" r="0" b="0"/>
                      <wp:wrapNone/>
                      <wp:docPr id="634" name="Frame63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33045" cy="175260"/>
                      <wp:effectExtent l="0" t="0" r="0" b="0"/>
                      <wp:wrapNone/>
                      <wp:docPr id="635" name="Frame63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63525" cy="175260"/>
                      <wp:effectExtent l="0" t="0" r="0" b="0"/>
                      <wp:wrapNone/>
                      <wp:docPr id="636" name="Frame636"/>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1"/>
              <w:ind w:left="0" w:right="0" w:hanging="0"/>
              <w:jc w:val="left"/>
              <w:rPr/>
            </w:pPr>
            <w:r>
              <w:rPr/>
              <w:t>​</w:t>
            </w:r>
          </w:p>
        </w:tc>
        <w:tc>
          <w:tcPr>
            <w:tcW w:w="1354" w:type="dxa"/>
            <w:gridSpan w:val="4"/>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1531"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 ​ ​</w:t>
            </w:r>
          </w:p>
        </w:tc>
        <w:tc>
          <w:tcPr>
            <w:tcW w:w="5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15" w:type="dxa"/>
            <w:tcBorders/>
            <w:vAlign w:val="center"/>
          </w:tcPr>
          <w:p>
            <w:pPr>
              <w:pStyle w:val="TableContents"/>
              <w:bidi w:val="0"/>
              <w:spacing w:before="0" w:after="1"/>
              <w:ind w:left="0" w:right="0" w:hanging="0"/>
              <w:jc w:val="left"/>
              <w:rPr/>
            </w:pPr>
            <w:r>
              <w:rPr/>
              <w:t>  ​ ​ ​</w:t>
            </w:r>
          </w:p>
        </w:tc>
      </w:tr>
      <w:tr>
        <w:trPr/>
        <w:tc>
          <w:tcPr>
            <w:tcW w:w="2885"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1531"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1005" w:type="dxa"/>
            <w:gridSpan w:val="3"/>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w:t>
            </w:r>
          </w:p>
        </w:tc>
        <w:tc>
          <w:tcPr>
            <w:tcW w:w="349"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right"/>
              <w:rPr/>
            </w:pPr>
            <w:r>
              <w:rPr/>
              <w:t>  ​</w:t>
            </w:r>
          </w:p>
        </w:tc>
        <w:tc>
          <w:tcPr>
            <w:tcW w:w="415" w:type="dxa"/>
            <w:tcBorders/>
            <w:shd w:fill="CCEEFF" w:val="clear"/>
            <w:vAlign w:val="center"/>
          </w:tcPr>
          <w:p>
            <w:pPr>
              <w:pStyle w:val="TableContents"/>
              <w:bidi w:val="0"/>
              <w:spacing w:before="0" w:after="1"/>
              <w:ind w:left="0" w:right="0" w:hanging="0"/>
              <w:jc w:val="left"/>
              <w:rPr/>
            </w:pPr>
            <w:r>
              <w:rPr/>
              <w:t>​</w:t>
            </w:r>
          </w:p>
        </w:tc>
      </w:tr>
      <w:tr>
        <w:trPr/>
        <w:tc>
          <w:tcPr>
            <w:tcW w:w="1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Domestic Federal</w:t>
            </w:r>
          </w:p>
        </w:tc>
        <w:tc>
          <w:tcPr>
            <w:tcW w:w="349"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15" w:type="dxa"/>
            <w:tcBorders/>
            <w:vAlign w:val="center"/>
          </w:tcPr>
          <w:p>
            <w:pPr>
              <w:pStyle w:val="TableContents"/>
              <w:bidi w:val="0"/>
              <w:spacing w:before="0" w:after="1"/>
              <w:ind w:left="0" w:right="0" w:hanging="0"/>
              <w:jc w:val="left"/>
              <w:rPr/>
            </w:pPr>
            <w:r>
              <w:rPr/>
              <w:t>​</w:t>
            </w:r>
          </w:p>
        </w:tc>
      </w:tr>
      <w:tr>
        <w:trPr/>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Domestic State</w:t>
            </w:r>
          </w:p>
        </w:tc>
        <w:tc>
          <w:tcPr>
            <w:tcW w:w="349"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415" w:type="dxa"/>
            <w:tcBorders/>
            <w:shd w:fill="CCEEFF" w:val="clear"/>
            <w:vAlign w:val="center"/>
          </w:tcPr>
          <w:p>
            <w:pPr>
              <w:pStyle w:val="TableContents"/>
              <w:bidi w:val="0"/>
              <w:spacing w:before="0" w:after="1"/>
              <w:ind w:left="0" w:right="0" w:hanging="0"/>
              <w:jc w:val="left"/>
              <w:rPr/>
            </w:pPr>
            <w:r>
              <w:rPr/>
              <w:t>​</w:t>
            </w:r>
          </w:p>
        </w:tc>
      </w:tr>
      <w:tr>
        <w:trPr/>
        <w:tc>
          <w:tcPr>
            <w:tcW w:w="1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49"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415" w:type="dxa"/>
            <w:tcBorders/>
            <w:vAlign w:val="center"/>
          </w:tcPr>
          <w:p>
            <w:pPr>
              <w:pStyle w:val="TableContents"/>
              <w:bidi w:val="0"/>
              <w:spacing w:before="0" w:after="1"/>
              <w:ind w:left="0" w:right="0" w:hanging="0"/>
              <w:jc w:val="left"/>
              <w:rPr/>
            </w:pPr>
            <w:r>
              <w:rPr/>
              <w:t>​</w:t>
            </w:r>
          </w:p>
        </w:tc>
      </w:tr>
      <w:tr>
        <w:trPr/>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w:t>
            </w:r>
          </w:p>
        </w:tc>
        <w:tc>
          <w:tcPr>
            <w:tcW w:w="349"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3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15" w:type="dxa"/>
            <w:tcBorders/>
            <w:shd w:fill="CCEEFF" w:val="clear"/>
            <w:vAlign w:val="center"/>
          </w:tcPr>
          <w:p>
            <w:pPr>
              <w:pStyle w:val="TableContents"/>
              <w:bidi w:val="0"/>
              <w:spacing w:before="0" w:after="1"/>
              <w:ind w:left="0" w:right="0" w:hanging="0"/>
              <w:jc w:val="left"/>
              <w:rPr/>
            </w:pPr>
            <w:r>
              <w:rPr/>
              <w:t>​</w:t>
            </w:r>
          </w:p>
        </w:tc>
      </w:tr>
      <w:tr>
        <w:trPr/>
        <w:tc>
          <w:tcPr>
            <w:tcW w:w="1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w:t>
            </w:r>
          </w:p>
        </w:tc>
        <w:tc>
          <w:tcPr>
            <w:tcW w:w="349"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367" w:type="dxa"/>
            <w:tcBorders/>
            <w:vAlign w:val="center"/>
          </w:tcPr>
          <w:p>
            <w:pPr>
              <w:pStyle w:val="TableContents"/>
              <w:bidi w:val="0"/>
              <w:spacing w:before="0" w:after="1"/>
              <w:ind w:left="0" w:right="0" w:hanging="0"/>
              <w:jc w:val="right"/>
              <w:rPr/>
            </w:pPr>
            <w:r>
              <w:rPr/>
              <w:t>  ​</w:t>
            </w:r>
          </w:p>
        </w:tc>
        <w:tc>
          <w:tcPr>
            <w:tcW w:w="415" w:type="dxa"/>
            <w:tcBorders/>
            <w:vAlign w:val="center"/>
          </w:tcPr>
          <w:p>
            <w:pPr>
              <w:pStyle w:val="TableContents"/>
              <w:bidi w:val="0"/>
              <w:spacing w:before="0" w:after="1"/>
              <w:ind w:left="0" w:right="0" w:hanging="0"/>
              <w:jc w:val="left"/>
              <w:rPr/>
            </w:pPr>
            <w:r>
              <w:rPr/>
              <w:t>​</w:t>
            </w:r>
          </w:p>
        </w:tc>
      </w:tr>
      <w:tr>
        <w:trPr/>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Domestic Federal</w:t>
            </w:r>
          </w:p>
        </w:tc>
        <w:tc>
          <w:tcPr>
            <w:tcW w:w="349"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367" w:type="dxa"/>
            <w:tcBorders/>
            <w:shd w:fill="CCEEFF" w:val="clear"/>
            <w:vAlign w:val="center"/>
          </w:tcPr>
          <w:p>
            <w:pPr>
              <w:pStyle w:val="TableContents"/>
              <w:bidi w:val="0"/>
              <w:spacing w:before="0" w:after="1"/>
              <w:ind w:left="0" w:right="0" w:hanging="0"/>
              <w:jc w:val="right"/>
              <w:rPr/>
            </w:pPr>
            <w:r>
              <w:rPr/>
              <w:t>—</w:t>
            </w:r>
          </w:p>
        </w:tc>
        <w:tc>
          <w:tcPr>
            <w:tcW w:w="415" w:type="dxa"/>
            <w:tcBorders/>
            <w:shd w:fill="CCEEFF" w:val="clear"/>
            <w:vAlign w:val="center"/>
          </w:tcPr>
          <w:p>
            <w:pPr>
              <w:pStyle w:val="TableContents"/>
              <w:bidi w:val="0"/>
              <w:spacing w:before="0" w:after="1"/>
              <w:ind w:left="0" w:right="0" w:hanging="0"/>
              <w:jc w:val="left"/>
              <w:rPr/>
            </w:pPr>
            <w:r>
              <w:rPr/>
              <w:t>​</w:t>
            </w:r>
          </w:p>
        </w:tc>
      </w:tr>
      <w:tr>
        <w:trPr/>
        <w:tc>
          <w:tcPr>
            <w:tcW w:w="1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Domestic State</w:t>
            </w:r>
          </w:p>
        </w:tc>
        <w:tc>
          <w:tcPr>
            <w:tcW w:w="349"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415" w:type="dxa"/>
            <w:tcBorders/>
            <w:vAlign w:val="center"/>
          </w:tcPr>
          <w:p>
            <w:pPr>
              <w:pStyle w:val="TableContents"/>
              <w:bidi w:val="0"/>
              <w:spacing w:before="0" w:after="1"/>
              <w:ind w:left="0" w:right="0" w:hanging="0"/>
              <w:jc w:val="left"/>
              <w:rPr/>
            </w:pPr>
            <w:r>
              <w:rPr/>
              <w:t>​</w:t>
            </w:r>
          </w:p>
        </w:tc>
      </w:tr>
      <w:tr>
        <w:trPr/>
        <w:tc>
          <w:tcPr>
            <w:tcW w:w="15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49"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415" w:type="dxa"/>
            <w:tcBorders/>
            <w:shd w:fill="CCEEFF" w:val="clear"/>
            <w:vAlign w:val="center"/>
          </w:tcPr>
          <w:p>
            <w:pPr>
              <w:pStyle w:val="TableContents"/>
              <w:bidi w:val="0"/>
              <w:spacing w:before="0" w:after="1"/>
              <w:ind w:left="0" w:right="0" w:hanging="0"/>
              <w:jc w:val="left"/>
              <w:rPr/>
            </w:pPr>
            <w:r>
              <w:rPr/>
              <w:t>​</w:t>
            </w:r>
          </w:p>
        </w:tc>
      </w:tr>
      <w:tr>
        <w:trPr/>
        <w:tc>
          <w:tcPr>
            <w:tcW w:w="15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w:t>
            </w:r>
          </w:p>
        </w:tc>
        <w:tc>
          <w:tcPr>
            <w:tcW w:w="349"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415" w:type="dxa"/>
            <w:tcBorders/>
            <w:vAlign w:val="center"/>
          </w:tcPr>
          <w:p>
            <w:pPr>
              <w:pStyle w:val="TableContents"/>
              <w:bidi w:val="0"/>
              <w:spacing w:before="0" w:after="1"/>
              <w:ind w:left="0" w:right="0" w:hanging="0"/>
              <w:jc w:val="left"/>
              <w:rPr/>
            </w:pPr>
            <w:r>
              <w:rPr/>
              <w:t>​</w:t>
            </w:r>
          </w:p>
        </w:tc>
      </w:tr>
      <w:tr>
        <w:trPr/>
        <w:tc>
          <w:tcPr>
            <w:tcW w:w="1531"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415" w:type="dxa"/>
            <w:tcBorders/>
            <w:shd w:fill="CCEEFF" w:val="clear"/>
            <w:vAlign w:val="center"/>
          </w:tcPr>
          <w:p>
            <w:pPr>
              <w:pStyle w:val="TableContents"/>
              <w:bidi w:val="0"/>
              <w:spacing w:before="0" w:after="1"/>
              <w:ind w:left="0" w:right="0" w:hanging="0"/>
              <w:jc w:val="left"/>
              <w:rPr/>
            </w:pPr>
            <w:r>
              <w:rPr/>
              <w:t>​</w:t>
            </w:r>
          </w:p>
        </w:tc>
      </w:tr>
      <w:tr>
        <w:trPr/>
        <w:tc>
          <w:tcPr>
            <w:tcW w:w="1531"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Income tax benefit (expense) attributable to continuing operations prior to the adoption of the guidance in ASU 2023-09 is as follows:</w:t>
      </w:r>
    </w:p>
    <w:p>
      <w:pPr>
        <w:pStyle w:val="TextBody"/>
        <w:bidi w:val="0"/>
        <w:spacing w:before="0" w:after="0"/>
        <w:ind w:left="0" w:right="0" w:hanging="0"/>
        <w:jc w:val="left"/>
        <w:rPr/>
      </w:pPr>
      <w:r>
        <w:rPr/>
        <w:t>​</w:t>
      </w:r>
    </w:p>
    <w:tbl>
      <w:tblPr>
        <w:tblW w:w="3051" w:type="dxa"/>
        <w:jc w:val="left"/>
        <w:tblInd w:w="0" w:type="dxa"/>
        <w:tblLayout w:type="fixed"/>
        <w:tblCellMar>
          <w:top w:w="0" w:type="dxa"/>
          <w:left w:w="0" w:type="dxa"/>
          <w:bottom w:w="0" w:type="dxa"/>
          <w:right w:w="0" w:type="dxa"/>
        </w:tblCellMar>
      </w:tblPr>
      <w:tblGrid>
        <w:gridCol w:w="1261"/>
        <w:gridCol w:w="211"/>
        <w:gridCol w:w="436"/>
        <w:gridCol w:w="346"/>
        <w:gridCol w:w="211"/>
        <w:gridCol w:w="586"/>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800735" cy="175260"/>
                      <wp:effectExtent l="0" t="0" r="0" b="0"/>
                      <wp:wrapNone/>
                      <wp:docPr id="637" name="Frame637"/>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133985" cy="175260"/>
                      <wp:effectExtent l="0" t="0" r="0" b="0"/>
                      <wp:wrapNone/>
                      <wp:docPr id="638" name="Frame6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76860" cy="175260"/>
                      <wp:effectExtent l="0" t="0" r="0" b="0"/>
                      <wp:wrapNone/>
                      <wp:docPr id="639" name="Frame63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19710" cy="175260"/>
                      <wp:effectExtent l="0" t="0" r="0" b="0"/>
                      <wp:wrapNone/>
                      <wp:docPr id="640" name="Frame6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133985" cy="175260"/>
                      <wp:effectExtent l="0" t="0" r="0" b="0"/>
                      <wp:wrapNone/>
                      <wp:docPr id="641" name="Frame6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372110" cy="175260"/>
                      <wp:effectExtent l="0" t="0" r="0" b="0"/>
                      <wp:wrapNone/>
                      <wp:docPr id="642" name="Frame64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1"/>
              <w:ind w:left="0" w:right="0" w:hanging="0"/>
              <w:jc w:val="left"/>
              <w:rPr/>
            </w:pPr>
            <w:r>
              <w:rPr/>
              <w:t>​</w:t>
            </w:r>
          </w:p>
        </w:tc>
        <w:tc>
          <w:tcPr>
            <w:tcW w:w="17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1261" w:type="dxa"/>
            <w:tcBorders/>
            <w:vAlign w:val="center"/>
          </w:tcPr>
          <w:p>
            <w:pPr>
              <w:pStyle w:val="TableContents"/>
              <w:bidi w:val="0"/>
              <w:spacing w:before="0" w:after="1"/>
              <w:ind w:left="0" w:right="0" w:hanging="0"/>
              <w:jc w:val="left"/>
              <w:rPr/>
            </w:pPr>
            <w:r>
              <w:rPr/>
              <w:t>​</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3051"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1261" w:type="dxa"/>
            <w:tcBorders/>
            <w:vAlign w:val="center"/>
          </w:tcPr>
          <w:p>
            <w:pPr>
              <w:pStyle w:val="TableContents"/>
              <w:bidi w:val="0"/>
              <w:spacing w:before="0" w:after="1"/>
              <w:ind w:left="0" w:right="0" w:hanging="0"/>
              <w:jc w:val="left"/>
              <w:rPr/>
            </w:pPr>
            <w:r>
              <w:rPr/>
              <w:t>​</w:t>
            </w:r>
          </w:p>
        </w:tc>
        <w:tc>
          <w:tcPr>
            <w:tcW w:w="1790" w:type="dxa"/>
            <w:gridSpan w:val="5"/>
            <w:tcBorders/>
            <w:vAlign w:val="center"/>
          </w:tcPr>
          <w:p>
            <w:pPr>
              <w:pStyle w:val="TableContents"/>
              <w:bidi w:val="0"/>
              <w:spacing w:before="0" w:after="1"/>
              <w:ind w:left="0" w:right="0" w:hanging="0"/>
              <w:jc w:val="center"/>
              <w:rPr/>
            </w:pPr>
            <w:r>
              <w:rPr/>
              <w:t>​</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w:t>
            </w:r>
          </w:p>
        </w:tc>
        <w:tc>
          <w:tcPr>
            <w:tcW w:w="21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  ​</w:t>
            </w:r>
          </w:p>
        </w:tc>
      </w:tr>
      <w:tr>
        <w:trPr/>
        <w:tc>
          <w:tcPr>
            <w:tcW w:w="1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Domestic</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w:t>
            </w:r>
          </w:p>
        </w:tc>
        <w:tc>
          <w:tcPr>
            <w:tcW w:w="21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  ​</w:t>
            </w:r>
          </w:p>
        </w:tc>
      </w:tr>
      <w:tr>
        <w:trPr/>
        <w:tc>
          <w:tcPr>
            <w:tcW w:w="1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Domestic</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12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bookmarkStart w:id="2198" w:name="Tc_Xez_du5j_UGYoc49KJSYVg_16_6"/>
      <w:bookmarkStart w:id="2199" w:name="Tc_rFI0TPT_-EGzjMhKlhBQEA_16_3"/>
      <w:bookmarkStart w:id="2200" w:name="Tc_o19i7U8pTE-qEyIKWjQSAw_16_0"/>
      <w:bookmarkStart w:id="2201" w:name="Tc_fLV03m1cyEiHGeK3g3UlWw_15_0"/>
      <w:bookmarkStart w:id="2202" w:name="Tc_9GVgnxkzZ06EIkJOizmQHw_14_0"/>
      <w:bookmarkStart w:id="2203" w:name="Tc_s7SjXdXIiEet9Kwkru5kxA_13_0"/>
      <w:bookmarkStart w:id="2204" w:name="Tc_F-G6aQ1UBEqa3B8Sa3n2qg_12_0"/>
      <w:bookmarkStart w:id="2205" w:name="Tc_3F8DwqAm5kWGcVmRxW4JrA_11_4"/>
      <w:bookmarkStart w:id="2206" w:name="Tc_CslFetGcPkmLzzQUNY5wuw_11_0"/>
      <w:bookmarkStart w:id="2207" w:name="Tc_CHU5_tAxM0-xliP2pcSlsQ_10_4"/>
      <w:bookmarkStart w:id="2208" w:name="Tc_RT-UCATnw0GMqZ5hWv5f2A_10_0"/>
      <w:bookmarkStart w:id="2209" w:name="Tc_DbuIIjz2bkK370_Rs-sfRQ_9_0"/>
      <w:bookmarkStart w:id="2210" w:name="Tc_EYzn4CQIyk66AGwVuQrVUA_8_0"/>
      <w:bookmarkStart w:id="2211" w:name="Tc_AYukZNgy5Um6zZtG2dcE4w_7_0"/>
      <w:bookmarkStart w:id="2212" w:name="Tc_kv4ynvv3OEKY8FcrvhunCA_6_0"/>
      <w:bookmarkStart w:id="2213" w:name="Tc_I0tbP5jh9USsnVe5fcXd4A_5_0"/>
      <w:bookmarkStart w:id="2214" w:name="Tc_nD7aPiGPZkC3L8GM91otSQ_4_6"/>
      <w:bookmarkStart w:id="2215" w:name="Tc_yD8gVsLXu0uTrYG4F5X3Qg_4_3"/>
      <w:bookmarkStart w:id="2216" w:name="Tc_tdydVThZjU6nepBDqyaoQQ_4_0"/>
      <w:bookmarkStart w:id="2217" w:name="Tc_IPCUXIeT6kiSSm9wfVOwLQ_2_6"/>
      <w:bookmarkStart w:id="2218" w:name="Tc_lgbTcLHcpEu7kg5MrTyJHQ_2_3"/>
      <w:bookmarkStart w:id="2219" w:name="Tc_2K88RZ2aJ0CfeAkRuMY0Ww_21_5"/>
      <w:bookmarkStart w:id="2220" w:name="Tc_SHgb5MD7WkiQlDWUh9UHRA_21_2"/>
      <w:bookmarkStart w:id="2221" w:name="Tc_WwXyy6AfEEujDyjo9v2WUw_20_5"/>
      <w:bookmarkStart w:id="2222" w:name="Tc_PNf74L6BzkO_AWoVbqNwPg_20_0"/>
      <w:bookmarkStart w:id="2223" w:name="Tc_-fwBMEZF00algsnOXdphFg_19_5"/>
      <w:bookmarkStart w:id="2224" w:name="Tc_-ZXaw52nwUCD-jx0B0vVWg_19_0"/>
      <w:bookmarkStart w:id="2225" w:name="Tc_5jV-AFNvTkWNm484tYn-eg_18_0"/>
      <w:bookmarkStart w:id="2226" w:name="Tc_pBKGCj8BE0-95YjqgrtJAA_17_0"/>
      <w:bookmarkStart w:id="2227" w:name="Tc_SPOVpZCigUONUJsWtv5nng_16_5"/>
      <w:bookmarkStart w:id="2228" w:name="Tc_lBkRA4jhxU-AiI21MhRoRw_16_0"/>
      <w:bookmarkStart w:id="2229" w:name="Tc_HlS6eQRlNEOVnNOeIMIOFg_15_5"/>
      <w:bookmarkStart w:id="2230" w:name="Tc_IEtrJNWNUEi0NsTeJlsJnQ_15_0"/>
      <w:bookmarkStart w:id="2231" w:name="Tc_biPIv3yG806jJcJzfrdGtA_14_5"/>
      <w:bookmarkStart w:id="2232" w:name="Tc_uOV7daKKJEiiXnf6QLdezA_14_0"/>
      <w:bookmarkStart w:id="2233" w:name="Tc_2203SDnr90-WgxhAVdzmdA_13_0"/>
      <w:bookmarkStart w:id="2234" w:name="Tc_qJ_bBpXgEEKVDwVHwiI7vg_12_5"/>
      <w:bookmarkStart w:id="2235" w:name="Tc_yCTfkKseEESRT6arFRQlMQ_12_0"/>
      <w:bookmarkStart w:id="2236" w:name="Tc_7qw9UNvpj0qwYi4812BLmQ_11_5"/>
      <w:bookmarkStart w:id="2237" w:name="Tc_dLpSDCIbCE6lH7DOtIj1CQ_11_0"/>
      <w:bookmarkStart w:id="2238" w:name="Tc_4sgMh5E8tU2OznhuBOqETA_10_5"/>
      <w:bookmarkStart w:id="2239" w:name="Tc_zMUokOfBpUaxxtORrJtFLg_10_0"/>
      <w:bookmarkStart w:id="2240" w:name="Tc_bzA7mqQtNkSbPhnn51Dgkw_9_3"/>
      <w:bookmarkStart w:id="2241" w:name="Tc_q7qojPGZ6kOJidw5nGjAOg_9_0"/>
      <w:bookmarkStart w:id="2242" w:name="Tc_VtTWvN2PVE64b8LNOBbFzQ_8_5"/>
      <w:bookmarkStart w:id="2243" w:name="Tc_AcQXdmf5nECQAoggH_1SjQ_8_0"/>
      <w:bookmarkStart w:id="2244" w:name="Tc_6C8fNXfYXUeudO-IFc_p6g_7_0"/>
      <w:bookmarkStart w:id="2245" w:name="Tc_7N9HfOWk-k-v2Dmxh8-FGw_6_0"/>
      <w:bookmarkStart w:id="2246" w:name="Tc_o-ohhvGs5kqQuqMtbKYt8Q_5_0"/>
      <w:bookmarkStart w:id="2247" w:name="Tc_sXHZPbqPw06IXxgF5ZdSVg_4_5"/>
      <w:bookmarkStart w:id="2248" w:name="Tc_bbA7hrtXjkeY_KxN7rkTEg_4_2"/>
      <w:bookmarkStart w:id="2249" w:name="Tc_cMbyOyTkF06QBXAtfssPKw_4_0"/>
      <w:bookmarkStart w:id="2250" w:name="Tc_BLccAI5VykeSVD-IaxxL5w_3_4"/>
      <w:bookmarkStart w:id="2251" w:name="Tc_v_6FrJLEIU2gTW2TcaNQAw_3_3"/>
      <w:bookmarkStart w:id="2252" w:name="Tc_R7t8b7XyzkqHNIytl_7UxQ_2_3"/>
      <w:bookmarkStart w:id="2253" w:name="Tc_Fvosia0_nUSVBMlc7FkV2Q_1_2"/>
      <w:bookmarkStart w:id="2254" w:name="_8692511f_0439_4561_afd0_295e321d968d"/>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r>
        <w:rPr>
          <w:rFonts w:ascii="Times New Roman;Times;serif" w:hAnsi="Times New Roman;Times;serif"/>
          <w:sz w:val="20"/>
        </w:rPr>
        <w:t xml:space="preserve">The following table is a reconciliation of the U.S. federal statutory rate of 21% to the Company’s effective tax rate for the year ended December 31, 2025 in accordance with the guidance in ASU 2023-09. </w:t>
      </w:r>
    </w:p>
    <w:p>
      <w:pPr>
        <w:pStyle w:val="TextBody"/>
        <w:bidi w:val="0"/>
        <w:spacing w:before="0" w:after="0"/>
        <w:ind w:left="0" w:right="0" w:hanging="0"/>
        <w:jc w:val="left"/>
        <w:rPr/>
      </w:pPr>
      <w:r>
        <w:rPr/>
        <w:t>​</w:t>
      </w:r>
    </w:p>
    <w:tbl>
      <w:tblPr>
        <w:tblW w:w="7566" w:type="dxa"/>
        <w:jc w:val="left"/>
        <w:tblInd w:w="0" w:type="dxa"/>
        <w:tblLayout w:type="fixed"/>
        <w:tblCellMar>
          <w:top w:w="0" w:type="dxa"/>
          <w:left w:w="0" w:type="dxa"/>
          <w:bottom w:w="0" w:type="dxa"/>
          <w:right w:w="0" w:type="dxa"/>
        </w:tblCellMar>
      </w:tblPr>
      <w:tblGrid>
        <w:gridCol w:w="4411"/>
        <w:gridCol w:w="346"/>
        <w:gridCol w:w="211"/>
        <w:gridCol w:w="1576"/>
        <w:gridCol w:w="691"/>
        <w:gridCol w:w="331"/>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2800985" cy="175260"/>
                      <wp:effectExtent l="0" t="0" r="0" b="0"/>
                      <wp:wrapNone/>
                      <wp:docPr id="643" name="Frame643"/>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19710" cy="175260"/>
                      <wp:effectExtent l="0" t="0" r="0" b="0"/>
                      <wp:wrapNone/>
                      <wp:docPr id="644" name="Frame6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33985" cy="175260"/>
                      <wp:effectExtent l="0" t="0" r="0" b="0"/>
                      <wp:wrapNone/>
                      <wp:docPr id="645" name="Frame6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1000760" cy="175260"/>
                      <wp:effectExtent l="0" t="0" r="0" b="0"/>
                      <wp:wrapNone/>
                      <wp:docPr id="646" name="Frame646"/>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438785" cy="175260"/>
                      <wp:effectExtent l="0" t="0" r="0" b="0"/>
                      <wp:wrapNone/>
                      <wp:docPr id="647" name="Frame64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210185" cy="175260"/>
                      <wp:effectExtent l="0" t="0" r="0" b="0"/>
                      <wp:wrapNone/>
                      <wp:docPr id="648" name="Frame64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09" w:type="dxa"/>
            <w:gridSpan w:val="4"/>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4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2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31" w:type="dxa"/>
            <w:tcBorders/>
            <w:vAlign w:val="center"/>
          </w:tcPr>
          <w:p>
            <w:pPr>
              <w:pStyle w:val="TableContents"/>
              <w:bidi w:val="0"/>
              <w:spacing w:before="0" w:after="1"/>
              <w:ind w:left="0" w:right="0" w:hanging="0"/>
              <w:jc w:val="left"/>
              <w:rPr/>
            </w:pPr>
            <w:r>
              <w:rPr/>
              <w:t>​</w:t>
            </w:r>
          </w:p>
        </w:tc>
      </w:tr>
      <w:tr>
        <w:trPr/>
        <w:tc>
          <w:tcPr>
            <w:tcW w:w="4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Amount (in millions)</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Percent</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 at U.S. statutory rate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3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 from:</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576" w:type="dxa"/>
            <w:tcBorders/>
            <w:vAlign w:val="center"/>
          </w:tcPr>
          <w:p>
            <w:pPr>
              <w:pStyle w:val="TableContents"/>
              <w:bidi w:val="0"/>
              <w:spacing w:before="0" w:after="1"/>
              <w:ind w:left="0" w:right="0" w:hanging="0"/>
              <w:jc w:val="right"/>
              <w:rPr/>
            </w:pPr>
            <w:r>
              <w:rPr/>
              <w:t>  ​</w:t>
            </w:r>
          </w:p>
        </w:tc>
        <w:tc>
          <w:tcPr>
            <w:tcW w:w="69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tax effects: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Aruba</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Valuation allowance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3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31" w:type="dxa"/>
            <w:tcBorders/>
            <w:vAlign w:val="center"/>
          </w:tcPr>
          <w:p>
            <w:pPr>
              <w:pStyle w:val="TableContents"/>
              <w:bidi w:val="0"/>
              <w:spacing w:before="0" w:after="1"/>
              <w:ind w:left="0" w:right="0" w:hanging="0"/>
              <w:jc w:val="left"/>
              <w:rPr/>
            </w:pPr>
            <w:r>
              <w:rPr/>
              <w:t>​</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foreign jurisdictions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(0.62)</w:t>
            </w:r>
          </w:p>
        </w:tc>
        <w:tc>
          <w:tcPr>
            <w:tcW w:w="33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r>
      <w:tr>
        <w:trPr/>
        <w:tc>
          <w:tcPr>
            <w:tcW w:w="44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State and local income taxes, net of federal benefit </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w:t>
            </w:r>
          </w:p>
        </w:tc>
        <w:tc>
          <w:tcPr>
            <w:tcW w:w="331"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Valuation allowance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3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Nontaxable or nondeductible items: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5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c>
          <w:tcPr>
            <w:tcW w:w="33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not subject to taxation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5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(21.81)</w:t>
            </w:r>
          </w:p>
        </w:tc>
        <w:tc>
          <w:tcPr>
            <w:tcW w:w="331"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Non-deductible executive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5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(0.83)</w:t>
            </w:r>
          </w:p>
        </w:tc>
        <w:tc>
          <w:tcPr>
            <w:tcW w:w="33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Uncertain tax positions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31" w:type="dxa"/>
            <w:tcBorders/>
            <w:vAlign w:val="center"/>
          </w:tcPr>
          <w:p>
            <w:pPr>
              <w:pStyle w:val="TableContents"/>
              <w:bidi w:val="0"/>
              <w:spacing w:before="0" w:after="1"/>
              <w:ind w:left="0" w:right="0" w:hanging="0"/>
              <w:jc w:val="left"/>
              <w:rPr/>
            </w:pPr>
            <w:r>
              <w:rPr/>
              <w:t>​</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31" w:type="dxa"/>
            <w:tcBorders/>
            <w:shd w:fill="CCEEFF" w:val="clear"/>
            <w:vAlign w:val="center"/>
          </w:tcPr>
          <w:p>
            <w:pPr>
              <w:pStyle w:val="TableContents"/>
              <w:bidi w:val="0"/>
              <w:spacing w:before="0" w:after="1"/>
              <w:ind w:left="0" w:right="0" w:hanging="0"/>
              <w:jc w:val="left"/>
              <w:rPr/>
            </w:pPr>
            <w:r>
              <w:rPr/>
              <w:t>​</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received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0.52</w:t>
            </w:r>
          </w:p>
        </w:tc>
        <w:tc>
          <w:tcPr>
            <w:tcW w:w="331"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5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0.39</w:t>
            </w:r>
          </w:p>
        </w:tc>
        <w:tc>
          <w:tcPr>
            <w:tcW w:w="331" w:type="dxa"/>
            <w:tcBorders/>
            <w:shd w:fill="CCEEFF" w:val="clear"/>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w:t>
            </w:r>
          </w:p>
        </w:tc>
        <w:tc>
          <w:tcPr>
            <w:tcW w:w="331" w:type="dxa"/>
            <w:tcBorders/>
            <w:vAlign w:val="center"/>
          </w:tcPr>
          <w:p>
            <w:pPr>
              <w:pStyle w:val="TableContents"/>
              <w:bidi w:val="0"/>
              <w:spacing w:before="0" w:after="1"/>
              <w:ind w:left="0" w:right="0" w:hanging="0"/>
              <w:jc w:val="left"/>
              <w:rPr>
                <w:rFonts w:ascii="Helvetica;sans-serif" w:hAnsi="Helvetica;sans-serif"/>
                <w:sz w:val="20"/>
              </w:rPr>
            </w:pPr>
            <w:r>
              <w:rPr>
                <w:rFonts w:ascii="Helvetica;sans-serif" w:hAnsi="Helvetica;sans-serif"/>
                <w:sz w:val="20"/>
              </w:rPr>
              <w:t>%</w:t>
            </w:r>
          </w:p>
        </w:tc>
      </w:tr>
      <w:tr>
        <w:trPr/>
        <w:tc>
          <w:tcPr>
            <w:tcW w:w="44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315"/>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 2025, the states that contributed to the majority (greater than 50%) of the tax effect in this category are Kansas, Tennessee and Oklahoma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reconciliation of the income tax benefit (expense) calculated at the federal statutory rate to income tax benefit (expense) on continuing operations prior to the adoption of the guidance in ASU-2023-09 is as follows:</w:t>
      </w:r>
    </w:p>
    <w:p>
      <w:pPr>
        <w:pStyle w:val="TextBody"/>
        <w:bidi w:val="0"/>
        <w:spacing w:before="0" w:after="0"/>
        <w:ind w:left="0" w:right="0" w:hanging="0"/>
        <w:jc w:val="left"/>
        <w:rPr/>
      </w:pPr>
      <w:r>
        <w:rPr/>
        <w:t>​</w:t>
      </w:r>
    </w:p>
    <w:tbl>
      <w:tblPr>
        <w:tblW w:w="5798" w:type="dxa"/>
        <w:jc w:val="left"/>
        <w:tblInd w:w="0" w:type="dxa"/>
        <w:tblLayout w:type="fixed"/>
        <w:tblCellMar>
          <w:top w:w="0" w:type="dxa"/>
          <w:left w:w="0" w:type="dxa"/>
          <w:bottom w:w="0" w:type="dxa"/>
          <w:right w:w="0" w:type="dxa"/>
        </w:tblCellMar>
      </w:tblPr>
      <w:tblGrid>
        <w:gridCol w:w="3316"/>
        <w:gridCol w:w="346"/>
        <w:gridCol w:w="346"/>
        <w:gridCol w:w="211"/>
        <w:gridCol w:w="436"/>
        <w:gridCol w:w="346"/>
        <w:gridCol w:w="211"/>
        <w:gridCol w:w="58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105660" cy="175260"/>
                      <wp:effectExtent l="0" t="0" r="0" b="0"/>
                      <wp:wrapNone/>
                      <wp:docPr id="649" name="Frame649"/>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19710" cy="175260"/>
                      <wp:effectExtent l="0" t="0" r="0" b="0"/>
                      <wp:wrapNone/>
                      <wp:docPr id="650" name="Frame6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219710" cy="175260"/>
                      <wp:effectExtent l="0" t="0" r="0" b="0"/>
                      <wp:wrapNone/>
                      <wp:docPr id="651" name="Frame6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133985" cy="175260"/>
                      <wp:effectExtent l="0" t="0" r="0" b="0"/>
                      <wp:wrapNone/>
                      <wp:docPr id="652" name="Frame6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76860" cy="175260"/>
                      <wp:effectExtent l="0" t="0" r="0" b="0"/>
                      <wp:wrapNone/>
                      <wp:docPr id="653" name="Frame653"/>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219710" cy="175260"/>
                      <wp:effectExtent l="0" t="0" r="0" b="0"/>
                      <wp:wrapNone/>
                      <wp:docPr id="654" name="Frame6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133985" cy="175260"/>
                      <wp:effectExtent l="0" t="0" r="0" b="0"/>
                      <wp:wrapNone/>
                      <wp:docPr id="655" name="Frame6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372110" cy="175260"/>
                      <wp:effectExtent l="0" t="0" r="0" b="0"/>
                      <wp:wrapNone/>
                      <wp:docPr id="656" name="Frame65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left"/>
              <w:rPr/>
            </w:pPr>
            <w:r>
              <w:rPr/>
              <w:t>  ​ ​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 at U.S. statutory rate</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 from:</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  ​</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Credits and incentives</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Uncertain tax positions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Deconsolidation</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gain not on books</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received</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not subject to taxation</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taxes</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pPr>
      <w:bookmarkStart w:id="2255" w:name="Tc_8F2ferC3Q0uGMOH4N-TwSA_24_5"/>
      <w:bookmarkStart w:id="2256" w:name="Tc_9Z-H48ZbeUWVMnAYOY2j5A_24_2"/>
      <w:bookmarkStart w:id="2257" w:name="Tc_F93CnAY9cUKB8wnoT73YpQ_23_0"/>
      <w:bookmarkStart w:id="2258" w:name="Tc_RzF04K4QcUSOzN1MKPUziw_22_0"/>
      <w:bookmarkStart w:id="2259" w:name="Tc_W42S9Ka1Vkq2a-vGLbN0_Q_21_0"/>
      <w:bookmarkStart w:id="2260" w:name="Tc_hZBHYyaT8kWmd96c-UbkVw_20_0"/>
      <w:bookmarkStart w:id="2261" w:name="Tc_XUCzP6rKg0WX1oUD6nFV2w_19_0"/>
      <w:bookmarkStart w:id="2262" w:name="Tc_5ZxnmUu04EekKTLfBEOZ_Q_18_0"/>
      <w:bookmarkStart w:id="2263" w:name="Tc_YhGCdgtMRU60lSi-8zDV_A_17_5"/>
      <w:bookmarkStart w:id="2264" w:name="Tc_Go_E311DTk6c-Ei0ur8P0A_17_2"/>
      <w:bookmarkStart w:id="2265" w:name="Tc_KXK2IVp7RkqIDBxO6MUVXw_17_0"/>
      <w:bookmarkStart w:id="2266" w:name="Tc_ClY3eXVV-0SDV20PnRvARA_16_0"/>
      <w:bookmarkStart w:id="2267" w:name="Tc_uu3CfZlQIU-6Yc3SOtiV3Q_14_5"/>
      <w:bookmarkStart w:id="2268" w:name="Tc_Wh5RC7c-mEmeU5Ar7jM1sA_14_2"/>
      <w:bookmarkStart w:id="2269" w:name="Tc_DfaZuzv6rkCOcsJ3YmzDoQ_14_0"/>
      <w:bookmarkStart w:id="2270" w:name="Tc_UhtXr9MCKEqVfFYt2PouIg_13_0"/>
      <w:bookmarkStart w:id="2271" w:name="Tc_ad4pjOReYUqHqgaKHljJRQ_12_0"/>
      <w:bookmarkStart w:id="2272" w:name="Tc_qkiWXPOPwkugrSkyw6hXzQ_11_0"/>
      <w:bookmarkStart w:id="2273" w:name="Tc_VbOC2mQJ90i_W6403hNkrw_10_0"/>
      <w:bookmarkStart w:id="2274" w:name="Tc_5KOqKDAfrkaXEK78DrwxQg_9_0"/>
      <w:bookmarkStart w:id="2275" w:name="Tc_0cwEWK8p70WBa6NYLcb22g_8_0"/>
      <w:bookmarkStart w:id="2276" w:name="Tc_XhFqbqr3g0aJ515kmXBtZA_7_0"/>
      <w:bookmarkStart w:id="2277" w:name="Tc_A_6gHYLO8kau_CTvd4ij4Q_6_0"/>
      <w:bookmarkStart w:id="2278" w:name="Tc_hTpDUnQ8fkqi-z_kJ3fU6A_5_5"/>
      <w:bookmarkStart w:id="2279" w:name="Tc_F38n2HppzU6Vksj428IGxg_5_2"/>
      <w:bookmarkStart w:id="2280" w:name="Tc_EeW4NYWdikymQYO0ZzzZ5w_5_0"/>
      <w:bookmarkStart w:id="2281" w:name="Tc_IRKYhHeiIUCda22j1_D1iA_4_0"/>
      <w:bookmarkStart w:id="2282" w:name="Tc_CMyATywhCkeuBmTU6rwfdg_3_2"/>
      <w:bookmarkStart w:id="2283" w:name="Tc_T5KYEPSPI0mMqw1HOWXYeA_2_5"/>
      <w:bookmarkStart w:id="2284" w:name="Tc_XY8xt47iUkG2Hb-iMgvzhA_2_2"/>
      <w:bookmarkStart w:id="2285" w:name="Tc_JSowc6kLF0m7yvtR0AIwyA_1_2"/>
      <w:bookmarkStart w:id="2286" w:name="Tc_gmt9Q3_2E0-w1VMgbFC6mQ_11_2"/>
      <w:bookmarkStart w:id="2287" w:name="Tc_TWT3ZmYK8EGFrKtfi_N6hA_10_0"/>
      <w:bookmarkStart w:id="2288" w:name="Tc_NkP_XdcKkUSEq8ilFPcqzQ_9_0"/>
      <w:bookmarkStart w:id="2289" w:name="Tc_RLp5pPxXb0S5w8eDTC2Yxw_8_0"/>
      <w:bookmarkStart w:id="2290" w:name="Tc_IwLKMZTqLEKwFtHuzGz3Jw_7_0"/>
      <w:bookmarkStart w:id="2291" w:name="Tc_vg1HW1jSlUmlrZdKM32idQ_6_0"/>
      <w:bookmarkStart w:id="2292" w:name="Tc_ZkP8f4z_vkuVKo5yIa9Yvg_5_0"/>
      <w:bookmarkStart w:id="2293" w:name="Tc_Xe2Z104-JUq14kSGMM8iMQ_4_2"/>
      <w:bookmarkStart w:id="2294" w:name="Tc_gIOwckM4fEON8lI842FPLA_4_0"/>
      <w:bookmarkStart w:id="2295" w:name="Tc_T-IRACmETUCLdIUuMR267g_3_2"/>
      <w:bookmarkStart w:id="2296" w:name="Tc_K3qUy2A2NEaYNRBiMVjbzA_2_2"/>
      <w:bookmarkStart w:id="2297" w:name="Tc_VtfJI61MT0uEmK74md7s5g_1_2"/>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Disclosed below is a summary of net income taxes paid/(refunded) by jurisdiction pursuant to the disclosure requirements of ASU No. 2023-09 for the year ended December 31, 2025:</w:t>
      </w:r>
    </w:p>
    <w:p>
      <w:pPr>
        <w:pStyle w:val="TextBody"/>
        <w:bidi w:val="0"/>
        <w:spacing w:before="0" w:after="0"/>
        <w:ind w:left="0" w:right="0" w:hanging="0"/>
        <w:jc w:val="left"/>
        <w:rPr/>
      </w:pPr>
      <w:r>
        <w:rPr/>
        <w:t>​</w:t>
      </w:r>
    </w:p>
    <w:tbl>
      <w:tblPr>
        <w:tblW w:w="3541" w:type="dxa"/>
        <w:jc w:val="left"/>
        <w:tblInd w:w="0" w:type="dxa"/>
        <w:tblLayout w:type="fixed"/>
        <w:tblCellMar>
          <w:top w:w="0" w:type="dxa"/>
          <w:left w:w="0" w:type="dxa"/>
          <w:bottom w:w="0" w:type="dxa"/>
          <w:right w:w="0" w:type="dxa"/>
        </w:tblCellMar>
      </w:tblPr>
      <w:tblGrid>
        <w:gridCol w:w="1846"/>
        <w:gridCol w:w="346"/>
        <w:gridCol w:w="325"/>
        <w:gridCol w:w="418"/>
        <w:gridCol w:w="60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1172210" cy="175260"/>
                      <wp:effectExtent l="0" t="0" r="0" b="0"/>
                      <wp:wrapNone/>
                      <wp:docPr id="657" name="Frame657"/>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19710" cy="175260"/>
                      <wp:effectExtent l="0" t="0" r="0" b="0"/>
                      <wp:wrapNone/>
                      <wp:docPr id="658" name="Frame6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206375" cy="175260"/>
                      <wp:effectExtent l="0" t="0" r="0" b="0"/>
                      <wp:wrapNone/>
                      <wp:docPr id="659" name="Frame659"/>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65430" cy="175260"/>
                      <wp:effectExtent l="0" t="0" r="0" b="0"/>
                      <wp:wrapNone/>
                      <wp:docPr id="660" name="Frame660"/>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384810" cy="175260"/>
                      <wp:effectExtent l="0" t="0" r="0" b="0"/>
                      <wp:wrapNone/>
                      <wp:docPr id="661" name="Frame661"/>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4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06" w:type="dxa"/>
            <w:tcBorders/>
            <w:vAlign w:val="center"/>
          </w:tcPr>
          <w:p>
            <w:pPr>
              <w:pStyle w:val="TableContents"/>
              <w:bidi w:val="0"/>
              <w:spacing w:before="0" w:after="1"/>
              <w:ind w:left="0" w:right="0" w:hanging="0"/>
              <w:jc w:val="left"/>
              <w:rPr/>
            </w:pPr>
            <w:r>
              <w:rPr/>
              <w:t>  ​ ​ ​</w:t>
            </w:r>
          </w:p>
        </w:tc>
      </w:tr>
      <w:tr>
        <w:trPr/>
        <w:tc>
          <w:tcPr>
            <w:tcW w:w="3541"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49" w:type="dxa"/>
            <w:gridSpan w:val="3"/>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 Federal</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606" w:type="dxa"/>
            <w:tcBorders/>
            <w:shd w:fill="CCEEFF" w:val="clear"/>
            <w:vAlign w:val="center"/>
          </w:tcPr>
          <w:p>
            <w:pPr>
              <w:pStyle w:val="TableContents"/>
              <w:bidi w:val="0"/>
              <w:spacing w:before="0" w:after="1"/>
              <w:ind w:left="0" w:right="0" w:hanging="0"/>
              <w:jc w:val="left"/>
              <w:rPr/>
            </w:pPr>
            <w:r>
              <w:rPr/>
              <w:t>​</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418" w:type="dxa"/>
            <w:tcBorders/>
            <w:vAlign w:val="center"/>
          </w:tcPr>
          <w:p>
            <w:pPr>
              <w:pStyle w:val="TableContents"/>
              <w:bidi w:val="0"/>
              <w:spacing w:before="0" w:after="1"/>
              <w:ind w:left="0" w:right="0" w:hanging="0"/>
              <w:jc w:val="right"/>
              <w:rPr/>
            </w:pPr>
            <w:r>
              <w:rPr/>
              <w:t>​</w:t>
            </w:r>
          </w:p>
        </w:tc>
        <w:tc>
          <w:tcPr>
            <w:tcW w:w="606" w:type="dxa"/>
            <w:tcBorders/>
            <w:vAlign w:val="center"/>
          </w:tcPr>
          <w:p>
            <w:pPr>
              <w:pStyle w:val="TableContents"/>
              <w:bidi w:val="0"/>
              <w:spacing w:before="0" w:after="1"/>
              <w:ind w:left="0" w:right="0" w:hanging="0"/>
              <w:jc w:val="left"/>
              <w:rPr/>
            </w:pPr>
            <w:r>
              <w:rPr/>
              <w:t>​</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Kansas</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606" w:type="dxa"/>
            <w:tcBorders/>
            <w:shd w:fill="CCEEFF" w:val="clear"/>
            <w:vAlign w:val="center"/>
          </w:tcPr>
          <w:p>
            <w:pPr>
              <w:pStyle w:val="TableContents"/>
              <w:bidi w:val="0"/>
              <w:spacing w:before="0" w:after="1"/>
              <w:ind w:left="0" w:right="0" w:hanging="0"/>
              <w:jc w:val="left"/>
              <w:rPr/>
            </w:pPr>
            <w:r>
              <w:rPr/>
              <w:t>​</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Tennessee</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4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606" w:type="dxa"/>
            <w:tcBorders/>
            <w:vAlign w:val="center"/>
          </w:tcPr>
          <w:p>
            <w:pPr>
              <w:pStyle w:val="TableContents"/>
              <w:bidi w:val="0"/>
              <w:spacing w:before="0" w:after="1"/>
              <w:ind w:left="0" w:right="0" w:hanging="0"/>
              <w:jc w:val="left"/>
              <w:rPr/>
            </w:pPr>
            <w:r>
              <w:rPr/>
              <w:t>​</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606" w:type="dxa"/>
            <w:tcBorders/>
            <w:shd w:fill="CCEEFF" w:val="clear"/>
            <w:vAlign w:val="center"/>
          </w:tcPr>
          <w:p>
            <w:pPr>
              <w:pStyle w:val="TableContents"/>
              <w:bidi w:val="0"/>
              <w:spacing w:before="0" w:after="1"/>
              <w:ind w:left="0" w:right="0" w:hanging="0"/>
              <w:jc w:val="left"/>
              <w:rPr/>
            </w:pPr>
            <w:r>
              <w:rPr/>
              <w:t>​</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418" w:type="dxa"/>
            <w:tcBorders/>
            <w:vAlign w:val="center"/>
          </w:tcPr>
          <w:p>
            <w:pPr>
              <w:pStyle w:val="TableContents"/>
              <w:bidi w:val="0"/>
              <w:spacing w:before="0" w:after="1"/>
              <w:ind w:left="0" w:right="0" w:hanging="0"/>
              <w:jc w:val="right"/>
              <w:rPr/>
            </w:pPr>
            <w:r>
              <w:rPr/>
              <w:t>​</w:t>
            </w:r>
          </w:p>
        </w:tc>
        <w:tc>
          <w:tcPr>
            <w:tcW w:w="606" w:type="dxa"/>
            <w:tcBorders/>
            <w:vAlign w:val="center"/>
          </w:tcPr>
          <w:p>
            <w:pPr>
              <w:pStyle w:val="TableContents"/>
              <w:bidi w:val="0"/>
              <w:spacing w:before="0" w:after="1"/>
              <w:ind w:left="0" w:right="0" w:hanging="0"/>
              <w:jc w:val="left"/>
              <w:rPr/>
            </w:pPr>
            <w:r>
              <w:rPr/>
              <w:t>​</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Italy</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606" w:type="dxa"/>
            <w:tcBorders/>
            <w:shd w:fill="CCEEFF" w:val="clear"/>
            <w:vAlign w:val="center"/>
          </w:tcPr>
          <w:p>
            <w:pPr>
              <w:pStyle w:val="TableContents"/>
              <w:bidi w:val="0"/>
              <w:spacing w:before="0" w:after="1"/>
              <w:ind w:left="0" w:right="0" w:hanging="0"/>
              <w:jc w:val="left"/>
              <w:rPr/>
            </w:pPr>
            <w:r>
              <w:rPr/>
              <w:t>​</w:t>
            </w:r>
          </w:p>
        </w:tc>
      </w:tr>
      <w:tr>
        <w:trPr/>
        <w:tc>
          <w:tcPr>
            <w:tcW w:w="1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60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tax effect of significant differences representing deferred tax assets (liabilities) (the difference between financial statement carrying value and the tax basis of assets and liabilities) is as follows:</w:t>
      </w:r>
    </w:p>
    <w:p>
      <w:pPr>
        <w:pStyle w:val="TextBody"/>
        <w:bidi w:val="0"/>
        <w:spacing w:before="0" w:after="0"/>
        <w:ind w:left="0" w:right="0" w:hanging="0"/>
        <w:jc w:val="left"/>
        <w:rPr/>
      </w:pPr>
      <w:r>
        <w:rPr/>
        <w:t>​</w:t>
      </w:r>
    </w:p>
    <w:tbl>
      <w:tblPr>
        <w:tblW w:w="4912" w:type="dxa"/>
        <w:jc w:val="left"/>
        <w:tblInd w:w="0" w:type="dxa"/>
        <w:tblLayout w:type="fixed"/>
        <w:tblCellMar>
          <w:top w:w="0" w:type="dxa"/>
          <w:left w:w="0" w:type="dxa"/>
          <w:bottom w:w="0" w:type="dxa"/>
          <w:right w:w="0" w:type="dxa"/>
        </w:tblCellMar>
      </w:tblPr>
      <w:tblGrid>
        <w:gridCol w:w="2611"/>
        <w:gridCol w:w="346"/>
        <w:gridCol w:w="211"/>
        <w:gridCol w:w="571"/>
        <w:gridCol w:w="346"/>
        <w:gridCol w:w="211"/>
        <w:gridCol w:w="616"/>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1657985" cy="175260"/>
                      <wp:effectExtent l="0" t="0" r="0" b="0"/>
                      <wp:wrapNone/>
                      <wp:docPr id="662" name="Frame662"/>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19710" cy="175260"/>
                      <wp:effectExtent l="0" t="0" r="0" b="0"/>
                      <wp:wrapNone/>
                      <wp:docPr id="663" name="Frame6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133985" cy="175260"/>
                      <wp:effectExtent l="0" t="0" r="0" b="0"/>
                      <wp:wrapNone/>
                      <wp:docPr id="664" name="Frame6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362585" cy="175260"/>
                      <wp:effectExtent l="0" t="0" r="0" b="0"/>
                      <wp:wrapNone/>
                      <wp:docPr id="665" name="Frame66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19710" cy="175260"/>
                      <wp:effectExtent l="0" t="0" r="0" b="0"/>
                      <wp:wrapNone/>
                      <wp:docPr id="666" name="Frame6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133985" cy="175260"/>
                      <wp:effectExtent l="0" t="0" r="0" b="0"/>
                      <wp:wrapNone/>
                      <wp:docPr id="667" name="Frame6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391160" cy="175260"/>
                      <wp:effectExtent l="0" t="0" r="0" b="0"/>
                      <wp:wrapNone/>
                      <wp:docPr id="668" name="Frame66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491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5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  ​</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 partnerships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pPr>
            <w:r>
              <w:rPr/>
              <w:t>  ​</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 partnerships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 U.S. subsidiaries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(930)</w:t>
            </w:r>
          </w:p>
        </w:tc>
      </w:tr>
      <w:tr>
        <w:trPr/>
        <w:tc>
          <w:tcPr>
            <w:tcW w:w="26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recorded deferred tax assets and deferred tax liabilities of $165 million and $314 million, respectively, as of December 31, 2025 and $160 million and $331 million, respectively, as of December 31, 2024.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analyze all positive and negative evidence to consider whether it is more likely than not that all of the deferred tax assets will be realized. Projected future income, tax planning strategies and the expected reversal of deferred tax liabilities are considered in making this assessment. As of December 31, 2025 we had a valuation allowance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bookmarkStart w:id="2298" w:name="Tc_voyTwERuqEykbCGjLFLguA_7_8"/>
      <w:bookmarkStart w:id="2299" w:name="Tc_78WDmHL3rUKUInwx24GE5A_7_5"/>
      <w:bookmarkStart w:id="2300" w:name="Tc_TP2zkiaWt0mY3HH04BYUxQ_7_2"/>
      <w:bookmarkStart w:id="2301" w:name="Tc_ZqNA284Qi0OTMNSflPM9vw_7_0"/>
      <w:bookmarkStart w:id="2302" w:name="Tc_RBpuBE7X10qqfmCpdeLlGg_6_3"/>
      <w:bookmarkStart w:id="2303" w:name="Tc_TFHXTTMw3EWIyeDqnnGUJg_6_0"/>
      <w:bookmarkStart w:id="2304" w:name="Tc_K3L1KivK_k66i_mVoKDMGw_5_9"/>
      <w:bookmarkStart w:id="2305" w:name="Tc_ydBRF68MBkOqr4FHUIWnvQ_5_6"/>
      <w:bookmarkStart w:id="2306" w:name="Tc_HScoorDJb0-gIl-cLfHiIw_5_0"/>
      <w:bookmarkStart w:id="2307" w:name="Tc_cmUz8EM5yUOBTwWg-VSWCA_4_8"/>
      <w:bookmarkStart w:id="2308" w:name="Tc_7bejqDpAKEeofgq-gV6WXA_4_5"/>
      <w:bookmarkStart w:id="2309" w:name="Tc_eOJY4tt0GUeWJja7na1mYQ_4_2"/>
      <w:bookmarkStart w:id="2310" w:name="Tc_0XPjVgnKzE-AEts6N-skhw_4_0"/>
      <w:bookmarkStart w:id="2311" w:name="Tc_lNi4dfLLFUyWCz0Brs5jtQ_3_2"/>
      <w:bookmarkStart w:id="2312" w:name="Tc_LAYwdFRZ50q2FPUztJfyVw_2_8"/>
      <w:bookmarkStart w:id="2313" w:name="Tc_VywV7Z_M6UqWKzd5S4HdBQ_2_5"/>
      <w:bookmarkStart w:id="2314" w:name="Tc_7atMNfGimEa-MuVZJfkPKw_2_2"/>
      <w:bookmarkStart w:id="2315" w:name="Tc_OIbM9YMd2kKc2PAi9Ywy5g_1_2"/>
      <w:bookmarkStart w:id="2316" w:name="_Hlk158887476"/>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r>
        <w:rPr>
          <w:rFonts w:ascii="Times New Roman;Times;serif" w:hAnsi="Times New Roman;Times;serif"/>
          <w:sz w:val="20"/>
        </w:rPr>
        <w:t>approximately $722 million primarily related to tax loss and credit carryforwards and other deferred tax assets. The current and future provisions for income taxes may be significantly impacted by changes to valuation allowances. These allowances will be maintained until it is more likely than not that the deferred tax assets will be realized. For the year ended December 31, 2025, the valuation allowance on deferred tax assets decreased $186 million. The decrease was primarily attributable to changes in capital loss carryforwards.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At December 31, 2025, American Entertainment Properties Corp. (“AEPC”), a wholly-owned corporate subsidiary of Icahn Enterprises, which includes all or parts of our Automotive, Food Packaging, Pharma, Home Fashion and Real Estate segments had U.S. federal net operating loss carryforwards of approximately $3.2 billion with expiration dates from 2026 through unlimited carryforward periods. Additionally, AEPC and its corporate subsidiaries had foreign net operating loss carryforwards of $23 million with an unlimited carryforward period.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At December 31, 2025, CVR Energy had state income tax credits of $33 million, which are available to reduce future state income taxes. These credits, if not used, will begin expiring in 2040.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we have not provided taxes on approximately $141 million of undistributed earnings in foreign subsidiaries which are deemed to be indefinitely reinvested. If at some future date these earnings cease to be permanently reinvested, we may be subject to foreign income and withholding taxes upon repatriation of such amounts. An estimate of the tax liability that would be incurred upon repatriation of foreign earnings is not practicable to determine.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Accounting for Uncertainty in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summary of the changes in the gross amounts of unrecognized tax benefits for the years ended December 31, 2025, 2024 and 2023 are as follows:</w:t>
      </w:r>
    </w:p>
    <w:p>
      <w:pPr>
        <w:pStyle w:val="TextBody"/>
        <w:bidi w:val="0"/>
        <w:spacing w:before="0" w:after="0"/>
        <w:ind w:left="0" w:right="0" w:hanging="0"/>
        <w:jc w:val="left"/>
        <w:rPr/>
      </w:pPr>
      <w:r>
        <w:rPr/>
        <w:t>​</w:t>
      </w:r>
    </w:p>
    <w:tbl>
      <w:tblPr>
        <w:tblW w:w="6490" w:type="dxa"/>
        <w:jc w:val="left"/>
        <w:tblInd w:w="0" w:type="dxa"/>
        <w:tblLayout w:type="fixed"/>
        <w:tblCellMar>
          <w:top w:w="0" w:type="dxa"/>
          <w:left w:w="0" w:type="dxa"/>
          <w:bottom w:w="0" w:type="dxa"/>
          <w:right w:w="0" w:type="dxa"/>
        </w:tblCellMar>
      </w:tblPr>
      <w:tblGrid>
        <w:gridCol w:w="3646"/>
        <w:gridCol w:w="346"/>
        <w:gridCol w:w="211"/>
        <w:gridCol w:w="346"/>
        <w:gridCol w:w="346"/>
        <w:gridCol w:w="211"/>
        <w:gridCol w:w="346"/>
        <w:gridCol w:w="346"/>
        <w:gridCol w:w="211"/>
        <w:gridCol w:w="481"/>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315210" cy="175260"/>
                      <wp:effectExtent l="0" t="0" r="0" b="0"/>
                      <wp:wrapNone/>
                      <wp:docPr id="669" name="Frame669"/>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19710" cy="175260"/>
                      <wp:effectExtent l="0" t="0" r="0" b="0"/>
                      <wp:wrapNone/>
                      <wp:docPr id="670" name="Frame6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133985" cy="175260"/>
                      <wp:effectExtent l="0" t="0" r="0" b="0"/>
                      <wp:wrapNone/>
                      <wp:docPr id="671" name="Frame6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19710" cy="175260"/>
                      <wp:effectExtent l="0" t="0" r="0" b="0"/>
                      <wp:wrapNone/>
                      <wp:docPr id="672" name="Frame6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219710" cy="175260"/>
                      <wp:effectExtent l="0" t="0" r="0" b="0"/>
                      <wp:wrapNone/>
                      <wp:docPr id="673" name="Frame6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133985" cy="175260"/>
                      <wp:effectExtent l="0" t="0" r="0" b="0"/>
                      <wp:wrapNone/>
                      <wp:docPr id="674" name="Frame6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219710" cy="175260"/>
                      <wp:effectExtent l="0" t="0" r="0" b="0"/>
                      <wp:wrapNone/>
                      <wp:docPr id="675" name="Frame6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19710" cy="175260"/>
                      <wp:effectExtent l="0" t="0" r="0" b="0"/>
                      <wp:wrapNone/>
                      <wp:docPr id="676" name="Frame6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133985" cy="175260"/>
                      <wp:effectExtent l="0" t="0" r="0" b="0"/>
                      <wp:wrapNone/>
                      <wp:docPr id="677" name="Frame6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305435" cy="175260"/>
                      <wp:effectExtent l="0" t="0" r="0" b="0"/>
                      <wp:wrapNone/>
                      <wp:docPr id="678" name="Frame67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9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649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98"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January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for currency translation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pPr>
            <w:r>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for statute of limitation expiration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At December 31, 2025, 2024 and 2023, we had unrecognized tax benefits of $10 million, $9 million and $10 million, respectively. Of these totals, $10 million, $3 million and $10 million represent the amount of unrecognized tax benefits that if recognized, would affect the annual effective tax rate in the respective periods. The total unrecognized tax benefits differ from the amount which would affect the effective tax rate primarily due to the impact of valuation allowances.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recognize interest and penalties accrued related to unrecognized tax benefits as a component of income tax expense. We recorded less than $1 million, less than $1 million and $4 million as of December 31, 2025, 2024 and 2023, respectively, in liabilities for tax related net interest and penalties in our consolidated balance sheets. Income tax expense (benefit) related to interest and penalties were $ 1 million, $(4) million and $(2) million for the years December 31, 2025, 2024 and 2023, respectively. We or certain of our subsidiaries file income tax returns in the U.S. federal jurisdiction, various state jurisdictions and various non-U.S. jurisdictions. We and our subsidiaries are no longer subject to U.S. federal tax examinations for years before 2021 or state and local examinations for years before 2020, with limited exceptions.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2317" w:name="Tc_S-iHJP8kqESSoyqE8JeGRw_9_8"/>
      <w:bookmarkStart w:id="2318" w:name="Tc_Di-d_U5zLE-sJ1eobYJ9bA_9_5"/>
      <w:bookmarkStart w:id="2319" w:name="Tc_HhTfyZS-HUSdukxH_yUjTg_9_2"/>
      <w:bookmarkStart w:id="2320" w:name="Tc_6sw2dFiqmUeVVle2zW7SjQ_9_0"/>
      <w:bookmarkStart w:id="2321" w:name="Tc_bQJ4DH-7ZkC7pk0NKiPHGg_8_0"/>
      <w:bookmarkStart w:id="2322" w:name="Tc_-lDSWNQN50qykW4E3fR6Og_7_9"/>
      <w:bookmarkStart w:id="2323" w:name="Tc_11JKwIY190egMk1DEtbRow_7_6"/>
      <w:bookmarkStart w:id="2324" w:name="Tc_LQPsqWFcH0WdjZug-cSS_w_7_3"/>
      <w:bookmarkStart w:id="2325" w:name="Tc_Nk7vnKpPFEmgJPqZoyl3WA_7_0"/>
      <w:bookmarkStart w:id="2326" w:name="Tc_EeDj9GeIYUGtF4jEIfzgXw_6_0"/>
      <w:bookmarkStart w:id="2327" w:name="Tc_IJodHWjH2kyPWefZkR-5Tw_5_8"/>
      <w:bookmarkStart w:id="2328" w:name="Tc_ir1Xd8oUFUCEZSbjGgC46Q_5_5"/>
      <w:bookmarkStart w:id="2329" w:name="Tc_MFftHrXEi0CXfdjVgphrGQ_5_2"/>
      <w:bookmarkStart w:id="2330" w:name="Tc_GdxqgSDRO02WwId6Plvc_g_5_0"/>
      <w:bookmarkStart w:id="2331" w:name="Tc_tZlz3WZDKU67s50DSNq33A_4_2"/>
      <w:bookmarkStart w:id="2332" w:name="Tc_W-7usne7CUG_1I6hcBijFw_3_8"/>
      <w:bookmarkStart w:id="2333" w:name="Tc_WWUO5iyfQUiEzY7eMOrI2Q_3_5"/>
      <w:bookmarkStart w:id="2334" w:name="Tc_Acic6A_PRUKJ0yW1OwmV0A_3_2"/>
      <w:bookmarkStart w:id="2335" w:name="Tc_fx6Lmz1OZkuv7wROL_2Exg_2_5"/>
      <w:bookmarkStart w:id="2336" w:name="Tc_XYxQkv3DqUOzwNLf6yxubA_2_2"/>
      <w:bookmarkStart w:id="2337" w:name="Tc_SAf9xljHokWmnd-BOoyIVQ_1_5"/>
      <w:bookmarkStart w:id="2338" w:name="Tc_fWWc1dtmmUeljh_VNPMFGg_1_2"/>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r>
        <w:rPr>
          <w:rFonts w:ascii="Times New Roman;Times;serif" w:hAnsi="Times New Roman;Times;serif"/>
          <w:b/>
          <w:sz w:val="20"/>
        </w:rPr>
        <w:t>17. Changes in Accumulated Other Comprehensive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Changes in accumulated other comprehensive loss consists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11"/>
        <w:gridCol w:w="346"/>
        <w:gridCol w:w="512"/>
        <w:gridCol w:w="917"/>
        <w:gridCol w:w="346"/>
        <w:gridCol w:w="555"/>
        <w:gridCol w:w="992"/>
        <w:gridCol w:w="346"/>
        <w:gridCol w:w="211"/>
        <w:gridCol w:w="469"/>
      </w:tblGrid>
      <w:tr>
        <w:trPr/>
        <w:tc>
          <w:tcPr>
            <w:tcW w:w="5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3499485" cy="175260"/>
                      <wp:effectExtent l="0" t="0" r="0" b="0"/>
                      <wp:wrapNone/>
                      <wp:docPr id="679" name="Frame679"/>
                      <a:graphic xmlns:a="http://schemas.openxmlformats.org/drawingml/2006/main">
                        <a:graphicData uri="http://schemas.microsoft.com/office/word/2010/wordprocessingShape">
                          <wps:wsp>
                            <wps:cNvSpPr txBox="1"/>
                            <wps:spPr>
                              <a:xfrm>
                                <a:off x="0" y="0"/>
                                <a:ext cx="3499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19710" cy="175260"/>
                      <wp:effectExtent l="0" t="0" r="0" b="0"/>
                      <wp:wrapNone/>
                      <wp:docPr id="680" name="Frame6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325120" cy="175260"/>
                      <wp:effectExtent l="0" t="0" r="0" b="0"/>
                      <wp:wrapNone/>
                      <wp:docPr id="681" name="Frame681"/>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582295" cy="175260"/>
                      <wp:effectExtent l="0" t="0" r="0" b="0"/>
                      <wp:wrapNone/>
                      <wp:docPr id="682" name="Frame682"/>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219710" cy="175260"/>
                      <wp:effectExtent l="0" t="0" r="0" b="0"/>
                      <wp:wrapNone/>
                      <wp:docPr id="683" name="Frame6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352425" cy="175260"/>
                      <wp:effectExtent l="0" t="0" r="0" b="0"/>
                      <wp:wrapNone/>
                      <wp:docPr id="684" name="Frame684"/>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629920" cy="175260"/>
                      <wp:effectExtent l="0" t="0" r="0" b="0"/>
                      <wp:wrapNone/>
                      <wp:docPr id="685" name="Frame685"/>
                      <a:graphic xmlns:a="http://schemas.openxmlformats.org/drawingml/2006/main">
                        <a:graphicData uri="http://schemas.microsoft.com/office/word/2010/wordprocessingShape">
                          <wps:wsp>
                            <wps:cNvSpPr txBox="1"/>
                            <wps:spPr>
                              <a:xfrm>
                                <a:off x="0" y="0"/>
                                <a:ext cx="629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219710" cy="175260"/>
                      <wp:effectExtent l="0" t="0" r="0" b="0"/>
                      <wp:wrapNone/>
                      <wp:docPr id="686" name="Frame6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133985" cy="175260"/>
                      <wp:effectExtent l="0" t="0" r="0" b="0"/>
                      <wp:wrapNone/>
                      <wp:docPr id="687" name="Frame6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297815" cy="175260"/>
                      <wp:effectExtent l="0" t="0" r="0" b="0"/>
                      <wp:wrapNone/>
                      <wp:docPr id="688" name="Frame688"/>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29"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346" w:type="dxa"/>
            <w:tcBorders/>
            <w:vAlign w:val="center"/>
          </w:tcPr>
          <w:p>
            <w:pPr>
              <w:pStyle w:val="TableContents"/>
              <w:bidi w:val="0"/>
              <w:spacing w:before="0" w:after="1"/>
              <w:ind w:left="0" w:right="0" w:hanging="0"/>
              <w:jc w:val="left"/>
              <w:rPr/>
            </w:pPr>
            <w:r>
              <w:rPr/>
              <w:t>​</w:t>
            </w:r>
          </w:p>
        </w:tc>
        <w:tc>
          <w:tcPr>
            <w:tcW w:w="154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Post-Retirement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9" w:type="dxa"/>
            <w:tcBorders/>
            <w:vAlign w:val="center"/>
          </w:tcPr>
          <w:p>
            <w:pPr>
              <w:pStyle w:val="TableContents"/>
              <w:bidi w:val="0"/>
              <w:spacing w:before="0" w:after="1"/>
              <w:ind w:left="0" w:right="0" w:hanging="0"/>
              <w:jc w:val="center"/>
              <w:rPr/>
            </w:pPr>
            <w:r>
              <w:rPr/>
              <w:t>​</w:t>
            </w:r>
          </w:p>
        </w:tc>
      </w:tr>
      <w:tr>
        <w:trPr/>
        <w:tc>
          <w:tcPr>
            <w:tcW w:w="5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29"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Adjustments, Net</w:t>
            </w:r>
          </w:p>
        </w:tc>
        <w:tc>
          <w:tcPr>
            <w:tcW w:w="346" w:type="dxa"/>
            <w:tcBorders/>
            <w:vAlign w:val="center"/>
          </w:tcPr>
          <w:p>
            <w:pPr>
              <w:pStyle w:val="TableContents"/>
              <w:bidi w:val="0"/>
              <w:spacing w:before="0" w:after="1"/>
              <w:ind w:left="0" w:right="0" w:hanging="0"/>
              <w:jc w:val="left"/>
              <w:rPr/>
            </w:pPr>
            <w:r>
              <w:rPr/>
              <w:t>​</w:t>
            </w:r>
          </w:p>
        </w:tc>
        <w:tc>
          <w:tcPr>
            <w:tcW w:w="154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Benefits and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9" w:type="dxa"/>
            <w:tcBorders/>
            <w:vAlign w:val="center"/>
          </w:tcPr>
          <w:p>
            <w:pPr>
              <w:pStyle w:val="TableContents"/>
              <w:bidi w:val="0"/>
              <w:spacing w:before="0" w:after="1"/>
              <w:ind w:left="0" w:right="0" w:hanging="0"/>
              <w:jc w:val="center"/>
              <w:rPr/>
            </w:pPr>
            <w:r>
              <w:rPr/>
              <w:t>​</w:t>
            </w:r>
          </w:p>
        </w:tc>
      </w:tr>
      <w:tr>
        <w:trPr/>
        <w:tc>
          <w:tcPr>
            <w:tcW w:w="5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of Tax</w:t>
            </w:r>
          </w:p>
        </w:tc>
        <w:tc>
          <w:tcPr>
            <w:tcW w:w="346" w:type="dxa"/>
            <w:tcBorders/>
            <w:vAlign w:val="center"/>
          </w:tcPr>
          <w:p>
            <w:pPr>
              <w:pStyle w:val="TableContents"/>
              <w:bidi w:val="0"/>
              <w:spacing w:before="0" w:after="1"/>
              <w:ind w:left="0" w:right="0" w:hanging="0"/>
              <w:jc w:val="left"/>
              <w:rPr/>
            </w:pPr>
            <w:r>
              <w:rPr/>
              <w:t>  ​ ​ ​</w:t>
            </w:r>
          </w:p>
        </w:tc>
        <w:tc>
          <w:tcPr>
            <w:tcW w:w="15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Other, Net of Tax</w:t>
            </w:r>
          </w:p>
        </w:tc>
        <w:tc>
          <w:tcPr>
            <w:tcW w:w="346" w:type="dxa"/>
            <w:tcBorders/>
            <w:vAlign w:val="center"/>
          </w:tcPr>
          <w:p>
            <w:pPr>
              <w:pStyle w:val="TableContents"/>
              <w:bidi w:val="0"/>
              <w:spacing w:before="0" w:after="1"/>
              <w:ind w:left="0" w:right="0" w:hanging="0"/>
              <w:jc w:val="left"/>
              <w:rPr/>
            </w:pPr>
            <w:r>
              <w:rPr/>
              <w:t>  ​ ​ ​</w:t>
            </w:r>
          </w:p>
        </w:tc>
        <w:tc>
          <w:tcPr>
            <w:tcW w:w="6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48"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5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5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before reclassifications, net of tax</w:t>
            </w:r>
          </w:p>
        </w:tc>
        <w:tc>
          <w:tcPr>
            <w:tcW w:w="346" w:type="dxa"/>
            <w:tcBorders/>
            <w:vAlign w:val="center"/>
          </w:tcPr>
          <w:p>
            <w:pPr>
              <w:pStyle w:val="TableContents"/>
              <w:bidi w:val="0"/>
              <w:spacing w:before="0" w:after="1"/>
              <w:ind w:left="0" w:right="0" w:hanging="0"/>
              <w:jc w:val="left"/>
              <w:rPr/>
            </w:pPr>
            <w:r>
              <w:rPr/>
              <w:t>​</w:t>
            </w:r>
          </w:p>
        </w:tc>
        <w:tc>
          <w:tcPr>
            <w:tcW w:w="512"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 </w:t>
            </w:r>
          </w:p>
        </w:tc>
        <w:tc>
          <w:tcPr>
            <w:tcW w:w="9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5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Reclassifications from accumulated other comprehensive loss to earnings,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46" w:type="dxa"/>
            <w:tcBorders/>
            <w:vAlign w:val="center"/>
          </w:tcPr>
          <w:p>
            <w:pPr>
              <w:pStyle w:val="TableContents"/>
              <w:bidi w:val="0"/>
              <w:spacing w:before="0" w:after="1"/>
              <w:ind w:left="0" w:right="0" w:hanging="0"/>
              <w:jc w:val="left"/>
              <w:rPr/>
            </w:pPr>
            <w:r>
              <w:rPr/>
              <w:t>​</w:t>
            </w:r>
          </w:p>
        </w:tc>
        <w:tc>
          <w:tcPr>
            <w:tcW w:w="5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5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5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339" w:name="Tc_68LfVllLOUu-eqPoubeJuA_10_8"/>
      <w:bookmarkStart w:id="2340" w:name="Tc_0RRfyGbCfEmLBFs72xEqiA_10_5"/>
      <w:bookmarkStart w:id="2341" w:name="Tc_HfIfxq-rPUKZJU5AGGBVlQ_10_2"/>
      <w:bookmarkStart w:id="2342" w:name="Tc_Fhy64x6RK0qVccXLF8ihAw_9_0"/>
      <w:bookmarkStart w:id="2343" w:name="Tc_g9tJySSNT0iz--RoUb40FA_8_3"/>
      <w:bookmarkStart w:id="2344" w:name="Tc_7u9pbMKmqEu0ob8baOKFFg_8_0"/>
      <w:bookmarkStart w:id="2345" w:name="Tc_4_1cEI6aHU6INkv0DCGAKA_7_9"/>
      <w:bookmarkStart w:id="2346" w:name="Tc_Jb5aCEgPrkmlEYcwExn8rw_7_3"/>
      <w:bookmarkStart w:id="2347" w:name="Tc_3hXwMeVX_0KyiUsm6WEn_A_7_0"/>
      <w:bookmarkStart w:id="2348" w:name="Tc_U1Zsd4GK5UG6BZKKOqabLQ_6_0"/>
      <w:bookmarkStart w:id="2349" w:name="Tc_As6QFZQhaE6BD1uau4ZLZw_5_9"/>
      <w:bookmarkStart w:id="2350" w:name="Tc_4fdmQkLRIkC7o_v1-zotyw_5_3"/>
      <w:bookmarkStart w:id="2351" w:name="Tc_QaDDEVS0KkmT2zVapbq-Ig_5_0"/>
      <w:bookmarkStart w:id="2352" w:name="Tc_LQJ0iDTEAEa-uWL2bgUOaQ_4_8"/>
      <w:bookmarkStart w:id="2353" w:name="Tc_oo9wuEayDk-BdH5N9VsjvA_4_5"/>
      <w:bookmarkStart w:id="2354" w:name="Tc_3JHlfBNHh06Nx8xcvyTmag_4_2"/>
      <w:bookmarkStart w:id="2355" w:name="Tc_qlU0lXi9q0iVEnnJizv32w_4_0"/>
      <w:bookmarkStart w:id="2356" w:name="Tc_OWoY7MhEwka34_8XzQ8MSg_3_2"/>
      <w:bookmarkStart w:id="2357" w:name="Tc_oYe0zTe3ik-yJiQRB5Ru-w_2_8"/>
      <w:bookmarkStart w:id="2358" w:name="Tc_Q2n1F5cib0OlbvEThcZ_GQ_2_5"/>
      <w:bookmarkStart w:id="2359" w:name="Tc_h57UrLTplEykiVFN0GJuKA_2_2"/>
      <w:bookmarkStart w:id="2360" w:name="Tc_DRkBuUvBhUmugjk0kM-9yw_1_2"/>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r>
        <w:rPr>
          <w:rFonts w:ascii="Times New Roman;Times;serif" w:hAnsi="Times New Roman;Times;serif"/>
          <w:b/>
          <w:sz w:val="20"/>
        </w:rPr>
        <w:t>18. Other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income, net consists of the following:</w:t>
      </w:r>
    </w:p>
    <w:p>
      <w:pPr>
        <w:pStyle w:val="TextBody"/>
        <w:bidi w:val="0"/>
        <w:spacing w:before="0" w:after="0"/>
        <w:ind w:left="0" w:right="0" w:hanging="0"/>
        <w:jc w:val="left"/>
        <w:rPr/>
      </w:pPr>
      <w:r>
        <w:rPr/>
        <w:t>​</w:t>
      </w:r>
    </w:p>
    <w:tbl>
      <w:tblPr>
        <w:tblW w:w="6820" w:type="dxa"/>
        <w:jc w:val="left"/>
        <w:tblInd w:w="0" w:type="dxa"/>
        <w:tblLayout w:type="fixed"/>
        <w:tblCellMar>
          <w:top w:w="0" w:type="dxa"/>
          <w:left w:w="0" w:type="dxa"/>
          <w:bottom w:w="0" w:type="dxa"/>
          <w:right w:w="0" w:type="dxa"/>
        </w:tblCellMar>
      </w:tblPr>
      <w:tblGrid>
        <w:gridCol w:w="4051"/>
        <w:gridCol w:w="346"/>
        <w:gridCol w:w="211"/>
        <w:gridCol w:w="346"/>
        <w:gridCol w:w="346"/>
        <w:gridCol w:w="211"/>
        <w:gridCol w:w="331"/>
        <w:gridCol w:w="346"/>
        <w:gridCol w:w="211"/>
        <w:gridCol w:w="421"/>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2572385" cy="175260"/>
                      <wp:effectExtent l="0" t="0" r="0" b="0"/>
                      <wp:wrapNone/>
                      <wp:docPr id="689" name="Frame689"/>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219710" cy="175260"/>
                      <wp:effectExtent l="0" t="0" r="0" b="0"/>
                      <wp:wrapNone/>
                      <wp:docPr id="690" name="Frame6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133985" cy="175260"/>
                      <wp:effectExtent l="0" t="0" r="0" b="0"/>
                      <wp:wrapNone/>
                      <wp:docPr id="691" name="Frame6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19710" cy="175260"/>
                      <wp:effectExtent l="0" t="0" r="0" b="0"/>
                      <wp:wrapNone/>
                      <wp:docPr id="692" name="Frame6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219710" cy="175260"/>
                      <wp:effectExtent l="0" t="0" r="0" b="0"/>
                      <wp:wrapNone/>
                      <wp:docPr id="693" name="Frame6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133985" cy="175260"/>
                      <wp:effectExtent l="0" t="0" r="0" b="0"/>
                      <wp:wrapNone/>
                      <wp:docPr id="694" name="Frame6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210185" cy="175260"/>
                      <wp:effectExtent l="0" t="0" r="0" b="0"/>
                      <wp:wrapNone/>
                      <wp:docPr id="695" name="Frame69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219710" cy="175260"/>
                      <wp:effectExtent l="0" t="0" r="0" b="0"/>
                      <wp:wrapNone/>
                      <wp:docPr id="696" name="Frame6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133985" cy="175260"/>
                      <wp:effectExtent l="0" t="0" r="0" b="0"/>
                      <wp:wrapNone/>
                      <wp:docPr id="697" name="Frame6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267335" cy="175260"/>
                      <wp:effectExtent l="0" t="0" r="0" b="0"/>
                      <wp:wrapNone/>
                      <wp:docPr id="698" name="Frame69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2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5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682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23"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earnings from non-consolidated affiliates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sale of equity investment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transaction gain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3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lease termination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3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pPr>
            <w:r>
              <w:rPr/>
              <w:t>—</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(loss) on extinguishment of debt,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3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0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2361" w:name="_a19ba4fb_3e0b_499a_b61b_5ed11b60a3f4_3"/>
      <w:bookmarkStart w:id="2362" w:name="_a19ba4fb_3e0b_499a_b61b_5ed11b60a3f4_2"/>
      <w:bookmarkStart w:id="2363" w:name="_a19ba4fb_3e0b_499a_b61b_5ed11b60a3f4"/>
      <w:bookmarkEnd w:id="2361"/>
      <w:bookmarkEnd w:id="2362"/>
      <w:bookmarkEnd w:id="2363"/>
      <w:r>
        <w:rPr>
          <w:rFonts w:ascii="Times New Roman;Times;serif" w:hAnsi="Times New Roman;Times;serif"/>
          <w:b/>
          <w:sz w:val="20"/>
        </w:rPr>
        <w:t>19.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Matters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Due to the nature of our business, certain of our subsidiaries’ operations are subject to numerous existing and proposed laws and governmental regulations designed to protect human health and safety and the environment, particularly regarding plant wastes and emissions and solid waste disposal. Our consolidated environmental liabilities on an undiscounted basis were $3 million as of December 31, 2025 and 2024, primarily within our Energy segment, which are included in accrued expenses and other liabilities in our consolidated balance sheets. We do not believe that environmental matters will have a material adverse impact on our consolidated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Energy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CVR Energy’s obligated-party subsidiaries, Coffeyville Resources Refining &amp; Marketing, LLC (“CRRM”) and Wynnewood Refining Company, LLC (“WRC”), are subject to the Renewable Fuel Standard (“RFS”) of the Clean Air Act implemented by the EPA which requires refiners to either blend renewable fuels into their transportation fuels or purchase renewable fuel credits, known as RINs, in lieu of blending, in an amount equal to the renewable volume obligation (“RVO”) for the applicable compliance year. CVR Energy’s obligated-party subsidiaries are not able to blend the substantial majority of their transportation fuels and, unless their obligations are waived or exempted by the EPA, must either purchase RINs on the open market from third parties including its affiliates or obtain waiver credits for cellulosic biofuels in order to comply with the RFS. One of CVR Energy’s obligated-party subsidiaries, Wynnewood Refining Company, LLC (“WRC”), currently qualifies as a “small refinery” defined under the RFS as a refinery with an average aggregate daily crude oil throughput for a calendar year no greater than 75,000 barrels, which enables WRC to petition for and receive small refinery exemptions (“SREs”) under the RFS should the EPA conclude WRC suffered disproportionate economic hardship.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Taking into account the August 2025 SRE Decision, our Energy segment recognized, net of RINs sales, a benefit of approximately $94 million and a expense of approximately $46 million for the years ended December 31, 2025 and 2024, and a benefit of $114 million for the year ended December 31, 2023, respectively, for CVR Energy’s obligated-party subsidiaries’ compliance with the RFS (based on the 2020, 2021, 2022 and 2023 annual RVO for the respective periods, excluding the impacts of any exemptions or waivers to which the obligated-party subsidiaries may be entitled). The costs to comply with the RFS obligation through purchasing of RINs not otherwise reduced by blending of ethanol, biodiesel, or renewable diesel are included within cost of goods sold in the consolidated statements of operations. At each reporting period, to the extent RINs purchased or generated through blending are less than the RFS obligation (excluding the impact of exemptions or waivers to which CVR Energy’s obligated-party subsidiaries may be entitled), the remaining position is valued using RIN market prices at period end for each specific or closest vintage year. As of December 31, 2025 and December 31, 2024, CVR Energy’s obligated-party subsidiaries’ RFS position was $72 million and $323 million, respectively, and is included in accrued expenses and other liabilities in the condensed consolidated balance sheets.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45Q Transaction</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In January 2023, CVR Partners and certain of its subsidiaries entered into a joint venture and related agreements with unaffiliated third-party investors and others intended to qualify for certain tax credits available under Section 45Q of the Internal Revenue Code. Under the agreements entered into in connection with the 45Q Transactions, CVR Partners and certain of its subsidiaries are obligated to meet certain minimum quantities of carbon oxide supply each year during the term of the agreement and is subject to fees of up to $15 million per year (reduced pro rata for partial years) to the unaffiliated third-party investors, subject to an overall $45 million cap, if these minimum quantities are not delivered.</w:t>
      </w:r>
    </w:p>
    <w:p>
      <w:pPr>
        <w:pStyle w:val="TextBody"/>
        <w:bidi w:val="0"/>
        <w:spacing w:before="280" w:after="240"/>
        <w:ind w:left="0" w:right="0" w:hanging="0"/>
        <w:jc w:val="left"/>
        <w:rPr>
          <w:rFonts w:ascii="Times New Roman;Times;serif" w:hAnsi="Times New Roman;Times;serif"/>
          <w:b/>
          <w:i/>
          <w:sz w:val="20"/>
        </w:rPr>
      </w:pPr>
      <w:r>
        <w:rPr>
          <w:rFonts w:ascii="Times New Roman;Times;serif" w:hAnsi="Times New Roman;Times;serif"/>
          <w:b/>
          <w:i/>
          <w:sz w:val="20"/>
        </w:rPr>
        <w:t>Litigation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we and our subsidiaries are involved in various lawsuits arising in the normal course of business. We do not believe that such normal routine litigation will have a material effect on our financial condition or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Energy </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i/>
          <w:sz w:val="20"/>
        </w:rPr>
        <w:t xml:space="preserve">Call Option Coverage Cases - </w:t>
      </w:r>
      <w:r>
        <w:rPr>
          <w:rFonts w:ascii="Times New Roman;Times;serif" w:hAnsi="Times New Roman;Times;serif"/>
          <w:sz w:val="20"/>
        </w:rPr>
        <w:t xml:space="preserve">CVR Energy and certain of its affiliates (the “Call Defendants”) are engaged in two lawsuits with certain of the Call Defendants’ primary and excess insurers (the “Insurers”) relating to the August 2022 settlement (the “Settlement”) of the consolidated lawsuits filed by purported former unitholders of CVR Refining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behalf of themselves and an alleged class of similarly situated unitholders against the Call Defendants relating to CVR Energy’s exercise of the call option under the CVR Refining Amended and Restated Agreement of Limited Partnership, including a declaratory judgment action commenced in Texas by the Insurers seeking determination that the Insurers owe no indemnity coverage under policies with coverage limits of $50 million (the “Texas Suit”) and an action filed by the Call Defendants in Delaware against the Insurers seeking recovery of all amounts paid in connection with the Settlement (the “Delaware Suit”). CVR Energy’s appeal of summary judgment entered by the court in the Texas Suit in favor of the Insurers has been fully briefed but has not yet been ruled on by the appellate court. The Delaware Suit has been effectively stayed by the Delaware court pending the outcome of the Texas Suit appeal. While both cases remain pending, CVR Energy does not expect the outcome of these lawsuits to have a material adverse impact on its financial position, results of operations, or cash flows.</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i/>
          <w:sz w:val="20"/>
        </w:rPr>
        <w:t>Renewable Fuel Standard</w:t>
      </w:r>
      <w:r>
        <w:rPr>
          <w:rFonts w:ascii="Times New Roman;Times;serif" w:hAnsi="Times New Roman;Times;serif"/>
          <w:sz w:val="20"/>
        </w:rPr>
        <w:t> </w:t>
      </w:r>
      <w:r>
        <w:rPr>
          <w:rFonts w:ascii="Times New Roman;Times;serif" w:hAnsi="Times New Roman;Times;serif"/>
          <w:i/>
          <w:sz w:val="20"/>
        </w:rPr>
        <w:t>Litigation</w:t>
      </w:r>
      <w:r>
        <w:rPr>
          <w:rFonts w:ascii="Times New Roman;Times;serif" w:hAnsi="Times New Roman;Times;serif"/>
          <w:sz w:val="20"/>
        </w:rPr>
        <w:t xml:space="preserve"> - WRC’s previous legal challenges against the EPA relating to WRC’s SRE petitions for its historical compliance periods were effectively mooted by the 2025 SRE Decision and were dismissed in January 2026. In October 2025, WRC filed in the DC Circuit a petition for review of the 2025 SRE Decision with respect to WRC’s 2020, 2022, 2023 and 2024 SREs, primarily intended to preserve WRC’s rights to challenge scoring and decisions relating to WRC’s future SRE petitions; similar petitions for review of the 2025 SRE Decision were filed by multiple other refineries and others. Certain small refineries, including WRC, have been granted leave to intervene in the petitions for review filed by certain biofuels groups challenging the EPA’s grant of SREs in the August 2025 SRE Decisions. In July 2025, WRC submitted its SRE petition for the 2025 compliance period, which petition it supplemented in December 2025; the EPA has yet to rule on WRC’s pending petition. WRC is currently evaluating any actions WRC may take relating to its 2025 SRE petition should the EPA fail to rule, or adversely rule, on WRC’s 2025 SRE petition. As these matters are in their earliest stages, the Company cannot yet determine the impact thereof, or any actions of the EPA relating thereto, could have on WRC’s past, current, and future obligations under the RFS or the Company’s financial position, results of operations, or cash flows, which could be material.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Wynnewood Refinery 2023 Fire Claim</w:t>
      </w:r>
      <w:r>
        <w:rPr>
          <w:rFonts w:ascii="Times New Roman;Times;serif" w:hAnsi="Times New Roman;Times;serif"/>
          <w:sz w:val="20"/>
        </w:rPr>
        <w:t> - In January 2025, a subsidiary of CVR Energy agreed to settlement of the lawsuit filed by three contractor employees alleging personal injuries arising from the 2023 fire at the Wynnewood refinery, which settlement is in process and is not expected to have any financial impact on CVR Energy.</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CRNF Ammonia Release</w:t>
      </w:r>
      <w:r>
        <w:rPr>
          <w:rFonts w:ascii="Times New Roman;Times;serif" w:hAnsi="Times New Roman;Times;serif"/>
          <w:sz w:val="20"/>
        </w:rPr>
        <w:t> - CVR Energy, CVR Partners and certain of their affiliates (collectively, the “Ammonia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Defendants”) have been served with several lawsuits filed in state courts in Fort Bend County, Texas and/or received demand letters each alleging damages arising from an ammonia release that occurred at the fertilizer facility owned and operated by a CVR Partners subsidiary in October 2025, following which multiple individuals were transported to hospitals for evaluation and treatment. As these matters are in their earliest stages, CVR Energy and CVR Partners cannot yet determine whether this incident or these lawsuits could have a material adverse effect on CVR Energy’s or CVR Partners’ financial position, results of operations, or cash flows.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 xml:space="preserve">Guaranty Dispute </w:t>
      </w:r>
      <w:r>
        <w:rPr>
          <w:rFonts w:ascii="Times New Roman;Times;serif" w:hAnsi="Times New Roman;Times;serif"/>
          <w:sz w:val="20"/>
        </w:rPr>
        <w:t xml:space="preserve">– Exxon Mobil Corporation (“XOM”) has demanded that a subsidiary of CVR Energy defend and indemnify it against multiple lawsuits filed against XOM between 2018 and 2025 by property owners in Louisiana alleging property contamination from oil wells (collectively, the “LA Suits”) under an alleged guaranty claimed by XOM to have been issued in its favor in 1993 by such subsidiary. In 2024, that subsidiary filed action in the Superior Court of the State of Delaware disputing the validity of the alleged guaranty (the “Guaranty Dispute”). All deadlines in the Guaranty Dispute have been deferred until after mediation currently scheduled for March 2026. As these matters remain in their early stages, CVR Energy cannot yet determine whether its outcome will have a material adverse impact on CVR Energy’s financial position, results of operations, or cash flows.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Kansas Environmental Claims</w:t>
      </w:r>
      <w:r>
        <w:rPr>
          <w:rFonts w:ascii="Times New Roman;Times;serif" w:hAnsi="Times New Roman;Times;serif"/>
          <w:sz w:val="20"/>
        </w:rPr>
        <w:t xml:space="preserve"> - In January 2026, a lawsuit was filed in the United States District Court for the District of Kansas against CVR Energy, CVR Partners and certain of their affiliates (collectively, the “Kansas Defendants”) by three residents of Coffeyville and a purported class of similarly situated persons seeking compensatory and punitive damages in excess of $5 million dollars for nuisance and other equitable relief arising from alleged environmental abuse from operations at the Coffeyville refinery and the Coffeyville Fertilizer Facility. On February 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the Kansas Defendants were served with the lawsuit. The Kansas Defendants dispute the lawsuit claims and intend to vigorously defend themselves. As this matter is in its earliest stages, the Company cannot yet determine whether this lawsuit could have a material adverse effect on the Company’s financial position, results of operations, or cash flows.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Matters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Pension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Icahn, through certain affiliates, owns 100% of Icahn Enterprises GP and approximately 86% of our outstanding depositary units as of December 31, 2025.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prior to their termination, by ACF Industries LLC (“ACF”), an affiliate of Mr. Icahn). All the minimum funding requirements of the Internal Revenue Code, as amended, and the Employee Retirement Income Security Act of 1974, as amended, for the Viskase plans have been met as of December 31, 2025. If the plans were voluntarily terminated, the Viskase plan would be underfunded by approximately $19 million as of December 31, 2025.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to make ongoing pension contributions or to pay the unfunded liabilities upon a termination of the Viskase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current underfunded status of the pension plans of Viskase requires them to notify the PBGC of certain “reportable events,” such as if we cease to be a member of the Viskase controlled group, or if we make certain extraordinary dividends or stock redemptions. The obligation to report could cause us to seek to delay or reconsider the occurrence of such reportable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Starfire Holding Corporation (“Starfire”), which is 99.6% owned by Mr. Icahn, and his affiliates (excluding us and Brett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described above, with respect to the ACF pension plans, on January 31, 2025, the Executive Committee of ACF approved a resolution to terminate its qualified pension plans, which were frozen and no longer accrued benefits. As of December 31, 2024, the fair value of this plan’s assets exceeded its benefit obligations. The termination of the plan was effective January 31, 2025 and liquidation of the plan is expected to be completed in 2026 or early 2027. </w:t>
      </w:r>
    </w:p>
    <w:p>
      <w:pPr>
        <w:pStyle w:val="TextBody"/>
        <w:bidi w:val="0"/>
        <w:spacing w:before="0" w:after="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i/>
          <w:sz w:val="20"/>
        </w:rPr>
      </w:pPr>
      <w:bookmarkStart w:id="2364" w:name="Tc_zz5ZQ2y2p0ORNB_7Va-1bQ_9_5"/>
      <w:bookmarkStart w:id="2365" w:name="Tc_OI-DsKC_UkGXCcUdtd_nbA_9_2"/>
      <w:bookmarkStart w:id="2366" w:name="Tc_0vH0RpdEzE-unR6ehCieuA_8_6"/>
      <w:bookmarkStart w:id="2367" w:name="Tc_bj-96hdqhEOEy600uiHzWw_8_0"/>
      <w:bookmarkStart w:id="2368" w:name="Tc_ERYWLujQP0O1PhtXQM6khQ_7_6"/>
      <w:bookmarkStart w:id="2369" w:name="Tc_HJ6y4HEJy069Z0sr90pwZg_7_0"/>
      <w:bookmarkStart w:id="2370" w:name="Tc__V0mqfNUhUSUXmuZpT8Lsg_6_0"/>
      <w:bookmarkStart w:id="2371" w:name="Tc_UJHqTMQFFEymU0HPUSZ5cg_5_0"/>
      <w:bookmarkStart w:id="2372" w:name="Tc_ikcDx-liSESGY9j2B6F2Fw_4_0"/>
      <w:bookmarkStart w:id="2373" w:name="Tc_7kaS4Z6NoUGsh-TOgy-pRA_3_5"/>
      <w:bookmarkStart w:id="2374" w:name="Tc_CeMlFt94fk6TUS1kFNG5uQ_3_2"/>
      <w:bookmarkStart w:id="2375" w:name="Tc_P7xSy9n4xUK8enT29c8wAQ_3_0"/>
      <w:bookmarkStart w:id="2376" w:name="Tc_Z5Cz_paG10iaIyPSCkmUIQ_2_2"/>
      <w:bookmarkStart w:id="2377" w:name="Tc_kI_27hKDoE-FISs3ZNUw7Q_1_5"/>
      <w:bookmarkStart w:id="2378" w:name="Tc_CBXY4sl2fUCwIGBbLaqs7A_1_2"/>
      <w:bookmarkStart w:id="2379" w:name="Tc_Gu50mUrKiE2W0bGdf5liYA_1_0"/>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r>
        <w:rPr>
          <w:rFonts w:ascii="Times New Roman;Times;serif" w:hAnsi="Times New Roman;Times;serif"/>
          <w:i/>
          <w:sz w:val="20"/>
        </w:rPr>
        <w:t>Other</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Icahn Enterprises L.P. was contacted on May 3, 2023 by the U.S. Attorney’s office for the Southern District of New York, seeking production of information relating to the Company and certain of its affiliates’ corporate governance, capitalization, securities offerings, disclosure, dividends, valuation, marketing materials, due diligence and other materials. The Company produced documents in response to that inquiry and has had no substantive communication with the U.S. Attorney’s office since the initial inquiry on May 3, 2023.</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Unconditional Purchase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Unconditional purchase obligations are primarily within our Energy and Pharma segments. Our Energy segment’s unconditional purchase obligations relate to commitments for transportation of feedstock and product supply agreements related to CVR Energy’s biofuel blending obligation and various agreements for gas and gas transportation. Our Pharma segment’s unconditional purchase obligations relate to agreements to purchase goods or services from suppliers for the manufacture of its products. The minimum required payments for our Energy and Pharma segments’ unconditional purchase obligations are as follows:</w:t>
      </w:r>
    </w:p>
    <w:p>
      <w:pPr>
        <w:pStyle w:val="TextBody"/>
        <w:bidi w:val="0"/>
        <w:spacing w:before="0" w:after="0"/>
        <w:ind w:left="0" w:right="0" w:hanging="0"/>
        <w:jc w:val="left"/>
        <w:rPr/>
      </w:pPr>
      <w:r>
        <w:rPr/>
        <w:t>​</w:t>
      </w:r>
    </w:p>
    <w:tbl>
      <w:tblPr>
        <w:tblW w:w="3024" w:type="dxa"/>
        <w:jc w:val="left"/>
        <w:tblInd w:w="0" w:type="dxa"/>
        <w:tblLayout w:type="fixed"/>
        <w:tblCellMar>
          <w:top w:w="0" w:type="dxa"/>
          <w:left w:w="0" w:type="dxa"/>
          <w:bottom w:w="0" w:type="dxa"/>
          <w:right w:w="0" w:type="dxa"/>
        </w:tblCellMar>
      </w:tblPr>
      <w:tblGrid>
        <w:gridCol w:w="946"/>
        <w:gridCol w:w="346"/>
        <w:gridCol w:w="211"/>
        <w:gridCol w:w="571"/>
        <w:gridCol w:w="109"/>
        <w:gridCol w:w="280"/>
        <w:gridCol w:w="561"/>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600710" cy="175260"/>
                      <wp:effectExtent l="0" t="0" r="0" b="0"/>
                      <wp:wrapNone/>
                      <wp:docPr id="699" name="Frame69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219710" cy="175260"/>
                      <wp:effectExtent l="0" t="0" r="0" b="0"/>
                      <wp:wrapNone/>
                      <wp:docPr id="700" name="Frame7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133985" cy="175260"/>
                      <wp:effectExtent l="0" t="0" r="0" b="0"/>
                      <wp:wrapNone/>
                      <wp:docPr id="701" name="Frame7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362585" cy="175260"/>
                      <wp:effectExtent l="0" t="0" r="0" b="0"/>
                      <wp:wrapNone/>
                      <wp:docPr id="702" name="Frame70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69215" cy="175260"/>
                      <wp:effectExtent l="0" t="0" r="0" b="0"/>
                      <wp:wrapNone/>
                      <wp:docPr id="703" name="Frame7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177800" cy="175260"/>
                      <wp:effectExtent l="0" t="0" r="0" b="0"/>
                      <wp:wrapNone/>
                      <wp:docPr id="704" name="Frame704"/>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356235" cy="175260"/>
                      <wp:effectExtent l="0" t="0" r="0" b="0"/>
                      <wp:wrapNone/>
                      <wp:docPr id="705" name="Frame705"/>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Energy</w:t>
            </w:r>
          </w:p>
        </w:tc>
        <w:tc>
          <w:tcPr>
            <w:tcW w:w="109" w:type="dxa"/>
            <w:tcBorders/>
            <w:vAlign w:val="center"/>
          </w:tcPr>
          <w:p>
            <w:pPr>
              <w:pStyle w:val="TableContents"/>
              <w:bidi w:val="0"/>
              <w:spacing w:before="0" w:after="1"/>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Pharma</w:t>
            </w:r>
          </w:p>
        </w:tc>
      </w:tr>
      <w:tr>
        <w:trPr/>
        <w:tc>
          <w:tcPr>
            <w:tcW w:w="3024"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32"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109"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109"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109"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 </w:t>
            </w:r>
          </w:p>
        </w:tc>
        <w:tc>
          <w:tcPr>
            <w:tcW w:w="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109"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109"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 </w:t>
            </w:r>
          </w:p>
        </w:tc>
        <w:tc>
          <w:tcPr>
            <w:tcW w:w="561" w:type="dxa"/>
            <w:tcBorders/>
            <w:shd w:fill="CCEEFF" w:val="clear"/>
            <w:vAlign w:val="center"/>
          </w:tcPr>
          <w:p>
            <w:pPr>
              <w:pStyle w:val="TableContents"/>
              <w:bidi w:val="0"/>
              <w:spacing w:before="0" w:after="1"/>
              <w:ind w:left="0" w:right="0" w:hanging="0"/>
              <w:jc w:val="right"/>
              <w:rPr/>
            </w:pPr>
            <w:r>
              <w:rPr/>
              <w:t>—</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w:t>
            </w:r>
          </w:p>
        </w:tc>
        <w:tc>
          <w:tcPr>
            <w:tcW w:w="109"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9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w:t>
            </w:r>
          </w:p>
        </w:tc>
        <w:tc>
          <w:tcPr>
            <w:tcW w:w="109" w:type="dxa"/>
            <w:tcBorders/>
            <w:shd w:fill="CCEEFF" w:val="clear"/>
            <w:vAlign w:val="center"/>
          </w:tcPr>
          <w:p>
            <w:pPr>
              <w:pStyle w:val="TableContents"/>
              <w:bidi w:val="0"/>
              <w:spacing w:before="0" w:after="1"/>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 Pension and Other Post-Retirement Benefit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Pension and other post-retirement benefit plan costs and obligations are primarily within our Food Packaging segment. Pension plans and other post-retirement benefit plans for other segments are not material and are not included in our disclosures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Viskase sponsors several defined benefit pension plans, including defined contribution plans, varying by country and subsidiary. Additionally, Viskase sponsors health care and life insurance benefits for certain employees and retirees around the world. The pension benefits are funded based on the funding requirements of federal and international laws and regulations, as applicable, in advance of benefit payments and the other benefits are funded as benefits are provided to participating employees.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firstLine="360"/>
        <w:jc w:val="left"/>
        <w:rPr>
          <w:rFonts w:ascii="Times New Roman;Times;serif" w:hAnsi="Times New Roman;Times;serif"/>
          <w:sz w:val="20"/>
        </w:rPr>
      </w:pPr>
      <w:bookmarkStart w:id="2380" w:name="Tc_mJaV7GukEU6cDyP5GRDDLw_10_17"/>
      <w:bookmarkStart w:id="2381" w:name="Tc_gn4oGwz9yUq2eRSTZngJog_10_14"/>
      <w:bookmarkStart w:id="2382" w:name="Tc_fKcAjPGsZkSnryUdtCUywA_10_11"/>
      <w:bookmarkStart w:id="2383" w:name="Tc_mjDXfqJh9U2BH_K849NniQ_10_8"/>
      <w:bookmarkStart w:id="2384" w:name="Tc_1_ju4J-AGU6YrMhgUXHZyw_10_5"/>
      <w:bookmarkStart w:id="2385" w:name="Tc_lmCdrgs94EiXMPeFQQFRiw_10_2"/>
      <w:bookmarkStart w:id="2386" w:name="Tc_ROPeYz7RqEifjb1mfREGQA_9_0"/>
      <w:bookmarkStart w:id="2387" w:name="Tc_07sjc_oo9U6veM0hZN2fuw_8_18"/>
      <w:bookmarkStart w:id="2388" w:name="Tc_Losl83k2-UGhaVO9mEm9CA_8_12"/>
      <w:bookmarkStart w:id="2389" w:name="Tc_rFS-d-FUo0qV2Di1rZ1Bfw_8_3"/>
      <w:bookmarkStart w:id="2390" w:name="Tc_OX1GdtAXA0i4gOCGGglw3g_8_0"/>
      <w:bookmarkStart w:id="2391" w:name="Tc_-jw01Eex1EWcdubnXV3kCg_7_18"/>
      <w:bookmarkStart w:id="2392" w:name="Tc_UMAjws-FxESFboJDNmGV-Q_7_12"/>
      <w:bookmarkStart w:id="2393" w:name="Tc_WO3E5VLjPkCEtVnp-x40Sw_7_3"/>
      <w:bookmarkStart w:id="2394" w:name="Tc_pYHltAyYlUCuauL7Or-2qQ_7_0"/>
      <w:bookmarkStart w:id="2395" w:name="Tc_m2z-oQ_DF0WuJKoIz9ssTw_6_0"/>
      <w:bookmarkStart w:id="2396" w:name="Tc_-SZ1p2whRk2FSyLgftGJNA_5_17"/>
      <w:bookmarkStart w:id="2397" w:name="Tc_bBUE-ngXgUC4qAg1c3ecmw_5_14"/>
      <w:bookmarkStart w:id="2398" w:name="Tc_HR6rRseVlUyY48cG6pt3bQ_5_11"/>
      <w:bookmarkStart w:id="2399" w:name="Tc_ihVG-hi03Eell5SeVu3atw_5_8"/>
      <w:bookmarkStart w:id="2400" w:name="Tc_zt2gI1NiE0WeU0XIr9Nplw_5_5"/>
      <w:bookmarkStart w:id="2401" w:name="Tc_V67v_eAwcEOINYXv_ceNDA_5_2"/>
      <w:bookmarkStart w:id="2402" w:name="Tc_1kM6DjZdLEqZXr_RyM1qgw_5_0"/>
      <w:bookmarkStart w:id="2403" w:name="Tc_3wJ7i2B_gEm5LiEFxtNccw_4_0"/>
      <w:bookmarkStart w:id="2404" w:name="Tc_JzQ5jvlq4k23Ev1CXxHMlg_3_2"/>
      <w:bookmarkStart w:id="2405" w:name="Tc_iUp2W6VcZke2OXNvnUarNg_2_17"/>
      <w:bookmarkStart w:id="2406" w:name="Tc_CqMyRkQ0DE6bnWP9Ub0_Fw_2_14"/>
      <w:bookmarkStart w:id="2407" w:name="Tc_npiIdrR_nEeKYrq7ajHJ8g_2_11"/>
      <w:bookmarkStart w:id="2408" w:name="Tc_DpDF3qXiZkC63ViKI-t1Gg_2_8"/>
      <w:bookmarkStart w:id="2409" w:name="Tc_ubVJ5pR5Okeh8L-l2V2ghQ_2_5"/>
      <w:bookmarkStart w:id="2410" w:name="Tc_hRl9ZKtD_kGdeZ21ulUJ4w_2_2"/>
      <w:bookmarkStart w:id="2411" w:name="Tc_Jw3IR_7YNk-eVLT8e1QmpQ_1_11"/>
      <w:bookmarkStart w:id="2412" w:name="Tc_pnqiaDEkOUapw2er46Hc4Q_1_2"/>
      <w:bookmarkStart w:id="2413" w:name="Tc_XfthWLRxPkaCKs8VQeeekw_17_5"/>
      <w:bookmarkStart w:id="2414" w:name="Tc_ahDNNV7fS0iR3iY52WPwtA_17_2"/>
      <w:bookmarkStart w:id="2415" w:name="Tc_AUcZmacseEGfsZII1V45og_17_0"/>
      <w:bookmarkStart w:id="2416" w:name="Tc_N1tYgGiDrUmGnNzmzyIulA_16_0"/>
      <w:bookmarkStart w:id="2417" w:name="Tc_uXedcVOBe0y4mQlrFbK-7w_15_0"/>
      <w:bookmarkStart w:id="2418" w:name="Tc_MWyENxbAcE60ExwHuOL_rg_14_0"/>
      <w:bookmarkStart w:id="2419" w:name="Tc_5mZy0oRAPkSSLsxlybLJUw_13_0"/>
      <w:bookmarkStart w:id="2420" w:name="Tc_4OAJOJtaLkaisqz3tWgaTA_12_0"/>
      <w:bookmarkStart w:id="2421" w:name="Tc_C0zCYvnJW0iIppIuP4U2Eg_11_0"/>
      <w:bookmarkStart w:id="2422" w:name="Tc_Krx4ZwY5gE63ZL3_wMnd2w_10_0"/>
      <w:bookmarkStart w:id="2423" w:name="Tc_OMltSbYeWU2reEiwZwERLQ_9_0"/>
      <w:bookmarkStart w:id="2424" w:name="Tc_w01GsVwQu0W8Xpj4barSaQ_8_3"/>
      <w:bookmarkStart w:id="2425" w:name="Tc_F5ddkO1CoUOErEaoTIC1Ew_8_0"/>
      <w:bookmarkStart w:id="2426" w:name="Tc_-l5ZX073oEObRu2GnHiQPw_7_0"/>
      <w:bookmarkStart w:id="2427" w:name="Tc_xaHO5axR3UOd5wocAFsJfg_6_0"/>
      <w:bookmarkStart w:id="2428" w:name="Tc_96WA-Kh9XE-d6OB470Foaw_5_5"/>
      <w:bookmarkStart w:id="2429" w:name="Tc_Ql7eHFDCG0i6CX-Z3O13zA_5_2"/>
      <w:bookmarkStart w:id="2430" w:name="Tc_lQeHtripwkKa4qWrYd8dbw_5_0"/>
      <w:bookmarkStart w:id="2431" w:name="Tc_YEHAMCs3GEW-m8G8D1E0LA_4_0"/>
      <w:bookmarkStart w:id="2432" w:name="Tc_EN650wrxz0ObfnY7mSlYLQ_3_2"/>
      <w:bookmarkStart w:id="2433" w:name="Tc_Rr0CQOQW4EaBDLGQRbZ2Dw_2_5"/>
      <w:bookmarkStart w:id="2434" w:name="Tc_JGu20_8rdECmDaFQCfI8jQ_2_2"/>
      <w:bookmarkStart w:id="2435" w:name="Tc_loLuBw4O-Eyqt70u1p0mig_1_2"/>
      <w:bookmarkStart w:id="2436" w:name="Tc_AeZI6NmT8UCx4oTGXYHMfw_8_8"/>
      <w:bookmarkStart w:id="2437" w:name="Tc_hy1CBDYN3EOQlO_0JEqrBw_8_5"/>
      <w:bookmarkStart w:id="2438" w:name="Tc_KIFFXDyAp0qVuQyPrCakkA_8_2"/>
      <w:bookmarkStart w:id="2439" w:name="Tc_Las7nrqvU0GXhMPg1MH9VA_7_6"/>
      <w:bookmarkStart w:id="2440" w:name="Tc_DALWdG2ugkOImFGZvmuREg_7_3"/>
      <w:bookmarkStart w:id="2441" w:name="Tc_4RkBLgdudkeF73sHyCJm8A_7_0"/>
      <w:bookmarkStart w:id="2442" w:name="Tc_nyP1R6dGeUWweaWzT4MzOw_6_0"/>
      <w:bookmarkStart w:id="2443" w:name="Tc_8AXQ89kX80mJ05IDUqsGcA_5_8"/>
      <w:bookmarkStart w:id="2444" w:name="Tc_9vvYa-HoS0Cxe0XQd1kO0g_5_5"/>
      <w:bookmarkStart w:id="2445" w:name="Tc_kJfmD9kBakaz9BfPrXjbJw_5_2"/>
      <w:bookmarkStart w:id="2446" w:name="Tc_fAR0bJXPF0SFAiErZqxIkA_5_0"/>
      <w:bookmarkStart w:id="2447" w:name="Tc_PYj4qA3rmUur0CJxWHn1Sg_4_2"/>
      <w:bookmarkStart w:id="2448" w:name="Tc_KUi6EAYDDESKZdvmC0gAgw_3_8"/>
      <w:bookmarkStart w:id="2449" w:name="Tc_vmDvPU09wkeO-voBPFHe3g_3_5"/>
      <w:bookmarkStart w:id="2450" w:name="Tc_tXW61TUP_UKe6ZOl5gmGvg_3_2"/>
      <w:bookmarkStart w:id="2451" w:name="Tc_HVcEx6LrBEeHKafqUnHtOQ_2_2"/>
      <w:bookmarkStart w:id="2452" w:name="Tc_K8zkhGQ7YEq4SRq2x_lL3A_1_2"/>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r>
        <w:rPr>
          <w:rFonts w:ascii="Times New Roman;Times;serif" w:hAnsi="Times New Roman;Times;serif"/>
          <w:sz w:val="20"/>
        </w:rPr>
        <w:t>Components of net periodic benefit cost (credit) are as follows:</w:t>
      </w:r>
    </w:p>
    <w:p>
      <w:pPr>
        <w:pStyle w:val="TextBody"/>
        <w:bidi w:val="0"/>
        <w:spacing w:before="0" w:after="0"/>
        <w:ind w:left="0" w:right="0" w:hanging="0"/>
        <w:jc w:val="left"/>
        <w:rPr/>
      </w:pPr>
      <w:r>
        <w:rPr/>
        <w:t>​</w:t>
      </w:r>
    </w:p>
    <w:tbl>
      <w:tblPr>
        <w:tblW w:w="6074" w:type="dxa"/>
        <w:jc w:val="left"/>
        <w:tblInd w:w="0" w:type="dxa"/>
        <w:tblLayout w:type="fixed"/>
        <w:tblCellMar>
          <w:top w:w="0" w:type="dxa"/>
          <w:left w:w="0" w:type="dxa"/>
          <w:bottom w:w="0" w:type="dxa"/>
          <w:right w:w="0" w:type="dxa"/>
        </w:tblCellMar>
      </w:tblPr>
      <w:tblGrid>
        <w:gridCol w:w="2686"/>
        <w:gridCol w:w="346"/>
        <w:gridCol w:w="268"/>
        <w:gridCol w:w="440"/>
        <w:gridCol w:w="440"/>
        <w:gridCol w:w="268"/>
        <w:gridCol w:w="440"/>
        <w:gridCol w:w="440"/>
        <w:gridCol w:w="268"/>
        <w:gridCol w:w="478"/>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1705610" cy="175260"/>
                      <wp:effectExtent l="0" t="0" r="0" b="0"/>
                      <wp:wrapNone/>
                      <wp:docPr id="706" name="Frame706"/>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219710" cy="175260"/>
                      <wp:effectExtent l="0" t="0" r="0" b="0"/>
                      <wp:wrapNone/>
                      <wp:docPr id="707" name="Frame7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170180" cy="175260"/>
                      <wp:effectExtent l="0" t="0" r="0" b="0"/>
                      <wp:wrapNone/>
                      <wp:docPr id="708" name="Frame708"/>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279400" cy="175260"/>
                      <wp:effectExtent l="0" t="0" r="0" b="0"/>
                      <wp:wrapNone/>
                      <wp:docPr id="709" name="Frame709"/>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279400" cy="175260"/>
                      <wp:effectExtent l="0" t="0" r="0" b="0"/>
                      <wp:wrapNone/>
                      <wp:docPr id="710" name="Frame710"/>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170180" cy="175260"/>
                      <wp:effectExtent l="0" t="0" r="0" b="0"/>
                      <wp:wrapNone/>
                      <wp:docPr id="711" name="Frame711"/>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279400" cy="175260"/>
                      <wp:effectExtent l="0" t="0" r="0" b="0"/>
                      <wp:wrapNone/>
                      <wp:docPr id="712" name="Frame712"/>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279400" cy="175260"/>
                      <wp:effectExtent l="0" t="0" r="0" b="0"/>
                      <wp:wrapNone/>
                      <wp:docPr id="713" name="Frame713"/>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170180" cy="175260"/>
                      <wp:effectExtent l="0" t="0" r="0" b="0"/>
                      <wp:wrapNone/>
                      <wp:docPr id="714" name="Frame714"/>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303530" cy="175260"/>
                      <wp:effectExtent l="0" t="0" r="0" b="0"/>
                      <wp:wrapNone/>
                      <wp:docPr id="715" name="Frame715"/>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4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U.S. and Non-U.S. Pension Benefits</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4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40" w:type="dxa"/>
            <w:tcBorders/>
            <w:vAlign w:val="center"/>
          </w:tcPr>
          <w:p>
            <w:pPr>
              <w:pStyle w:val="TableContents"/>
              <w:bidi w:val="0"/>
              <w:spacing w:before="0" w:after="1"/>
              <w:ind w:left="0" w:right="0" w:hanging="0"/>
              <w:jc w:val="left"/>
              <w:rPr/>
            </w:pPr>
            <w:r>
              <w:rPr/>
              <w:t>  ​ ​ ​</w:t>
            </w:r>
          </w:p>
        </w:tc>
        <w:tc>
          <w:tcPr>
            <w:tcW w:w="7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440" w:type="dxa"/>
            <w:tcBorders/>
            <w:vAlign w:val="center"/>
          </w:tcPr>
          <w:p>
            <w:pPr>
              <w:pStyle w:val="TableContents"/>
              <w:bidi w:val="0"/>
              <w:spacing w:before="0" w:after="1"/>
              <w:ind w:left="0" w:right="0" w:hanging="0"/>
              <w:jc w:val="left"/>
              <w:rPr/>
            </w:pPr>
            <w:r>
              <w:rPr/>
              <w:t>  ​ ​ ​</w:t>
            </w:r>
          </w:p>
        </w:tc>
        <w:tc>
          <w:tcPr>
            <w:tcW w:w="7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607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42"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440"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440"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4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440"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4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440"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4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actuarial losses</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40"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40"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40" w:type="dxa"/>
            <w:tcBorders/>
            <w:vAlign w:val="center"/>
          </w:tcPr>
          <w:p>
            <w:pPr>
              <w:pStyle w:val="TableContents"/>
              <w:bidi w:val="0"/>
              <w:spacing w:before="0" w:after="1"/>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40" w:type="dxa"/>
            <w:tcBorders/>
            <w:vAlign w:val="center"/>
          </w:tcPr>
          <w:p>
            <w:pPr>
              <w:pStyle w:val="TableContents"/>
              <w:bidi w:val="0"/>
              <w:spacing w:before="0" w:after="1"/>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provides disclosures for Viskase’s benefit obligations, plan assets, funded status, and recognition in the consolidated balance sheets. As pension costs for Viskase are not material to our consolidated financial position and results of operations, we do not provide information regarding their inputs and valuation assumptions.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851"/>
        <w:gridCol w:w="346"/>
        <w:gridCol w:w="376"/>
        <w:gridCol w:w="778"/>
        <w:gridCol w:w="617"/>
        <w:gridCol w:w="376"/>
        <w:gridCol w:w="861"/>
      </w:tblGrid>
      <w:tr>
        <w:trPr/>
        <w:tc>
          <w:tcPr>
            <w:tcW w:w="6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4350385" cy="175260"/>
                      <wp:effectExtent l="0" t="0" r="0" b="0"/>
                      <wp:wrapNone/>
                      <wp:docPr id="716" name="Frame716"/>
                      <a:graphic xmlns:a="http://schemas.openxmlformats.org/drawingml/2006/main">
                        <a:graphicData uri="http://schemas.microsoft.com/office/word/2010/wordprocessingShape">
                          <wps:wsp>
                            <wps:cNvSpPr txBox="1"/>
                            <wps:spPr>
                              <a:xfrm>
                                <a:off x="0" y="0"/>
                                <a:ext cx="435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219710" cy="175260"/>
                      <wp:effectExtent l="0" t="0" r="0" b="0"/>
                      <wp:wrapNone/>
                      <wp:docPr id="717" name="Frame7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238760" cy="175260"/>
                      <wp:effectExtent l="0" t="0" r="0" b="0"/>
                      <wp:wrapNone/>
                      <wp:docPr id="718" name="Frame718"/>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494030" cy="175260"/>
                      <wp:effectExtent l="0" t="0" r="0" b="0"/>
                      <wp:wrapNone/>
                      <wp:docPr id="719" name="Frame719"/>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391795" cy="175260"/>
                      <wp:effectExtent l="0" t="0" r="0" b="0"/>
                      <wp:wrapNone/>
                      <wp:docPr id="720" name="Frame720"/>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238760" cy="175260"/>
                      <wp:effectExtent l="0" t="0" r="0" b="0"/>
                      <wp:wrapNone/>
                      <wp:docPr id="721" name="Frame721"/>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546735" cy="175260"/>
                      <wp:effectExtent l="0" t="0" r="0" b="0"/>
                      <wp:wrapNone/>
                      <wp:docPr id="722" name="Frame722"/>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U.S. and Non-U.S. Pension Benefits</w:t>
            </w:r>
          </w:p>
        </w:tc>
      </w:tr>
      <w:tr>
        <w:trPr/>
        <w:tc>
          <w:tcPr>
            <w:tcW w:w="6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17" w:type="dxa"/>
            <w:tcBorders/>
            <w:vAlign w:val="center"/>
          </w:tcPr>
          <w:p>
            <w:pPr>
              <w:pStyle w:val="TableContents"/>
              <w:bidi w:val="0"/>
              <w:spacing w:before="0" w:after="1"/>
              <w:ind w:left="0" w:right="0" w:hanging="0"/>
              <w:jc w:val="left"/>
              <w:rPr/>
            </w:pPr>
            <w:r>
              <w:rPr/>
              <w:t>  ​ ​ ​</w:t>
            </w:r>
          </w:p>
        </w:tc>
        <w:tc>
          <w:tcPr>
            <w:tcW w:w="12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08"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6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benefit obligation:</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  ​</w:t>
            </w:r>
          </w:p>
        </w:tc>
        <w:tc>
          <w:tcPr>
            <w:tcW w:w="617" w:type="dxa"/>
            <w:tcBorders/>
            <w:shd w:fill="CCEEFF" w:val="clear"/>
            <w:vAlign w:val="center"/>
          </w:tcPr>
          <w:p>
            <w:pPr>
              <w:pStyle w:val="TableContents"/>
              <w:bidi w:val="0"/>
              <w:spacing w:before="0" w:after="1"/>
              <w:ind w:left="0" w:right="0" w:hanging="0"/>
              <w:jc w:val="left"/>
              <w:rPr/>
            </w:pPr>
            <w:r>
              <w:rPr/>
              <w:t>  ​ ​ ​</w:t>
            </w:r>
          </w:p>
        </w:tc>
        <w:tc>
          <w:tcPr>
            <w:tcW w:w="376"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pPr>
            <w:r>
              <w:rPr/>
              <w:t>  ​</w:t>
            </w:r>
          </w:p>
        </w:tc>
      </w:tr>
      <w:tr>
        <w:trPr/>
        <w:tc>
          <w:tcPr>
            <w:tcW w:w="6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Benefit obligation, beginning of year</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617"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6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617"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Benefits paid</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617"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6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Actuarial loss (gain)</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w:t>
            </w:r>
          </w:p>
        </w:tc>
        <w:tc>
          <w:tcPr>
            <w:tcW w:w="617"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346" w:type="dxa"/>
            <w:tcBorders/>
            <w:vAlign w:val="center"/>
          </w:tcPr>
          <w:p>
            <w:pPr>
              <w:pStyle w:val="TableContents"/>
              <w:bidi w:val="0"/>
              <w:spacing w:before="0" w:after="1"/>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617" w:type="dxa"/>
            <w:tcBorders/>
            <w:vAlign w:val="center"/>
          </w:tcPr>
          <w:p>
            <w:pPr>
              <w:pStyle w:val="TableContents"/>
              <w:bidi w:val="0"/>
              <w:spacing w:before="0" w:after="1"/>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Benefit obligation, end of year</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617" w:type="dxa"/>
            <w:tcBorders/>
            <w:shd w:fill="CCEEFF" w:val="clear"/>
            <w:vAlign w:val="center"/>
          </w:tcPr>
          <w:p>
            <w:pPr>
              <w:pStyle w:val="TableContents"/>
              <w:bidi w:val="0"/>
              <w:spacing w:before="0" w:after="1"/>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6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plan assets:</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w:t>
            </w:r>
          </w:p>
        </w:tc>
        <w:tc>
          <w:tcPr>
            <w:tcW w:w="617"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pPr>
            <w:r>
              <w:rPr/>
              <w:t>  ​</w:t>
            </w:r>
          </w:p>
        </w:tc>
      </w:tr>
      <w:tr>
        <w:trPr/>
        <w:tc>
          <w:tcPr>
            <w:tcW w:w="6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of plan assets, beginning of year</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617"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6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Actual return on plan assets</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617"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 </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Employer contributions</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617"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pPr>
            <w:r>
              <w:rPr/>
              <w:t> </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Benefits paid</w:t>
            </w:r>
          </w:p>
        </w:tc>
        <w:tc>
          <w:tcPr>
            <w:tcW w:w="346" w:type="dxa"/>
            <w:tcBorders/>
            <w:vAlign w:val="center"/>
          </w:tcPr>
          <w:p>
            <w:pPr>
              <w:pStyle w:val="TableContents"/>
              <w:bidi w:val="0"/>
              <w:spacing w:before="0" w:after="1"/>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617" w:type="dxa"/>
            <w:tcBorders/>
            <w:vAlign w:val="center"/>
          </w:tcPr>
          <w:p>
            <w:pPr>
              <w:pStyle w:val="TableContents"/>
              <w:bidi w:val="0"/>
              <w:spacing w:before="0" w:after="1"/>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6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of plan assets, end of year</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617" w:type="dxa"/>
            <w:tcBorders/>
            <w:shd w:fill="CCEEFF" w:val="clear"/>
            <w:vAlign w:val="center"/>
          </w:tcPr>
          <w:p>
            <w:pPr>
              <w:pStyle w:val="TableContents"/>
              <w:bidi w:val="0"/>
              <w:spacing w:before="0" w:after="1"/>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6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Funded status of the plan and amounts recognized in the consolidated balance sheets</w:t>
            </w:r>
          </w:p>
        </w:tc>
        <w:tc>
          <w:tcPr>
            <w:tcW w:w="346" w:type="dxa"/>
            <w:tcBorders/>
            <w:vAlign w:val="center"/>
          </w:tcPr>
          <w:p>
            <w:pPr>
              <w:pStyle w:val="TableContents"/>
              <w:bidi w:val="0"/>
              <w:spacing w:before="0" w:after="1"/>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617" w:type="dxa"/>
            <w:tcBorders/>
            <w:vAlign w:val="center"/>
          </w:tcPr>
          <w:p>
            <w:pPr>
              <w:pStyle w:val="TableContents"/>
              <w:bidi w:val="0"/>
              <w:spacing w:before="0" w:after="1"/>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Defined Benefit Plans Measured at Fair Value on a Recurring Basis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The following table presents Viskase’s defined benefit plan assets measured at fair value on a recurring basis:</w:t>
      </w:r>
    </w:p>
    <w:p>
      <w:pPr>
        <w:pStyle w:val="TextBody"/>
        <w:bidi w:val="0"/>
        <w:spacing w:before="0" w:after="0"/>
        <w:ind w:left="0" w:right="0" w:hanging="0"/>
        <w:jc w:val="left"/>
        <w:rPr/>
      </w:pPr>
      <w:r>
        <w:rPr/>
        <w:t>​</w:t>
      </w:r>
    </w:p>
    <w:tbl>
      <w:tblPr>
        <w:tblW w:w="8560" w:type="dxa"/>
        <w:jc w:val="left"/>
        <w:tblInd w:w="0" w:type="dxa"/>
        <w:tblLayout w:type="fixed"/>
        <w:tblCellMar>
          <w:top w:w="0" w:type="dxa"/>
          <w:left w:w="0" w:type="dxa"/>
          <w:bottom w:w="0" w:type="dxa"/>
          <w:right w:w="0" w:type="dxa"/>
        </w:tblCellMar>
      </w:tblPr>
      <w:tblGrid>
        <w:gridCol w:w="2341"/>
        <w:gridCol w:w="346"/>
        <w:gridCol w:w="277"/>
        <w:gridCol w:w="458"/>
        <w:gridCol w:w="346"/>
        <w:gridCol w:w="277"/>
        <w:gridCol w:w="458"/>
        <w:gridCol w:w="346"/>
        <w:gridCol w:w="216"/>
        <w:gridCol w:w="355"/>
        <w:gridCol w:w="346"/>
        <w:gridCol w:w="277"/>
        <w:gridCol w:w="458"/>
        <w:gridCol w:w="346"/>
        <w:gridCol w:w="277"/>
        <w:gridCol w:w="458"/>
        <w:gridCol w:w="346"/>
        <w:gridCol w:w="211"/>
        <w:gridCol w:w="421"/>
      </w:tblGrid>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1486535" cy="175260"/>
                      <wp:effectExtent l="0" t="0" r="0" b="0"/>
                      <wp:wrapNone/>
                      <wp:docPr id="723" name="Frame723"/>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219710" cy="175260"/>
                      <wp:effectExtent l="0" t="0" r="0" b="0"/>
                      <wp:wrapNone/>
                      <wp:docPr id="724" name="Frame7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175895" cy="175260"/>
                      <wp:effectExtent l="0" t="0" r="0" b="0"/>
                      <wp:wrapNone/>
                      <wp:docPr id="725" name="Frame725"/>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290830" cy="175260"/>
                      <wp:effectExtent l="0" t="0" r="0" b="0"/>
                      <wp:wrapNone/>
                      <wp:docPr id="726" name="Frame726"/>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219710" cy="175260"/>
                      <wp:effectExtent l="0" t="0" r="0" b="0"/>
                      <wp:wrapNone/>
                      <wp:docPr id="727" name="Frame7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175895" cy="175260"/>
                      <wp:effectExtent l="0" t="0" r="0" b="0"/>
                      <wp:wrapNone/>
                      <wp:docPr id="728" name="Frame728"/>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290830" cy="175260"/>
                      <wp:effectExtent l="0" t="0" r="0" b="0"/>
                      <wp:wrapNone/>
                      <wp:docPr id="729" name="Frame729"/>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219710" cy="175260"/>
                      <wp:effectExtent l="0" t="0" r="0" b="0"/>
                      <wp:wrapNone/>
                      <wp:docPr id="730" name="Frame7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137160" cy="175260"/>
                      <wp:effectExtent l="0" t="0" r="0" b="0"/>
                      <wp:wrapNone/>
                      <wp:docPr id="731" name="Frame73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225425" cy="175260"/>
                      <wp:effectExtent l="0" t="0" r="0" b="0"/>
                      <wp:wrapNone/>
                      <wp:docPr id="732" name="Frame732"/>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219710" cy="175260"/>
                      <wp:effectExtent l="0" t="0" r="0" b="0"/>
                      <wp:wrapNone/>
                      <wp:docPr id="733" name="Frame7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175895" cy="175260"/>
                      <wp:effectExtent l="0" t="0" r="0" b="0"/>
                      <wp:wrapNone/>
                      <wp:docPr id="734" name="Frame734"/>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290830" cy="175260"/>
                      <wp:effectExtent l="0" t="0" r="0" b="0"/>
                      <wp:wrapNone/>
                      <wp:docPr id="735" name="Frame735"/>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219710" cy="175260"/>
                      <wp:effectExtent l="0" t="0" r="0" b="0"/>
                      <wp:wrapNone/>
                      <wp:docPr id="736" name="Frame7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175895" cy="175260"/>
                      <wp:effectExtent l="0" t="0" r="0" b="0"/>
                      <wp:wrapNone/>
                      <wp:docPr id="737" name="Frame73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290830" cy="175260"/>
                      <wp:effectExtent l="0" t="0" r="0" b="0"/>
                      <wp:wrapNone/>
                      <wp:docPr id="738" name="Frame738"/>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219710" cy="175260"/>
                      <wp:effectExtent l="0" t="0" r="0" b="0"/>
                      <wp:wrapNone/>
                      <wp:docPr id="739" name="Frame7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133985" cy="175260"/>
                      <wp:effectExtent l="0" t="0" r="0" b="0"/>
                      <wp:wrapNone/>
                      <wp:docPr id="740" name="Frame7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267335" cy="175260"/>
                      <wp:effectExtent l="0" t="0" r="0" b="0"/>
                      <wp:wrapNone/>
                      <wp:docPr id="741" name="Frame74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3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1"/>
              <w:ind w:left="0" w:right="0" w:hanging="0"/>
              <w:jc w:val="left"/>
              <w:rPr/>
            </w:pPr>
            <w:r>
              <w:rPr/>
              <w:t>​</w:t>
            </w:r>
          </w:p>
        </w:tc>
        <w:tc>
          <w:tcPr>
            <w:tcW w:w="279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2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46" w:type="dxa"/>
            <w:tcBorders/>
            <w:vAlign w:val="center"/>
          </w:tcPr>
          <w:p>
            <w:pPr>
              <w:pStyle w:val="TableContents"/>
              <w:bidi w:val="0"/>
              <w:spacing w:before="0" w:after="1"/>
              <w:ind w:left="0" w:right="0" w:hanging="0"/>
              <w:jc w:val="left"/>
              <w:rPr/>
            </w:pPr>
            <w:r>
              <w:rPr/>
              <w:t>  ​ ​ ​</w:t>
            </w:r>
          </w:p>
        </w:tc>
        <w:tc>
          <w:tcPr>
            <w:tcW w:w="7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46" w:type="dxa"/>
            <w:tcBorders/>
            <w:vAlign w:val="center"/>
          </w:tcPr>
          <w:p>
            <w:pPr>
              <w:pStyle w:val="TableContents"/>
              <w:bidi w:val="0"/>
              <w:spacing w:before="0" w:after="1"/>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 ​ ​</w:t>
            </w:r>
          </w:p>
        </w:tc>
        <w:tc>
          <w:tcPr>
            <w:tcW w:w="7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346" w:type="dxa"/>
            <w:tcBorders/>
            <w:vAlign w:val="center"/>
          </w:tcPr>
          <w:p>
            <w:pPr>
              <w:pStyle w:val="TableContents"/>
              <w:bidi w:val="0"/>
              <w:spacing w:before="0" w:after="1"/>
              <w:ind w:left="0" w:right="0" w:hanging="0"/>
              <w:jc w:val="left"/>
              <w:rPr/>
            </w:pPr>
            <w:r>
              <w:rPr/>
              <w:t>  ​ ​ ​</w:t>
            </w:r>
          </w:p>
        </w:tc>
        <w:tc>
          <w:tcPr>
            <w:tcW w:w="7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8560"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73" w:type="dxa"/>
            <w:gridSpan w:val="17"/>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and Non-U.S. Plans:</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45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45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45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45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  ​</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debt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3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4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traded funds</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4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4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3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4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4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pPr>
            <w:r>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funds</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4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4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3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4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4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23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88</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bookmarkStart w:id="2453" w:name="Tc_UBKr1_pvHEuUq0qj_vXPuQ_9_6"/>
      <w:bookmarkStart w:id="2454" w:name="Tc_DBaVdinzcUmblg_-5Djjzg_9_0"/>
      <w:bookmarkStart w:id="2455" w:name="Tc_ZqGLah3sDkyOY7tpYouVsw_8_9"/>
      <w:bookmarkStart w:id="2456" w:name="Tc_9wKLtle_DUqbBMiM-pL34w_8_6"/>
      <w:bookmarkStart w:id="2457" w:name="Tc_7u0tLe29lUaea8-50x_PBw_8_0"/>
      <w:bookmarkStart w:id="2458" w:name="Tc_wbT1F55JkkqZ5uQWxLOR7w_7_6"/>
      <w:bookmarkStart w:id="2459" w:name="Tc_4tgccceyF0GJPlheYuwozQ_7_3"/>
      <w:bookmarkStart w:id="2460" w:name="Tc_jj7lXdhDp0apArVriWnibg_7_0"/>
      <w:bookmarkStart w:id="2461" w:name="Tc_D0CW1ohnn0mC2ZqcT9MDhg_6_6"/>
      <w:bookmarkStart w:id="2462" w:name="Tc_uk0z9zDUY0CvpBJGEAgm1A_6_3"/>
      <w:bookmarkStart w:id="2463" w:name="Tc_mcYBJjbeikyz6MqpMZ_Epw_6_0"/>
      <w:bookmarkStart w:id="2464" w:name="Tc_wprCjeECC0Og1atRV_xBFw_5_0"/>
      <w:bookmarkStart w:id="2465" w:name="Tc_kSawhn2a_kOpdRIDKYCzAg_4_8"/>
      <w:bookmarkStart w:id="2466" w:name="Tc_ZpnLZ2ko1k6Tn1QXTUpGEw_4_5"/>
      <w:bookmarkStart w:id="2467" w:name="Tc_UCbCuk1QUkSvr6QviWQv3A_4_2"/>
      <w:bookmarkStart w:id="2468" w:name="Tc_dolxbSRX-kCGuwV2QipfrQ_4_0"/>
      <w:bookmarkStart w:id="2469" w:name="Tc_MQ9SNgmAjUOTCHC_ZpzS8w_3_2"/>
      <w:bookmarkStart w:id="2470" w:name="Tc_IaiWud4kvEiuOr2DU09MJw_2_8"/>
      <w:bookmarkStart w:id="2471" w:name="Tc_cSPdDgmO0EyJlmxfeEFnwg_2_5"/>
      <w:bookmarkStart w:id="2472" w:name="Tc_cErbqnHqUEiNxiqa_P6QPg_2_2"/>
      <w:bookmarkStart w:id="2473" w:name="Tc_dXxZJZFewUeANaESs_SYZg_1_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r>
        <w:rPr>
          <w:rFonts w:ascii="Times New Roman;Times;serif" w:hAnsi="Times New Roman;Times;serif"/>
          <w:b/>
          <w:sz w:val="20"/>
        </w:rPr>
        <w:t>21. Supplemental Cash Flow Information</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Supplemental cash flow information consists of the following:</w:t>
      </w:r>
    </w:p>
    <w:p>
      <w:pPr>
        <w:pStyle w:val="TextBody"/>
        <w:bidi w:val="0"/>
        <w:spacing w:before="0" w:after="0"/>
        <w:ind w:left="0" w:right="0" w:hanging="0"/>
        <w:jc w:val="left"/>
        <w:rPr/>
      </w:pPr>
      <w:r>
        <w:rPr/>
        <w:t>​</w:t>
      </w:r>
    </w:p>
    <w:tbl>
      <w:tblPr>
        <w:tblW w:w="9505" w:type="dxa"/>
        <w:jc w:val="left"/>
        <w:tblInd w:w="0" w:type="dxa"/>
        <w:tblLayout w:type="fixed"/>
        <w:tblCellMar>
          <w:top w:w="0" w:type="dxa"/>
          <w:left w:w="0" w:type="dxa"/>
          <w:bottom w:w="0" w:type="dxa"/>
          <w:right w:w="0" w:type="dxa"/>
        </w:tblCellMar>
      </w:tblPr>
      <w:tblGrid>
        <w:gridCol w:w="6166"/>
        <w:gridCol w:w="346"/>
        <w:gridCol w:w="211"/>
        <w:gridCol w:w="541"/>
        <w:gridCol w:w="346"/>
        <w:gridCol w:w="211"/>
        <w:gridCol w:w="541"/>
        <w:gridCol w:w="346"/>
        <w:gridCol w:w="211"/>
        <w:gridCol w:w="586"/>
      </w:tblGrid>
      <w:tr>
        <w:trPr/>
        <w:tc>
          <w:tcPr>
            <w:tcW w:w="6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3915410" cy="175260"/>
                      <wp:effectExtent l="0" t="0" r="0" b="0"/>
                      <wp:wrapNone/>
                      <wp:docPr id="742" name="Frame742"/>
                      <a:graphic xmlns:a="http://schemas.openxmlformats.org/drawingml/2006/main">
                        <a:graphicData uri="http://schemas.microsoft.com/office/word/2010/wordprocessingShape">
                          <wps:wsp>
                            <wps:cNvSpPr txBox="1"/>
                            <wps:spPr>
                              <a:xfrm>
                                <a:off x="0" y="0"/>
                                <a:ext cx="391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219710" cy="175260"/>
                      <wp:effectExtent l="0" t="0" r="0" b="0"/>
                      <wp:wrapNone/>
                      <wp:docPr id="743" name="Frame7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133985" cy="175260"/>
                      <wp:effectExtent l="0" t="0" r="0" b="0"/>
                      <wp:wrapNone/>
                      <wp:docPr id="744" name="Frame7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343535" cy="175260"/>
                      <wp:effectExtent l="0" t="0" r="0" b="0"/>
                      <wp:wrapNone/>
                      <wp:docPr id="745" name="Frame74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219710" cy="175260"/>
                      <wp:effectExtent l="0" t="0" r="0" b="0"/>
                      <wp:wrapNone/>
                      <wp:docPr id="746" name="Frame7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133985" cy="175260"/>
                      <wp:effectExtent l="0" t="0" r="0" b="0"/>
                      <wp:wrapNone/>
                      <wp:docPr id="747" name="Frame7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343535" cy="175260"/>
                      <wp:effectExtent l="0" t="0" r="0" b="0"/>
                      <wp:wrapNone/>
                      <wp:docPr id="748" name="Frame74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219710" cy="175260"/>
                      <wp:effectExtent l="0" t="0" r="0" b="0"/>
                      <wp:wrapNone/>
                      <wp:docPr id="749" name="Frame7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133985" cy="175260"/>
                      <wp:effectExtent l="0" t="0" r="0" b="0"/>
                      <wp:wrapNone/>
                      <wp:docPr id="750" name="Frame7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372110" cy="175260"/>
                      <wp:effectExtent l="0" t="0" r="0" b="0"/>
                      <wp:wrapNone/>
                      <wp:docPr id="751" name="Frame75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9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6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95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6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93"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6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payments for interest, net of amounts capitalized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w:t>
            </w:r>
          </w:p>
        </w:tc>
      </w:tr>
      <w:tr>
        <w:trPr/>
        <w:tc>
          <w:tcPr>
            <w:tcW w:w="6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(payments) receipts for income taxes,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6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contributions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Investment segment contributions from non-controlling interests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recognition of equity method investment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r>
      <w:tr>
        <w:trPr/>
        <w:tc>
          <w:tcPr>
            <w:tcW w:w="6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related party note receivable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22. Subsequent Events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Icahn Enterprises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val="false"/>
          <w:i/>
          <w:sz w:val="20"/>
        </w:rPr>
        <w:t>6.250%</w:t>
      </w:r>
      <w:r>
        <w:rPr>
          <w:rFonts w:ascii="Times New Roman;Times;serif" w:hAnsi="Times New Roman;Times;serif"/>
          <w:b/>
          <w:i/>
          <w:sz w:val="20"/>
        </w:rPr>
        <w:t xml:space="preserve"> </w:t>
      </w:r>
      <w:r>
        <w:rPr>
          <w:rFonts w:ascii="Times New Roman;Times;serif" w:hAnsi="Times New Roman;Times;serif"/>
          <w:b w:val="false"/>
          <w:i/>
          <w:sz w:val="20"/>
        </w:rPr>
        <w:t>Senior Notes due 2026 Redemption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January 27, 2026, the trustee sent on our behalf a notice of full redemption to holders of our outstanding 6.250% Senior Notes due 2026 (the “2026 Notes”), with the redemption scheduled for February 26, 2026. The redemption price will be equal to 100.000% of the principal amount of the remaining 2026 Notes, plus accrued and unpaid interest thereon to, but not including, the redemption date. Upon the redemption of the 2026 Notes, none of the 2026 Notes will remain outstanding. We expect to use cash on hand to pay the redemption price for the 2026 Notes.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CVR Energy, Inc. Purchases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February of 2026, we acquired additional shares of common stock of CVR Energy, Inc. in open market purchases, including 783,404 additional shares purchased in February that settled as of February 25, 2026. </w:t>
      </w:r>
    </w:p>
    <w:p>
      <w:pPr>
        <w:pStyle w:val="TextBody"/>
        <w:bidi w:val="0"/>
        <w:spacing w:before="0" w:after="0"/>
        <w:ind w:left="0" w:right="0" w:firstLine="360"/>
        <w:jc w:val="left"/>
        <w:rPr/>
      </w:pPr>
      <w:r>
        <w:rPr/>
        <w:t>​</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LP Unit Distribution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February 23, 2026, the Board of Directors of the general partner of Icahn Enterprises declared a quarterly distribution in the amount of $0.50 per depositary unit, which will be paid on or about April 15, 2026 to depositary unitholders of record at the close of business on March 9, 2026. Depositary unitholders will have until April 3, 2026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April 10, 2026. Icahn Enterprises will make a cash payment in lieu of issuing fractional depositary units to any unitholders electing to receive (or who are deemed to have elected to receive) depositary units.</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474" w:name="Item9ChangesInandDisagreementsWithAccoun"/>
      <w:bookmarkStart w:id="2475" w:name="_28c9670b_0424_4d8b_ae55_1380b6ecde49"/>
      <w:bookmarkEnd w:id="2474"/>
      <w:bookmarkEnd w:id="2475"/>
      <w:r>
        <w:rPr>
          <w:rFonts w:ascii="Times New Roman;Times;serif" w:hAnsi="Times New Roman;Times;serif"/>
          <w:b/>
          <w:sz w:val="20"/>
        </w:rPr>
        <w:t>Item 9. Changes In and Disagreements With Accountants on Accounting and Financial Disclosure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2476" w:name="Item9AControlsandProcedures_361524"/>
      <w:bookmarkStart w:id="2477" w:name="_3b35d46c_56ad_41b9_af13_06a6f4fa50f9"/>
      <w:bookmarkEnd w:id="2476"/>
      <w:bookmarkEnd w:id="2477"/>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December 31, 2025, our management, including our Chief Executive Officer and Chief Financial Officer, evaluated the effectiveness of the design and operation of Icahn Enterprises’ and subsidiaries’ disclosure controls and procedures pursuant to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and for an assessment of the effectiveness of internal control over financial reporting; as such items are defined in Rule 13a-15(f) under the Exchange 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internal control over financial reporting is designed to provide reasonable assurance that our financial reporting and preparation of financial statements is reliable and in accordance with generally accepted accounting principles. Our policies and procedures are designed to provide reasonable assurance that transactions are recorded and records are maintained in reasonable detail as necessary to accurately and fairly reflect transactions and that all transactions are properly authorized by management in order to prevent or timely detect unauthorized transactions or misappropriation of assets that could have a material effect on our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Management is required to base its assessment on the effectiveness of our internal control over financial reporting on a suitable, recognized control framework. Management has utilized the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the Committee of Sponsoring Organizations of the Treadway Commission (“COSO”) to evaluate the effectiveness of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management has performed an assessment according to the guidelines established by COSO. Based on the assessment, management has concluded that our system of internal control over financial reporting, as of December 31, 2025, is effective.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Grant Thornton LLP, our independent registered public accounting firm (PCAOB ID Number 248), has audited and issued their report on Icahn Enterprises’ internal control over financial reporting, which appears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changes in our internal control over financial reporting during the fourth quarter of 2025 that have materially affected, or are reasonably likely to materially affect, our internal control over financial reporting.</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478" w:name="_e8fab8f5_1a81_4d7b_b8db_c5240415dce2"/>
      <w:bookmarkEnd w:id="2478"/>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Board of Directors and Partners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Icahn Enterprises L.P.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audited the internal control over financial reporting of Icahn Enterprises L.P. (a Delaware limited partnership) and subsidiaries (the “Partnership”) as of December 31, 2025, based on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the Committee of Sponsoring Organizations of the Treadway Commission (“COSO”). In our opinion, the Partnership maintained, in all material respects, effective internal control over financial reporting as of December 31, 2025, based on criteria established in the 2013 </w:t>
      </w:r>
      <w:r>
        <w:rPr>
          <w:rFonts w:ascii="Times New Roman;Times;serif" w:hAnsi="Times New Roman;Times;serif"/>
          <w:i/>
          <w:sz w:val="20"/>
        </w:rPr>
        <w:t>Internal Control—Integrated Framework</w:t>
      </w:r>
      <w:r>
        <w:rPr>
          <w:rFonts w:ascii="Times New Roman;Times;serif" w:hAnsi="Times New Roman;Times;serif"/>
          <w:sz w:val="20"/>
        </w:rPr>
        <w:t xml:space="preserve"> issued by COSO.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consolidated financial statements of the Partnership as of and for the year ended December 31, 2025, and our report dated February 25, 2026 expressed an unqualified opinion on those financial statements.</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Basis </w:t>
      </w:r>
      <w:r>
        <w:rPr>
          <w:rFonts w:ascii="Times New Roman;Times;serif" w:hAnsi="Times New Roman;Times;serif"/>
          <w:b/>
          <w:sz w:val="20"/>
        </w:rPr>
        <w:t>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Definition </w:t>
      </w:r>
      <w:r>
        <w:rPr>
          <w:rFonts w:ascii="Times New Roman;Times;serif" w:hAnsi="Times New Roman;Times;serif"/>
          <w:b/>
          <w:sz w:val="20"/>
        </w:rPr>
        <w:t>and limitations of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/s/GRANT THORNTON LLP</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Fort Lauderdale, Florida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February 25,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479" w:name="Item9BOtherInformation_186097"/>
      <w:bookmarkStart w:id="2480" w:name="_d5eb6529_ccca_451e_94d7_2600daba23ff"/>
      <w:bookmarkEnd w:id="2479"/>
      <w:bookmarkEnd w:id="2480"/>
      <w:r>
        <w:rPr>
          <w:rFonts w:ascii="Times New Roman;Times;serif" w:hAnsi="Times New Roman;Times;serif"/>
          <w:b/>
          <w:sz w:val="20"/>
        </w:rPr>
        <w:t>Item 9B. Other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Rule 10b5-1 Trading Arrangements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fourth quarter of 2025, no director or officer, as defined in Rule 16a-1(f) of the Exchange Act, adopted or terminated a “Rule 10b5-1 trading arrangement” or a “non-Rule 10b5-1 trading arrangement,” each as defined in Regulation S-K Item 408, with respect to our depositary units.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481" w:name="Item9CDisclosureRegardingForeignJurisdic"/>
      <w:bookmarkStart w:id="2482" w:name="_dd2eb24f_2dba_4c70_9764_eba385cc3cbd"/>
      <w:bookmarkEnd w:id="2481"/>
      <w:bookmarkEnd w:id="2482"/>
      <w:r>
        <w:rPr>
          <w:rFonts w:ascii="Times New Roman;Times;serif" w:hAnsi="Times New Roman;Times;serif"/>
          <w:b/>
          <w:sz w:val="20"/>
        </w:rPr>
        <w:t>Item 9C. Disclosure Regarding Foreign Jurisdictions that Prevent Inspections</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center"/>
        <w:rPr>
          <w:rFonts w:ascii="Times New Roman;Times;serif" w:hAnsi="Times New Roman;Times;serif"/>
          <w:b/>
          <w:sz w:val="20"/>
        </w:rPr>
      </w:pPr>
      <w:bookmarkStart w:id="2483" w:name="PARTIII_200542"/>
      <w:bookmarkStart w:id="2484" w:name="_00e07192_d291_4273_a322_a3a1639c02f7"/>
      <w:bookmarkEnd w:id="2483"/>
      <w:bookmarkEnd w:id="2484"/>
      <w:r>
        <w:rPr>
          <w:rFonts w:ascii="Times New Roman;Times;serif" w:hAnsi="Times New Roman;Times;serif"/>
          <w:b/>
          <w:sz w:val="20"/>
        </w:rPr>
        <w:t>PART III</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485" w:name="Item10DirectorsExecutiveOfficersandCorpo"/>
      <w:bookmarkEnd w:id="2485"/>
      <w:r>
        <w:rPr>
          <w:rFonts w:ascii="Times New Roman;Times;serif" w:hAnsi="Times New Roman;Times;serif"/>
          <w:b/>
          <w:sz w:val="20"/>
        </w:rPr>
        <w:t xml:space="preserve">Item 10. Directors, Executive Officers and Corporate Governance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names, offices held and ages of the directors, executive officers and certain significant employees of Icahn Enterprises G.P., Inc. (“Icahn Enterprises GP”), the general partner of Icahn Enterprises L.P. (“Icahn Enterprises”) are as follows: </w:t>
      </w:r>
    </w:p>
    <w:tbl>
      <w:tblPr>
        <w:tblW w:w="7430" w:type="dxa"/>
        <w:jc w:val="left"/>
        <w:tblInd w:w="0" w:type="dxa"/>
        <w:tblLayout w:type="fixed"/>
        <w:tblCellMar>
          <w:top w:w="0" w:type="dxa"/>
          <w:left w:w="0" w:type="dxa"/>
          <w:bottom w:w="0" w:type="dxa"/>
          <w:right w:w="0" w:type="dxa"/>
        </w:tblCellMar>
      </w:tblPr>
      <w:tblGrid>
        <w:gridCol w:w="2341"/>
        <w:gridCol w:w="346"/>
        <w:gridCol w:w="436"/>
        <w:gridCol w:w="346"/>
        <w:gridCol w:w="3961"/>
      </w:tblGrid>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1486535" cy="175260"/>
                      <wp:effectExtent l="0" t="0" r="0" b="0"/>
                      <wp:wrapNone/>
                      <wp:docPr id="752" name="Frame752"/>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219710" cy="175260"/>
                      <wp:effectExtent l="0" t="0" r="0" b="0"/>
                      <wp:wrapNone/>
                      <wp:docPr id="753" name="Frame7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276860" cy="175260"/>
                      <wp:effectExtent l="0" t="0" r="0" b="0"/>
                      <wp:wrapNone/>
                      <wp:docPr id="754" name="Frame75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219710" cy="175260"/>
                      <wp:effectExtent l="0" t="0" r="0" b="0"/>
                      <wp:wrapNone/>
                      <wp:docPr id="755" name="Frame7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2515235" cy="175260"/>
                      <wp:effectExtent l="0" t="0" r="0" b="0"/>
                      <wp:wrapNone/>
                      <wp:docPr id="756" name="Frame756"/>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46" w:type="dxa"/>
            <w:tcBorders/>
            <w:vAlign w:val="center"/>
          </w:tcPr>
          <w:p>
            <w:pPr>
              <w:pStyle w:val="TableContents"/>
              <w:bidi w:val="0"/>
              <w:spacing w:before="0" w:after="1"/>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Age</w:t>
            </w:r>
          </w:p>
        </w:tc>
        <w:tc>
          <w:tcPr>
            <w:tcW w:w="346" w:type="dxa"/>
            <w:tcBorders/>
            <w:vAlign w:val="center"/>
          </w:tcPr>
          <w:p>
            <w:pPr>
              <w:pStyle w:val="TableContents"/>
              <w:bidi w:val="0"/>
              <w:spacing w:before="0" w:after="1"/>
              <w:ind w:left="0" w:right="0" w:hanging="0"/>
              <w:jc w:val="left"/>
              <w:rPr/>
            </w:pPr>
            <w:r>
              <w:rPr/>
              <w:t>  ​ ​ ​</w:t>
            </w:r>
          </w:p>
        </w:tc>
        <w:tc>
          <w:tcPr>
            <w:tcW w:w="3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Position</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Carl C. Icahn</w:t>
            </w:r>
          </w:p>
        </w:tc>
        <w:tc>
          <w:tcPr>
            <w:tcW w:w="34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90</w:t>
            </w:r>
          </w:p>
        </w:tc>
        <w:tc>
          <w:tcPr>
            <w:tcW w:w="346" w:type="dxa"/>
            <w:tcBorders/>
            <w:shd w:fill="CCEEFF" w:val="clear"/>
            <w:vAlign w:val="center"/>
          </w:tcPr>
          <w:p>
            <w:pPr>
              <w:pStyle w:val="TableContents"/>
              <w:bidi w:val="0"/>
              <w:spacing w:before="0" w:after="1"/>
              <w:ind w:left="0" w:right="0" w:hanging="0"/>
              <w:jc w:val="left"/>
              <w:rPr/>
            </w:pPr>
            <w:r>
              <w:rPr/>
              <w:t> </w:t>
            </w:r>
          </w:p>
        </w:tc>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Chairman of the Board</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Andrew Teno</w:t>
            </w:r>
          </w:p>
        </w:tc>
        <w:tc>
          <w:tcPr>
            <w:tcW w:w="34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1"/>
              <w:ind w:left="0" w:right="0" w:hanging="0"/>
              <w:jc w:val="left"/>
              <w:rPr/>
            </w:pPr>
            <w:r>
              <w:rPr/>
              <w:t> </w:t>
            </w:r>
          </w:p>
        </w:tc>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Ted Papapostolou</w:t>
            </w:r>
          </w:p>
        </w:tc>
        <w:tc>
          <w:tcPr>
            <w:tcW w:w="34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1"/>
              <w:ind w:left="0" w:right="0" w:hanging="0"/>
              <w:jc w:val="left"/>
              <w:rPr/>
            </w:pPr>
            <w:r>
              <w:rPr/>
              <w:t> </w:t>
            </w:r>
          </w:p>
        </w:tc>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Chief Financial Officer and Director</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Robert Flint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1"/>
              <w:ind w:left="0" w:right="0" w:hanging="0"/>
              <w:jc w:val="left"/>
              <w:rPr/>
            </w:pPr>
            <w:r>
              <w:rPr/>
              <w:t>​</w:t>
            </w:r>
          </w:p>
        </w:tc>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Chief Accounting Officer</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Denise Barton</w:t>
            </w:r>
          </w:p>
        </w:tc>
        <w:tc>
          <w:tcPr>
            <w:tcW w:w="34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1"/>
              <w:ind w:left="0" w:right="0" w:hanging="0"/>
              <w:jc w:val="left"/>
              <w:rPr/>
            </w:pPr>
            <w:r>
              <w:rPr/>
              <w:t> </w:t>
            </w:r>
          </w:p>
        </w:tc>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Nancy Dunlap</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1"/>
              <w:ind w:left="0" w:right="0" w:hanging="0"/>
              <w:jc w:val="left"/>
              <w:rPr/>
            </w:pPr>
            <w:r>
              <w:rPr/>
              <w:t>​</w:t>
            </w:r>
          </w:p>
        </w:tc>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Margarita Palau-Hernandez</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1"/>
              <w:ind w:left="0" w:right="0" w:hanging="0"/>
              <w:jc w:val="left"/>
              <w:rPr/>
            </w:pPr>
            <w:r>
              <w:rPr/>
              <w:t>​</w:t>
            </w:r>
          </w:p>
        </w:tc>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directors are selected by Carl C. Icahn, as the controlling stockholder of Icahn Enterprises GP, and are not elected by our limited partners. Individuals who possess characteristics that include integrity, business experience, financial acumen and leadership abilities are qualified to serve on our board of directors. Listed below are our directors and executive officers with their biographies. In addition, we have summarized for each director why such director has been chosen to serve on our board of directors.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Carl C. Icahn</w:t>
      </w:r>
      <w:r>
        <w:rPr>
          <w:rFonts w:ascii="Times New Roman;Times;serif" w:hAnsi="Times New Roman;Times;serif"/>
          <w:sz w:val="20"/>
        </w:rPr>
        <w:t xml:space="preserve"> has served as Chairman of the Board and a director of Starfire Holding Corporation, a privately-held holding company, and Chairman of the Board and a director of various subsidiaries of Starfire Holding Corporation, since 1984. Since August 2007, through his position as Chief Executive Officer of Icahn Capital LP, a wholly-owned subsidiary of Icahn Enterprises and certain related entities, Mr. Icahn’s principal occupation has been managing private investment funds, including Icahn Partners LP and Icahn Partners Master Fund LP. Since 1990, Mr. Icahn has been Chairman of the Board of Icahn Enterprises GP, the general partner of Icahn Enterprises. Mr. Icahn was previously: Chairman of the Board of Tropicana Entertainment Inc., a company that is primarily engaged in the business of owning and operating casinos and resorts, from 2010 until 2018; Chairman of the Board of CVR Refining, LP from 2013 to 2018; Chairman of the Board of CVR Energy, Inc., from 2012 to 2018; President and a member of the Executive Committee of XO Holdings, from 2011 to 2017, and Chairman of the Board of its predecessors, from 2003 to 2011; a director of Federal-Mogul LLC, a supplier of automotive powertrain and safety components, from 2007 to 2015, and the non-executive Chairman of the Board of Federal-Mogul LLC, from 2008 to 2015; Chairman of the Board of American Railcar Industries, Inc., a railcar manufacturing company, from 1994 to 2014; a director of American Railcar Leasing LLC, a lessor and seller of specialized railroad tank and covered hopper railcars, from 2004 to 2013; a director of WestPoint Home LLC, from 2005 to 2011; and a director of Cadus Corporation, a company engaged in the acquisition of real estate for renovation or construction and resale, from 1993 to 2010.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Mr. Icahn brings to his role as the Chairman of the Board his significant business experience in leadership roles as director in various companies as discussed above, including certain of our subsidiaries. In addition, Mr. Icahn is uniquely qualified based on his historical background for creating value in companies across multiple industries. Mr. Icahn has proven to be a successful investor over the past 40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Andrew Teno</w:t>
      </w:r>
      <w:r>
        <w:rPr>
          <w:rFonts w:ascii="Times New Roman;Times;serif" w:hAnsi="Times New Roman;Times;serif"/>
          <w:sz w:val="20"/>
        </w:rPr>
        <w:t> has served as President and Chief Executive Officer and as a director of Icahn Enterprises since February 2024. Prior to his appointment as President and Chief Executive Officer, Mr. Teno served as a portfolio manager at Icahn Capital LP, a subsidiary of Icahn Enterprises, since October 2020. Mr. Teno previously worked at Fir Tree Partners, a New York based private investment firm that invests worldwide in public and private companies, real estate and sovereign debt, from 2011 to April 2020. Prior to that, he worked at Crestview Partners from 2009 to 2011 as an associate in their private equity business, and at Gleacher Partners, a boutique mergers and acquisitions firm, from 2007 to 2009. Mr. Teno has served as a director of Southwest Gas Holdings, Inc. from May 2022 to December 2025; Illumina, Inc. from May 2023 to May 2024; Crown Holdings Inc. from December 2022 to November 2023; FirstEnergy Corp. from March 2021 to December 2023; Herc Holdings Inc. from February 2021 to March 2023; and Cheniere Energy, Inc. from February 2021 to June 2022. Mr. Teno received an undergraduate business degree from the Wharton School at the University of Pennsylvania in 2007.</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Ted Papapostolou</w:t>
      </w:r>
      <w:r>
        <w:rPr>
          <w:rFonts w:ascii="Times New Roman;Times;serif" w:hAnsi="Times New Roman;Times;serif"/>
          <w:sz w:val="20"/>
        </w:rPr>
        <w:t xml:space="preserve"> has served as Chief Financial Officer of Icahn Enterprises since November 2021. In addition, Mr. Papapostolou has served as director of Icahn Enterprises since December 2021 and its Secretary since April 2020. Mr. Papapostolou previously served as the Chief Accounting Officer of IEP from April 2020 to December 2023 and in various progressive accounting positions at IEP from March 2007 to March 2020. Previously, Mr. Papapostolou worked at Grant Thornton LLP in their audit practice. Mr. Papapostolou received his M.B.A from The Peter J. Tobin College of Business at Saint John’s University and his B.B.A from Frank G. Zarb School of Business at Hofstra University. Mr. Papapostolou has served as a director of Caesars Entertainment, Inc. since March 2025. Mr. Papapostolou previously served as a director of Viskase Companies, Inc., from April 2020 to March 2025 and CVR Energy, Inc., from March 2023 to March 2025.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 xml:space="preserve">Robert Flint </w:t>
      </w:r>
      <w:r>
        <w:rPr>
          <w:rFonts w:ascii="Times New Roman;Times;serif" w:hAnsi="Times New Roman;Times;serif"/>
          <w:sz w:val="20"/>
        </w:rPr>
        <w:t xml:space="preserve">has served as Chief Accounting Officer of Icahn Enterprises L.P. since January 2024. Prior to his appointment as Chief Accounting Officer, Mr. Flint served as Director of Accounting from November 2021 to December 2023 and previously served as Chief Audit Executive of the Company from March 2020 to November 2021. Mr. Flint was an independent management consultant from January 2017 to March 2020, serving a variety of clients and industries, including Icahn Automotive Group, LLC, a subsidiary of IEP, from September 2018 to March 2020. Mr. Flint received his B.S. in Accounting and Finance from the University of Dayton School of Business Administration in 2001. </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Mr. Flint brings extensive experience in corporate finance and accounting, investor relations, risk management, as well as service on the boards of other public and private companies. Mr. Flint has served as director and chairman of CVR Energy, Inc. since March, 2025; as director and chairman of CVR Partners since October, 2025; as director and chairman of Viskase Companies, Inc. since March 2025; as director of Vivus LLC since July 2024; as director of WestPoint Home since July 2024; as director of Icahn Automotive Group LLC and director of The Pep Boys-Manny, Moe &amp; Jack since July 2024.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Denise Barton</w:t>
      </w:r>
      <w:r>
        <w:rPr>
          <w:rFonts w:ascii="Times New Roman;Times;serif" w:hAnsi="Times New Roman;Times;serif"/>
          <w:sz w:val="20"/>
        </w:rPr>
        <w:t xml:space="preserve"> has served as a director of Icahn Enterprises’ general partner, Icahn Enterprises GP, since September 2019 and as a member of our audit committee from September 2019 until April 2021 and since August 2025. In addition, Ms. Barton served as Chief Financial Officer of IEH Auto Parts LLC from July 2021 to April 2022. Ms. Barton and served as both Chief Executive Officer and Chief Financial Officer of IEH Auto Parts LLC from September 2021 through April 2022. Ms. Barton served on the board of directors and audit committee for Viskase Companies, Inc., a subsidiary of Icahn Enterprises, from May 2016 to January 2022 and served on the board of directors and audit committee for Trump Entertainment Resorts, Inc., a subsidiary of Icahn Enterprises, from February 2016 through June 2017. Ms. Barton served as a member of the Operating Executive Board of Gotham Private Equity Partners, LP, a New York based merchant banking firm, from March 2010 through January 2014. Ms. Barton served as the Chief Financial Officer for Land Holdings I, LLC, a company formed to develop, own and operate the Scarlet Pearl Casino Resort, from March 2012 through March 2017. In addition, Ms. Barton has over 15 years’ experience in public accounting and has served as Chief Financial Officer in both public and private companies. Ms. Barton is a certified public accountant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has been licensed by the Nevada State Gaming Control Commission, the New Jersey Casino Control Commission and the Mississippi Gaming Commission.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Ms. Barton brings to her service as a director her significant experience in leadership roles as director of various companies as discussed above. In particular, her service as Chief Financial Officer of various companies enables her to understand the complex business and financial issues that we may face.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Nancy Dunlap</w:t>
      </w:r>
      <w:r>
        <w:rPr>
          <w:rFonts w:ascii="Times New Roman;Times;serif" w:hAnsi="Times New Roman;Times;serif"/>
          <w:sz w:val="20"/>
        </w:rPr>
        <w:t xml:space="preserve"> has served as a director of Icahn Enterprises’ general partner, Icahn Enterprises GP, since April 2021 and is a member of our audit committee. Since August 2022, Ms. Dunlap has also served as a director of Sandridge Energy, Inc. Ms. Dunlap currently serves as the private counsel and head of the private family office of former New Jersey Governor and United States Senator Jon S. Corzine. Since 1999, Ms. Dunlap has overseen all personal investment and legal affairs of the Corzine Family Office. As head of Mr. Corzine’s private family office, Ms. Dunlap also serves as a Trustee of the Jon S. Corzine Trust and as Director of the Jon S. Corzine Foundation. Ms. Dunlap was previously a director of: CVR Refining, LP, from July 2018 to February 2019; and Equita Sim, a private investment bank headquartered in Milan, Italy, from November 2010 to September 2015. CVR Refining, LP is a wholly-owned subsidiary of CVR Energy, which is indirectly controlled by Mr. Icahn. Ms. Dunlap was also previously a director of Amp Electric Vehicles from March 2010 to September 2012. Ms. Dunlap received a Juris Doctor from St. John’s University School of Law and a Bachelor of Arts from University of Denver.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Ms. Dunlap brings to her service as a director her significant experience in leadership roles as director of various companies as discussed above.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Margarita Paláu-Hernández</w:t>
      </w:r>
      <w:r>
        <w:rPr>
          <w:rFonts w:ascii="Times New Roman;Times;serif" w:hAnsi="Times New Roman;Times;serif"/>
          <w:sz w:val="20"/>
        </w:rPr>
        <w:t xml:space="preserve"> has served as a director of Icahn Enterprises’ general partner, Icahn Enterprises GP, since November 2025 and is a member of our audit committee. Ms. Paláu-Hernández is the founder and Chief Executive Officer of Hernández Ventures, a private firm engaged in the acquisition and management of a variety of business interests in the United States, a position she has held since November 1988. Prior to founding Hernández Ventures, Ms. Paláu-Hernández was an attorney with the law firm of McCutcheon, Black, Verleger &amp; Shea, where she focused on domestic and international business and real estate transactions from September 1985 until August 1988. Ms. Paláu-Hernández was nominated to serve as a Representative of the United States to the Seventy-Third Session of the General Assembly of the United Nations from September 2018 to June 2019. Ms. Paláu-Hernández has served as a member of the board, the compensation committee and the corporate governance committee of Conduent Incorporated since 2019 and has served on the audit committee since January 2026. She has previously served as a member of the board of International Flavors and Fragrances from June 2024 to October 2025, Apartment Income REIT Corporation board from December 2021 to May 2024, Xerox Holdings Corporation board from June 2021 to May 2024, Occidental Petroleum Corporation board from March 2020 to May 2022, Herbalife Nutrition Ltd. board from 2018 to 2021 and the ALJ Regional Holdings, Inc. board from 2015 to 2019. Ms. Paláu-Hernández earned a Bachelor of Arts degree from the University of San Diego and a J.D. from UCLA School of Law, and she has been a member of the California Bar since 1985.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Ms. Paláu-Hernández brings to her service as a director her significant experience in leadership roles as director of various companies as discussed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Audit Committee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Denise Barton, Nancy Dunlap and Margarita Paláu-Hernández serve on our audit committee. Denise Barton qualifies as an “audit committee financial expert,” within the meaning of Item 407(d)(5) of Regulation S-K and is “independent” within the meaning of Rule 5605(a)(2) of the Nasdaq Listing Rules. We believe that each of the other audit committee members are also “independent.” A copy of the audit committee charter is available on our website at </w:t>
      </w:r>
      <w:r>
        <w:rPr>
          <w:rFonts w:ascii="Times New Roman;Times;serif" w:hAnsi="Times New Roman;Times;serif"/>
          <w:i/>
          <w:sz w:val="20"/>
        </w:rPr>
        <w:t>https://www.ielp.com/corporate-governance/governance-overview</w:t>
      </w:r>
      <w:r>
        <w:rPr>
          <w:rFonts w:ascii="Times New Roman;Times;serif" w:hAnsi="Times New Roman;Times;serif"/>
          <w:sz w:val="20"/>
        </w:rPr>
        <w:t xml:space="preserve"> or may be obtained without charge by writing to Icahn Enterprises L.P., 16690 Collins Avenue, PH-1, Sunny Isles Beach, FL 33160, Attention: Investor Relations.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audit committee has regularly scheduled meetings each year, and numerous other meetings when circumstances require. Regularly scheduled meetings are held in connection (a) with the audit committee’s review, together with our senior management, the senior management of our subsidiaries, and representatives of our independent auditor, of our quarterly reports on Form 10-Q and our annual report on Form 10-K and (b) telephone conferences with the senior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management of each of our subsidiaries. Regularly scheduled meetings are also held with our Chief Financial Officer, Chief Accounting Officer and Chief Auditor, who report to the audit committee on company-wide developing financial and related matters. In connection with our annual report on Form 10-K, the audit committee meets in executive session, and also meets separately with our independent auditor and our senior management. When necessary, our audit committee holds informal meetings, meets with its independent counsel, and, when appropriate, with independent financial advisers.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functions of our audit committee include, but are not limited to: (1) the review of our financial and accounting policies and procedures, including oversight; (2) the selection of our independent auditor and the determination of the auditor’s fees for audit services; (3) the pre-approval of any non-audit services and the fees to be paid to our independent auditor; (4) the obtaining, at least annually, of a report from our independent auditor of the adequacy of our internal controls over financial reporting; (5) the review of the results of all audits of our books and records performed by the independent auditor for, among other reasons, to determine the integrity of our financial statements; (6) discussing our policies with respect to risk assessment and risk management, and reporting such policies to the full board of directors; (7) the review of significant earnings press releases prior to release with respect to the types of information disclosed and the manner in which the information is disclosed; and (8) the review and approval of related party transactions and conflicts of interest in accordance with the terms of our partnership agreement. Our audit committee is empowered, in its discretion, to engage such advisors as it might deem necessary, including legal counsel and financial and accounting advisors.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Interested parties may directly communicate with the presiding director of the audit committee or with the non-management directors of the audit committee as a group by directing all inquiries to our ethics hotline at (800) 737-1213.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Audit Committee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audit committee has confirmed that: (1) the audit committee reviewed and discussed our audited financial statements for the year ended December 31, 2025 with management; (2) the audit committee has discussed with our independent auditors the matters required to be discussed by the applicable requirements of the Public Company Accounting Oversight Board (“PCAOB”) and the SEC; (3) the audit committee has received the written disclosures and the letter from the independent accountants required by the applicable requirements of the PCAOB regarding the independent accountant’s communication with the audit committee concerning independence, and has discussed with the independent accountant the independent accountant’s independence; and (4) based on the review and discussions referred to in clauses (1), (2) and (3) above, the audit committee recommended to the board of directors that our audited financial statements for the year ended December 31, 2025 be included in this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report is provided by the following independent directors, who constitute the audit committee: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Denise Barton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Nancy Dunlap</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Margarita Paláu-Hernández</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Code of Ethics and Business Conduct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Icahn Enterprises GP’s board of directors has adopted a Code of Ethics and Business Conduct applicable to all directors, officers and employees, including our principal executive officer, principal financial officer and principal accounting officer. A copy of the Code of Ethics and Business Conduct is available on our website at </w:t>
      </w:r>
      <w:r>
        <w:rPr>
          <w:rFonts w:ascii="Times New Roman;Times;serif" w:hAnsi="Times New Roman;Times;serif"/>
          <w:i/>
          <w:sz w:val="20"/>
        </w:rPr>
        <w:t>https://www.ielp.com/corporate-governance/governance-overview</w:t>
      </w:r>
      <w:r>
        <w:rPr>
          <w:rFonts w:ascii="Times New Roman;Times;serif" w:hAnsi="Times New Roman;Times;serif"/>
          <w:sz w:val="20"/>
        </w:rPr>
        <w:t xml:space="preserve"> and may be obtained without charge by writing to Icahn Enterprises L.P., 16690 Collins Avenue, PH-1, Sunny Isles Beach, FL 33160, Attention: Investor Relations. Any amendment or waiver of the provisions of our Code of Ethics will be posted on our website.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Insider Trading Policy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adopted policies and procedures governing the purchase, sale and other dispositions of our securities by our directors, officers and employees that are reasonably designed to promote compliance with insider trading laws, rules and regulations and the listing standards applicable to the Company. A copy of our policy is attached to this Annual Report on Form 10-K as Exhibit 19.1.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Nasdaq Corporate Governance Compliance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Rule 5615(a)(4)(J) of the Nasdaq corporate governance requirements, in the event that an executive officer of Icahn Enterprises’, or a person performing an equivalent role, becomes aware of any noncompliance with Nasdaq’s corporate governance requirements, he or she is required to provide prompt notice to Nasdaq of such noncompliance. As of February 25, 2026, we believe that we are compliant with Nasdaq’s corporate governance requirements.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Board Leadership Structure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leadership structure includes the positions of Chairman of the Board (“Chairman”) and Chief Executive Officer. Mr. Icahn serves as our Chairman and Mr. Teno serves as our Chief Executive Officer.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Chairman is responsible for organizing the board of directors and setting its agenda and priorities. The Chairman does not participate in the day-to-day business operations of our business segments, other than our Investment segment. The Chief Executive Officer is accountable directly to the board of directors, including the Chairman, and has day-to-day responsibility, in consultation with our Chairman, for general oversight of our business segments. Our business segments are operated through subsidiaries with their own management teams, including boards of directors, responsible for the day-to-day operations of those businesses. We believe that our leadership structure is appropriate for our holding company structure as it enhances our corporate governance and company oversight by separating responsibilities between the Chief Executive Officer and Chairman.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Board of Directors Role in Risk Oversight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its oversight responsibilities, the board of directors, including the audit committee, periodically reviews the significant risks that we face. These risks include strategic, financial, operational and compliance risks. The board of directors administers its risk oversight responsibilities through its Chief Executive Officer and its Chief Financial Officer, who, together with our Chief Auditor and management representatives of each of our operating subsidiaries, review and assess the operations of the businesses as well as each respective management’s identification, assessment and mitigation of the material risks affecting our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board of directors met 12 times during 2025, including four regularly scheduled meetings and 8 special meetings. All of the directors who served during all of 2025 attended at least 75% of the total meetings of the board of directors and each of its committees on which such director served. </w:t>
      </w:r>
    </w:p>
    <w:p>
      <w:pPr>
        <w:pStyle w:val="TextBody"/>
        <w:bidi w:val="0"/>
        <w:spacing w:before="0" w:after="240"/>
        <w:ind w:left="0" w:right="0" w:hanging="0"/>
        <w:jc w:val="left"/>
        <w:rPr>
          <w:rFonts w:ascii="Times New Roman;Times;serif" w:hAnsi="Times New Roman;Times;serif"/>
          <w:b/>
          <w:sz w:val="20"/>
        </w:rPr>
      </w:pPr>
      <w:bookmarkStart w:id="2486" w:name="Item11ExecutiveCompensation_557069"/>
      <w:bookmarkStart w:id="2487" w:name="_086b3b7b_dd8d_474f_ad4f_5caa1f9766b9"/>
      <w:bookmarkEnd w:id="2486"/>
      <w:bookmarkEnd w:id="2487"/>
      <w:r>
        <w:rPr>
          <w:rFonts w:ascii="Times New Roman;Times;serif" w:hAnsi="Times New Roman;Times;serif"/>
          <w:b/>
          <w:sz w:val="20"/>
        </w:rPr>
        <w:t>Item 11. Executive Compensation</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Structure and Reporting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Enterprises is a master limited partnership (“MLP”) and is not subject to the proxy solicitation rules as required by Section 14A of the Exchange Act or §240.14a-20 in connection with this Annual Report on Form 10-K. As an MLP, pursuant to Icahn Enterprises’ partnership agreement, the general partner, Icahn Enterprises GP, has exclusive management powers over the business and affairs of Icahn Enterprises. That is, Icahn Enterprises GP’s stockholders have the right to elect members of Icahn Enterprises GP’s board of directors, who, in turn, elect the officers of Icahn Enterprises. Accordingly, Icahn Enterprises does not hold annual meetings to elect its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Discussion and Analysis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section provides an overview and analysis of our compensation programs, the compensation decisions we have made under those programs, and the factors we considered in making those decisions. Later in this section, under the heading “Additional Information Regarding Executive Compensation,” we provide a table containing specific information about the compensation earned by the following individuals in 2025, whom we refer to as our named executive officers:</w:t>
      </w:r>
    </w:p>
    <w:tbl>
      <w:tblPr>
        <w:tblW w:w="3531" w:type="dxa"/>
        <w:jc w:val="left"/>
        <w:tblInd w:w="0" w:type="dxa"/>
        <w:tblLayout w:type="fixed"/>
        <w:tblCellMar>
          <w:top w:w="28" w:type="dxa"/>
          <w:left w:w="28" w:type="dxa"/>
          <w:bottom w:w="28" w:type="dxa"/>
          <w:right w:w="28" w:type="dxa"/>
        </w:tblCellMar>
      </w:tblPr>
      <w:tblGrid>
        <w:gridCol w:w="124"/>
        <w:gridCol w:w="256"/>
        <w:gridCol w:w="3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 C. Icahn, Chairman of the Board</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Teno, President and Chief Executive Officer</w:t>
            </w:r>
          </w:p>
        </w:tc>
      </w:tr>
    </w:tbl>
    <w:tbl>
      <w:tblPr>
        <w:tblW w:w="3951" w:type="dxa"/>
        <w:jc w:val="left"/>
        <w:tblInd w:w="0" w:type="dxa"/>
        <w:tblLayout w:type="fixed"/>
        <w:tblCellMar>
          <w:top w:w="28" w:type="dxa"/>
          <w:left w:w="28" w:type="dxa"/>
          <w:bottom w:w="28" w:type="dxa"/>
          <w:right w:w="28"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Ted Papapostolou, Chief Financial Officer</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Icahn serves as Chairman of the Board of Icahn Enterprises GP, Chairman of the Board and Chief Executive Officer of Icahn Capital LP and Chief Executive Officer of the Investment Funds.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discussion below is intended to help you understand the detailed information provided in the table and put that information into context within our overall compensation program.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 of Compensation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Throughout this narrative discussion and in the accompanying table, we refer to our named executive officers. The key compensation package provided to our named executive officers consists of (i) base salary, (ii) incentive compensation and (iii) other benefits. See “Additional Information Regarding Executive Compensation - Summary Compensation Table” for the compensation received by each of our named executive officers for 2025. Executive compensation levels are established based upon the recommendation of our Chairman, which are discussed with members of the Board. The Board does not delegate the authority to establish executive officer compensation to any other person and has not retained any compensation consultants to determine or recommend the amount or form of executive and director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Compensation Philosophy and Objectives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executive compensation philosophy is designed to support our key business objectives while maximizing value to our unitholders. The objectives of our compensation structure are to attract and retain valuable employees, assure fair and internally equitable pay levels and provide a mix of base salary and incentive compensation opportunities that provides motivation and rewards performance. At the same time, we seek to optimize and manage compensation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primary components of our executive compensation program for our leadership team (other than Mr. Icahn) are a long-term incentive program based on our growth in indicative net asset value (“NAV”), and a base salary paid in the form of a “draw” against this long-term NAV incentive. This base salary “draw” for Messrs. Teno and Papapostolou is paid for ongoing performance throughout the year and is fixed as part of their participation in this NAV incentive arrangement in accordance with their employment agreements with us, as further described below.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Prior to commencement of this long-term NAV incentive program in 2024, our named executive officers (other than Messrs. Icahn and Teno) were also eligible for discretionary annual bonuses that were intended to reward particular achievement during the year, motivate future performance and attract and retain highly qualified key employees. Deferred unit awards were also provided to motivate future performance and retain highly qualified key employees. However, following the commencement of our new NAV incentive program in 2024, Messrs. Teno and Papapostolou are solely compensated through this NAV incentive program, and we do not currently expect to award Messrs. Teno and Papapostolou additional incentive compensation opportunities unless and until their NAV incentive arrangements expire.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Determination of Appropriate Pay Levels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compete with many other companies for experienced and talented executives. Although we do not benchmark compensation against a specified peer group of companies, we review and consider market information regarding pay practices in the real estate and finance industries generally in assessing the reasonableness of compensation and ensuring that compensation levels remain competitive in the marketplace.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element of compensation is reviewed so that the overall compensation package will attract, motivate and retain our key employees, including our named executive officers, by rewarding superior performance. The following factors are considered to determine the amount of compensation paid to each executive officer:</w:t>
      </w:r>
    </w:p>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job performance, including performance against corporate and individual objectives;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job responsibilities, including unique skills necessary to support our long-term performance, including that of our subsidiaries;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teamwork, both contributions as a member of the executive management team and fostering an environment of personal and professional growth for the entire work force.</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Allocation of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There is no pre-established policy or target for the allocation of compensation. As we are a limited partnership and a controlled entity under the Nasdaq listing rules, our status as an MLP exempts us from certain corporate governance rules, including the requirement to maintain a compensation committee.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Compensation Components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Base Salary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Icahn serves as Chairman of the Board of Icahn Enterprises GP, Chairman of the Board and Chief Executive Officer of Icahn Capital LP and Chief Executive Officer of the Investment Funds. Mr. Icahn’s base salary for 2025 was $1, consistent with calendar year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2025, Mr. Teno’s base salary “draw” was equal to $2,600,000 per year, in accordance with the Teno Employment Agreement (as defined and described below). Mr. Papapostolou’s base salary “draw” for 2025 was equal to $2,200,000, in accordance with the Papapostolou Employment Letter (as defined and described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“Additional Information Regarding Executive Compensation - Summary Compensation Table” for detailed information on the compensation received by each of our named executive officers for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NAV Incentive Program</w:t>
      </w:r>
    </w:p>
    <w:p>
      <w:pPr>
        <w:pStyle w:val="TextBody"/>
        <w:bidi w:val="0"/>
        <w:spacing w:before="0" w:after="240"/>
        <w:ind w:left="0" w:right="0" w:firstLine="36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Company believes that our NAV incentive arrangements for Messrs. Teno and Papapostolou are an integral component of compensation that are an important way to motivate and reward performance of our named executive officers. The NAV incentive program is designed to directly link Messrs. Teno’s and Papapostolou’s compensation opportunities to our long-term NAV performance, which we believe is key to aligning their compensation with sustained delivery of value to our unitholders.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Deferred Unit Awards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There were no deferred unit awards granted during 2025 to our named executive officers. Deferred unit awards were granted in prior years in order to align the interests of named executive officers with our unitholders, provide competitive financial incentives and to promote continuity of management. Mr. Papapostolou last received a deferred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unit award in December 2021 (which vested on a prorated basis in accordance with the Papapostolou Employment Letter in 2024, with the remainder forfeited). Beginning in 2024, Mr. Papapostolou’s incentive compensation is delivered under the NAV incentive arrangement described in the Papapostolou Employment Letter.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401(k) Plan and Other Benefits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2025, Mr. Papapostolou was our only named executive officer participating in our qualified Icahn Enterprises Holdings 401(k) Plan (the “401(k) Plan”), and thus received matching contributions for 2025. The matching contributions for each applicable named executive officer in 2025 are disclosed in our Summary Compensation Table under “All Other Compensation” and in the related footnote.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401(k) Plan allows employees to contribute up to 50% of their eligible compensation, up to the limits imposed by the Internal Revenue Code, as amended, on a pre-tax basis. We currently match, within prescribed limits, 50% of eligible employees’ contributions up to 6.25% of their eligible compensation. Participants choose to invest their account balances from an array of investment options as selected by plan fiduciaries from time to time.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of our named executive officers are eligible to receive medical, dental, life insurance and PTO benefits that are offered to all of our employees and are designed to enable us to attract and retain our workforce in a competitive environment. Health and PTO benefits help ensure that we have a productive and focused workforce.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CEO Pay Ratio</w:t>
      </w:r>
    </w:p>
    <w:p>
      <w:pPr>
        <w:pStyle w:val="TextBody"/>
        <w:bidi w:val="0"/>
        <w:spacing w:before="0" w:after="240"/>
        <w:ind w:left="0" w:right="0" w:firstLine="360"/>
        <w:jc w:val="left"/>
        <w:rPr>
          <w:rFonts w:ascii="Times New Roman;Times;serif" w:hAnsi="Times New Roman;Times;serif"/>
          <w:sz w:val="20"/>
        </w:rPr>
      </w:pPr>
      <w:bookmarkStart w:id="2488" w:name="a5._Changes_in_Accumulated_Other_Compreh"/>
      <w:bookmarkEnd w:id="2488"/>
      <w:r>
        <w:rPr>
          <w:rFonts w:ascii="Times New Roman;Times;serif" w:hAnsi="Times New Roman;Times;serif"/>
          <w:sz w:val="20"/>
        </w:rPr>
        <w:t xml:space="preserve">Our Chief Executive Officer to median employee pay ratio (“CEO Pay Ratio”) is calculated in accordance with Regulation S-K. We determined that we are permitted by Regulation S-K to use the same median employee for 2025 as was identified using initial data as of December 31, 2023. We elected to use the prior data as we have not had significant changes to our employee population or employee compensation arrangements that we reasonably believe would result in a significant change in our CEO Pay Ratio disclosure. </w:t>
      </w:r>
    </w:p>
    <w:p>
      <w:pPr>
        <w:pStyle w:val="TextBody"/>
        <w:bidi w:val="0"/>
        <w:spacing w:before="0" w:after="240"/>
        <w:ind w:left="0" w:right="0" w:firstLine="360"/>
        <w:jc w:val="left"/>
        <w:rPr>
          <w:rFonts w:ascii="Times New Roman;Times;serif" w:hAnsi="Times New Roman;Times;serif"/>
          <w:sz w:val="20"/>
        </w:rPr>
      </w:pPr>
      <w:bookmarkStart w:id="2489" w:name="a._Property_Plant_and_Equipment_Net"/>
      <w:bookmarkEnd w:id="2489"/>
      <w:r>
        <w:rPr>
          <w:rFonts w:ascii="Times New Roman;Times;serif" w:hAnsi="Times New Roman;Times;serif"/>
          <w:sz w:val="20"/>
        </w:rPr>
        <w:t>We previously identified the median employee by examining the 2023 total cash compensation (inclusive of any bonuses) for all individuals, excluding our Chief Executive Officer, who were employed by us on the Determination Date. We believe that the use of total cash compensation for all employees is a consistently applied compensation measure because we do not widely distribute annual equity awards to employees or other forms of non-cash compensation. We included all active employees, except as permitted to be excluded by Regulation S-K, whether employed on a full-time, part-time, temporary or seasonal basis. We did not utilize any sampling methods and we did not make any assumptions, adjustments, or estimates with respect to total cash compensation, except to annualize full-time and part-time employees who were hired during the period and to translate any compensation measured in a foreign currency to U.S. Dollars.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After identifying the median employee based on total cash compensation, we calculated the total annual compensation for such employee using the same methodology we use for our named executive officers as set forth in the Summary Compensation Table below.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Chief Executive Officer’s total annual compensation for 2025 was $2,658,553. The median employee’s total annual compensation for 2025 was $36,522. The ratio of our Chief Executive Officer’s total annual compensation to our median employee’s total annual compensation for 2025 was 73:1.</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Employment Agreements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Employment Agreement with Andrew J. Teno</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previously disclosed, we entered into an employment agreement with Andrew J. Teno in connection with his appointment as our Chief Executive Officer on February 21, 2024 (the “Teno Employment Agreement”). The Teno Employment Agreement will remain in effect through March 31, 2028, unless earlier terminated. During the term of the Teno Employment Agreement, Mr. Teno is entitled to participate in all benefit programs and plans generally made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available to our other executives. Effective as of January 1, 2024 and continuing during the term of the Teno Employment Agreement, Mr. Teno is eligible to receive payments equal to an annualized amount of $2,600,000 (except that, for the period from January 1, 2024 through February 19, 2024, the payments were based on an annualized amount of $1,500,000), payable in accordance with our general payroll practices, that are in the form of a salary “draw” against the Teno NAV Incentive (as defined and described below).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addition, Mr. Teno will be eligible to receive a payment (generally subject to Mr. Teno’s continued employment through the payment date, except as described below) equal to 1.375% of the increase in our Adjusted NAV (as defined in the Teno Employment Agreement) over the period from February 21, 2024 through March 31, 2028, that is in excess of a 6.75% annual rate of return on the Adjusted NAV as of the beginning of such period (which shall be based on Adjusted NAV as of December 31, 2023), as calculated pursuant to the terms of the Teno Employment Agreement (the “Teno NAV Incentive”), and generally payable within 15 days after we first publish our indicative net asset value (“NAV”) following the end of such period (but no later than March 15, 2029). The final amount of the Teno NAV Incentive is capped at $50,000,000, and will be reduced by the value of the salary “draw” paid to Mr. Teno, as well as the value of any cash and equity compensation actually received by Mr. Teno for service on boards of directors during the term of the arrangement, as determined by us. The Teno NAV Incentive may be paid in cash or, in our discretion, in shares of common stock owned by certain of our affiliated funds vehicles. However, if Mr. Teno’s employment is terminated by us without “Cause” (including due to Mr. Teno’s death or disability) or by Mr. Teno with “Good Reason” (each as defined in the Teno Employment Agreement), Mr. Teno will be eligible to receive (subject to Mr. Teno’s timely execution and non-revocation of a release of claims) payment of the Teno NAV Incentive, paid within 15 days following the date that we first publish NAV following such termination but no later than March 15 of the calendar year following the year of termination, and with Adjusted NAV calculated based on that published NAV. If, however, that termination occurs within 60 days prior to or 6 months following a “Key Man Event” (as defined in the manager agreement with Brett Icahn, as further described in “Related Party Transactions—Other Related Party Agreements”), this amount will be no less than $2,600,000.</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addition to his compensation from us, Mr. Teno is entitled to retain any remuneration in respect of any board of directors (or similar governing body) on which Mr. Teno sits at our (or our affiliate’s) request, unless we (or our affiliates) own voting securities that constitute at least 40% of the vote for directors of such company.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Teno Employment Agreement also contains customary confidentiality, cooperation and non-disparagement covenants, as well as non-solicitation and non-competition provisions.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Papapostolou Letter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previously disclosed, on September 26, 2024, Mr. Papapostolou entered into a new employment letter agreement with us (the “Papapostolou Employment Letter”). Pursuant to the Papapostolou Employment Letter, Mr. Papapostolou will continue to serve as our Chief Financial Officer, for a term through June 30, 2028, unless earlier terminated (the “Papapostolou Term”). If Mr. Papapostolou’s employment with us continues past the Papapostolou Term, his compensation will be determined by the Board. During the Papapostolou Term, Mr. Papapostolou is entitled to participate in all benefit programs and plans generally made available to our other executives. As of September 26, 2024, and continuing during the Papapostolou Term, Mr. Papapostolou is eligible to receive payments equal to an annualized amount of $2,200,000, payable in accordance with the Company’s general payroll practices, that are in the form of a salary “draw” against the Papapostolou NAV Incentive (as defined and described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Pursuant to the Papapostolou Employment Letter, the Company paid Mr. Papapostolou a one-time amount equal to $295,082, representing a prorated portion of Mr. Papapostolou’s annual discretionary bonus as in effect immediately prior to September 26, 2024. Following this date, rather than Mr. Papapostolou’s incentive compensation being determined through a discretionary program, Mr. Papapostolou will be eligible for the Papapostolou NAV Incentive. With respect to the “deferred units” previously granted to Mr. Papapostolou on December 9, 2021 under our 2017 Incentive Plan, a prorated number of such deferred units (together with any dividend equivalents credited with respect to such vested deferred units) vested based on the number of days elapsed from December 9, 2021 through and including September 26, 2024, and were settled in cash, less applicable tax and payroll withholdings. Unvested deferred units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(together with any dividend equivalents credited with respect to such unvested deferred units) that did not vest in accordance with the foregoing were forfeited by Mr. Papapostolou for no consideration as of September 26,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Papapostolou will be eligible to receive a payment (generally subject to Mr. Papapostolou’s continued employment through the payment date, except as described below) equal to 1% of the increase in our Adjusted NAV (as defined in the Papapostolou Employment Letter) over the period from July 1, 2024 (with the initial NAV based on our reported NAV as of June 30, 2024) through June 30, 2028, that is in excess of a 5% annual rate of return on the Adjusted Initial NAV (as defined in the Papapostolou Employment Letter), as calculated pursuant to the terms of the Papapostolou Employment Letter (the “Papapostolou NAV Incentive”), and generally payable within 15 days after we first publish our NAV following the end of such period (but no later than March 15, 2029). The final amount of the Papapostolou NAV Incentive is capped at $17,075,616, and will be reduced by the value of the salary “draw” paid to Mr. Papapostolou, as well as the value of any cash and equity compensation actually received by Mr. Papapostolou for service on boards of directors during the term of the arrangement, as determined by us. The Papapostolou NAV Incentive may be paid in cash or, in our discretion, in shares of common stock owned by certain of our affiliated funds vehicles.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However, if Mr. Papapostolou’s employment is terminated by us without “Cause” (including due to Mr. Papapostolou’s death or disability) or by Mr. Papapostolou with “Good Reason” (each as defined in the Papapostolou Employment Letter), Mr. Papapostolou will be eligible to receive (subject to Mr. Papapostolou’s timely execution and non-revocation of a release of claims) payment of the Papapostolou NAV Incentive, paid within 15 days following the date that we first publish NAV following such termination but no later than March 15 of the calendar year following the year of termination, and with Adjusted NAV calculated based on that published NAV. If, however, that termination occurs within 60 days prior to or 6 months following a “Key Man Event” (as defined in the Manager Agreement, dated as of October 1, 2020, by and among the Company, Icahn Capital LP, Isthmus LLC, Icahn Partners LP, and Icahn Partners Master Fund LP, as amended), this amount will be no less than $2,200,000.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to his compensation from us, Mr. Papapostolou is entitled to retain any remuneration in respect of any board of directors (or similar governing body) on which Mr. Papapostolou sits at our (or our affiliate’s) request, unless we (or our affiliates) own voting securities that constitute at least 40% of the vote for directors of such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Papapostolou Employment Letter also contains customary confidentiality, intellectual property, and non-disparagement covenants, as well as non-solicitation and non-competition provisions.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stated above, pursuant to exemptions from the Nasdaq listing rules, the board of directors is not required to have, and does not have, a standing compensation committee. The board of directors has reviewed and discussed the Compensation Disclosure and Analysis required by Item 402(b) of Regulation S-K with management. Based on that review and discussion, the board of directors recommended that the Compensation Disclosure and Analysis be included in this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report is provided by the board of directors:</w:t>
      </w:r>
    </w:p>
    <w:p>
      <w:pPr>
        <w:pStyle w:val="TextBody"/>
        <w:bidi w:val="0"/>
        <w:spacing w:before="0" w:after="160"/>
        <w:ind w:left="850" w:right="0" w:hanging="0"/>
        <w:jc w:val="left"/>
        <w:rPr>
          <w:rFonts w:ascii="Times New Roman;Times;serif" w:hAnsi="Times New Roman;Times;serif"/>
          <w:sz w:val="20"/>
        </w:rPr>
      </w:pPr>
      <w:r>
        <w:rPr>
          <w:rFonts w:ascii="Times New Roman;Times;serif" w:hAnsi="Times New Roman;Times;serif"/>
          <w:sz w:val="20"/>
        </w:rPr>
        <w:t>Carl C. Icahn</w:t>
      </w:r>
    </w:p>
    <w:p>
      <w:pPr>
        <w:pStyle w:val="TextBody"/>
        <w:bidi w:val="0"/>
        <w:spacing w:before="0" w:after="160"/>
        <w:ind w:left="850" w:right="0" w:hanging="0"/>
        <w:jc w:val="left"/>
        <w:rPr>
          <w:rFonts w:ascii="Times New Roman;Times;serif" w:hAnsi="Times New Roman;Times;serif"/>
          <w:sz w:val="20"/>
        </w:rPr>
      </w:pPr>
      <w:r>
        <w:rPr>
          <w:rFonts w:ascii="Times New Roman;Times;serif" w:hAnsi="Times New Roman;Times;serif"/>
          <w:sz w:val="20"/>
        </w:rPr>
        <w:t>Andrew Teno</w:t>
      </w:r>
    </w:p>
    <w:p>
      <w:pPr>
        <w:pStyle w:val="TextBody"/>
        <w:bidi w:val="0"/>
        <w:spacing w:before="0" w:after="160"/>
        <w:ind w:left="850" w:right="0" w:hanging="0"/>
        <w:jc w:val="left"/>
        <w:rPr>
          <w:rFonts w:ascii="Times New Roman;Times;serif" w:hAnsi="Times New Roman;Times;serif"/>
          <w:sz w:val="20"/>
        </w:rPr>
      </w:pPr>
      <w:r>
        <w:rPr>
          <w:rFonts w:ascii="Times New Roman;Times;serif" w:hAnsi="Times New Roman;Times;serif"/>
          <w:sz w:val="20"/>
        </w:rPr>
        <w:t>Ted Papapostolou</w:t>
      </w:r>
    </w:p>
    <w:p>
      <w:pPr>
        <w:pStyle w:val="TextBody"/>
        <w:bidi w:val="0"/>
        <w:spacing w:before="0" w:after="240"/>
        <w:ind w:left="850" w:right="0" w:hanging="0"/>
        <w:jc w:val="left"/>
        <w:rPr>
          <w:rFonts w:ascii="Times New Roman;Times;serif" w:hAnsi="Times New Roman;Times;serif"/>
          <w:sz w:val="20"/>
        </w:rPr>
      </w:pPr>
      <w:r>
        <w:rPr>
          <w:rFonts w:ascii="Times New Roman;Times;serif" w:hAnsi="Times New Roman;Times;serif"/>
          <w:sz w:val="20"/>
        </w:rPr>
        <w:t>Nancy Dunlap</w:t>
      </w:r>
    </w:p>
    <w:p>
      <w:pPr>
        <w:pStyle w:val="TextBody"/>
        <w:bidi w:val="0"/>
        <w:spacing w:before="0" w:after="160"/>
        <w:ind w:left="850" w:right="0" w:hanging="0"/>
        <w:jc w:val="left"/>
        <w:rPr>
          <w:rFonts w:ascii="Times New Roman;Times;serif" w:hAnsi="Times New Roman;Times;serif"/>
          <w:sz w:val="20"/>
        </w:rPr>
      </w:pPr>
      <w:r>
        <w:rPr>
          <w:rFonts w:ascii="Times New Roman;Times;serif" w:hAnsi="Times New Roman;Times;serif"/>
          <w:sz w:val="20"/>
        </w:rPr>
        <w:t>Denise Barton</w:t>
      </w:r>
    </w:p>
    <w:p>
      <w:pPr>
        <w:pStyle w:val="TextBody"/>
        <w:bidi w:val="0"/>
        <w:spacing w:before="0" w:after="160"/>
        <w:ind w:left="850" w:right="0" w:hanging="0"/>
        <w:jc w:val="left"/>
        <w:rPr>
          <w:rFonts w:ascii="Times New Roman;Times;serif" w:hAnsi="Times New Roman;Times;serif"/>
          <w:sz w:val="20"/>
        </w:rPr>
      </w:pPr>
      <w:r>
        <w:rPr>
          <w:rFonts w:ascii="Times New Roman;Times;serif" w:hAnsi="Times New Roman;Times;serif"/>
          <w:sz w:val="20"/>
        </w:rPr>
        <w:t>Margarita Paláu-Hernández</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2025, our entire board of directors, including Mr. Icahn, participated in deliberations concerning executive compensation. During 2025, none of our executive officers served on the compensation committee (or equivalent), or the board of directors of another entity whose executive officer(s) served on our board of directors.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Clawback Policy</w:t>
      </w:r>
    </w:p>
    <w:p>
      <w:pPr>
        <w:pStyle w:val="TextBody"/>
        <w:pBd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August 2, 2023, the Board adopted a compensation recovery policy (the “Clawback Policy”) consistent with Nasdaq Listing Rule 5608, which requires the Company to recoup incentive-based compensation from current and former executive officers in the event of an accounting restatement, subject to certain exceptions as provided by the Listing Rule. A copy of the Clawback Policy is attached to this Annual Report on Form 10-K as Exhibit 97.1.</w:t>
      </w:r>
    </w:p>
    <w:p>
      <w:pPr>
        <w:pStyle w:val="TextBody"/>
        <w:shd w:fill="FFFFFF" w:val="clear"/>
        <w:bidi w:val="0"/>
        <w:spacing w:before="120" w:after="240"/>
        <w:ind w:left="0" w:right="0" w:hanging="0"/>
        <w:jc w:val="both"/>
        <w:rPr>
          <w:rFonts w:ascii="Times New Roman;Times;serif" w:hAnsi="Times New Roman;Times;serif"/>
          <w:b/>
          <w:sz w:val="20"/>
        </w:rPr>
      </w:pPr>
      <w:r>
        <w:rPr>
          <w:rFonts w:ascii="Times New Roman;Times;serif" w:hAnsi="Times New Roman;Times;serif"/>
          <w:b/>
          <w:sz w:val="20"/>
        </w:rPr>
        <w:t>Policies and Practices Related to the Grant of Certain Equity Awards Close in Time to the Release of Material Nonpublic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do not grant depositary unit options, unit appreciation rights, or similar option-like instruments and, as such, do not have any policy or practice in place on the timing of awards of options, stock or unit appreciation rights, or similar option-like instruments in relation to the disclosure of material non-public information. If in the future we anticipate granting depositary unit options, unit appreciation rights, or similar option-like instruments, we may determine to establish a policy regarding how the Board determines when to grant such awards and how the Board will take material nonpublic information into account when determining the timing and terms of such awards.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Regarding Executive Compensation</w:t>
      </w:r>
    </w:p>
    <w:p>
      <w:pPr>
        <w:pStyle w:val="TextBody"/>
        <w:bidi w:val="0"/>
        <w:spacing w:before="120" w:after="0"/>
        <w:ind w:left="0" w:right="0" w:firstLine="360"/>
        <w:jc w:val="left"/>
        <w:rPr>
          <w:rFonts w:ascii="Times New Roman;Times;serif" w:hAnsi="Times New Roman;Times;serif"/>
          <w:sz w:val="20"/>
        </w:rPr>
      </w:pPr>
      <w:r>
        <w:rPr>
          <w:rFonts w:ascii="Times New Roman;Times;serif" w:hAnsi="Times New Roman;Times;serif"/>
          <w:sz w:val="20"/>
        </w:rPr>
        <w:t>The following table sets forth information in respect of the compensation earned for services to us and/or our subsidiaries by each of our named executive officers for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Compensation Table</w:t>
      </w:r>
    </w:p>
    <w:tbl>
      <w:tblPr>
        <w:tblW w:w="10205" w:type="dxa"/>
        <w:jc w:val="left"/>
        <w:tblInd w:w="0" w:type="dxa"/>
        <w:tblLayout w:type="fixed"/>
        <w:tblCellMar>
          <w:top w:w="0" w:type="dxa"/>
          <w:left w:w="0" w:type="dxa"/>
          <w:bottom w:w="0" w:type="dxa"/>
          <w:right w:w="0" w:type="dxa"/>
        </w:tblCellMar>
      </w:tblPr>
      <w:tblGrid>
        <w:gridCol w:w="2843"/>
        <w:gridCol w:w="346"/>
        <w:gridCol w:w="526"/>
        <w:gridCol w:w="346"/>
        <w:gridCol w:w="931"/>
        <w:gridCol w:w="346"/>
        <w:gridCol w:w="781"/>
        <w:gridCol w:w="346"/>
        <w:gridCol w:w="751"/>
        <w:gridCol w:w="346"/>
        <w:gridCol w:w="1321"/>
        <w:gridCol w:w="346"/>
        <w:gridCol w:w="976"/>
      </w:tblGrid>
      <w:tr>
        <w:trPr/>
        <w:tc>
          <w:tcPr>
            <w:tcW w:w="2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1805305" cy="175260"/>
                      <wp:effectExtent l="0" t="0" r="0" b="0"/>
                      <wp:wrapNone/>
                      <wp:docPr id="757" name="Frame757"/>
                      <a:graphic xmlns:a="http://schemas.openxmlformats.org/drawingml/2006/main">
                        <a:graphicData uri="http://schemas.microsoft.com/office/word/2010/wordprocessingShape">
                          <wps:wsp>
                            <wps:cNvSpPr txBox="1"/>
                            <wps:spPr>
                              <a:xfrm>
                                <a:off x="0" y="0"/>
                                <a:ext cx="1805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219710" cy="175260"/>
                      <wp:effectExtent l="0" t="0" r="0" b="0"/>
                      <wp:wrapNone/>
                      <wp:docPr id="758" name="Frame7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334010" cy="175260"/>
                      <wp:effectExtent l="0" t="0" r="0" b="0"/>
                      <wp:wrapNone/>
                      <wp:docPr id="759" name="Frame75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219710" cy="175260"/>
                      <wp:effectExtent l="0" t="0" r="0" b="0"/>
                      <wp:wrapNone/>
                      <wp:docPr id="760" name="Frame7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591185" cy="175260"/>
                      <wp:effectExtent l="0" t="0" r="0" b="0"/>
                      <wp:wrapNone/>
                      <wp:docPr id="761" name="Frame7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219710" cy="175260"/>
                      <wp:effectExtent l="0" t="0" r="0" b="0"/>
                      <wp:wrapNone/>
                      <wp:docPr id="762" name="Frame7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495935" cy="175260"/>
                      <wp:effectExtent l="0" t="0" r="0" b="0"/>
                      <wp:wrapNone/>
                      <wp:docPr id="763" name="Frame7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219710" cy="175260"/>
                      <wp:effectExtent l="0" t="0" r="0" b="0"/>
                      <wp:wrapNone/>
                      <wp:docPr id="764" name="Frame7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476885" cy="175260"/>
                      <wp:effectExtent l="0" t="0" r="0" b="0"/>
                      <wp:wrapNone/>
                      <wp:docPr id="765" name="Frame76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219710" cy="175260"/>
                      <wp:effectExtent l="0" t="0" r="0" b="0"/>
                      <wp:wrapNone/>
                      <wp:docPr id="766" name="Frame7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838835" cy="175260"/>
                      <wp:effectExtent l="0" t="0" r="0" b="0"/>
                      <wp:wrapNone/>
                      <wp:docPr id="767" name="Frame767"/>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219710" cy="175260"/>
                      <wp:effectExtent l="0" t="0" r="0" b="0"/>
                      <wp:wrapNone/>
                      <wp:docPr id="768" name="Frame7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619760" cy="175260"/>
                      <wp:effectExtent l="0" t="0" r="0" b="0"/>
                      <wp:wrapNone/>
                      <wp:docPr id="769" name="Frame76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4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16" w:type="dxa"/>
            <w:gridSpan w:val="11"/>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Annual Compensation</w:t>
            </w:r>
            <w:r>
              <w:rPr>
                <w:rFonts w:ascii="Times New Roman;Times;serif" w:hAnsi="Times New Roman;Times;serif"/>
                <w:b/>
                <w:sz w:val="15"/>
              </w:rPr>
              <w:t>(1)</w:t>
            </w:r>
          </w:p>
        </w:tc>
      </w:tr>
      <w:tr>
        <w:trPr/>
        <w:tc>
          <w:tcPr>
            <w:tcW w:w="284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Unit</w:t>
            </w:r>
          </w:p>
        </w:tc>
        <w:tc>
          <w:tcPr>
            <w:tcW w:w="346" w:type="dxa"/>
            <w:tcBorders/>
            <w:vAlign w:val="center"/>
          </w:tcPr>
          <w:p>
            <w:pPr>
              <w:pStyle w:val="TableContents"/>
              <w:bidi w:val="0"/>
              <w:spacing w:before="0" w:after="1"/>
              <w:ind w:left="0" w:right="0" w:hanging="0"/>
              <w:jc w:val="left"/>
              <w:rPr/>
            </w:pPr>
            <w:r>
              <w:rPr/>
              <w:t>  ​ ​ ​</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All Other</w:t>
            </w:r>
          </w:p>
        </w:tc>
        <w:tc>
          <w:tcPr>
            <w:tcW w:w="346" w:type="dxa"/>
            <w:tcBorders/>
            <w:vAlign w:val="center"/>
          </w:tcPr>
          <w:p>
            <w:pPr>
              <w:pStyle w:val="TableContents"/>
              <w:bidi w:val="0"/>
              <w:spacing w:before="0" w:after="1"/>
              <w:ind w:left="0" w:right="0" w:hanging="0"/>
              <w:jc w:val="left"/>
              <w:rPr/>
            </w:pPr>
            <w:r>
              <w:rPr/>
              <w:t>  ​ ​ ​</w:t>
            </w:r>
          </w:p>
        </w:tc>
        <w:tc>
          <w:tcPr>
            <w:tcW w:w="976" w:type="dxa"/>
            <w:tcBorders/>
            <w:vAlign w:val="center"/>
          </w:tcPr>
          <w:p>
            <w:pPr>
              <w:pStyle w:val="TableContents"/>
              <w:bidi w:val="0"/>
              <w:spacing w:before="0" w:after="1"/>
              <w:ind w:left="0" w:right="0" w:hanging="0"/>
              <w:jc w:val="center"/>
              <w:rPr/>
            </w:pPr>
            <w:r>
              <w:rPr/>
              <w:t>​</w:t>
            </w:r>
          </w:p>
        </w:tc>
      </w:tr>
      <w:tr>
        <w:trPr/>
        <w:tc>
          <w:tcPr>
            <w:tcW w:w="284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Salary</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Bonus</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Awards</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Compensation</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84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Name and Principal Position</w:t>
            </w:r>
          </w:p>
        </w:tc>
        <w:tc>
          <w:tcPr>
            <w:tcW w:w="346" w:type="dxa"/>
            <w:tcBorders/>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284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Carl C. Icahn</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28,867</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28,868</w:t>
            </w:r>
          </w:p>
        </w:tc>
      </w:tr>
      <w:tr>
        <w:trPr/>
        <w:tc>
          <w:tcPr>
            <w:tcW w:w="28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Chairman of the Board</w:t>
            </w:r>
          </w:p>
        </w:tc>
        <w:tc>
          <w:tcPr>
            <w:tcW w:w="34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28,236</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28,237</w:t>
            </w:r>
          </w:p>
        </w:tc>
      </w:tr>
      <w:tr>
        <w:trPr/>
        <w:tc>
          <w:tcPr>
            <w:tcW w:w="284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26,920</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26,921</w:t>
            </w:r>
          </w:p>
        </w:tc>
      </w:tr>
      <w:tr>
        <w:trPr/>
        <w:tc>
          <w:tcPr>
            <w:tcW w:w="284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284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Andrew Teno</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2,600,000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58,553</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2,658,553</w:t>
            </w:r>
          </w:p>
        </w:tc>
      </w:tr>
      <w:tr>
        <w:trPr/>
        <w:tc>
          <w:tcPr>
            <w:tcW w:w="28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2,422,308</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5,430</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2,427,738</w:t>
            </w:r>
          </w:p>
        </w:tc>
      </w:tr>
      <w:tr>
        <w:trPr/>
        <w:tc>
          <w:tcPr>
            <w:tcW w:w="284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2843"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Ted Papapostolou</w:t>
            </w:r>
            <w:r>
              <w:rPr>
                <w:rFonts w:ascii="Times New Roman;Times;serif" w:hAnsi="Times New Roman;Times;serif"/>
                <w:sz w:val="15"/>
              </w:rPr>
              <w:t>(4)</w:t>
            </w:r>
          </w:p>
        </w:tc>
        <w:tc>
          <w:tcPr>
            <w:tcW w:w="34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2,200,000</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177,630</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2,377,630</w:t>
            </w:r>
          </w:p>
        </w:tc>
      </w:tr>
      <w:tr>
        <w:trPr/>
        <w:tc>
          <w:tcPr>
            <w:tcW w:w="28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1,219,478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295,082</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989,080</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2,503,640</w:t>
            </w:r>
          </w:p>
        </w:tc>
      </w:tr>
      <w:tr>
        <w:trPr/>
        <w:tc>
          <w:tcPr>
            <w:tcW w:w="284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790,691</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14,953</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1,205,644</w:t>
            </w:r>
          </w:p>
        </w:tc>
      </w:tr>
      <w:tr>
        <w:trPr/>
        <w:tc>
          <w:tcPr>
            <w:tcW w:w="284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applicable regulations, certain columns of the Summary Compensation Table have been omitted, as there has been no compensation awarded to, earned by or paid to any of the named executive officers by us, any of our subsidiaries or by Icahn Enterprises GP, which was subsequently reimbursed by us, required to be reported in those columns.</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salary indicated above represents compensation paid to Mr. Icahn in each of 2025, 2024 and 2023 for his services as Chief Executive Officer of our subsidiary, Icahn Capital LP, and of the general partners of the Investment Funds. Mr. Icahn is currently an at will employee serving as Chairman of the Board of Icahn Enterprises GP, Chairman of the Board and Chief Executive Officer of Icahn Capital LP and Chief Executive Officer of the Investment Funds for which he currently receives an annual base salary of $1 per annum. Mr. Icahn does not receive director fees from us. Mr. Icahn’s “All Other Compensation” for 2025 consists of $28,867 in dental, medical and other benefits.</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Mr. Teno’s “Salary” amount represents the “draw” payments pursuant to the Teno NAV Incentive, as further described above. Mr. Teno’s “All Other Compensation” for 2025 consists of $4,898 for medical and dental benefits; $1,080 for life insurance premiums and $52,575 for cash paid in lieu of unused paid time off (“PTO”).</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2025, Mr. Papapostolou’s “Salary” amount represents the “draw” payments pursuant to the Papapostolou NAV Incentive, as further described above. Mr. Papapostolou’s “All Other Compensation” for 2025 consists of $10,938 in matching contributions under our 401(k) Plan; $4,780 for medical and dental benefits; $1,080 for life insurance premiums; and $160,832 for cash paid in lieu of unused PTO.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of our executive officers may perform services for affiliates of Mr. Icahn for which we receive reimbursement. See Item 13, “Certain Relationships and Related Transactions, and Director Independence.”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Brett Icahn is the son of Carl C. Icahn, the Chairman of the Board of Icahn Enterprises. There are no other family relationships between or among any of our directors and/or executive officers.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Grants of Plan Based Awards</w:t>
      </w:r>
    </w:p>
    <w:p>
      <w:pPr>
        <w:pStyle w:val="TextBody"/>
        <w:bidi w:val="0"/>
        <w:spacing w:before="120" w:after="240"/>
        <w:ind w:left="0" w:right="0" w:firstLine="360"/>
        <w:jc w:val="left"/>
        <w:rPr>
          <w:rFonts w:ascii="Times New Roman;Times;serif" w:hAnsi="Times New Roman;Times;serif"/>
          <w:sz w:val="20"/>
        </w:rPr>
      </w:pPr>
      <w:r>
        <w:rPr>
          <w:rFonts w:ascii="Times New Roman;Times;serif" w:hAnsi="Times New Roman;Times;serif"/>
          <w:sz w:val="20"/>
        </w:rPr>
        <w:t>There were no awards granted during 2025 for any of our named executive officers under the 2017 Incentive Plan. Prior to fiscal 2025, Messrs. Teno and Papapostolou were awarded long-term NAV incentive opportunities in connection with entering into their employment arrangements with us, as further described above.</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Outstanding Equity Awards at Fiscal Year End 2025</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outstanding equity awards for any of our named executive officers as of December 31, 2025 under the 2017 Incentive Plan.</w:t>
      </w:r>
    </w:p>
    <w:p>
      <w:pPr>
        <w:pStyle w:val="TextBody"/>
        <w:bidi w:val="0"/>
        <w:spacing w:before="0" w:after="240"/>
        <w:ind w:left="0" w:right="0" w:firstLine="36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 Exercises and Stock Vested in 2025</w:t>
      </w:r>
    </w:p>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option exercises or vesting of any equity awards for our named executive officers during fiscal 2025.</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or Change in Control</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Messrs. Teno’s or Papapostolou’s employment is terminated by us without “Cause” (including due to death or disability) or by Mr. Teno or Mr. Papapostolou with “Good Reason” (each as defined in the Teno Employment Agreement or Papapostolou Employment Letter, respectively), Messrs. Teno and Papapostolou will be eligible to receive (subject to their timely execution and non-revocation of a release of claims) payment of the Teno NAV Incentive and Papapostolou NAV Incentive, respectively, in each case paid within 15 days following the date that we first publish NAV following such termination but no later than March 15 of the calendar year following the year of termination, and with Adjusted NAV (as defined in the Teno Employment Agreement or Papapostolou Employment Letter, as applicable), calculated based on that published NAV. (If Messrs. Teno and Papapostolou were terminated as of December 31, 2025, the Teno NAV Incentive and Papapostolou NAV Incentive would have paid out an estimated $0 and $0, respectively. If, however, that termination occurs within 60 days prior to or 6 months following a “Key Man Event” (as defined in the Manager Agreement, dated as of October 1, 2020, by and among the Company, Icahn Capital LP, Isthmus LLC, Icahn Partners LP, and Icahn Partners Master Fund LP, as amended), this amount will be no less than $2,600,000 (in the case of Mr. Teno) or $2,200,000 (in the case of Mr. Papapostolou).</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following table provides compensation information for our directors in 2025, except for Messrs. Icahn, Teno and Papapostolou (compensation information for whom is included in the Summary Compensation Table). Messrs. Icahn, Teno and Papapostolou did not receive additional compensation for serving on our Board.</w:t>
      </w:r>
    </w:p>
    <w:tbl>
      <w:tblPr>
        <w:tblW w:w="6922" w:type="dxa"/>
        <w:jc w:val="left"/>
        <w:tblInd w:w="0" w:type="dxa"/>
        <w:tblLayout w:type="fixed"/>
        <w:tblCellMar>
          <w:top w:w="0" w:type="dxa"/>
          <w:left w:w="0" w:type="dxa"/>
          <w:bottom w:w="0" w:type="dxa"/>
          <w:right w:w="0" w:type="dxa"/>
        </w:tblCellMar>
      </w:tblPr>
      <w:tblGrid>
        <w:gridCol w:w="2341"/>
        <w:gridCol w:w="346"/>
        <w:gridCol w:w="1441"/>
        <w:gridCol w:w="346"/>
        <w:gridCol w:w="1321"/>
        <w:gridCol w:w="346"/>
        <w:gridCol w:w="781"/>
      </w:tblGrid>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1486535" cy="175260"/>
                      <wp:effectExtent l="0" t="0" r="0" b="0"/>
                      <wp:wrapNone/>
                      <wp:docPr id="770" name="Frame770"/>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219710" cy="175260"/>
                      <wp:effectExtent l="0" t="0" r="0" b="0"/>
                      <wp:wrapNone/>
                      <wp:docPr id="771" name="Frame7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915035" cy="175260"/>
                      <wp:effectExtent l="0" t="0" r="0" b="0"/>
                      <wp:wrapNone/>
                      <wp:docPr id="772" name="Frame772"/>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219710" cy="175260"/>
                      <wp:effectExtent l="0" t="0" r="0" b="0"/>
                      <wp:wrapNone/>
                      <wp:docPr id="773" name="Frame7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838835" cy="175260"/>
                      <wp:effectExtent l="0" t="0" r="0" b="0"/>
                      <wp:wrapNone/>
                      <wp:docPr id="774" name="Frame774"/>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219710" cy="175260"/>
                      <wp:effectExtent l="0" t="0" r="0" b="0"/>
                      <wp:wrapNone/>
                      <wp:docPr id="775" name="Frame7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495935" cy="175260"/>
                      <wp:effectExtent l="0" t="0" r="0" b="0"/>
                      <wp:wrapNone/>
                      <wp:docPr id="776" name="Frame7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4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Fees Earned or </w:t>
            </w:r>
          </w:p>
        </w:tc>
        <w:tc>
          <w:tcPr>
            <w:tcW w:w="346" w:type="dxa"/>
            <w:tcBorders/>
            <w:vAlign w:val="center"/>
          </w:tcPr>
          <w:p>
            <w:pPr>
              <w:pStyle w:val="TableContents"/>
              <w:bidi w:val="0"/>
              <w:spacing w:before="0" w:after="1"/>
              <w:ind w:left="0" w:right="0" w:hanging="0"/>
              <w:jc w:val="left"/>
              <w:rPr/>
            </w:pPr>
            <w:r>
              <w:rPr/>
              <w:t>  ​ ​ ​</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All Other</w:t>
            </w:r>
          </w:p>
        </w:tc>
        <w:tc>
          <w:tcPr>
            <w:tcW w:w="346" w:type="dxa"/>
            <w:tcBorders/>
            <w:vAlign w:val="center"/>
          </w:tcPr>
          <w:p>
            <w:pPr>
              <w:pStyle w:val="TableContents"/>
              <w:bidi w:val="0"/>
              <w:spacing w:before="0" w:after="1"/>
              <w:ind w:left="0" w:right="0" w:hanging="0"/>
              <w:jc w:val="left"/>
              <w:rPr/>
            </w:pPr>
            <w:r>
              <w:rPr/>
              <w:t>  ​ ​ ​</w:t>
            </w:r>
          </w:p>
        </w:tc>
        <w:tc>
          <w:tcPr>
            <w:tcW w:w="781" w:type="dxa"/>
            <w:tcBorders/>
            <w:vAlign w:val="center"/>
          </w:tcPr>
          <w:p>
            <w:pPr>
              <w:pStyle w:val="TableContents"/>
              <w:bidi w:val="0"/>
              <w:spacing w:before="0" w:after="1"/>
              <w:ind w:left="0" w:right="0" w:hanging="0"/>
              <w:jc w:val="center"/>
              <w:rPr/>
            </w:pPr>
            <w:r>
              <w:rPr/>
              <w:t>​</w:t>
            </w:r>
          </w:p>
        </w:tc>
      </w:tr>
      <w:tr>
        <w:trPr/>
        <w:tc>
          <w:tcPr>
            <w:tcW w:w="2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Paid in Cash</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Compensation</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3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46" w:type="dxa"/>
            <w:tcBorders/>
            <w:vAlign w:val="center"/>
          </w:tcPr>
          <w:p>
            <w:pPr>
              <w:pStyle w:val="TableContents"/>
              <w:bidi w:val="0"/>
              <w:spacing w:before="0" w:after="1"/>
              <w:ind w:left="0" w:right="0" w:hanging="0"/>
              <w:jc w:val="left"/>
              <w:rPr/>
            </w:pPr>
            <w:r>
              <w:rPr/>
              <w:t>​</w:t>
            </w:r>
          </w:p>
        </w:tc>
        <w:tc>
          <w:tcPr>
            <w:tcW w:w="14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Nancy Dunlap</w:t>
            </w:r>
          </w:p>
        </w:tc>
        <w:tc>
          <w:tcPr>
            <w:tcW w:w="346" w:type="dxa"/>
            <w:tcBorders/>
            <w:shd w:fill="CCEEFF" w:val="clear"/>
            <w:vAlign w:val="center"/>
          </w:tcPr>
          <w:p>
            <w:pPr>
              <w:pStyle w:val="TableContents"/>
              <w:bidi w:val="0"/>
              <w:spacing w:before="0" w:after="1"/>
              <w:ind w:left="0" w:right="0" w:hanging="0"/>
              <w:jc w:val="left"/>
              <w:rPr/>
            </w:pPr>
            <w:r>
              <w:rPr/>
              <w:t>​</w:t>
            </w:r>
          </w:p>
        </w:tc>
        <w:tc>
          <w:tcPr>
            <w:tcW w:w="1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Denise Barton</w:t>
            </w:r>
          </w:p>
        </w:tc>
        <w:tc>
          <w:tcPr>
            <w:tcW w:w="346" w:type="dxa"/>
            <w:tcBorders/>
            <w:vAlign w:val="center"/>
          </w:tcPr>
          <w:p>
            <w:pPr>
              <w:pStyle w:val="TableContents"/>
              <w:bidi w:val="0"/>
              <w:spacing w:before="0" w:after="1"/>
              <w:ind w:left="0" w:right="0" w:hanging="0"/>
              <w:jc w:val="left"/>
              <w:rPr/>
            </w:pPr>
            <w:r>
              <w:rPr/>
              <w:t> </w:t>
            </w:r>
          </w:p>
        </w:tc>
        <w:tc>
          <w:tcPr>
            <w:tcW w:w="1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36,250</w:t>
            </w:r>
          </w:p>
        </w:tc>
        <w:tc>
          <w:tcPr>
            <w:tcW w:w="34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36,250</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Margarita Paláu-Hernández</w:t>
            </w:r>
          </w:p>
        </w:tc>
        <w:tc>
          <w:tcPr>
            <w:tcW w:w="346" w:type="dxa"/>
            <w:tcBorders/>
            <w:shd w:fill="CCEEFF" w:val="clear"/>
            <w:vAlign w:val="center"/>
          </w:tcPr>
          <w:p>
            <w:pPr>
              <w:pStyle w:val="TableContents"/>
              <w:bidi w:val="0"/>
              <w:spacing w:before="0" w:after="1"/>
              <w:ind w:left="0" w:right="0" w:hanging="0"/>
              <w:jc w:val="left"/>
              <w:rPr/>
            </w:pPr>
            <w:r>
              <w:rPr/>
              <w:t>​</w:t>
            </w:r>
          </w:p>
        </w:tc>
        <w:tc>
          <w:tcPr>
            <w:tcW w:w="1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8,750</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8,750</w:t>
            </w:r>
          </w:p>
        </w:tc>
      </w:tr>
      <w:tr>
        <w:trPr/>
        <w:tc>
          <w:tcPr>
            <w:tcW w:w="234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Stephen A. Mongillo</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33,696</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33,696</w:t>
            </w:r>
          </w:p>
        </w:tc>
      </w:tr>
      <w:tr>
        <w:trPr/>
        <w:tc>
          <w:tcPr>
            <w:tcW w:w="23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Michael Nevin</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4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5,347</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5,347</w:t>
            </w:r>
          </w:p>
        </w:tc>
      </w:tr>
      <w:tr>
        <w:trPr/>
        <w:tc>
          <w:tcPr>
            <w:tcW w:w="234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Alvin B. Krongard</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20,543</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20,543</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490" w:name="_Hlk221282084"/>
      <w:bookmarkStart w:id="2491" w:name="_Hlk221282084"/>
      <w:bookmarkEnd w:id="2491"/>
    </w:p>
    <w:tbl>
      <w:tblPr>
        <w:tblW w:w="10205" w:type="dxa"/>
        <w:jc w:val="left"/>
        <w:tblInd w:w="0" w:type="dxa"/>
        <w:tblLayout w:type="fixed"/>
        <w:tblCellMar>
          <w:top w:w="28" w:type="dxa"/>
          <w:left w:w="28" w:type="dxa"/>
          <w:bottom w:w="28" w:type="dxa"/>
          <w:right w:w="28" w:type="dxa"/>
        </w:tblCellMar>
      </w:tblPr>
      <w:tblGrid>
        <w:gridCol w:w="124"/>
        <w:gridCol w:w="303"/>
        <w:gridCol w:w="9778"/>
      </w:tblGrid>
      <w:tr>
        <w:trPr/>
        <w:tc>
          <w:tcPr>
            <w:tcW w:w="124" w:type="dxa"/>
            <w:tcBorders/>
            <w:vAlign w:val="center"/>
          </w:tcPr>
          <w:p>
            <w:pPr>
              <w:pStyle w:val="TableContents"/>
              <w:bidi w:val="0"/>
              <w:spacing w:before="0" w:after="283"/>
              <w:jc w:val="left"/>
              <w:rPr>
                <w:sz w:val="4"/>
                <w:szCs w:val="4"/>
              </w:rPr>
            </w:pPr>
            <w:r>
              <w:rPr>
                <w:sz w:val="4"/>
                <w:szCs w:val="4"/>
              </w:rPr>
            </w:r>
          </w:p>
        </w:tc>
        <w:tc>
          <w:tcPr>
            <w:tcW w:w="30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Mongillo resigned as a member of our Board on November 3, 2025. Mr. Mongillo’s resignation was not the result of any disagreement with us on any matter relating to our operations, policies, or practices.</w:t>
            </w:r>
          </w:p>
        </w:tc>
      </w:tr>
    </w:tbl>
    <w:tbl>
      <w:tblPr>
        <w:tblW w:w="10205" w:type="dxa"/>
        <w:jc w:val="left"/>
        <w:tblInd w:w="0" w:type="dxa"/>
        <w:tblLayout w:type="fixed"/>
        <w:tblCellMar>
          <w:top w:w="28" w:type="dxa"/>
          <w:left w:w="28" w:type="dxa"/>
          <w:bottom w:w="28" w:type="dxa"/>
          <w:right w:w="28" w:type="dxa"/>
        </w:tblCellMar>
      </w:tblPr>
      <w:tblGrid>
        <w:gridCol w:w="124"/>
        <w:gridCol w:w="304"/>
        <w:gridCol w:w="9777"/>
      </w:tblGrid>
      <w:tr>
        <w:trPr/>
        <w:tc>
          <w:tcPr>
            <w:tcW w:w="124" w:type="dxa"/>
            <w:tcBorders/>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Nevin resigned as a member of our Board on February 24, 2025. Mr. Nevin’s resignation was not the result of any disagreement with us on any matter relating to our operations, policies, or practices.</w:t>
            </w:r>
          </w:p>
        </w:tc>
      </w:tr>
    </w:tbl>
    <w:tbl>
      <w:tblPr>
        <w:tblW w:w="10205" w:type="dxa"/>
        <w:jc w:val="left"/>
        <w:tblInd w:w="0" w:type="dxa"/>
        <w:tblLayout w:type="fixed"/>
        <w:tblCellMar>
          <w:top w:w="28" w:type="dxa"/>
          <w:left w:w="28" w:type="dxa"/>
          <w:bottom w:w="28" w:type="dxa"/>
          <w:right w:w="28" w:type="dxa"/>
        </w:tblCellMar>
      </w:tblPr>
      <w:tblGrid>
        <w:gridCol w:w="124"/>
        <w:gridCol w:w="304"/>
        <w:gridCol w:w="9777"/>
      </w:tblGrid>
      <w:tr>
        <w:trPr/>
        <w:tc>
          <w:tcPr>
            <w:tcW w:w="124" w:type="dxa"/>
            <w:tcBorders/>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Krongard resigned as a member of our Board on August 1, 2025. Mr. Krongard’s resignation was not the result of any disagreement with us on any matter relating to our operations, policies, or practices.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2025, the fees earned or paid in cash for Mses. Barton, Dunlap and Palau-Hernandez (and for our former directors, Messrs. Mongillo, Nevin and Krongard) were in respect of their services rendered as members of our Board. With respect to Mr. Mongillo, the fees earned or paid in cash included $5,000 for serving as the chairman of the audit committee.</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Directors receive only cash compensation, if applicable, and currently are not granted any options, units or other equity-based awards.</w:t>
      </w:r>
    </w:p>
    <w:p>
      <w:pPr>
        <w:pStyle w:val="TextBody"/>
        <w:bidi w:val="0"/>
        <w:spacing w:before="0" w:after="240"/>
        <w:ind w:left="0" w:right="0" w:hanging="0"/>
        <w:jc w:val="left"/>
        <w:rPr>
          <w:rFonts w:ascii="Times New Roman;Times;serif" w:hAnsi="Times New Roman;Times;serif"/>
          <w:b/>
          <w:sz w:val="20"/>
        </w:rPr>
      </w:pPr>
      <w:bookmarkStart w:id="2492" w:name="Item12SecurityOwnershipofCertainBenefici"/>
      <w:bookmarkStart w:id="2493" w:name="_00603f9e_d7c2_440f_8d18_654e746fa113"/>
      <w:bookmarkEnd w:id="2492"/>
      <w:bookmarkEnd w:id="2493"/>
      <w:r>
        <w:rPr>
          <w:rFonts w:ascii="Times New Roman;Times;serif" w:hAnsi="Times New Roman;Times;serif"/>
          <w:b/>
          <w:sz w:val="20"/>
        </w:rPr>
        <w:t>Item 12. Security Ownership of Certain Beneficial Owners and Management and Related Security Holder Matters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February 25, 2026, Mr. Icahn and his affiliates owned 549,400,539 of Icahn Enterprises’ depositary units, or approximately 86% of Icahn Enterprises’ outstanding depositary units. In accordance with the listing rules of Nasdaq, Icahn Enterprises’ status as a limited partnership affords Icahn Enterprises an exemption from certain corporate governance requirements which includes an exemption from the requirement to have compensation and nominating committees consisting entirely of independent directors. Icahn Enterprises GP’s board of directors presently consists of three independent directors and the audit committee consists entirely of independent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Mr. Icahn is currently an at will employee serving as Chairman of the Board of Icahn Enterprises GP, Chairman of the Board and Chief Executive Officer of Icahn Capital LP and Chief Executive Officer of the Investment Funds, for which he currently receives an annual base salary of $1 per annum. Mr. Icahn does not receive director fees from us.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affirmative vote of unitholders holding more than 75% of the total number of all depositary units then outstanding, including depositary units held by Icahn Enterprises GP and its affiliates, is required to remove Icahn Enterprises GP as the general partner of Icahn Enterprises. Thus, since Mr. Icahn, through affiliates, holds approximately 86% of Icahn Enterprises’ outstanding depositary units as of February 25, 2026, Icahn Enterprises GP will not be able to be removed pursuant to the terms of our partnership agreement without Mr. Icahn’s consent. Moreover, under the partnership agreement, the affirmative vote of Icahn Enterprises GP and unitholders owning more than 50% of the total number of all outstanding depositary units then held by unitholders, including affiliates of Mr. Icahn, is required to approve, among other things, selling or otherwise disposing of all or substantially all of our assets in a single sale or in a related series of multiple sales, our dissolution or electing to continue Icahn Enterprises in certain instances, electing a successor general partner, making certain amendments to the partnership agreement or causing us, in our capacity as sole limited partner of Icahn Enterprises Holdings, to consent to certain proposals submitted for the approval of the limited partners of Icahn Enterprises Holdings. Accordingly, as affiliates of Mr. Icahn hold in excess of 50% of the depositary units outstanding, Mr. Icahn, through affiliates, will have effective control over such approval rights.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provides information, as of February 25, 2026, as to the beneficial ownership of the depositary units for each director and named executive officer of Icahn Enterprises GP and all directors and named executive officers of Icahn Enterprises GP, as a group. Except for Mr. Icahn, none of our named executive officers, directors or other unitholders beneficially own more than 5% of Icahn Enterprises’ depositary units.</w:t>
      </w:r>
    </w:p>
    <w:tbl>
      <w:tblPr>
        <w:tblW w:w="9921" w:type="dxa"/>
        <w:jc w:val="left"/>
        <w:tblInd w:w="0" w:type="dxa"/>
        <w:tblLayout w:type="fixed"/>
        <w:tblCellMar>
          <w:top w:w="0" w:type="dxa"/>
          <w:left w:w="0" w:type="dxa"/>
          <w:bottom w:w="0" w:type="dxa"/>
          <w:right w:w="0" w:type="dxa"/>
        </w:tblCellMar>
      </w:tblPr>
      <w:tblGrid>
        <w:gridCol w:w="5011"/>
        <w:gridCol w:w="346"/>
        <w:gridCol w:w="2131"/>
        <w:gridCol w:w="661"/>
        <w:gridCol w:w="1456"/>
        <w:gridCol w:w="316"/>
      </w:tblGrid>
      <w:tr>
        <w:trPr/>
        <w:tc>
          <w:tcPr>
            <w:tcW w:w="5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3181985" cy="175260"/>
                      <wp:effectExtent l="0" t="0" r="0" b="0"/>
                      <wp:wrapNone/>
                      <wp:docPr id="777" name="Frame777"/>
                      <a:graphic xmlns:a="http://schemas.openxmlformats.org/drawingml/2006/main">
                        <a:graphicData uri="http://schemas.microsoft.com/office/word/2010/wordprocessingShape">
                          <wps:wsp>
                            <wps:cNvSpPr txBox="1"/>
                            <wps:spPr>
                              <a:xfrm>
                                <a:off x="0" y="0"/>
                                <a:ext cx="3181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219710" cy="175260"/>
                      <wp:effectExtent l="0" t="0" r="0" b="0"/>
                      <wp:wrapNone/>
                      <wp:docPr id="778" name="Frame7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1353185" cy="175260"/>
                      <wp:effectExtent l="0" t="0" r="0" b="0"/>
                      <wp:wrapNone/>
                      <wp:docPr id="779" name="Frame779"/>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419735" cy="175260"/>
                      <wp:effectExtent l="0" t="0" r="0" b="0"/>
                      <wp:wrapNone/>
                      <wp:docPr id="780" name="Frame78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924560" cy="175260"/>
                      <wp:effectExtent l="0" t="0" r="0" b="0"/>
                      <wp:wrapNone/>
                      <wp:docPr id="781" name="Frame781"/>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200660" cy="175260"/>
                      <wp:effectExtent l="0" t="0" r="0" b="0"/>
                      <wp:wrapNone/>
                      <wp:docPr id="782" name="Frame78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3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Beneficial Ownership of</w:t>
            </w:r>
          </w:p>
        </w:tc>
        <w:tc>
          <w:tcPr>
            <w:tcW w:w="661" w:type="dxa"/>
            <w:tcBorders/>
            <w:vAlign w:val="center"/>
          </w:tcPr>
          <w:p>
            <w:pPr>
              <w:pStyle w:val="TableContents"/>
              <w:bidi w:val="0"/>
              <w:spacing w:before="0" w:after="1"/>
              <w:ind w:left="0" w:right="0" w:hanging="0"/>
              <w:jc w:val="left"/>
              <w:rPr/>
            </w:pPr>
            <w:r>
              <w:rPr/>
              <w:t>  ​ ​ ​</w:t>
            </w:r>
          </w:p>
        </w:tc>
        <w:tc>
          <w:tcPr>
            <w:tcW w:w="145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50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1"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20"/>
              </w:rPr>
              <w:t>Icahn Enterprises’</w:t>
            </w:r>
          </w:p>
        </w:tc>
        <w:tc>
          <w:tcPr>
            <w:tcW w:w="661" w:type="dxa"/>
            <w:tcBorders/>
            <w:vAlign w:val="center"/>
          </w:tcPr>
          <w:p>
            <w:pPr>
              <w:pStyle w:val="TableContents"/>
              <w:bidi w:val="0"/>
              <w:spacing w:before="0" w:after="1"/>
              <w:ind w:left="0" w:right="0" w:hanging="0"/>
              <w:jc w:val="left"/>
              <w:rPr/>
            </w:pPr>
            <w:r>
              <w:rPr/>
              <w:t>​</w:t>
            </w:r>
          </w:p>
        </w:tc>
        <w:tc>
          <w:tcPr>
            <w:tcW w:w="145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50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Name of Beneficial Owner</w:t>
            </w:r>
          </w:p>
        </w:tc>
        <w:tc>
          <w:tcPr>
            <w:tcW w:w="346" w:type="dxa"/>
            <w:tcBorders/>
            <w:vAlign w:val="center"/>
          </w:tcPr>
          <w:p>
            <w:pPr>
              <w:pStyle w:val="TableContents"/>
              <w:bidi w:val="0"/>
              <w:spacing w:before="0" w:after="1"/>
              <w:ind w:left="0" w:right="0" w:hanging="0"/>
              <w:jc w:val="left"/>
              <w:rPr/>
            </w:pPr>
            <w:r>
              <w:rPr/>
              <w:t>​</w:t>
            </w:r>
          </w:p>
        </w:tc>
        <w:tc>
          <w:tcPr>
            <w:tcW w:w="213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20"/>
              </w:rPr>
              <w:t>Depositary Units</w:t>
            </w:r>
          </w:p>
        </w:tc>
        <w:tc>
          <w:tcPr>
            <w:tcW w:w="661" w:type="dxa"/>
            <w:tcBorders/>
            <w:vAlign w:val="center"/>
          </w:tcPr>
          <w:p>
            <w:pPr>
              <w:pStyle w:val="TableContents"/>
              <w:bidi w:val="0"/>
              <w:spacing w:before="0" w:after="1"/>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Percent of Class</w:t>
            </w:r>
          </w:p>
        </w:tc>
        <w:tc>
          <w:tcPr>
            <w:tcW w:w="316" w:type="dxa"/>
            <w:tcBorders/>
            <w:vAlign w:val="center"/>
          </w:tcPr>
          <w:p>
            <w:pPr>
              <w:pStyle w:val="TableContents"/>
              <w:bidi w:val="0"/>
              <w:spacing w:before="0" w:after="1"/>
              <w:ind w:left="0" w:right="0" w:hanging="0"/>
              <w:jc w:val="center"/>
              <w:rPr/>
            </w:pPr>
            <w:r>
              <w:rPr/>
              <w:t> </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Carl C. Icahn</w:t>
            </w:r>
          </w:p>
        </w:tc>
        <w:tc>
          <w:tcPr>
            <w:tcW w:w="346" w:type="dxa"/>
            <w:tcBorders/>
            <w:shd w:fill="CCEEFF" w:val="clear"/>
            <w:vAlign w:val="center"/>
          </w:tcPr>
          <w:p>
            <w:pPr>
              <w:pStyle w:val="TableContents"/>
              <w:bidi w:val="0"/>
              <w:spacing w:before="0" w:after="1"/>
              <w:ind w:left="0" w:right="0" w:hanging="0"/>
              <w:jc w:val="left"/>
              <w:rPr/>
            </w:pPr>
            <w:r>
              <w:rPr/>
              <w:t> </w:t>
            </w:r>
          </w:p>
        </w:tc>
        <w:tc>
          <w:tcPr>
            <w:tcW w:w="21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549,400,539</w:t>
            </w:r>
          </w:p>
        </w:tc>
        <w:tc>
          <w:tcPr>
            <w:tcW w:w="6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(a) (b) (c)</w:t>
            </w:r>
            <w:r>
              <w:rPr>
                <w:rFonts w:ascii="Times New Roman;Times;serif" w:hAnsi="Times New Roman;Times;serif"/>
                <w:sz w:val="20"/>
              </w:rPr>
              <w:t>​</w:t>
            </w:r>
          </w:p>
        </w:tc>
        <w:tc>
          <w:tcPr>
            <w:tcW w:w="14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Andrew Teno</w:t>
            </w:r>
          </w:p>
        </w:tc>
        <w:tc>
          <w:tcPr>
            <w:tcW w:w="346" w:type="dxa"/>
            <w:tcBorders/>
            <w:vAlign w:val="center"/>
          </w:tcPr>
          <w:p>
            <w:pPr>
              <w:pStyle w:val="TableContents"/>
              <w:bidi w:val="0"/>
              <w:spacing w:before="0" w:after="1"/>
              <w:ind w:left="0" w:right="0" w:hanging="0"/>
              <w:jc w:val="left"/>
              <w:rPr/>
            </w:pPr>
            <w:r>
              <w:rPr/>
              <w:t> </w:t>
            </w:r>
          </w:p>
        </w:tc>
        <w:tc>
          <w:tcPr>
            <w:tcW w:w="2131" w:type="dxa"/>
            <w:tcBorders/>
            <w:vAlign w:val="center"/>
          </w:tcPr>
          <w:p>
            <w:pPr>
              <w:pStyle w:val="TableContents"/>
              <w:bidi w:val="0"/>
              <w:spacing w:before="0" w:after="1"/>
              <w:ind w:left="0" w:right="0" w:hanging="0"/>
              <w:jc w:val="right"/>
              <w:rPr/>
            </w:pPr>
            <w:r>
              <w:rPr/>
              <w:t>—</w:t>
            </w:r>
          </w:p>
        </w:tc>
        <w:tc>
          <w:tcPr>
            <w:tcW w:w="661" w:type="dxa"/>
            <w:tcBorders/>
            <w:vAlign w:val="center"/>
          </w:tcPr>
          <w:p>
            <w:pPr>
              <w:pStyle w:val="TableContents"/>
              <w:bidi w:val="0"/>
              <w:spacing w:before="0" w:after="1"/>
              <w:ind w:left="0" w:right="0" w:hanging="0"/>
              <w:jc w:val="left"/>
              <w:rPr/>
            </w:pPr>
            <w:r>
              <w:rPr/>
              <w:t> </w:t>
            </w:r>
          </w:p>
        </w:tc>
        <w:tc>
          <w:tcPr>
            <w:tcW w:w="14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Ted Papapostolou</w:t>
            </w:r>
          </w:p>
        </w:tc>
        <w:tc>
          <w:tcPr>
            <w:tcW w:w="346" w:type="dxa"/>
            <w:tcBorders/>
            <w:shd w:fill="CCEEFF" w:val="clear"/>
            <w:vAlign w:val="center"/>
          </w:tcPr>
          <w:p>
            <w:pPr>
              <w:pStyle w:val="TableContents"/>
              <w:bidi w:val="0"/>
              <w:spacing w:before="0" w:after="1"/>
              <w:ind w:left="0" w:right="0" w:hanging="0"/>
              <w:jc w:val="left"/>
              <w:rPr/>
            </w:pPr>
            <w:r>
              <w:rPr/>
              <w:t> </w:t>
            </w:r>
          </w:p>
        </w:tc>
        <w:tc>
          <w:tcPr>
            <w:tcW w:w="2131" w:type="dxa"/>
            <w:tcBorders/>
            <w:shd w:fill="CCEEFF" w:val="clear"/>
            <w:vAlign w:val="center"/>
          </w:tcPr>
          <w:p>
            <w:pPr>
              <w:pStyle w:val="TableContents"/>
              <w:bidi w:val="0"/>
              <w:spacing w:before="0" w:after="1"/>
              <w:ind w:left="0" w:right="0" w:hanging="0"/>
              <w:jc w:val="right"/>
              <w:rPr/>
            </w:pPr>
            <w:r>
              <w:rPr/>
              <w:t>—</w:t>
            </w:r>
          </w:p>
        </w:tc>
        <w:tc>
          <w:tcPr>
            <w:tcW w:w="661" w:type="dxa"/>
            <w:tcBorders/>
            <w:shd w:fill="CCEEFF" w:val="clear"/>
            <w:vAlign w:val="center"/>
          </w:tcPr>
          <w:p>
            <w:pPr>
              <w:pStyle w:val="TableContents"/>
              <w:bidi w:val="0"/>
              <w:spacing w:before="0" w:after="1"/>
              <w:ind w:left="0" w:right="0" w:hanging="0"/>
              <w:jc w:val="left"/>
              <w:rPr/>
            </w:pPr>
            <w:r>
              <w:rPr/>
              <w:t> </w:t>
            </w:r>
          </w:p>
        </w:tc>
        <w:tc>
          <w:tcPr>
            <w:tcW w:w="14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Nancy Dunlap</w:t>
            </w:r>
          </w:p>
        </w:tc>
        <w:tc>
          <w:tcPr>
            <w:tcW w:w="346" w:type="dxa"/>
            <w:tcBorders/>
            <w:vAlign w:val="center"/>
          </w:tcPr>
          <w:p>
            <w:pPr>
              <w:pStyle w:val="TableContents"/>
              <w:bidi w:val="0"/>
              <w:spacing w:before="0" w:after="1"/>
              <w:ind w:left="0" w:right="0" w:hanging="0"/>
              <w:jc w:val="left"/>
              <w:rPr/>
            </w:pPr>
            <w:r>
              <w:rPr/>
              <w:t> </w:t>
            </w:r>
          </w:p>
        </w:tc>
        <w:tc>
          <w:tcPr>
            <w:tcW w:w="21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6,649</w:t>
            </w:r>
          </w:p>
        </w:tc>
        <w:tc>
          <w:tcPr>
            <w:tcW w:w="661" w:type="dxa"/>
            <w:tcBorders/>
            <w:vAlign w:val="center"/>
          </w:tcPr>
          <w:p>
            <w:pPr>
              <w:pStyle w:val="TableContents"/>
              <w:bidi w:val="0"/>
              <w:spacing w:before="0" w:after="1"/>
              <w:ind w:left="0" w:right="0" w:hanging="0"/>
              <w:jc w:val="left"/>
              <w:rPr/>
            </w:pPr>
            <w:r>
              <w:rPr/>
              <w:t> </w:t>
            </w:r>
          </w:p>
        </w:tc>
        <w:tc>
          <w:tcPr>
            <w:tcW w:w="14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Denise Barton</w:t>
            </w:r>
          </w:p>
        </w:tc>
        <w:tc>
          <w:tcPr>
            <w:tcW w:w="346" w:type="dxa"/>
            <w:tcBorders/>
            <w:shd w:fill="CCEEFF" w:val="clear"/>
            <w:vAlign w:val="center"/>
          </w:tcPr>
          <w:p>
            <w:pPr>
              <w:pStyle w:val="TableContents"/>
              <w:bidi w:val="0"/>
              <w:spacing w:before="0" w:after="1"/>
              <w:ind w:left="0" w:right="0" w:hanging="0"/>
              <w:jc w:val="left"/>
              <w:rPr/>
            </w:pPr>
            <w:r>
              <w:rPr/>
              <w:t> </w:t>
            </w:r>
          </w:p>
        </w:tc>
        <w:tc>
          <w:tcPr>
            <w:tcW w:w="2131" w:type="dxa"/>
            <w:tcBorders/>
            <w:shd w:fill="CCEEFF" w:val="clear"/>
            <w:vAlign w:val="center"/>
          </w:tcPr>
          <w:p>
            <w:pPr>
              <w:pStyle w:val="TableContents"/>
              <w:bidi w:val="0"/>
              <w:spacing w:before="0" w:after="1"/>
              <w:ind w:left="0" w:right="0" w:hanging="0"/>
              <w:jc w:val="right"/>
              <w:rPr/>
            </w:pPr>
            <w:r>
              <w:rPr/>
              <w:t>—</w:t>
            </w:r>
          </w:p>
        </w:tc>
        <w:tc>
          <w:tcPr>
            <w:tcW w:w="661" w:type="dxa"/>
            <w:tcBorders/>
            <w:shd w:fill="CCEEFF" w:val="clear"/>
            <w:vAlign w:val="center"/>
          </w:tcPr>
          <w:p>
            <w:pPr>
              <w:pStyle w:val="TableContents"/>
              <w:bidi w:val="0"/>
              <w:spacing w:before="0" w:after="1"/>
              <w:ind w:left="0" w:right="0" w:hanging="0"/>
              <w:jc w:val="left"/>
              <w:rPr/>
            </w:pPr>
            <w:r>
              <w:rPr/>
              <w:t> </w:t>
            </w:r>
          </w:p>
        </w:tc>
        <w:tc>
          <w:tcPr>
            <w:tcW w:w="145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Margarita Paláu-Hernández</w:t>
            </w:r>
          </w:p>
        </w:tc>
        <w:tc>
          <w:tcPr>
            <w:tcW w:w="346" w:type="dxa"/>
            <w:tcBorders/>
            <w:vAlign w:val="center"/>
          </w:tcPr>
          <w:p>
            <w:pPr>
              <w:pStyle w:val="TableContents"/>
              <w:bidi w:val="0"/>
              <w:spacing w:before="0" w:after="1"/>
              <w:ind w:left="0" w:right="0" w:hanging="0"/>
              <w:jc w:val="left"/>
              <w:rPr/>
            </w:pPr>
            <w:r>
              <w:rPr/>
              <w:t> </w:t>
            </w:r>
          </w:p>
        </w:tc>
        <w:tc>
          <w:tcPr>
            <w:tcW w:w="2131" w:type="dxa"/>
            <w:tcBorders/>
            <w:vAlign w:val="center"/>
          </w:tcPr>
          <w:p>
            <w:pPr>
              <w:pStyle w:val="TableContents"/>
              <w:bidi w:val="0"/>
              <w:spacing w:before="0" w:after="1"/>
              <w:ind w:left="0" w:right="0" w:hanging="0"/>
              <w:jc w:val="right"/>
              <w:rPr/>
            </w:pPr>
            <w:r>
              <w:rPr/>
              <w:t>—</w:t>
            </w:r>
          </w:p>
        </w:tc>
        <w:tc>
          <w:tcPr>
            <w:tcW w:w="661" w:type="dxa"/>
            <w:tcBorders/>
            <w:vAlign w:val="center"/>
          </w:tcPr>
          <w:p>
            <w:pPr>
              <w:pStyle w:val="TableContents"/>
              <w:bidi w:val="0"/>
              <w:spacing w:before="0" w:after="1"/>
              <w:ind w:left="0" w:right="0" w:hanging="0"/>
              <w:jc w:val="left"/>
              <w:rPr/>
            </w:pPr>
            <w:r>
              <w:rPr/>
              <w:t> </w:t>
            </w:r>
          </w:p>
        </w:tc>
        <w:tc>
          <w:tcPr>
            <w:tcW w:w="14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5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Directors and Executive Officers as a Group (six persons)</w:t>
            </w:r>
          </w:p>
        </w:tc>
        <w:tc>
          <w:tcPr>
            <w:tcW w:w="346" w:type="dxa"/>
            <w:tcBorders/>
            <w:shd w:fill="CCEEFF" w:val="clear"/>
            <w:vAlign w:val="center"/>
          </w:tcPr>
          <w:p>
            <w:pPr>
              <w:pStyle w:val="TableContents"/>
              <w:bidi w:val="0"/>
              <w:spacing w:before="0" w:after="1"/>
              <w:ind w:left="0" w:right="0" w:hanging="0"/>
              <w:jc w:val="center"/>
              <w:rPr/>
            </w:pPr>
            <w:r>
              <w:rPr/>
              <w:t> </w:t>
            </w:r>
          </w:p>
        </w:tc>
        <w:tc>
          <w:tcPr>
            <w:tcW w:w="21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549,407,188</w:t>
            </w:r>
          </w:p>
        </w:tc>
        <w:tc>
          <w:tcPr>
            <w:tcW w:w="6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(c)</w:t>
            </w:r>
            <w:r>
              <w:rPr>
                <w:rFonts w:ascii="Times New Roman;Times;serif" w:hAnsi="Times New Roman;Times;serif"/>
                <w:sz w:val="20"/>
              </w:rPr>
              <w:t>​</w:t>
            </w:r>
          </w:p>
        </w:tc>
        <w:tc>
          <w:tcPr>
            <w:tcW w:w="14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6152" w:type="dxa"/>
        <w:jc w:val="left"/>
        <w:tblInd w:w="0" w:type="dxa"/>
        <w:tblLayout w:type="fixed"/>
        <w:tblCellMar>
          <w:top w:w="0" w:type="dxa"/>
          <w:left w:w="0" w:type="dxa"/>
          <w:bottom w:w="0" w:type="dxa"/>
          <w:right w:w="0" w:type="dxa"/>
        </w:tblCellMar>
      </w:tblPr>
      <w:tblGrid>
        <w:gridCol w:w="226"/>
        <w:gridCol w:w="592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59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Less than 1% of total outstanding depositary units of Icahn Enterprises.</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exclusive of a 1.99% ownership interest which Icahn Enterprises GP holds by virtue of its 1% general partner interest in each of us and Icahn Enterprises Holdings.</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Schedule 13D/A filed with the SEC on December 29, 2025 by CCI Onshore LLC, Gascon Partners, High Coast Limited Partnership, Highcrest Investors LLC, Thornwood Associates Limited Partnership, Barberry Corp., Starfire Holding Corporation, Little Meadow Corp. and Mr. Icahn. Mr. Icahn, by virtue of his relationship to such entities, may be deemed to beneficially own such Depositary Units. Mr. Icahn disclaims beneficial ownership of such Depositary Units except to the extent of his pecuniary interest therein. The principal business address of Mr. Icahn and the other filers of the Schedule 13D/A is 16690 Collins Avenue, PH-1, Sunny Isles Beach, FL 33160.</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549,400,539 depositary units pledged as collateral to secure certain personal indebtedness. The number of depositary units pledged to secure these loans fluctuates in certain years and from time to time as a result of changes in the amount of outstanding principal amount of the loans, the market price of the depositary units, and other factors. The terms of the Loan Agreement (as defined in Item 1A, Risk Factors, in this Annual Report on Form 10-K) require that distributions paid upon, or proceeds from sales of, pledged depositary units be used to prepay the loans or be pledged as additional collateral. Pursuant to the terms of the Loan Agreement, a margin call may only be triggered in the event that the loan-to-value ratio set forth in the Loan Agreement is not maintained. For purposes of the loan-to-value ratio set forth in the Loan Agreement, the value of the pledged depositary units will be calculated based upon the Company’s indicative net asset value rather than the market price of the depositary units.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Securities Authorized for Issuance Under Equity Compensation Plans </w:t>
      </w:r>
    </w:p>
    <w:tbl>
      <w:tblPr>
        <w:tblW w:w="9262" w:type="dxa"/>
        <w:jc w:val="left"/>
        <w:tblInd w:w="0" w:type="dxa"/>
        <w:tblLayout w:type="fixed"/>
        <w:tblCellMar>
          <w:top w:w="0" w:type="dxa"/>
          <w:left w:w="0" w:type="dxa"/>
          <w:bottom w:w="0" w:type="dxa"/>
          <w:right w:w="0" w:type="dxa"/>
        </w:tblCellMar>
      </w:tblPr>
      <w:tblGrid>
        <w:gridCol w:w="1756"/>
        <w:gridCol w:w="346"/>
        <w:gridCol w:w="2116"/>
        <w:gridCol w:w="346"/>
        <w:gridCol w:w="1891"/>
        <w:gridCol w:w="346"/>
        <w:gridCol w:w="2461"/>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1115060" cy="175260"/>
                      <wp:effectExtent l="0" t="0" r="0" b="0"/>
                      <wp:wrapNone/>
                      <wp:docPr id="783" name="Frame783"/>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219710" cy="175260"/>
                      <wp:effectExtent l="0" t="0" r="0" b="0"/>
                      <wp:wrapNone/>
                      <wp:docPr id="784" name="Frame7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1343660" cy="175260"/>
                      <wp:effectExtent l="0" t="0" r="0" b="0"/>
                      <wp:wrapNone/>
                      <wp:docPr id="785" name="Frame785"/>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219710" cy="175260"/>
                      <wp:effectExtent l="0" t="0" r="0" b="0"/>
                      <wp:wrapNone/>
                      <wp:docPr id="786" name="Frame7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1200785" cy="175260"/>
                      <wp:effectExtent l="0" t="0" r="0" b="0"/>
                      <wp:wrapNone/>
                      <wp:docPr id="787" name="Frame787"/>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219710" cy="175260"/>
                      <wp:effectExtent l="0" t="0" r="0" b="0"/>
                      <wp:wrapNone/>
                      <wp:docPr id="788" name="Frame7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1562735" cy="175260"/>
                      <wp:effectExtent l="0" t="0" r="0" b="0"/>
                      <wp:wrapNone/>
                      <wp:docPr id="789" name="Frame789"/>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8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46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Number of Securities</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Remaining Available for</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Number of Securities</w:t>
            </w:r>
          </w:p>
        </w:tc>
        <w:tc>
          <w:tcPr>
            <w:tcW w:w="346" w:type="dxa"/>
            <w:tcBorders/>
            <w:vAlign w:val="center"/>
          </w:tcPr>
          <w:p>
            <w:pPr>
              <w:pStyle w:val="TableContents"/>
              <w:bidi w:val="0"/>
              <w:spacing w:before="0" w:after="1"/>
              <w:ind w:left="0" w:right="0" w:hanging="0"/>
              <w:jc w:val="left"/>
              <w:rPr/>
            </w:pPr>
            <w:r>
              <w:rPr/>
              <w:t>​</w:t>
            </w:r>
          </w:p>
        </w:tc>
        <w:tc>
          <w:tcPr>
            <w:tcW w:w="189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Weighted-Average</w:t>
            </w:r>
          </w:p>
        </w:tc>
        <w:tc>
          <w:tcPr>
            <w:tcW w:w="346"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Future Issuance Under</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Issued Upon Exercise of</w:t>
            </w:r>
          </w:p>
        </w:tc>
        <w:tc>
          <w:tcPr>
            <w:tcW w:w="346" w:type="dxa"/>
            <w:tcBorders/>
            <w:vAlign w:val="center"/>
          </w:tcPr>
          <w:p>
            <w:pPr>
              <w:pStyle w:val="TableContents"/>
              <w:bidi w:val="0"/>
              <w:spacing w:before="0" w:after="1"/>
              <w:ind w:left="0" w:right="0" w:hanging="0"/>
              <w:jc w:val="left"/>
              <w:rPr/>
            </w:pPr>
            <w:r>
              <w:rPr/>
              <w:t>​</w:t>
            </w:r>
          </w:p>
        </w:tc>
        <w:tc>
          <w:tcPr>
            <w:tcW w:w="189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 Price of</w:t>
            </w:r>
          </w:p>
        </w:tc>
        <w:tc>
          <w:tcPr>
            <w:tcW w:w="346"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Equity Compensation</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Outstanding Options,</w:t>
            </w:r>
          </w:p>
        </w:tc>
        <w:tc>
          <w:tcPr>
            <w:tcW w:w="346" w:type="dxa"/>
            <w:tcBorders/>
            <w:vAlign w:val="center"/>
          </w:tcPr>
          <w:p>
            <w:pPr>
              <w:pStyle w:val="TableContents"/>
              <w:bidi w:val="0"/>
              <w:spacing w:before="0" w:after="1"/>
              <w:ind w:left="0" w:right="0" w:hanging="0"/>
              <w:jc w:val="left"/>
              <w:rPr/>
            </w:pPr>
            <w:r>
              <w:rPr/>
              <w:t>​</w:t>
            </w:r>
          </w:p>
        </w:tc>
        <w:tc>
          <w:tcPr>
            <w:tcW w:w="189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Outstanding Options,</w:t>
            </w:r>
          </w:p>
        </w:tc>
        <w:tc>
          <w:tcPr>
            <w:tcW w:w="346"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Plans (Excluding Securities</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Warrants and Rights</w:t>
            </w:r>
          </w:p>
        </w:tc>
        <w:tc>
          <w:tcPr>
            <w:tcW w:w="346" w:type="dxa"/>
            <w:tcBorders/>
            <w:vAlign w:val="center"/>
          </w:tcPr>
          <w:p>
            <w:pPr>
              <w:pStyle w:val="TableContents"/>
              <w:bidi w:val="0"/>
              <w:spacing w:before="0" w:after="1"/>
              <w:ind w:left="0" w:right="0" w:hanging="0"/>
              <w:jc w:val="left"/>
              <w:rPr/>
            </w:pPr>
            <w:r>
              <w:rPr/>
              <w:t>​</w:t>
            </w:r>
          </w:p>
        </w:tc>
        <w:tc>
          <w:tcPr>
            <w:tcW w:w="189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Warrants and Rights</w:t>
            </w:r>
          </w:p>
        </w:tc>
        <w:tc>
          <w:tcPr>
            <w:tcW w:w="346" w:type="dxa"/>
            <w:tcBorders/>
            <w:vAlign w:val="center"/>
          </w:tcPr>
          <w:p>
            <w:pPr>
              <w:pStyle w:val="TableContents"/>
              <w:bidi w:val="0"/>
              <w:spacing w:before="0" w:after="1"/>
              <w:ind w:left="0" w:right="0" w:hanging="0"/>
              <w:jc w:val="left"/>
              <w:rPr/>
            </w:pPr>
            <w:r>
              <w:rPr/>
              <w:t>​</w:t>
            </w:r>
          </w:p>
        </w:tc>
        <w:tc>
          <w:tcPr>
            <w:tcW w:w="246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Reflected in Column (a))</w:t>
            </w:r>
          </w:p>
        </w:tc>
      </w:tr>
      <w:tr>
        <w:trPr/>
        <w:tc>
          <w:tcPr>
            <w:tcW w:w="17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Plan Category</w:t>
            </w:r>
          </w:p>
        </w:tc>
        <w:tc>
          <w:tcPr>
            <w:tcW w:w="346" w:type="dxa"/>
            <w:tcBorders/>
            <w:vAlign w:val="center"/>
          </w:tcPr>
          <w:p>
            <w:pPr>
              <w:pStyle w:val="TableContents"/>
              <w:bidi w:val="0"/>
              <w:spacing w:before="0" w:after="1"/>
              <w:ind w:left="0" w:right="0" w:hanging="0"/>
              <w:jc w:val="left"/>
              <w:rPr/>
            </w:pPr>
            <w:r>
              <w:rPr/>
              <w:t>​</w:t>
            </w:r>
          </w:p>
        </w:tc>
        <w:tc>
          <w:tcPr>
            <w:tcW w:w="21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w:t>
            </w:r>
          </w:p>
        </w:tc>
        <w:tc>
          <w:tcPr>
            <w:tcW w:w="346" w:type="dxa"/>
            <w:tcBorders/>
            <w:vAlign w:val="center"/>
          </w:tcPr>
          <w:p>
            <w:pPr>
              <w:pStyle w:val="TableContents"/>
              <w:bidi w:val="0"/>
              <w:spacing w:before="0" w:after="1"/>
              <w:ind w:left="0" w:right="0" w:hanging="0"/>
              <w:jc w:val="left"/>
              <w:rPr/>
            </w:pPr>
            <w:r>
              <w:rPr/>
              <w:t>​</w:t>
            </w:r>
          </w:p>
        </w:tc>
        <w:tc>
          <w:tcPr>
            <w:tcW w:w="18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w:t>
            </w:r>
          </w:p>
        </w:tc>
        <w:tc>
          <w:tcPr>
            <w:tcW w:w="346" w:type="dxa"/>
            <w:tcBorders/>
            <w:vAlign w:val="center"/>
          </w:tcPr>
          <w:p>
            <w:pPr>
              <w:pStyle w:val="TableContents"/>
              <w:bidi w:val="0"/>
              <w:spacing w:before="0" w:after="1"/>
              <w:ind w:left="0" w:right="0" w:hanging="0"/>
              <w:jc w:val="left"/>
              <w:rPr/>
            </w:pPr>
            <w:r>
              <w:rPr/>
              <w:t>​</w:t>
            </w:r>
          </w:p>
        </w:tc>
        <w:tc>
          <w:tcPr>
            <w:tcW w:w="24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w:t>
            </w:r>
          </w:p>
        </w:tc>
      </w:tr>
      <w:tr>
        <w:trPr/>
        <w:tc>
          <w:tcPr>
            <w:tcW w:w="1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2017 Incentive Plan</w:t>
            </w:r>
          </w:p>
        </w:tc>
        <w:tc>
          <w:tcPr>
            <w:tcW w:w="346" w:type="dxa"/>
            <w:tcBorders/>
            <w:shd w:fill="CCEEFF" w:val="clear"/>
            <w:vAlign w:val="center"/>
          </w:tcPr>
          <w:p>
            <w:pPr>
              <w:pStyle w:val="TableContents"/>
              <w:bidi w:val="0"/>
              <w:spacing w:before="0" w:after="1"/>
              <w:ind w:left="0" w:right="0" w:hanging="0"/>
              <w:jc w:val="left"/>
              <w:rPr/>
            </w:pPr>
            <w:r>
              <w:rPr/>
              <w:t> </w:t>
            </w:r>
          </w:p>
        </w:tc>
        <w:tc>
          <w:tcPr>
            <w:tcW w:w="21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1"/>
              <w:ind w:left="0" w:right="0" w:hanging="0"/>
              <w:jc w:val="left"/>
              <w:rPr/>
            </w:pPr>
            <w:r>
              <w:rPr/>
              <w:t> </w:t>
            </w:r>
          </w:p>
        </w:tc>
        <w:tc>
          <w:tcPr>
            <w:tcW w:w="246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897,193</w:t>
            </w:r>
          </w:p>
        </w:tc>
      </w:tr>
    </w:tbl>
    <w:p>
      <w:pPr>
        <w:pStyle w:val="TextBody"/>
        <w:bidi w:val="0"/>
        <w:spacing w:before="240" w:after="0"/>
        <w:ind w:left="0" w:right="0" w:firstLine="360"/>
        <w:jc w:val="left"/>
        <w:rPr>
          <w:rFonts w:ascii="Times New Roman;Times;serif" w:hAnsi="Times New Roman;Times;serif"/>
          <w:sz w:val="20"/>
        </w:rPr>
      </w:pPr>
      <w:r>
        <w:rPr>
          <w:rFonts w:ascii="Times New Roman;Times;serif" w:hAnsi="Times New Roman;Times;serif"/>
          <w:sz w:val="20"/>
        </w:rPr>
        <w:t xml:space="preserve">During the first quarter of 2017, the board of directors of the general partner of Icahn Enterprises unanimously approved and adopted the 2017 Incentive Plan, which was subsequently approved by holders of a majority of Icahn Enterprises’ depositary units and became effective during the first quarter of 2017. The 2017 Incentive Plan permits us to issue depositary units and grant options, restricted units or other unit-based awards to all of our, and our affiliates’,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employees, consultants, members and partners, as well as the three non-employee directors of our general partner. One million of Icahn Enterprises’ depositary units were initially available under the 2017 Incentive Plan. </w:t>
      </w:r>
    </w:p>
    <w:p>
      <w:pPr>
        <w:pStyle w:val="TextBody"/>
        <w:bidi w:val="0"/>
        <w:spacing w:before="0" w:after="240"/>
        <w:ind w:left="0" w:right="0" w:hanging="0"/>
        <w:jc w:val="left"/>
        <w:rPr>
          <w:rFonts w:ascii="Times New Roman;Times;serif" w:hAnsi="Times New Roman;Times;serif"/>
          <w:b/>
          <w:sz w:val="20"/>
        </w:rPr>
      </w:pPr>
      <w:bookmarkStart w:id="2494" w:name="Item13CertainRelationshipsandRelatedTran"/>
      <w:bookmarkStart w:id="2495" w:name="_879ebe2c_aa15_490e_b342_8956e5194ce9"/>
      <w:bookmarkEnd w:id="2494"/>
      <w:bookmarkEnd w:id="2495"/>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 Policy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the limitations contained in our partnership agreement and the Delaware Revised Uniform Limited Partnership Act. The indentures governing our indebtedness contain certain covenants applicable to transactions with affiliates.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with Our General Partner and Its Affiliates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Icahn, in his capacity as majority unitholder, will not receive any additional benefit with respect to distributions and allocations of profits and losses not shared on a pro-rata basis by all other unitholders. In addition, Mr. Icahn has confirmed to us that neither he nor any of his affiliates will receive any fees from us in consideration for services rendered in connection with investments by us other than as otherwise disclosed herein. We have, and in the future may determine to make, investments in entities in which Mr. Icahn or his affiliates also have investments. We may enter into other transactions with Mr. Icahn and his affiliates, including, without limitation, buying and selling assets from or to affiliates of Mr. Icahn and participating in joint venture investments in assets with affiliates of Mr. Icahn. Furthermore, it should be noted that our partnership agreement provides that Icahn Enterprises GP and its affiliates are permitted to have other business interests and may engage in other business ventures of any nature whatsoever, and may compete directly or indirectly with our business. Mr. Icahn and his affiliates currently invest in assets that may be similar to those in which we may invest, and Mr. Icahn and his affiliates intend to continue to do so. Pursuant to the partnership agreement, however, we will not have any right to participate therein or receive or share in any income or profits derived therefrom.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2025, we declared four quarterly distributions aggregating $2.00 per depositary unit. Depositary unitholders were given the option to make an election to receive the distributions in either cash or additional depositary units; if a holder did not make a timely election to receive cash, it was automatically deemed to have elected to receive the distributions in additional depositary units. As a result of the above declared distributions, during 2025 we distributed an aggregate of 104,405,738 of Icahn Enterprises’ depositary units to those depositary unitholders who elected to receive or were deemed to have elected to receive such distributions in additional depositary units, of which an aggregate of 98,612,369 depositary units were distributed to Mr. Icahn and his affiliates. As a result, Mr. Icahn and his affiliates owned approximately 86% of Icahn Enterprises’ outstanding depositary units as of December 31, 2025. Mr. Icahn and his affiliates may in the future elect to receive all or a portion of their distributions in cash or in additional depositary units. Pursuant to registration rights agreements, Mr. Icahn has certain registration rights with regard to the depositary units beneficially owned by him.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February 23, 2026, the Board of Directors of the general partner of Icahn Enterprises declared a quarterly distribution in the amount of $0.50 per depositary unit, which will be paid on or about April 15, 2026 to depositary unitholders of record at the close of business on March 9, 2026. Depositary unitholders will have until April 3, 2026 to make a timely election to receive either cash or additional depositary units. If a unitholder does not make a timely election, it will automatically be deemed to have elected to receive the distribution in additional depositary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may, on occasion, invest in securities in which entities affiliated with Mr. Icahn are also investing. Additionally, Mr. Icahn and his affiliated entities may also invest in securities in which Icahn Enterprises and its consolidated subsidiaries invest. Mr. Icahn and his affiliates (excluding Icahn Enterprises), make investments in the Investment Funds. As of December 31, 2025, the total fair market value of investments in the Investment Funds made by Mr. Icahn and his affiliates (excluding us and Brett Icahn) was $908 million, representing approximately 25% of the Investment Funds’ assets under management. Mr. Icahn and his affiliates (excluding us and Brett Icahn) redeemed $508 million from the Investment Funds in the year ended December 31,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Related Party Transactions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Icahn Capital LP, a wholly-owned subsidiary of ours, paid for salaries and benefits of certain employees who may also perform various functions on behalf of certain other entities beneficially owned by Mr. Icahn, including administrative and investment services.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Icahn Capital LP pays for expenses pertaining to the operation, administration and investment activities of our Investment segment for the benefit of the Investment Funds (including salaries, benefits and rent). Icahn Capital LP shall be allocated pro-rata for such expenses in accordance with each investor’s capital accounts in the Investment Funds. Effective April 1, 2011, based on an expense-sharing arrangement, certain expenses borne by Icahn Capital LP are reimbursed by the Investment Funds, generally when such expenses are paid. During 2025, $15 million was allocated to the Investment Funds based on this expense-sharing arrangement.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Brett Icahn had net redemptions of $18 million in the year ended December 31, 2025. As of December 31, 2025, Brett Icahn had investments in the Investment Funds with a total fair market value of $4 million. We also entered into a guaranty agreement with an affiliate of Brett Icahn, pursuant to which we guaranteed the payment of certain amounts required to be distributed by the Investment Funds to such affiliate pursuant to the terms and conditions of the manager agreement.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October 1, 2020, we entered into a restricted unit agreement with Brett Icahn pursuant to the 2017 Incentive Plan whereby Brett Icahn was awarded a grant of 239,254 restricted depositary units of Icahn Enterprises which will vest over seven years, subject to the terms and conditions of that agreement.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may also enter into other transactions with Icahn Enterprises GP and its affiliates, including, without limitation, buying and selling properties and borrowing and lending funds from or to Icahn Enterprises GP or its affiliates, joint venture developments and issuing securities to Icahn Enterprises GP or its affiliates in exchange for, among other things, assets that they now own or may acquire in the future. Icahn Enterprises GP is also entitled to reimbursement by us for all allocable direct and indirect overhead expenses, including, but not limited to, salaries and rent, incurred in connection with the conduct of our business.</w:t>
      </w:r>
    </w:p>
    <w:p>
      <w:pPr>
        <w:pStyle w:val="TextBody"/>
        <w:bidi w:val="0"/>
        <w:spacing w:before="0" w:after="0"/>
        <w:ind w:left="0" w:right="0" w:firstLine="360"/>
        <w:jc w:val="left"/>
        <w:rPr>
          <w:rFonts w:ascii="Times New Roman;Times;serif" w:hAnsi="Times New Roman;Times;serif"/>
          <w:sz w:val="20"/>
        </w:rPr>
      </w:pPr>
      <w:bookmarkStart w:id="2496" w:name="_Hlk191148226"/>
      <w:bookmarkEnd w:id="2496"/>
      <w:r>
        <w:rPr>
          <w:rFonts w:ascii="Times New Roman;Times;serif" w:hAnsi="Times New Roman;Times;serif"/>
          <w:sz w:val="20"/>
        </w:rPr>
        <w:t xml:space="preserve">Section 6.15 of our partnership agreement provides that the general partner and all officers, directors, and employees of the general partner, Icahn Enterprises, and Icahn Enterprises Holdings, (individually, an “IEP Indemnitee”), and persons serving at the request of the general partner as a director, officer, employee or agent of any entity, and other persons designated by the general partner in its sole discretion as an indemnitee (individually, an “Outside Capacity Indemnitee”), to the fullest extent permitted by law, will be indemnified and held harmless from and against any and all losses, claims, demands, costs, damages, liabilities, joint and several, expenses of any nature (including attorneys’ fees and disbursements), judgments, fines, settlements, and other amounts arising from any and all claims, demands, actions, suits or proceedings, whether civil, criminal, administrative or investigative, in which the IEP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Indemnitee or Outside Capacity Indemnitee may be involved, or threatened to be involved, as a party or otherwise by reason of its status as (x) the general partner or an affiliate thereof or (y) a partner, shareholder, director, officer, employee or agent of the general partner or an affiliate thereof or (z) a Person serving at the request of Icahn Enterprises in another entity in a similar capacity, which relate to, arise out of or are incidental to Icahn Enterprises, its property, business or affairs, including, without limitation, liabilities under the federal and state securities laws, regardless of whether the IEP Indemnitee or Outside Capacity Indemnitee continues to be an IEP Indemnitee or Outside Capacity Indemnitee at the time any such liability or expense is paid or incurred, if (i) the IEP Indemnitee or Outside Capacity Indemnitee acted in good faith and in a manner it believed to be in, or not opposed to, the best interests of Icahn Enterprises, and, with respect to any criminal proceeding, had no reasonable cause to believe its conduct was unlawful and (ii) the IEP Indemnitee’s or Outside Capacity Indemnitee’s conduct did not constitute fraud, bad faith, or willful misconduct. The partnership agreement further provides that an IEP Indemnitee or Outside Capacity Indemnitee shall not be denied indemnification in whole or in part under Section 6.15 by reason of the fact that the IEP Indemnitee or Outside Capacity Indemnitee had an interest in the transaction with respect to which the indemnification applies if the transaction was otherwise permitted by the terms of the partnership agreement. The partnership agreement provides that the indemnification of an Outside Capacity Indemnitee shall be specifically in excess of any and all (i) amounts paid to or on behalf of such Outside Capacity Indemnitee under any indemnification from any person that is not us or our general partner; (ii) amounts paid to or on behalf of such Outside Capacity Indemnitee under any insurance policy maintained by any person that is not us or our general partner, or otherwise issued to, covering, or providing any benefit to such Outside Capacity Indemnitee; and (iii) amounts paid to or on behalf of such Outside Capacity Indemnitee under any insurance policy issued to or for the benefit of us. Any indemnification under Section 6.15 shall be satisfied solely out of the assets of Icahn Enterprises. The record holders shall not be subject to personal liability by reason of the indemnification provision.</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Affiliate Pension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Icahn, through certain affiliates, owns 100% of Icahn Enterprises GP and approximately 86% of Icahn Enterprises’ outstanding depositary units as of December 31, 2025.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prior to their termination, by ACF Industries LLC (“ACF”), an affiliate of Mr. Icahn). All the minimum funding requirements of the Internal Revenue Code, as amended, and the Employee Retirement Income Security Act of 1974, as amended, for the Viskase plans have been met as of December 31, 2025. If the plans were voluntarily terminated, the Viskase plan would be underfunded by approximately $19 million as of December 31, 2025.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to make ongoing pension contributions or to pay the unfunded liabilities upon a termination of the Viskase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current underfunded status of the pension plans of Viskase requires them to notify the PBGC of certain “reportable events,” such as if we cease to be a member of the Viskase controlled group, or if we make certain extraordinary dividends or stock redemptions. The obligation to report could cause us to seek to delay or reconsider the occurrence of such reportable events.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described above, with respect to the ACF pension plans, on January 31, 2025, the Executive Committee of ACF approved a resolution to terminate its qualified pension plans, which were frozen and no longer accrued benefits. As of December 31, 2024, the fair value of this plan’s assets exceeded its benefit obligations. The termination of the plan was effective January 31, 2025 and liquidation of the plan is expected to be completed in 2026 or early 2027. </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2497" w:name="_Hlk191307940"/>
      <w:bookmarkEnd w:id="2497"/>
      <w:r>
        <w:rPr>
          <w:rFonts w:ascii="Times New Roman;Times;serif" w:hAnsi="Times New Roman;Times;serif"/>
          <w:b/>
          <w:i w:val="false"/>
          <w:caps w:val="false"/>
          <w:smallCaps w:val="false"/>
          <w:sz w:val="20"/>
        </w:rPr>
        <w:t>Director Independence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board of directors of Icahn Enterprises GP has determined that we are a “controlled company” for the purposes of the Nasdaq’s listing rules and therefore are not required to have a majority of independent directors or to have compensation and nominating committees consisting entirely of independent directors. Nevertheless, we believe that Mses.  Dunlap, Barton and Palau-Hernandez are “independent” as defined in the currently applicable listing rules of Nasdaq. Mses. Dunlap, Barton and Palau-Hernandez serve as members of our audit committee, which consists entirely of these independent directors.</w:t>
      </w:r>
    </w:p>
    <w:p>
      <w:pPr>
        <w:pStyle w:val="TextBody"/>
        <w:bidi w:val="0"/>
        <w:spacing w:before="0" w:after="240"/>
        <w:ind w:left="0" w:right="0" w:hanging="0"/>
        <w:jc w:val="left"/>
        <w:rPr>
          <w:rFonts w:ascii="Times New Roman;Times;serif" w:hAnsi="Times New Roman;Times;serif"/>
          <w:b/>
          <w:sz w:val="20"/>
        </w:rPr>
      </w:pPr>
      <w:bookmarkStart w:id="2498" w:name="Item14PrincipalAccountantFeesandServices"/>
      <w:bookmarkStart w:id="2499" w:name="_ecd55d8a_d762_404b_b16a_67839d9dd6ae"/>
      <w:bookmarkEnd w:id="2498"/>
      <w:bookmarkEnd w:id="2499"/>
      <w:r>
        <w:rPr>
          <w:rFonts w:ascii="Times New Roman;Times;serif" w:hAnsi="Times New Roman;Times;serif"/>
          <w:b/>
          <w:sz w:val="20"/>
        </w:rPr>
        <w:t>Item 14. Principal Accountant Fees and Services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incurred $7,093,144 and $5,756,443 in audit fees and expenses from Grant Thornton LLP for 2025 and 2024, respectively. We include in the category of audit fees such services related to the audits of annual consolidated financial statements and internal controls, reviews of quarterly financial statements, reviews of reports filed with the SEC and other services, including services related to consents and registration statements filed with the SEC.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incurred $200,616 and $187,590 in audit-related fees and expenses from Grant Thornton LLP for 2025 and 2024, respectively, relating primarily to services provided in connection with employee benefit plans and certain other agreed upon procedures for both 2024 and 2023.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incurred no tax-related fees and expenses for 2025 and $2,978 in tax-related fees and expenses for 2024, from Grant Thornton LLP for property tax compliance services.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accordance with the Charter of the audit committee of the Board of Directors of Icahn Enterprises GP, the general partner of Icahn Enterprises, the audit committee is required to approve in advance any and all audit services and permitted non-audit services provided to Icahn Enterprises and its consolidated subsidiaries by their independent auditors (subject to the de minimis exception of Section 10A (i) (1) (B) of the ‘34 Act), all as required by applicable law or listing standards. All of the fees in 2025 and 2024 were pre-approved by the audit committee.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00" w:name="PARTIV_693017"/>
      <w:bookmarkStart w:id="2501" w:name="_27ba7aba_9a09_42d7_9172_f7a00fbe00fe"/>
      <w:bookmarkEnd w:id="2500"/>
      <w:bookmarkEnd w:id="2501"/>
      <w:r>
        <w:rPr>
          <w:rFonts w:ascii="Times New Roman;Times;serif" w:hAnsi="Times New Roman;Times;serif"/>
          <w:b/>
          <w:sz w:val="20"/>
        </w:rPr>
        <w:t>PART IV</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502" w:name="Item15ExhibitsandFinancialStatementSched"/>
      <w:bookmarkEnd w:id="2502"/>
      <w:r>
        <w:rPr>
          <w:rFonts w:ascii="Times New Roman;Times;serif" w:hAnsi="Times New Roman;Times;serif"/>
          <w:b/>
          <w:sz w:val="20"/>
        </w:rPr>
        <w:t>Item 15. Exhibits and Financial Statement Schedules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(a)(1)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financial statements of Icahn Enterprises L.P., and subsidiaries, are included in Part II, Item 8 of this Report: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78740" cy="175260"/>
                      <wp:effectExtent l="0" t="0" r="0" b="0"/>
                      <wp:wrapNone/>
                      <wp:docPr id="790" name="Frame79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97790" cy="175260"/>
                      <wp:effectExtent l="0" t="0" r="0" b="0"/>
                      <wp:wrapNone/>
                      <wp:docPr id="791" name="Frame79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78740" cy="175260"/>
                      <wp:effectExtent l="0" t="0" r="0" b="0"/>
                      <wp:wrapNone/>
                      <wp:docPr id="792" name="Frame79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97790" cy="1466850"/>
                      <wp:effectExtent l="0" t="0" r="0" b="0"/>
                      <wp:wrapNone/>
                      <wp:docPr id="793" name="Frame793"/>
                      <a:graphic xmlns:a="http://schemas.openxmlformats.org/drawingml/2006/main">
                        <a:graphicData uri="http://schemas.microsoft.com/office/word/2010/wordprocessingShape">
                          <wps:wsp>
                            <wps:cNvSpPr txBox="1"/>
                            <wps:spPr>
                              <a:xfrm>
                                <a:off x="0" y="0"/>
                                <a:ext cx="97790" cy="146685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Page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Page Number</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78740" cy="1818005"/>
                      <wp:effectExtent l="0" t="0" r="0" b="0"/>
                      <wp:wrapNone/>
                      <wp:docPr id="794" name="Frame794"/>
                      <a:graphic xmlns:a="http://schemas.openxmlformats.org/drawingml/2006/main">
                        <a:graphicData uri="http://schemas.microsoft.com/office/word/2010/wordprocessingShape">
                          <wps:wsp>
                            <wps:cNvSpPr txBox="1"/>
                            <wps:spPr>
                              <a:xfrm>
                                <a:off x="0" y="0"/>
                                <a:ext cx="78740" cy="1818005"/>
                              </a:xfrm>
                              <a:prstGeom prst="rect"/>
                              <a:solidFill>
                                <a:srgbClr val="FFFFFF"/>
                              </a:solidFill>
                            </wps:spPr>
                            <wps:txbx>
                              <w:txbxContent>
                                <w:p>
                                  <w:pPr>
                                    <w:pStyle w:val="TableContents"/>
                                    <w:pBdr/>
                                    <w:bidi w:val="0"/>
                                    <w:spacing w:before="0" w:after="30"/>
                                    <w:ind w:left="0" w:right="0" w:hanging="144"/>
                                    <w:jc w:val="left"/>
                                    <w:rPr/>
                                  </w:pPr>
                                  <w:hyperlink w:anchor="BALANCESHEETS_124396">
                                    <w:r>
                                      <w:rPr>
                                        <w:rStyle w:val="InternetLink"/>
                                        <w:rFonts w:ascii="Times New Roman;Times;serif" w:hAnsi="Times New Roman;Times;serif"/>
                                        <w:b w:val="false"/>
                                        <w:i w:val="false"/>
                                        <w:caps w:val="false"/>
                                        <w:smallCaps w:val="false"/>
                                        <w:sz w:val="20"/>
                                      </w:rPr>
                                      <w:t>Consolidated Balance Sheets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4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pBdr/>
                              <w:bidi w:val="0"/>
                              <w:spacing w:before="0" w:after="30"/>
                              <w:ind w:left="0" w:right="0" w:hanging="144"/>
                              <w:jc w:val="left"/>
                              <w:rPr/>
                            </w:pPr>
                            <w:hyperlink w:anchor="BALANCESHEETS_124396">
                              <w:r>
                                <w:rPr>
                                  <w:rStyle w:val="InternetLink"/>
                                  <w:rFonts w:ascii="Times New Roman;Times;serif" w:hAnsi="Times New Roman;Times;serif"/>
                                  <w:b w:val="false"/>
                                  <w:i w:val="false"/>
                                  <w:caps w:val="false"/>
                                  <w:smallCaps w:val="false"/>
                                  <w:sz w:val="20"/>
                                </w:rPr>
                                <w:t>Consolidated Balance Sheets</w:t>
                              </w:r>
                            </w:hyperlink>
                          </w:p>
                        </w:txbxContent>
                      </v:textbox>
                      <w10:wrap type="none"/>
                    </v:rect>
                  </w:pict>
                </mc:Fallback>
              </mc:AlternateContent>
            </w:r>
          </w:p>
        </w:tc>
        <w:tc>
          <w:tcPr>
            <w:tcW w:w="154" w:type="dxa"/>
            <w:tcBorders>
              <w:top w:val="single" w:sz="8"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97790" cy="293370"/>
                      <wp:effectExtent l="0" t="0" r="0" b="0"/>
                      <wp:wrapNone/>
                      <wp:docPr id="795" name="Frame795"/>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65</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78740" cy="1609090"/>
                      <wp:effectExtent l="0" t="0" r="0" b="0"/>
                      <wp:wrapNone/>
                      <wp:docPr id="796" name="Frame796"/>
                      <a:graphic xmlns:a="http://schemas.openxmlformats.org/drawingml/2006/main">
                        <a:graphicData uri="http://schemas.microsoft.com/office/word/2010/wordprocessingShape">
                          <wps:wsp>
                            <wps:cNvSpPr txBox="1"/>
                            <wps:spPr>
                              <a:xfrm>
                                <a:off x="0" y="0"/>
                                <a:ext cx="78740" cy="1609090"/>
                              </a:xfrm>
                              <a:prstGeom prst="rect"/>
                              <a:solidFill>
                                <a:srgbClr val="FFFFFF"/>
                              </a:solidFill>
                            </wps:spPr>
                            <wps:txbx>
                              <w:txbxContent>
                                <w:p>
                                  <w:pPr>
                                    <w:pStyle w:val="TableContents"/>
                                    <w:pBdr/>
                                    <w:bidi w:val="0"/>
                                    <w:spacing w:before="0" w:after="30"/>
                                    <w:ind w:left="0" w:right="0" w:hanging="144"/>
                                    <w:jc w:val="left"/>
                                    <w:rPr/>
                                  </w:pPr>
                                  <w:hyperlink w:anchor="STATEMENTSOFOPERATIONS_770807">
                                    <w:r>
                                      <w:rPr>
                                        <w:rStyle w:val="InternetLink"/>
                                        <w:rFonts w:ascii="Times New Roman;Times;serif" w:hAnsi="Times New Roman;Times;serif"/>
                                        <w:b w:val="false"/>
                                        <w:i w:val="false"/>
                                        <w:caps w:val="false"/>
                                        <w:smallCaps w:val="false"/>
                                        <w:sz w:val="20"/>
                                      </w:rPr>
                                      <w:t>Consolidated Statements of Operations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26.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pBdr/>
                              <w:bidi w:val="0"/>
                              <w:spacing w:before="0" w:after="30"/>
                              <w:ind w:left="0" w:right="0" w:hanging="144"/>
                              <w:jc w:val="left"/>
                              <w:rPr/>
                            </w:pPr>
                            <w:hyperlink w:anchor="STATEMENTSOFOPERATIONS_770807">
                              <w:r>
                                <w:rPr>
                                  <w:rStyle w:val="InternetLink"/>
                                  <w:rFonts w:ascii="Times New Roman;Times;serif" w:hAnsi="Times New Roman;Times;serif"/>
                                  <w:b w:val="false"/>
                                  <w:i w:val="false"/>
                                  <w:caps w:val="false"/>
                                  <w:smallCaps w:val="false"/>
                                  <w:sz w:val="20"/>
                                </w:rPr>
                                <w:t>Consolidated Statements of Operations</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97790" cy="293370"/>
                      <wp:effectExtent l="0" t="0" r="0" b="0"/>
                      <wp:wrapNone/>
                      <wp:docPr id="797" name="Frame797"/>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66</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78740" cy="1400175"/>
                      <wp:effectExtent l="0" t="0" r="0" b="0"/>
                      <wp:wrapNone/>
                      <wp:docPr id="798" name="Frame798"/>
                      <a:graphic xmlns:a="http://schemas.openxmlformats.org/drawingml/2006/main">
                        <a:graphicData uri="http://schemas.microsoft.com/office/word/2010/wordprocessingShape">
                          <wps:wsp>
                            <wps:cNvSpPr txBox="1"/>
                            <wps:spPr>
                              <a:xfrm>
                                <a:off x="0" y="0"/>
                                <a:ext cx="78740" cy="1400175"/>
                              </a:xfrm>
                              <a:prstGeom prst="rect"/>
                              <a:solidFill>
                                <a:srgbClr val="FFFFFF"/>
                              </a:solidFill>
                            </wps:spPr>
                            <wps:txbx>
                              <w:txbxContent>
                                <w:p>
                                  <w:pPr>
                                    <w:pStyle w:val="TableContents"/>
                                    <w:pBdr/>
                                    <w:bidi w:val="0"/>
                                    <w:spacing w:before="0" w:after="30"/>
                                    <w:ind w:left="0" w:right="0" w:hanging="144"/>
                                    <w:jc w:val="left"/>
                                    <w:rPr/>
                                  </w:pPr>
                                  <w:hyperlink w:anchor="COMPREHENSIVEINCOMELOSS_916205">
                                    <w:r>
                                      <w:rPr>
                                        <w:rStyle w:val="InternetLink"/>
                                        <w:rFonts w:ascii="Times New Roman;Times;serif" w:hAnsi="Times New Roman;Times;serif"/>
                                        <w:b w:val="false"/>
                                        <w:i w:val="false"/>
                                        <w:caps w:val="false"/>
                                        <w:smallCaps w:val="false"/>
                                        <w:sz w:val="20"/>
                                      </w:rPr>
                                      <w:t>Consolidated Statements of Comprehensive Income (Loss)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0.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pBdr/>
                              <w:bidi w:val="0"/>
                              <w:spacing w:before="0" w:after="30"/>
                              <w:ind w:left="0" w:right="0" w:hanging="144"/>
                              <w:jc w:val="left"/>
                              <w:rPr/>
                            </w:pPr>
                            <w:hyperlink w:anchor="COMPREHENSIVEINCOMELOSS_916205">
                              <w:r>
                                <w:rPr>
                                  <w:rStyle w:val="InternetLink"/>
                                  <w:rFonts w:ascii="Times New Roman;Times;serif" w:hAnsi="Times New Roman;Times;serif"/>
                                  <w:b w:val="false"/>
                                  <w:i w:val="false"/>
                                  <w:caps w:val="false"/>
                                  <w:smallCaps w:val="false"/>
                                  <w:sz w:val="20"/>
                                </w:rPr>
                                <w:t>Consolidated Statements of Comprehensive Income (Loss)</w:t>
                              </w:r>
                            </w:hyperlink>
                          </w:p>
                        </w:txbxContent>
                      </v:textbox>
                      <w10:wrap type="none"/>
                    </v:rect>
                  </w:pict>
                </mc:Fallback>
              </mc:AlternateConten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97790" cy="293370"/>
                      <wp:effectExtent l="0" t="0" r="0" b="0"/>
                      <wp:wrapNone/>
                      <wp:docPr id="799" name="Frame799"/>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67</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78740" cy="1191260"/>
                      <wp:effectExtent l="0" t="0" r="0" b="0"/>
                      <wp:wrapNone/>
                      <wp:docPr id="800" name="Frame800"/>
                      <a:graphic xmlns:a="http://schemas.openxmlformats.org/drawingml/2006/main">
                        <a:graphicData uri="http://schemas.microsoft.com/office/word/2010/wordprocessingShape">
                          <wps:wsp>
                            <wps:cNvSpPr txBox="1"/>
                            <wps:spPr>
                              <a:xfrm>
                                <a:off x="0" y="0"/>
                                <a:ext cx="78740" cy="1191260"/>
                              </a:xfrm>
                              <a:prstGeom prst="rect"/>
                              <a:solidFill>
                                <a:srgbClr val="FFFFFF"/>
                              </a:solidFill>
                            </wps:spPr>
                            <wps:txbx>
                              <w:txbxContent>
                                <w:p>
                                  <w:pPr>
                                    <w:pStyle w:val="TableContents"/>
                                    <w:pBdr/>
                                    <w:bidi w:val="0"/>
                                    <w:spacing w:before="0" w:after="30"/>
                                    <w:ind w:left="0" w:right="0" w:hanging="144"/>
                                    <w:jc w:val="left"/>
                                    <w:rPr/>
                                  </w:pPr>
                                  <w:hyperlink w:anchor="CHANGESINEQUITY_806278">
                                    <w:r>
                                      <w:rPr>
                                        <w:rStyle w:val="InternetLink"/>
                                        <w:rFonts w:ascii="Times New Roman;Times;serif" w:hAnsi="Times New Roman;Times;serif"/>
                                        <w:b w:val="false"/>
                                        <w:i w:val="false"/>
                                        <w:caps w:val="false"/>
                                        <w:smallCaps w:val="false"/>
                                        <w:sz w:val="20"/>
                                      </w:rPr>
                                      <w:t>Consolidated Statement of Changes in Equity</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9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pBdr/>
                              <w:bidi w:val="0"/>
                              <w:spacing w:before="0" w:after="30"/>
                              <w:ind w:left="0" w:right="0" w:hanging="144"/>
                              <w:jc w:val="left"/>
                              <w:rPr/>
                            </w:pPr>
                            <w:hyperlink w:anchor="CHANGESINEQUITY_806278">
                              <w:r>
                                <w:rPr>
                                  <w:rStyle w:val="InternetLink"/>
                                  <w:rFonts w:ascii="Times New Roman;Times;serif" w:hAnsi="Times New Roman;Times;serif"/>
                                  <w:b w:val="false"/>
                                  <w:i w:val="false"/>
                                  <w:caps w:val="false"/>
                                  <w:smallCaps w:val="false"/>
                                  <w:sz w:val="20"/>
                                </w:rPr>
                                <w:t>Consolidated Statement of Changes in Equity</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97790" cy="293370"/>
                      <wp:effectExtent l="0" t="0" r="0" b="0"/>
                      <wp:wrapNone/>
                      <wp:docPr id="801" name="Frame801"/>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68</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78740" cy="982345"/>
                      <wp:effectExtent l="0" t="0" r="0" b="0"/>
                      <wp:wrapNone/>
                      <wp:docPr id="802" name="Frame802"/>
                      <a:graphic xmlns:a="http://schemas.openxmlformats.org/drawingml/2006/main">
                        <a:graphicData uri="http://schemas.microsoft.com/office/word/2010/wordprocessingShape">
                          <wps:wsp>
                            <wps:cNvSpPr txBox="1"/>
                            <wps:spPr>
                              <a:xfrm>
                                <a:off x="0" y="0"/>
                                <a:ext cx="78740" cy="982345"/>
                              </a:xfrm>
                              <a:prstGeom prst="rect"/>
                              <a:solidFill>
                                <a:srgbClr val="FFFFFF"/>
                              </a:solidFill>
                            </wps:spPr>
                            <wps:txbx>
                              <w:txbxContent>
                                <w:p>
                                  <w:pPr>
                                    <w:pStyle w:val="TableContents"/>
                                    <w:pBdr/>
                                    <w:bidi w:val="0"/>
                                    <w:spacing w:before="0" w:after="30"/>
                                    <w:ind w:left="0" w:right="0" w:hanging="144"/>
                                    <w:jc w:val="left"/>
                                    <w:rPr/>
                                  </w:pPr>
                                  <w:hyperlink w:anchor="CASHFLOWS_636712">
                                    <w:r>
                                      <w:rPr>
                                        <w:rStyle w:val="InternetLink"/>
                                        <w:rFonts w:ascii="Times New Roman;Times;serif" w:hAnsi="Times New Roman;Times;serif"/>
                                        <w:b w:val="false"/>
                                        <w:i w:val="false"/>
                                        <w:caps w:val="false"/>
                                        <w:smallCaps w:val="false"/>
                                        <w:sz w:val="20"/>
                                      </w:rPr>
                                      <w:t>Consolidated Statements of Cash Flows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77.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pBdr/>
                              <w:bidi w:val="0"/>
                              <w:spacing w:before="0" w:after="30"/>
                              <w:ind w:left="0" w:right="0" w:hanging="144"/>
                              <w:jc w:val="left"/>
                              <w:rPr/>
                            </w:pPr>
                            <w:hyperlink w:anchor="CASHFLOWS_636712">
                              <w:r>
                                <w:rPr>
                                  <w:rStyle w:val="InternetLink"/>
                                  <w:rFonts w:ascii="Times New Roman;Times;serif" w:hAnsi="Times New Roman;Times;serif"/>
                                  <w:b w:val="false"/>
                                  <w:i w:val="false"/>
                                  <w:caps w:val="false"/>
                                  <w:smallCaps w:val="false"/>
                                  <w:sz w:val="20"/>
                                </w:rPr>
                                <w:t>Consolidated Statements of Cash Flows</w:t>
                              </w:r>
                            </w:hyperlink>
                          </w:p>
                        </w:txbxContent>
                      </v:textbox>
                      <w10:wrap type="none"/>
                    </v:rect>
                  </w:pict>
                </mc:Fallback>
              </mc:AlternateContent>
            </w:r>
          </w:p>
        </w:tc>
        <w:tc>
          <w:tcPr>
            <w:tcW w:w="15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97790" cy="293370"/>
                      <wp:effectExtent l="0" t="0" r="0" b="0"/>
                      <wp:wrapNone/>
                      <wp:docPr id="803" name="Frame803"/>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69</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78740" cy="773430"/>
                      <wp:effectExtent l="0" t="0" r="0" b="0"/>
                      <wp:wrapNone/>
                      <wp:docPr id="804" name="Frame804"/>
                      <a:graphic xmlns:a="http://schemas.openxmlformats.org/drawingml/2006/main">
                        <a:graphicData uri="http://schemas.microsoft.com/office/word/2010/wordprocessingShape">
                          <wps:wsp>
                            <wps:cNvSpPr txBox="1"/>
                            <wps:spPr>
                              <a:xfrm>
                                <a:off x="0" y="0"/>
                                <a:ext cx="78740" cy="773430"/>
                              </a:xfrm>
                              <a:prstGeom prst="rect"/>
                              <a:solidFill>
                                <a:srgbClr val="FFFFFF"/>
                              </a:solidFill>
                            </wps:spPr>
                            <wps:txbx>
                              <w:txbxContent>
                                <w:p>
                                  <w:pPr>
                                    <w:pStyle w:val="TableContents"/>
                                    <w:pBdr/>
                                    <w:bidi w:val="0"/>
                                    <w:spacing w:before="0" w:after="30"/>
                                    <w:ind w:left="0" w:right="0" w:hanging="144"/>
                                    <w:jc w:val="left"/>
                                    <w:rPr/>
                                  </w:pPr>
                                  <w:hyperlink w:anchor="a1DescriptionofBusiness_452019">
                                    <w:r>
                                      <w:rPr>
                                        <w:rStyle w:val="InternetLink"/>
                                        <w:rFonts w:ascii="Times New Roman;Times;serif" w:hAnsi="Times New Roman;Times;serif"/>
                                        <w:b w:val="false"/>
                                        <w:i w:val="false"/>
                                        <w:caps w:val="false"/>
                                        <w:smallCaps w:val="false"/>
                                        <w:sz w:val="20"/>
                                      </w:rPr>
                                      <w:t>Notes to Consolidated Financial Statements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0.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pBdr/>
                              <w:bidi w:val="0"/>
                              <w:spacing w:before="0" w:after="30"/>
                              <w:ind w:left="0" w:right="0" w:hanging="144"/>
                              <w:jc w:val="left"/>
                              <w:rPr/>
                            </w:pPr>
                            <w:hyperlink w:anchor="a1DescriptionofBusiness_452019">
                              <w:r>
                                <w:rPr>
                                  <w:rStyle w:val="InternetLink"/>
                                  <w:rFonts w:ascii="Times New Roman;Times;serif" w:hAnsi="Times New Roman;Times;serif"/>
                                  <w:b w:val="false"/>
                                  <w:i w:val="false"/>
                                  <w:caps w:val="false"/>
                                  <w:smallCaps w:val="false"/>
                                  <w:sz w:val="20"/>
                                </w:rPr>
                                <w:t>Notes to Consolidated Financial Statements</w:t>
                              </w:r>
                            </w:hyperlink>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97790" cy="293370"/>
                      <wp:effectExtent l="0" t="0" r="0" b="0"/>
                      <wp:wrapNone/>
                      <wp:docPr id="805" name="Frame805"/>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70</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(a)(2) Financial Statement Schedules</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78740" cy="175260"/>
                      <wp:effectExtent l="0" t="0" r="0" b="0"/>
                      <wp:wrapNone/>
                      <wp:docPr id="806" name="Frame80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97790" cy="175260"/>
                      <wp:effectExtent l="0" t="0" r="0" b="0"/>
                      <wp:wrapNone/>
                      <wp:docPr id="807" name="Frame80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78740" cy="175260"/>
                      <wp:effectExtent l="0" t="0" r="0" b="0"/>
                      <wp:wrapNone/>
                      <wp:docPr id="808" name="Frame80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97790" cy="1466850"/>
                      <wp:effectExtent l="0" t="0" r="0" b="0"/>
                      <wp:wrapNone/>
                      <wp:docPr id="809" name="Frame809"/>
                      <a:graphic xmlns:a="http://schemas.openxmlformats.org/drawingml/2006/main">
                        <a:graphicData uri="http://schemas.microsoft.com/office/word/2010/wordprocessingShape">
                          <wps:wsp>
                            <wps:cNvSpPr txBox="1"/>
                            <wps:spPr>
                              <a:xfrm>
                                <a:off x="0" y="0"/>
                                <a:ext cx="97790" cy="146685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Page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Page Number</w:t>
                            </w:r>
                          </w:p>
                        </w:txbxContent>
                      </v:textbox>
                      <w10:wrap type="none"/>
                    </v:rect>
                  </w:pict>
                </mc:Fallback>
              </mc:AlternateContent>
            </w:r>
          </w:p>
        </w:tc>
      </w:tr>
      <w:tr>
        <w:trPr/>
        <w:tc>
          <w:tcPr>
            <w:tcW w:w="124"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78740" cy="6747510"/>
                      <wp:effectExtent l="0" t="0" r="0" b="0"/>
                      <wp:wrapNone/>
                      <wp:docPr id="810" name="Frame810"/>
                      <a:graphic xmlns:a="http://schemas.openxmlformats.org/drawingml/2006/main">
                        <a:graphicData uri="http://schemas.microsoft.com/office/word/2010/wordprocessingShape">
                          <wps:wsp>
                            <wps:cNvSpPr txBox="1"/>
                            <wps:spPr>
                              <a:xfrm>
                                <a:off x="0" y="0"/>
                                <a:ext cx="78740" cy="6747510"/>
                              </a:xfrm>
                              <a:prstGeom prst="rect"/>
                              <a:solidFill>
                                <a:srgbClr val="FFFFFF"/>
                              </a:solidFill>
                            </wps:spPr>
                            <wps:txbx>
                              <w:txbxContent>
                                <w:p>
                                  <w:pPr>
                                    <w:pStyle w:val="TableContents"/>
                                    <w:bidi w:val="0"/>
                                    <w:spacing w:before="0" w:after="30"/>
                                    <w:ind w:left="0" w:right="0" w:hanging="0"/>
                                    <w:jc w:val="left"/>
                                    <w:rPr/>
                                  </w:pPr>
                                  <w:hyperlink w:anchor="ICAHNENTERPRISESLP_903054">
                                    <w:r>
                                      <w:rPr>
                                        <w:rStyle w:val="InternetLink"/>
                                        <w:rFonts w:ascii="Times New Roman;Times;serif" w:hAnsi="Times New Roman;Times;serif"/>
                                        <w:b w:val="false"/>
                                        <w:i w:val="false"/>
                                        <w:caps w:val="false"/>
                                        <w:smallCaps w:val="false"/>
                                        <w:sz w:val="20"/>
                                      </w:rPr>
                                      <w:t>Schedule I - Condensed Financial Information of Parent</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531.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CAHNENTERPRISESLP_903054">
                              <w:r>
                                <w:rPr>
                                  <w:rStyle w:val="InternetLink"/>
                                  <w:rFonts w:ascii="Times New Roman;Times;serif" w:hAnsi="Times New Roman;Times;serif"/>
                                  <w:b w:val="false"/>
                                  <w:i w:val="false"/>
                                  <w:caps w:val="false"/>
                                  <w:smallCaps w:val="false"/>
                                  <w:sz w:val="20"/>
                                </w:rPr>
                                <w:t>Schedule I - Condensed Financial Information of Parent</w:t>
                              </w:r>
                            </w:hyperlink>
                          </w:p>
                        </w:txbxContent>
                      </v:textbox>
                      <w10:wrap type="none"/>
                    </v:rect>
                  </w:pict>
                </mc:Fallback>
              </mc:AlternateContent>
            </w:r>
          </w:p>
        </w:tc>
        <w:tc>
          <w:tcPr>
            <w:tcW w:w="15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97790" cy="440055"/>
                      <wp:effectExtent l="0" t="0" r="0" b="0"/>
                      <wp:wrapNone/>
                      <wp:docPr id="811" name="Frame811"/>
                      <a:graphic xmlns:a="http://schemas.openxmlformats.org/drawingml/2006/main">
                        <a:graphicData uri="http://schemas.microsoft.com/office/word/2010/wordprocessingShape">
                          <wps:wsp>
                            <wps:cNvSpPr txBox="1"/>
                            <wps:spPr>
                              <a:xfrm>
                                <a:off x="0" y="0"/>
                                <a:ext cx="97790" cy="440055"/>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4.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147</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other financial statement schedules have been omitted because the required financial information is not applicable, immaterial or the information is shown in the consolidated financial statements or notes thereto.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(a)(3) Exhibits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list of exhibits required by Item 601 of Regulation S-K and filed as part of this Report is set forth in the Exhibit Index.</w:t>
      </w:r>
    </w:p>
    <w:p>
      <w:pPr>
        <w:pStyle w:val="TextBody"/>
        <w:bidi w:val="0"/>
        <w:spacing w:before="0" w:after="240"/>
        <w:ind w:left="0" w:right="0" w:hanging="0"/>
        <w:jc w:val="left"/>
        <w:rPr>
          <w:rFonts w:ascii="Times New Roman;Times;serif" w:hAnsi="Times New Roman;Times;serif"/>
          <w:b/>
          <w:sz w:val="20"/>
        </w:rPr>
      </w:pPr>
      <w:bookmarkStart w:id="2503" w:name="Item16Form10KSummary_621161"/>
      <w:bookmarkStart w:id="2504" w:name="_40041c65_9edd_4de6_a8d1_5e7e33db11d2"/>
      <w:bookmarkEnd w:id="2503"/>
      <w:bookmarkEnd w:id="2504"/>
      <w:r>
        <w:rPr>
          <w:rFonts w:ascii="Times New Roman;Times;serif" w:hAnsi="Times New Roman;Times;serif"/>
          <w:b/>
          <w:sz w:val="20"/>
        </w:rPr>
        <w:t>Item 16. Form 10-K Summary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05" w:name="Tc_8IyUF9432UWznmxUWKKSEQ_19_5"/>
      <w:bookmarkStart w:id="2506" w:name="Tc_y77lMefKOEao1ZWJMm6MdQ_19_2"/>
      <w:bookmarkStart w:id="2507" w:name="Tc_QMrArTIlO0m-LRDO0Tagvg_19_0"/>
      <w:bookmarkStart w:id="2508" w:name="Tc_YU4ep7muR0iQ105ygxCcpA_18_0"/>
      <w:bookmarkStart w:id="2509" w:name="Tc_YRibkVcZlUeZc0Bx8tyj4Q_17_0"/>
      <w:bookmarkStart w:id="2510" w:name="Tc_x48NQdO5CkekJhX-XV302Q_16_0"/>
      <w:bookmarkStart w:id="2511" w:name="Tc_V1aUbHv7gkufUhGYv8Kq4Q_15_0"/>
      <w:bookmarkStart w:id="2512" w:name="Tc_jDEGXbgDqUaM-s0rLgOMxA_13_0"/>
      <w:bookmarkStart w:id="2513" w:name="Tc_0I-8GeA_5EaC40c75WJOnA_10_0"/>
      <w:bookmarkStart w:id="2514" w:name="Tc_luPeXWuyhUaYUxx0lQInbA_9_5"/>
      <w:bookmarkStart w:id="2515" w:name="Tc_OpAyMgDzK068C5LLDyZnvA_9_2"/>
      <w:bookmarkStart w:id="2516" w:name="Tc_zqO1bkPjwU-CrdL0nFvRMg_9_0"/>
      <w:bookmarkStart w:id="2517" w:name="Tc_54cB4qgxvUyx0AztbbV29w_8_0"/>
      <w:bookmarkStart w:id="2518" w:name="Tc_8IpJ1jF2lE2BG29CBUADkA_6_5"/>
      <w:bookmarkStart w:id="2519" w:name="Tc_Sg9P0ESbhEmukzLLPI4vbg_6_2"/>
      <w:bookmarkStart w:id="2520" w:name="Tc_INUSC8DiJkOA0p0s3BTbpA_6_0"/>
      <w:bookmarkStart w:id="2521" w:name="Tc_v9iOcWLZakKEjpx-57b4bg_5_5"/>
      <w:bookmarkStart w:id="2522" w:name="Tc_3nTeLs7U3kCqj0GzTcwn2A_5_2"/>
      <w:bookmarkStart w:id="2523" w:name="Tc_IL7CbvfiOUe8lv-6PZe2_w_5_0"/>
      <w:bookmarkStart w:id="2524" w:name="Tc_F1HC2R-MWka2ZrHmSWqrXQ_4_0"/>
      <w:bookmarkStart w:id="2525" w:name="Tc_XF4lDxsNNUW8Aro10Fx8ew_3_2"/>
      <w:bookmarkStart w:id="2526" w:name="Tc_6HHTOdCSlEewMCKaX4PVTg_2_5"/>
      <w:bookmarkStart w:id="2527" w:name="Tc_amQBWx7jVES5d1_p6gEoiA_2_2"/>
      <w:bookmarkStart w:id="2528" w:name="Tc_XjPcZPeqN0CqYA_Hxo435g_1_2"/>
      <w:bookmarkStart w:id="2529" w:name="_6e65d555_db54_43e2_81ca_62a7f4a4d7b7"/>
      <w:bookmarkStart w:id="2530" w:name="ICAHNENTERPRISESLP_90305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r>
        <w:rPr>
          <w:rFonts w:ascii="Times New Roman;Times;serif" w:hAnsi="Times New Roman;Times;serif"/>
          <w:b/>
          <w:sz w:val="20"/>
        </w:rPr>
        <w:t>SCHEDULE 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(Parent Company)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BALANCE SHEETS</w:t>
      </w:r>
    </w:p>
    <w:tbl>
      <w:tblPr>
        <w:tblW w:w="10205" w:type="dxa"/>
        <w:jc w:val="left"/>
        <w:tblInd w:w="0" w:type="dxa"/>
        <w:tblLayout w:type="fixed"/>
        <w:tblCellMar>
          <w:top w:w="0" w:type="dxa"/>
          <w:left w:w="0" w:type="dxa"/>
          <w:bottom w:w="0" w:type="dxa"/>
          <w:right w:w="0" w:type="dxa"/>
        </w:tblCellMar>
      </w:tblPr>
      <w:tblGrid>
        <w:gridCol w:w="7608"/>
        <w:gridCol w:w="346"/>
        <w:gridCol w:w="235"/>
        <w:gridCol w:w="637"/>
        <w:gridCol w:w="386"/>
        <w:gridCol w:w="235"/>
        <w:gridCol w:w="758"/>
      </w:tblGrid>
      <w:tr>
        <w:trPr/>
        <w:tc>
          <w:tcPr>
            <w:tcW w:w="7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4831080" cy="175260"/>
                      <wp:effectExtent l="0" t="0" r="0" b="0"/>
                      <wp:wrapNone/>
                      <wp:docPr id="812" name="Frame812"/>
                      <a:graphic xmlns:a="http://schemas.openxmlformats.org/drawingml/2006/main">
                        <a:graphicData uri="http://schemas.microsoft.com/office/word/2010/wordprocessingShape">
                          <wps:wsp>
                            <wps:cNvSpPr txBox="1"/>
                            <wps:spPr>
                              <a:xfrm>
                                <a:off x="0" y="0"/>
                                <a:ext cx="4831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219710" cy="175260"/>
                      <wp:effectExtent l="0" t="0" r="0" b="0"/>
                      <wp:wrapNone/>
                      <wp:docPr id="813" name="Frame8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149225" cy="175260"/>
                      <wp:effectExtent l="0" t="0" r="0" b="0"/>
                      <wp:wrapNone/>
                      <wp:docPr id="814" name="Frame814"/>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404495" cy="175260"/>
                      <wp:effectExtent l="0" t="0" r="0" b="0"/>
                      <wp:wrapNone/>
                      <wp:docPr id="815" name="Frame815"/>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245110" cy="175260"/>
                      <wp:effectExtent l="0" t="0" r="0" b="0"/>
                      <wp:wrapNone/>
                      <wp:docPr id="816" name="Frame816"/>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149225" cy="175260"/>
                      <wp:effectExtent l="0" t="0" r="0" b="0"/>
                      <wp:wrapNone/>
                      <wp:docPr id="817" name="Frame817"/>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481330" cy="175260"/>
                      <wp:effectExtent l="0" t="0" r="0" b="0"/>
                      <wp:wrapNone/>
                      <wp:docPr id="818" name="Frame818"/>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5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7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86" w:type="dxa"/>
            <w:tcBorders/>
            <w:vAlign w:val="center"/>
          </w:tcPr>
          <w:p>
            <w:pPr>
              <w:pStyle w:val="TableContents"/>
              <w:bidi w:val="0"/>
              <w:spacing w:before="0" w:after="1"/>
              <w:ind w:left="0" w:right="0" w:hanging="0"/>
              <w:jc w:val="left"/>
              <w:rPr/>
            </w:pPr>
            <w:r>
              <w:rPr/>
              <w:t>  ​ ​ ​</w:t>
            </w:r>
          </w:p>
        </w:tc>
        <w:tc>
          <w:tcPr>
            <w:tcW w:w="9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51"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 except unit amounts)</w:t>
            </w:r>
          </w:p>
        </w:tc>
      </w:tr>
      <w:tr>
        <w:trPr/>
        <w:tc>
          <w:tcPr>
            <w:tcW w:w="7608"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637" w:type="dxa"/>
            <w:tcBorders/>
            <w:shd w:fill="CCEEFF" w:val="clear"/>
            <w:vAlign w:val="center"/>
          </w:tcPr>
          <w:p>
            <w:pPr>
              <w:pStyle w:val="TableContents"/>
              <w:bidi w:val="0"/>
              <w:spacing w:before="0" w:after="1"/>
              <w:ind w:left="0" w:right="0" w:hanging="0"/>
              <w:jc w:val="right"/>
              <w:rPr/>
            </w:pPr>
            <w:r>
              <w:rPr/>
              <w:t>  ​</w:t>
            </w:r>
          </w:p>
        </w:tc>
        <w:tc>
          <w:tcPr>
            <w:tcW w:w="38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8" w:type="dxa"/>
            <w:tcBorders/>
            <w:shd w:fill="CCEEFF" w:val="clear"/>
            <w:vAlign w:val="center"/>
          </w:tcPr>
          <w:p>
            <w:pPr>
              <w:pStyle w:val="TableContents"/>
              <w:bidi w:val="0"/>
              <w:spacing w:before="0" w:after="1"/>
              <w:ind w:left="0" w:right="0" w:hanging="0"/>
              <w:jc w:val="right"/>
              <w:rPr/>
            </w:pPr>
            <w:r>
              <w:rPr/>
              <w:t>  ​</w:t>
            </w:r>
          </w:p>
        </w:tc>
      </w:tr>
      <w:tr>
        <w:trPr/>
        <w:tc>
          <w:tcPr>
            <w:tcW w:w="76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in subsidiaries, net</w:t>
            </w:r>
          </w:p>
        </w:tc>
        <w:tc>
          <w:tcPr>
            <w:tcW w:w="34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6,676</w:t>
            </w:r>
          </w:p>
        </w:tc>
        <w:tc>
          <w:tcPr>
            <w:tcW w:w="38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7,232</w:t>
            </w:r>
          </w:p>
        </w:tc>
      </w:tr>
      <w:tr>
        <w:trPr/>
        <w:tc>
          <w:tcPr>
            <w:tcW w:w="760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6,676</w:t>
            </w:r>
          </w:p>
        </w:tc>
        <w:tc>
          <w:tcPr>
            <w:tcW w:w="386"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7,232</w:t>
            </w:r>
          </w:p>
        </w:tc>
      </w:tr>
      <w:tr>
        <w:trPr/>
        <w:tc>
          <w:tcPr>
            <w:tcW w:w="7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637"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8" w:type="dxa"/>
            <w:tcBorders/>
            <w:vAlign w:val="center"/>
          </w:tcPr>
          <w:p>
            <w:pPr>
              <w:pStyle w:val="TableContents"/>
              <w:bidi w:val="0"/>
              <w:spacing w:before="0" w:after="1"/>
              <w:ind w:left="0" w:right="0" w:hanging="0"/>
              <w:jc w:val="left"/>
              <w:rPr/>
            </w:pPr>
            <w:r>
              <w:rPr/>
              <w:t>​</w:t>
            </w:r>
          </w:p>
        </w:tc>
      </w:tr>
      <w:tr>
        <w:trPr/>
        <w:tc>
          <w:tcPr>
            <w:tcW w:w="7608"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637" w:type="dxa"/>
            <w:tcBorders/>
            <w:shd w:fill="CCEEFF" w:val="clear"/>
            <w:vAlign w:val="center"/>
          </w:tcPr>
          <w:p>
            <w:pPr>
              <w:pStyle w:val="TableContents"/>
              <w:bidi w:val="0"/>
              <w:spacing w:before="0" w:after="1"/>
              <w:ind w:left="0" w:right="0" w:hanging="0"/>
              <w:jc w:val="right"/>
              <w:rPr/>
            </w:pPr>
            <w:r>
              <w:rPr/>
              <w:t>  ​</w:t>
            </w:r>
          </w:p>
        </w:tc>
        <w:tc>
          <w:tcPr>
            <w:tcW w:w="38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58" w:type="dxa"/>
            <w:tcBorders/>
            <w:shd w:fill="CCEEFF" w:val="clear"/>
            <w:vAlign w:val="center"/>
          </w:tcPr>
          <w:p>
            <w:pPr>
              <w:pStyle w:val="TableContents"/>
              <w:bidi w:val="0"/>
              <w:spacing w:before="0" w:after="1"/>
              <w:ind w:left="0" w:right="0" w:hanging="0"/>
              <w:jc w:val="right"/>
              <w:rPr/>
            </w:pPr>
            <w:r>
              <w:rPr/>
              <w:t>  ​</w:t>
            </w:r>
          </w:p>
        </w:tc>
      </w:tr>
      <w:tr>
        <w:trPr/>
        <w:tc>
          <w:tcPr>
            <w:tcW w:w="76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8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76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4,664</w:t>
            </w:r>
          </w:p>
        </w:tc>
        <w:tc>
          <w:tcPr>
            <w:tcW w:w="38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4,699</w:t>
            </w:r>
          </w:p>
        </w:tc>
      </w:tr>
      <w:tr>
        <w:trPr/>
        <w:tc>
          <w:tcPr>
            <w:tcW w:w="7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4,734</w:t>
            </w:r>
          </w:p>
        </w:tc>
        <w:tc>
          <w:tcPr>
            <w:tcW w:w="38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4,766</w:t>
            </w:r>
          </w:p>
        </w:tc>
      </w:tr>
      <w:tr>
        <w:trPr/>
        <w:tc>
          <w:tcPr>
            <w:tcW w:w="760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637"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8" w:type="dxa"/>
            <w:tcBorders/>
            <w:shd w:fill="CCEEFF" w:val="clear"/>
            <w:vAlign w:val="center"/>
          </w:tcPr>
          <w:p>
            <w:pPr>
              <w:pStyle w:val="TableContents"/>
              <w:bidi w:val="0"/>
              <w:spacing w:before="0" w:after="1"/>
              <w:ind w:left="0" w:right="0" w:hanging="0"/>
              <w:jc w:val="left"/>
              <w:rPr/>
            </w:pPr>
            <w:r>
              <w:rPr/>
              <w:t>​</w:t>
            </w:r>
          </w:p>
        </w:tc>
      </w:tr>
      <w:tr>
        <w:trPr/>
        <w:tc>
          <w:tcPr>
            <w:tcW w:w="76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3)</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637" w:type="dxa"/>
            <w:tcBorders/>
            <w:vAlign w:val="center"/>
          </w:tcPr>
          <w:p>
            <w:pPr>
              <w:pStyle w:val="TableContents"/>
              <w:bidi w:val="0"/>
              <w:spacing w:before="0" w:after="1"/>
              <w:ind w:left="0" w:right="0" w:hanging="0"/>
              <w:jc w:val="right"/>
              <w:rPr/>
            </w:pPr>
            <w:r>
              <w:rPr/>
              <w:t>  ​</w:t>
            </w:r>
          </w:p>
        </w:tc>
        <w:tc>
          <w:tcPr>
            <w:tcW w:w="38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58" w:type="dxa"/>
            <w:tcBorders/>
            <w:vAlign w:val="center"/>
          </w:tcPr>
          <w:p>
            <w:pPr>
              <w:pStyle w:val="TableContents"/>
              <w:bidi w:val="0"/>
              <w:spacing w:before="0" w:after="1"/>
              <w:ind w:left="0" w:right="0" w:hanging="0"/>
              <w:jc w:val="right"/>
              <w:rPr/>
            </w:pPr>
            <w:r>
              <w:rPr/>
              <w:t>  ​</w:t>
            </w:r>
          </w:p>
        </w:tc>
      </w:tr>
      <w:tr>
        <w:trPr/>
        <w:tc>
          <w:tcPr>
            <w:tcW w:w="760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637"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8" w:type="dxa"/>
            <w:tcBorders/>
            <w:shd w:fill="CCEEFF" w:val="clear"/>
            <w:vAlign w:val="center"/>
          </w:tcPr>
          <w:p>
            <w:pPr>
              <w:pStyle w:val="TableContents"/>
              <w:bidi w:val="0"/>
              <w:spacing w:before="0" w:after="1"/>
              <w:ind w:left="0" w:right="0" w:hanging="0"/>
              <w:jc w:val="left"/>
              <w:rPr/>
            </w:pPr>
            <w:r>
              <w:rPr/>
              <w:t>​</w:t>
            </w:r>
          </w:p>
        </w:tc>
      </w:tr>
      <w:tr>
        <w:trPr/>
        <w:tc>
          <w:tcPr>
            <w:tcW w:w="76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637" w:type="dxa"/>
            <w:tcBorders/>
            <w:vAlign w:val="center"/>
          </w:tcPr>
          <w:p>
            <w:pPr>
              <w:pStyle w:val="TableContents"/>
              <w:bidi w:val="0"/>
              <w:spacing w:before="0" w:after="1"/>
              <w:ind w:left="0" w:right="0" w:hanging="0"/>
              <w:jc w:val="right"/>
              <w:rPr/>
            </w:pPr>
            <w:r>
              <w:rPr/>
              <w:t>  ​</w:t>
            </w:r>
          </w:p>
        </w:tc>
        <w:tc>
          <w:tcPr>
            <w:tcW w:w="38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58" w:type="dxa"/>
            <w:tcBorders/>
            <w:vAlign w:val="center"/>
          </w:tcPr>
          <w:p>
            <w:pPr>
              <w:pStyle w:val="TableContents"/>
              <w:bidi w:val="0"/>
              <w:spacing w:before="0" w:after="1"/>
              <w:ind w:left="0" w:right="0" w:hanging="0"/>
              <w:jc w:val="right"/>
              <w:rPr/>
            </w:pPr>
            <w:r>
              <w:rPr/>
              <w:t>  ​</w:t>
            </w:r>
          </w:p>
        </w:tc>
      </w:tr>
      <w:tr>
        <w:trPr/>
        <w:tc>
          <w:tcPr>
            <w:tcW w:w="7608" w:type="dxa"/>
            <w:tcBorders/>
            <w:shd w:fill="CCEEFF" w:val="clear"/>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20"/>
              </w:rPr>
              <w:t>Limited partners: Depositary units: 637,209,452</w:t>
            </w:r>
            <w:r>
              <w:rPr>
                <w:rFonts w:ascii="Times New Roman;Times;serif" w:hAnsi="Times New Roman;Times;serif"/>
                <w:sz w:val="24"/>
              </w:rPr>
              <w:t xml:space="preserve"> </w:t>
            </w:r>
            <w:r>
              <w:rPr>
                <w:rFonts w:ascii="Times New Roman;Times;serif" w:hAnsi="Times New Roman;Times;serif"/>
                <w:sz w:val="20"/>
              </w:rPr>
              <w:t xml:space="preserve">units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4"/>
              </w:rPr>
              <w:t xml:space="preserve"> </w:t>
            </w:r>
            <w:r>
              <w:rPr>
                <w:rFonts w:ascii="Times New Roman;Times;serif" w:hAnsi="Times New Roman;Times;serif"/>
                <w:sz w:val="20"/>
              </w:rPr>
              <w:t>at December 31, 2025 and 522,736,315</w:t>
            </w:r>
            <w:r>
              <w:rPr>
                <w:rFonts w:ascii="Times New Roman;Times;serif" w:hAnsi="Times New Roman;Times;serif"/>
                <w:sz w:val="24"/>
              </w:rPr>
              <w:t xml:space="preserve"> </w:t>
            </w:r>
            <w:r>
              <w:rPr>
                <w:rFonts w:ascii="Times New Roman;Times;serif" w:hAnsi="Times New Roman;Times;serif"/>
                <w:sz w:val="20"/>
              </w:rPr>
              <w:t xml:space="preserve">units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4"/>
              </w:rPr>
              <w:t xml:space="preserve"> </w:t>
            </w:r>
            <w:r>
              <w:rPr>
                <w:rFonts w:ascii="Times New Roman;Times;serif" w:hAnsi="Times New Roman;Times;serif"/>
                <w:sz w:val="20"/>
              </w:rPr>
              <w:t>at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6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2,728</w:t>
            </w:r>
          </w:p>
        </w:tc>
        <w:tc>
          <w:tcPr>
            <w:tcW w:w="38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3,241</w:t>
            </w:r>
          </w:p>
        </w:tc>
      </w:tr>
      <w:tr>
        <w:trPr/>
        <w:tc>
          <w:tcPr>
            <w:tcW w:w="76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4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w:t>
            </w:r>
          </w:p>
        </w:tc>
        <w:tc>
          <w:tcPr>
            <w:tcW w:w="38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w:t>
            </w:r>
          </w:p>
        </w:tc>
      </w:tr>
      <w:tr>
        <w:trPr/>
        <w:tc>
          <w:tcPr>
            <w:tcW w:w="76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1,942</w:t>
            </w:r>
          </w:p>
        </w:tc>
        <w:tc>
          <w:tcPr>
            <w:tcW w:w="38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2,466</w:t>
            </w:r>
          </w:p>
        </w:tc>
      </w:tr>
      <w:tr>
        <w:trPr/>
        <w:tc>
          <w:tcPr>
            <w:tcW w:w="760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46" w:type="dxa"/>
            <w:tcBorders/>
            <w:vAlign w:val="center"/>
          </w:tcPr>
          <w:p>
            <w:pPr>
              <w:pStyle w:val="TableContents"/>
              <w:bidi w:val="0"/>
              <w:spacing w:before="0" w:after="1"/>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6,676</w:t>
            </w:r>
          </w:p>
        </w:tc>
        <w:tc>
          <w:tcPr>
            <w:tcW w:w="386" w:type="dxa"/>
            <w:tcBorders/>
            <w:vAlign w:val="center"/>
          </w:tcPr>
          <w:p>
            <w:pPr>
              <w:pStyle w:val="TableContents"/>
              <w:bidi w:val="0"/>
              <w:spacing w:before="0" w:after="1"/>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7,232</w:t>
            </w:r>
          </w:p>
        </w:tc>
      </w:tr>
    </w:tbl>
    <w:p>
      <w:pPr>
        <w:pStyle w:val="TextBody"/>
        <w:bidi w:val="0"/>
        <w:spacing w:before="0" w:after="24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31" w:name="Tc_7s7M8jRvxkqR3QVJfYKSWg_11_8"/>
      <w:bookmarkStart w:id="2532" w:name="Tc_XXTQZt2aS0y6dxcHFlH0Dw_11_5"/>
      <w:bookmarkStart w:id="2533" w:name="Tc_nBj84-iAQE684WgeZYdj2w_11_2"/>
      <w:bookmarkStart w:id="2534" w:name="Tc_INisOrfU1EK4oDC_4PJLjg_10_0"/>
      <w:bookmarkStart w:id="2535" w:name="Tc_zrN93UhNUkGT_kyu-rvKyQ_9_8"/>
      <w:bookmarkStart w:id="2536" w:name="Tc_JRYmsbrDkUi5skCyo7c4Uw_9_5"/>
      <w:bookmarkStart w:id="2537" w:name="Tc_mSC5xKT0pUqp1DK8Ml2SXQ_9_2"/>
      <w:bookmarkStart w:id="2538" w:name="Tc_szo7g8q-2Eyn7ljcxjFb_w_9_0"/>
      <w:bookmarkStart w:id="2539" w:name="Tc_keLLeqyU8UmLDcG113Hu3A_8_0"/>
      <w:bookmarkStart w:id="2540" w:name="Tc_nFazi1nWWEyBxNkoeszukQ_7_8"/>
      <w:bookmarkStart w:id="2541" w:name="Tc_3IMN6ZEQeUm5CXeWLiQ6EA_7_5"/>
      <w:bookmarkStart w:id="2542" w:name="Tc_ikxe3zkOkkuIOt2Fgr6m5Q_7_2"/>
      <w:bookmarkStart w:id="2543" w:name="Tc_L3r463W8zE220C1aUzlliQ_7_0"/>
      <w:bookmarkStart w:id="2544" w:name="Tc_jwBoEKYGW0Wk7ugBPxZvPQ_6_0"/>
      <w:bookmarkStart w:id="2545" w:name="Tc_vd0i3chEfkShU_bRafyl7w_5_0"/>
      <w:bookmarkStart w:id="2546" w:name="Tc_S5frICby5UGigKShtsbmqQ_4_8"/>
      <w:bookmarkStart w:id="2547" w:name="Tc_053OSlFRzkOIIuETxnB6Vw_4_5"/>
      <w:bookmarkStart w:id="2548" w:name="Tc_PjaDhVwDEEaluaLew-liug_4_2"/>
      <w:bookmarkStart w:id="2549" w:name="Tc_od7PVlgx1UejXJ5nTWOcNA_4_0"/>
      <w:bookmarkStart w:id="2550" w:name="Tc_IoowC5LQc0OgxdQlv2T_XA_3_2"/>
      <w:bookmarkStart w:id="2551" w:name="Tc_Yg3wOhbwb0CrvPRbUpXbhw_2_8"/>
      <w:bookmarkStart w:id="2552" w:name="Tc_u8rE2P4ti06PHjimEMzKVQ_2_5"/>
      <w:bookmarkStart w:id="2553" w:name="Tc_uQMCGo2ypE6k_7ltqzlH_g_2_2"/>
      <w:bookmarkStart w:id="2554" w:name="Tc_x7O8kcccsEeeabn2vlHGpg_1_2"/>
      <w:bookmarkStart w:id="2555" w:name="_0ed87d04_d6b5_4b02_9b80_809588f5175b"/>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r>
        <w:rPr>
          <w:rFonts w:ascii="Times New Roman;Times;serif" w:hAnsi="Times New Roman;Times;serif"/>
          <w:b/>
          <w:sz w:val="20"/>
        </w:rPr>
        <w:t>SCHEDULE 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(Parent Company)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STATEMENTS OF OPERATIONS</w:t>
      </w:r>
    </w:p>
    <w:tbl>
      <w:tblPr>
        <w:tblW w:w="6520" w:type="dxa"/>
        <w:jc w:val="left"/>
        <w:tblInd w:w="0" w:type="dxa"/>
        <w:tblLayout w:type="fixed"/>
        <w:tblCellMar>
          <w:top w:w="0" w:type="dxa"/>
          <w:left w:w="0" w:type="dxa"/>
          <w:bottom w:w="0" w:type="dxa"/>
          <w:right w:w="0" w:type="dxa"/>
        </w:tblCellMar>
      </w:tblPr>
      <w:tblGrid>
        <w:gridCol w:w="3181"/>
        <w:gridCol w:w="346"/>
        <w:gridCol w:w="211"/>
        <w:gridCol w:w="541"/>
        <w:gridCol w:w="346"/>
        <w:gridCol w:w="211"/>
        <w:gridCol w:w="541"/>
        <w:gridCol w:w="346"/>
        <w:gridCol w:w="211"/>
        <w:gridCol w:w="58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2019935" cy="175260"/>
                      <wp:effectExtent l="0" t="0" r="0" b="0"/>
                      <wp:wrapNone/>
                      <wp:docPr id="819" name="Frame819"/>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219710" cy="175260"/>
                      <wp:effectExtent l="0" t="0" r="0" b="0"/>
                      <wp:wrapNone/>
                      <wp:docPr id="820" name="Frame8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133985" cy="175260"/>
                      <wp:effectExtent l="0" t="0" r="0" b="0"/>
                      <wp:wrapNone/>
                      <wp:docPr id="821" name="Frame8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343535" cy="175260"/>
                      <wp:effectExtent l="0" t="0" r="0" b="0"/>
                      <wp:wrapNone/>
                      <wp:docPr id="822" name="Frame82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219710" cy="175260"/>
                      <wp:effectExtent l="0" t="0" r="0" b="0"/>
                      <wp:wrapNone/>
                      <wp:docPr id="823" name="Frame8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133985" cy="175260"/>
                      <wp:effectExtent l="0" t="0" r="0" b="0"/>
                      <wp:wrapNone/>
                      <wp:docPr id="824" name="Frame8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343535" cy="175260"/>
                      <wp:effectExtent l="0" t="0" r="0" b="0"/>
                      <wp:wrapNone/>
                      <wp:docPr id="825" name="Frame82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219710" cy="175260"/>
                      <wp:effectExtent l="0" t="0" r="0" b="0"/>
                      <wp:wrapNone/>
                      <wp:docPr id="826" name="Frame8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133985" cy="175260"/>
                      <wp:effectExtent l="0" t="0" r="0" b="0"/>
                      <wp:wrapNone/>
                      <wp:docPr id="827" name="Frame8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372110" cy="175260"/>
                      <wp:effectExtent l="0" t="0" r="0" b="0"/>
                      <wp:wrapNone/>
                      <wp:docPr id="828" name="Frame82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9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652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93"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(loss) on extinguishment of debt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 gain (loss) of subsidiaries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allocated to:</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  ​</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Limited partners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r>
    </w:tbl>
    <w:p>
      <w:pPr>
        <w:pStyle w:val="TextBody"/>
        <w:bidi w:val="0"/>
        <w:spacing w:before="0" w:after="24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56" w:name="Tc__2tTUkpO7EyEFQx3cu8zMA_24_9"/>
      <w:bookmarkStart w:id="2557" w:name="Tc_2M9aAAYxwEGb-A5VnftH2Q_24_8"/>
      <w:bookmarkStart w:id="2558" w:name="Tc_5IoY9vzTvEWbXuCrRCHauw_24_6"/>
      <w:bookmarkStart w:id="2559" w:name="Tc_IASO_r8a40eK8CQ_x3LSXA_24_5"/>
      <w:bookmarkStart w:id="2560" w:name="Tc_udSEtBUrY0-B3_28LkjTcg_24_3"/>
      <w:bookmarkStart w:id="2561" w:name="Tc_wW513Y0srk-q__d6gLK8Gg_24_2"/>
      <w:bookmarkStart w:id="2562" w:name="Tc_SmlS5Ot4gUOArqw98WJrTA_24_0"/>
      <w:bookmarkStart w:id="2563" w:name="Tc_PgwflQuhAU-Rk7Q73jebTw_23_9"/>
      <w:bookmarkStart w:id="2564" w:name="Tc_cvaT_JZqYkGaUKO___cwSA_23_6"/>
      <w:bookmarkStart w:id="2565" w:name="Tc_9eclZoGQMUKdCCoMEMOHnA_23_3"/>
      <w:bookmarkStart w:id="2566" w:name="Tc_6ANfgJP9HES6AlAw8iNF6A_23_0"/>
      <w:bookmarkStart w:id="2567" w:name="Tc_pGG5z-QFSkyTrajDzuYm5g_22_9"/>
      <w:bookmarkStart w:id="2568" w:name="Tc_1sbjeB44N0KrOtg-EZiInQ_22_6"/>
      <w:bookmarkStart w:id="2569" w:name="Tc_cfGysbInb02OhCA_L-9VIA_22_3"/>
      <w:bookmarkStart w:id="2570" w:name="Tc_wGyoNZfLJE2JKhi7Vx-p9w_22_0"/>
      <w:bookmarkStart w:id="2571" w:name="Tc_6IDD6bRZ00e9JBzQsPQwNw_21_0"/>
      <w:bookmarkStart w:id="2572" w:name="Tc_MzIDt9tHnkiHR8lV8I-HLw_20_9"/>
      <w:bookmarkStart w:id="2573" w:name="Tc_719w4aHZREmuPELZ1V-q6Q_20_3"/>
      <w:bookmarkStart w:id="2574" w:name="Tc_IfqJOHg3YkeXsMqaB8H1tQ_20_0"/>
      <w:bookmarkStart w:id="2575" w:name="Tc_QfFPmUgTTUaYgBu-up_XUg_19_3"/>
      <w:bookmarkStart w:id="2576" w:name="Tc_lrhzG36uyk-CKQMykVfGqg_19_0"/>
      <w:bookmarkStart w:id="2577" w:name="Tc_K0DL3Jkzi06_Q-Kh6892Ww_18_0"/>
      <w:bookmarkStart w:id="2578" w:name="Tc_3YExUz24YkGoLKswEn8yXA_17_0"/>
      <w:bookmarkStart w:id="2579" w:name="Tc_FUBmdV95nkWXsElXvS6bPQ_16_0"/>
      <w:bookmarkStart w:id="2580" w:name="Tc_uq-LwB6obESEvEGNLmjF3A_15_0"/>
      <w:bookmarkStart w:id="2581" w:name="Tc_k4SvKmcqL0qTYB-8f_VLPw_14_0"/>
      <w:bookmarkStart w:id="2582" w:name="Tc_xAln8tApAE-4qdXeCs4cxA_13_0"/>
      <w:bookmarkStart w:id="2583" w:name="Tc_O97izaNKJUuMmsEPXC9giA_12_0"/>
      <w:bookmarkStart w:id="2584" w:name="Tc_yUqd_OMnakKVprKAnPGR5Q_11_0"/>
      <w:bookmarkStart w:id="2585" w:name="Tc_mLzHLB1haEOjV35cHXSvSQ_10_0"/>
      <w:bookmarkStart w:id="2586" w:name="Tc_ZtuQKOjH4kyJCZwuijjUBw_9_0"/>
      <w:bookmarkStart w:id="2587" w:name="Tc_xf8DHz2CLUaNFlH2mrDI-g_8_0"/>
      <w:bookmarkStart w:id="2588" w:name="Tc_1_r1HPGrEkOzk-e8gctPsA_7_0"/>
      <w:bookmarkStart w:id="2589" w:name="Tc_jU94sWqHdkOMOn8F-CyQXA_6_0"/>
      <w:bookmarkStart w:id="2590" w:name="Tc_o_cgBhzLykuyVUXI6Kw8hQ_5_8"/>
      <w:bookmarkStart w:id="2591" w:name="Tc_8UWFSYpYTkuYFJ-AeKu6YQ_5_5"/>
      <w:bookmarkStart w:id="2592" w:name="Tc_QnZjdDIstUOA07Nel6MFtA_5_2"/>
      <w:bookmarkStart w:id="2593" w:name="Tc_0QaXk5RMIE2yZNLi8Jau5w_5_0"/>
      <w:bookmarkStart w:id="2594" w:name="Tc_N53eutq_KUur4HIzctt84g_4_0"/>
      <w:bookmarkStart w:id="2595" w:name="Tc_eTOihbkhi02VObLqZ_EAAw_3_2"/>
      <w:bookmarkStart w:id="2596" w:name="Tc_Z8iHgigtOEe6Dm6sjMgniA_2_8"/>
      <w:bookmarkStart w:id="2597" w:name="Tc_I2eq10e8EkKlz3nvCrkS0A_2_5"/>
      <w:bookmarkStart w:id="2598" w:name="Tc_tBEPt3Qoh0C8xfaDgycyNA_2_2"/>
      <w:bookmarkStart w:id="2599" w:name="Tc_0ai3e5N_uEq491gREzFMOA_1_2"/>
      <w:bookmarkStart w:id="2600" w:name="_838593f5_60f5_4f3f_ab31_964c2eaaa58d"/>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r>
        <w:rPr>
          <w:rFonts w:ascii="Times New Roman;Times;serif" w:hAnsi="Times New Roman;Times;serif"/>
          <w:b/>
          <w:sz w:val="20"/>
        </w:rPr>
        <w:t>SCHEDULE 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(Parent Company)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STATEMENTS OF CASH FLOWS</w:t>
      </w:r>
    </w:p>
    <w:tbl>
      <w:tblPr>
        <w:tblW w:w="10205" w:type="dxa"/>
        <w:jc w:val="left"/>
        <w:tblInd w:w="0" w:type="dxa"/>
        <w:tblLayout w:type="fixed"/>
        <w:tblCellMar>
          <w:top w:w="0" w:type="dxa"/>
          <w:left w:w="0" w:type="dxa"/>
          <w:bottom w:w="0" w:type="dxa"/>
          <w:right w:w="0" w:type="dxa"/>
        </w:tblCellMar>
      </w:tblPr>
      <w:tblGrid>
        <w:gridCol w:w="6605"/>
        <w:gridCol w:w="346"/>
        <w:gridCol w:w="211"/>
        <w:gridCol w:w="527"/>
        <w:gridCol w:w="346"/>
        <w:gridCol w:w="211"/>
        <w:gridCol w:w="677"/>
        <w:gridCol w:w="346"/>
        <w:gridCol w:w="211"/>
        <w:gridCol w:w="725"/>
      </w:tblGrid>
      <w:tr>
        <w:trPr/>
        <w:tc>
          <w:tcPr>
            <w:tcW w:w="6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4194175" cy="175260"/>
                      <wp:effectExtent l="0" t="0" r="0" b="0"/>
                      <wp:wrapNone/>
                      <wp:docPr id="829" name="Frame829"/>
                      <a:graphic xmlns:a="http://schemas.openxmlformats.org/drawingml/2006/main">
                        <a:graphicData uri="http://schemas.microsoft.com/office/word/2010/wordprocessingShape">
                          <wps:wsp>
                            <wps:cNvSpPr txBox="1"/>
                            <wps:spPr>
                              <a:xfrm>
                                <a:off x="0" y="0"/>
                                <a:ext cx="4194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219710" cy="175260"/>
                      <wp:effectExtent l="0" t="0" r="0" b="0"/>
                      <wp:wrapNone/>
                      <wp:docPr id="830" name="Frame8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133985" cy="175260"/>
                      <wp:effectExtent l="0" t="0" r="0" b="0"/>
                      <wp:wrapNone/>
                      <wp:docPr id="831" name="Frame8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334645" cy="175260"/>
                      <wp:effectExtent l="0" t="0" r="0" b="0"/>
                      <wp:wrapNone/>
                      <wp:docPr id="832" name="Frame832"/>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219710" cy="175260"/>
                      <wp:effectExtent l="0" t="0" r="0" b="0"/>
                      <wp:wrapNone/>
                      <wp:docPr id="833" name="Frame8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133985" cy="175260"/>
                      <wp:effectExtent l="0" t="0" r="0" b="0"/>
                      <wp:wrapNone/>
                      <wp:docPr id="834" name="Frame8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429895" cy="175260"/>
                      <wp:effectExtent l="0" t="0" r="0" b="0"/>
                      <wp:wrapNone/>
                      <wp:docPr id="835" name="Frame835"/>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219710" cy="175260"/>
                      <wp:effectExtent l="0" t="0" r="0" b="0"/>
                      <wp:wrapNone/>
                      <wp:docPr id="836" name="Frame8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133985" cy="175260"/>
                      <wp:effectExtent l="0" t="0" r="0" b="0"/>
                      <wp:wrapNone/>
                      <wp:docPr id="837" name="Frame8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460375" cy="175260"/>
                      <wp:effectExtent l="0" t="0" r="0" b="0"/>
                      <wp:wrapNone/>
                      <wp:docPr id="838" name="Frame838"/>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6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5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 December 31, </w:t>
            </w:r>
          </w:p>
        </w:tc>
      </w:tr>
      <w:tr>
        <w:trPr/>
        <w:tc>
          <w:tcPr>
            <w:tcW w:w="66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8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 ​ ​</w:t>
            </w:r>
          </w:p>
        </w:tc>
        <w:tc>
          <w:tcPr>
            <w:tcW w:w="9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66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54"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5" w:type="dxa"/>
            <w:tcBorders/>
            <w:shd w:fill="CCEEFF" w:val="clear"/>
            <w:vAlign w:val="center"/>
          </w:tcPr>
          <w:p>
            <w:pPr>
              <w:pStyle w:val="TableContents"/>
              <w:bidi w:val="0"/>
              <w:spacing w:before="0" w:after="1"/>
              <w:ind w:left="0" w:right="0" w:hanging="0"/>
              <w:jc w:val="right"/>
              <w:rPr/>
            </w:pPr>
            <w:r>
              <w:rPr/>
              <w:t>​</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pPr>
            <w:r>
              <w:rPr/>
              <w:t>  ​</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 (gain) loss of subsidiary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extinguishment of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pPr>
            <w:r>
              <w:rPr/>
              <w:t>  ​</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investment in and advances from subsidiaries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by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pPr>
            <w:r>
              <w:rPr/>
              <w:t>  ​</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distributions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Partnership contributions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borrowings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of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(1,159)</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segment distributions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issuance costs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change in cash and cash equivalents and restricted cash and restricted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2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5" w:type="dxa"/>
            <w:tcBorders/>
            <w:shd w:fill="CCEEFF" w:val="clear"/>
            <w:vAlign w:val="center"/>
          </w:tcPr>
          <w:p>
            <w:pPr>
              <w:pStyle w:val="TableContents"/>
              <w:bidi w:val="0"/>
              <w:spacing w:before="0" w:after="1"/>
              <w:ind w:left="0" w:right="0" w:hanging="0"/>
              <w:jc w:val="right"/>
              <w:rPr/>
            </w:pPr>
            <w:r>
              <w:rPr/>
              <w:t>—</w:t>
            </w:r>
          </w:p>
        </w:tc>
      </w:tr>
      <w:tr>
        <w:trPr/>
        <w:tc>
          <w:tcPr>
            <w:tcW w:w="66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and restricted cash equivalents, beginning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2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6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and restricted cash equivalents,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center"/>
        <w:rPr>
          <w:rFonts w:ascii="Times New Roman;Times;serif" w:hAnsi="Times New Roman;Times;serif"/>
          <w:i/>
          <w:sz w:val="20"/>
        </w:rPr>
      </w:pPr>
      <w:r>
        <w:rPr>
          <w:rFonts w:ascii="Times New Roman;Times;serif" w:hAnsi="Times New Roman;Times;serif"/>
          <w:i/>
          <w:sz w:val="20"/>
        </w:rPr>
        <w:t>See notes to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01" w:name="Tc_KUDKsbW3bk65_3wy3LvQ1w_10_5"/>
      <w:bookmarkStart w:id="2602" w:name="Tc_tEBxprTQukCNM3VF3CUnrg_10_2"/>
      <w:bookmarkStart w:id="2603" w:name="Tc_kSHUM7xFEUyVVy52UURHqg_10_0"/>
      <w:bookmarkStart w:id="2604" w:name="Tc_AdyzSU1Wd0qo_t4c4QYQ2A_9_0"/>
      <w:bookmarkStart w:id="2605" w:name="Tc_5v6arjXIYUuLNZuyJglPww_8_0"/>
      <w:bookmarkStart w:id="2606" w:name="Tc_o8vmZ7MUD0yf0H2E4hakWA_7_0"/>
      <w:bookmarkStart w:id="2607" w:name="Tc_IblEJzPJBkGbkk-sQIQfbA_6_0"/>
      <w:bookmarkStart w:id="2608" w:name="Tc_y8aC2p16Z0ujsVG_7HtV4w_5_0"/>
      <w:bookmarkStart w:id="2609" w:name="Tc_v0fUiK7UA0agp_lqnswwEQ_4_0"/>
      <w:bookmarkStart w:id="2610" w:name="Tc_ovSejhZKI0u3MDK4jzu97w_3_2"/>
      <w:bookmarkStart w:id="2611" w:name="Tc_ySx3IytxKUyvkEeXlh9qFg_2_5"/>
      <w:bookmarkStart w:id="2612" w:name="Tc_ZmWIoR-W80eHtyCQI_hxsg_2_2"/>
      <w:bookmarkStart w:id="2613" w:name="Tc_pGAVKBgyPUGvQwA7Ck0sAw_1_2"/>
      <w:bookmarkEnd w:id="2601"/>
      <w:bookmarkEnd w:id="2602"/>
      <w:bookmarkEnd w:id="2603"/>
      <w:bookmarkEnd w:id="2604"/>
      <w:bookmarkEnd w:id="2605"/>
      <w:bookmarkEnd w:id="2606"/>
      <w:bookmarkEnd w:id="2607"/>
      <w:bookmarkEnd w:id="2608"/>
      <w:bookmarkEnd w:id="2609"/>
      <w:bookmarkEnd w:id="2610"/>
      <w:bookmarkEnd w:id="2611"/>
      <w:bookmarkEnd w:id="2612"/>
      <w:bookmarkEnd w:id="2613"/>
      <w:r>
        <w:rPr>
          <w:rFonts w:ascii="Times New Roman;Times;serif" w:hAnsi="Times New Roman;Times;serif"/>
          <w:b/>
          <w:sz w:val="20"/>
        </w:rPr>
        <w:t>SCHEDULE 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ICAHN ENTERPRISES L.P.</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(Parent Company)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Description of Business and Basis of Presentation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Icahn Enterprises, L.P. (“Icahn Enterprises”) is a master limited partnership formed in Delaware on February 17, 1987. We own a 99% limited partner interest in Icahn Enterprises Holdings L.P. (“Icahn Enterprises Holdings”). Icahn Enterprises Holdings and its subsidiaries own substantially all of our assets and liabilities and conduct substantially all of our operations. Icahn Enterprises G.P. Inc., our sole general partner, which is owned and controlled by Carl C. Icahn, owns a 1% general partner interest in both us and Icahn Enterprises Holdings, representing an aggregate 1.99% general partner interest in us and Icahn Enterprises Holdings. As of December 31, 2025, Icahn Enterprises is engaged in the following continuing operating businesses: </w:t>
      </w:r>
      <w:r>
        <w:rPr>
          <w:rFonts w:ascii="Times New Roman;Times;serif" w:hAnsi="Times New Roman;Times;serif"/>
          <w:color w:val="231F20"/>
          <w:sz w:val="20"/>
        </w:rPr>
        <w:t>Investment, Energy, Automotive, Food Packaging, Real Estate, Home Fashion and Pharma</w:t>
      </w:r>
      <w:r>
        <w:rPr>
          <w:rFonts w:ascii="Times New Roman;Times;serif" w:hAnsi="Times New Roman;Times;serif"/>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years ended December 31, 2025, 2024 and 2023, Icahn Enterprises received $571 million, $320 million and $629 million, respectively, for net investment in and advances from subsidiaries.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condensed financial statements of Icahn Enterprises should be read in conjunction with the consolidated financial statements and notes thereto included in Item 8 of this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Note 13, “Debt,” to the consolidated financial statements located in Item 8 of this Report. Icahn Enterprises’ Parent company debt consists of the following:</w:t>
      </w:r>
    </w:p>
    <w:p>
      <w:pPr>
        <w:pStyle w:val="TextBody"/>
        <w:bidi w:val="0"/>
        <w:spacing w:before="0" w:after="0"/>
        <w:ind w:left="0" w:right="0" w:hanging="0"/>
        <w:jc w:val="left"/>
        <w:rPr/>
      </w:pPr>
      <w:r>
        <w:rPr/>
        <w:t>​</w:t>
      </w:r>
    </w:p>
    <w:tbl>
      <w:tblPr>
        <w:tblW w:w="5047" w:type="dxa"/>
        <w:jc w:val="left"/>
        <w:tblInd w:w="0" w:type="dxa"/>
        <w:tblLayout w:type="fixed"/>
        <w:tblCellMar>
          <w:top w:w="0" w:type="dxa"/>
          <w:left w:w="0" w:type="dxa"/>
          <w:bottom w:w="0" w:type="dxa"/>
          <w:right w:w="0" w:type="dxa"/>
        </w:tblCellMar>
      </w:tblPr>
      <w:tblGrid>
        <w:gridCol w:w="2686"/>
        <w:gridCol w:w="346"/>
        <w:gridCol w:w="211"/>
        <w:gridCol w:w="571"/>
        <w:gridCol w:w="346"/>
        <w:gridCol w:w="211"/>
        <w:gridCol w:w="67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1705610" cy="175260"/>
                      <wp:effectExtent l="0" t="0" r="0" b="0"/>
                      <wp:wrapNone/>
                      <wp:docPr id="839" name="Frame839"/>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1">
                      <wp:simplePos x="0" y="0"/>
                      <wp:positionH relativeFrom="character">
                        <wp:align>left</wp:align>
                      </wp:positionH>
                      <wp:positionV relativeFrom="line">
                        <wp:posOffset>635</wp:posOffset>
                      </wp:positionV>
                      <wp:extent cx="219710" cy="175260"/>
                      <wp:effectExtent l="0" t="0" r="0" b="0"/>
                      <wp:wrapNone/>
                      <wp:docPr id="840" name="Frame8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2">
                      <wp:simplePos x="0" y="0"/>
                      <wp:positionH relativeFrom="character">
                        <wp:align>left</wp:align>
                      </wp:positionH>
                      <wp:positionV relativeFrom="line">
                        <wp:posOffset>635</wp:posOffset>
                      </wp:positionV>
                      <wp:extent cx="133985" cy="175260"/>
                      <wp:effectExtent l="0" t="0" r="0" b="0"/>
                      <wp:wrapNone/>
                      <wp:docPr id="841" name="Frame8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362585" cy="175260"/>
                      <wp:effectExtent l="0" t="0" r="0" b="0"/>
                      <wp:wrapNone/>
                      <wp:docPr id="842" name="Frame8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4">
                      <wp:simplePos x="0" y="0"/>
                      <wp:positionH relativeFrom="character">
                        <wp:align>left</wp:align>
                      </wp:positionH>
                      <wp:positionV relativeFrom="line">
                        <wp:posOffset>635</wp:posOffset>
                      </wp:positionV>
                      <wp:extent cx="219710" cy="175260"/>
                      <wp:effectExtent l="0" t="0" r="0" b="0"/>
                      <wp:wrapNone/>
                      <wp:docPr id="843" name="Frame8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133985" cy="175260"/>
                      <wp:effectExtent l="0" t="0" r="0" b="0"/>
                      <wp:wrapNone/>
                      <wp:docPr id="844" name="Frame8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429260" cy="175260"/>
                      <wp:effectExtent l="0" t="0" r="0" b="0"/>
                      <wp:wrapNone/>
                      <wp:docPr id="845" name="Frame84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504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1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millions)</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6.250% senior notes due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5.250% senior notes due 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1,384</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4.375% senior notes due 2029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9.750% senior notes due 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10.000% senior notes due 2029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9.000% senior notes due 2030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4,699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NRMTPro" w:hAnsi="TimesNRMTPro"/>
          <w:sz w:val="20"/>
        </w:rPr>
        <w:t>In August 2025, Icahn Enterprises, together with Icahn Enterprises Finance Corp. (collectively, the “Issuers”), issued an additional $500</w:t>
      </w:r>
      <w:r>
        <w:rPr>
          <w:rFonts w:ascii="Times New Roman;Times;serif" w:hAnsi="Times New Roman;Times;serif"/>
          <w:sz w:val="20"/>
        </w:rPr>
        <w:t> </w:t>
      </w:r>
      <w:r>
        <w:rPr>
          <w:rFonts w:ascii="TimesNRMTPro" w:hAnsi="TimesNRMTPro"/>
          <w:sz w:val="20"/>
        </w:rPr>
        <w:t>million in aggregate principal amount of our existing 10.000%</w:t>
      </w:r>
      <w:r>
        <w:rPr>
          <w:rFonts w:ascii="Times New Roman;Times;serif" w:hAnsi="Times New Roman;Times;serif"/>
          <w:sz w:val="20"/>
        </w:rPr>
        <w:t> </w:t>
      </w:r>
      <w:r>
        <w:rPr>
          <w:rFonts w:ascii="TimesNRMTPro" w:hAnsi="TimesNRMTPro"/>
          <w:sz w:val="20"/>
        </w:rPr>
        <w:t>senior secured notes due 2029. The net proceeds from the issuance, together with cash on hand, were used to partially redeem $500</w:t>
      </w:r>
      <w:r>
        <w:rPr>
          <w:rFonts w:ascii="Times New Roman;Times;serif" w:hAnsi="Times New Roman;Times;serif"/>
          <w:sz w:val="20"/>
        </w:rPr>
        <w:t> </w:t>
      </w:r>
      <w:r>
        <w:rPr>
          <w:rFonts w:ascii="TimesNRMTPro" w:hAnsi="TimesNRMTPro"/>
          <w:sz w:val="20"/>
        </w:rPr>
        <w:t>million of the outstanding 6.250%</w:t>
      </w:r>
      <w:r>
        <w:rPr>
          <w:rFonts w:ascii="Times New Roman;Times;serif" w:hAnsi="Times New Roman;Times;serif"/>
          <w:sz w:val="20"/>
        </w:rPr>
        <w:t> </w:t>
      </w:r>
      <w:r>
        <w:rPr>
          <w:rFonts w:ascii="TimesNRMTPro" w:hAnsi="TimesNRMTPro"/>
          <w:sz w:val="20"/>
        </w:rPr>
        <w:t>senior secured notes due 2026 on September 5, 2025. On January 27, 2026, the trustee sent a redemption notice on our behalf for the redemption in full of the remaining outstanding 6.250%</w:t>
      </w:r>
      <w:r>
        <w:rPr>
          <w:rFonts w:ascii="Times New Roman;Times;serif" w:hAnsi="Times New Roman;Times;serif"/>
          <w:sz w:val="20"/>
        </w:rPr>
        <w:t> </w:t>
      </w:r>
      <w:r>
        <w:rPr>
          <w:rFonts w:ascii="TimesNRMTPro" w:hAnsi="TimesNRMTPro"/>
          <w:sz w:val="20"/>
        </w:rPr>
        <w:t>senior secured notes due 2026. Upon the redemption of the 2026 Notes, none</w:t>
      </w:r>
      <w:r>
        <w:rPr>
          <w:rFonts w:ascii="Times New Roman;Times;serif" w:hAnsi="Times New Roman;Times;serif"/>
          <w:sz w:val="20"/>
        </w:rPr>
        <w:t xml:space="preserve"> </w:t>
      </w:r>
      <w:r>
        <w:rPr>
          <w:rFonts w:ascii="TimesNRMTPro" w:hAnsi="TimesNRMTPro"/>
          <w:sz w:val="20"/>
        </w:rPr>
        <w:t>of the 2026 Notes will remain outstanding. The Issuers expect to use cash on hand to pay the redemption price for the 2026 Notes.</w:t>
      </w:r>
    </w:p>
    <w:p>
      <w:pPr>
        <w:pStyle w:val="TextBody"/>
        <w:bidi w:val="0"/>
        <w:spacing w:before="0" w:after="0"/>
        <w:ind w:left="0" w:right="0" w:firstLine="360"/>
        <w:jc w:val="left"/>
        <w:rPr>
          <w:rFonts w:ascii="Times New Roman;Times;serif" w:hAnsi="Times New Roman;Times;serif"/>
          <w:sz w:val="20"/>
        </w:rPr>
      </w:pPr>
      <w:r>
        <w:rPr>
          <w:rFonts w:ascii="TimesNRMTPro" w:hAnsi="TimesNRMTPro"/>
          <w:sz w:val="20"/>
        </w:rPr>
        <w:t>In November 2024, the Issuers issued $500</w:t>
      </w:r>
      <w:r>
        <w:rPr>
          <w:rFonts w:ascii="Times New Roman;Times;serif" w:hAnsi="Times New Roman;Times;serif"/>
          <w:sz w:val="20"/>
        </w:rPr>
        <w:t xml:space="preserve"> </w:t>
      </w:r>
      <w:r>
        <w:rPr>
          <w:rFonts w:ascii="TimesNRMTPro" w:hAnsi="TimesNRMTPro"/>
          <w:sz w:val="20"/>
        </w:rPr>
        <w:t>million in aggregate principal amount of secured 10.000%</w:t>
      </w:r>
      <w:r>
        <w:rPr>
          <w:rFonts w:ascii="Times New Roman;Times;serif" w:hAnsi="Times New Roman;Times;serif"/>
          <w:sz w:val="20"/>
        </w:rPr>
        <w:t xml:space="preserve"> </w:t>
      </w:r>
      <w:r>
        <w:rPr>
          <w:rFonts w:ascii="TimesNRMTPro" w:hAnsi="TimesNRMTPro"/>
          <w:sz w:val="20"/>
        </w:rPr>
        <w:t>senior notes due 2029 (the “10%</w:t>
      </w:r>
      <w:r>
        <w:rPr>
          <w:rFonts w:ascii="Times New Roman;Times;serif" w:hAnsi="Times New Roman;Times;serif"/>
          <w:sz w:val="20"/>
        </w:rPr>
        <w:t xml:space="preserve"> </w:t>
      </w:r>
      <w:r>
        <w:rPr>
          <w:rFonts w:ascii="TimesNRMTPro" w:hAnsi="TimesNRMTPro"/>
          <w:sz w:val="20"/>
        </w:rPr>
        <w:t>2029 Notes”). The net proceeds from the issuance were used to partially redeem $500</w:t>
      </w:r>
      <w:r>
        <w:rPr>
          <w:rFonts w:ascii="Times New Roman;Times;serif" w:hAnsi="Times New Roman;Times;serif"/>
          <w:sz w:val="20"/>
        </w:rPr>
        <w:t xml:space="preserve"> </w:t>
      </w:r>
      <w:r>
        <w:rPr>
          <w:rFonts w:ascii="TimesNRMTPro" w:hAnsi="TimesNRMTPro"/>
          <w:sz w:val="20"/>
        </w:rPr>
        <w:t>million of the outstanding 6.250%</w:t>
      </w:r>
      <w:r>
        <w:rPr>
          <w:rFonts w:ascii="Times New Roman;Times;serif" w:hAnsi="Times New Roman;Times;serif"/>
          <w:sz w:val="20"/>
        </w:rPr>
        <w:t xml:space="preserve"> </w:t>
      </w:r>
      <w:r>
        <w:rPr>
          <w:rFonts w:ascii="TimesNRMTPro" w:hAnsi="TimesNRMTPro"/>
          <w:sz w:val="20"/>
        </w:rPr>
        <w:t>senior notes due 2026 on December 16, 2024. Our 10%</w:t>
      </w:r>
      <w:r>
        <w:rPr>
          <w:rFonts w:ascii="Times New Roman;Times;serif" w:hAnsi="Times New Roman;Times;serif"/>
          <w:sz w:val="20"/>
        </w:rPr>
        <w:t xml:space="preserve"> </w:t>
      </w:r>
      <w:r>
        <w:rPr>
          <w:rFonts w:ascii="TimesNRMTPro" w:hAnsi="TimesNRMTPro"/>
          <w:sz w:val="20"/>
        </w:rPr>
        <w:t>2029 Notes are secured by substantially all of our assets directly owned by us and Icahn Enterprises Holdings, subject to customary exceptions. Concurrently with the consummation of this issuance, the Issuers granted a lien in favor of the holders of the Issuers’ 6.250%</w:t>
      </w:r>
      <w:r>
        <w:rPr>
          <w:rFonts w:ascii="Times New Roman;Times;serif" w:hAnsi="Times New Roman;Times;serif"/>
          <w:sz w:val="20"/>
        </w:rPr>
        <w:t xml:space="preserve"> </w:t>
      </w:r>
      <w:r>
        <w:rPr>
          <w:rFonts w:ascii="TimesNRMTPro" w:hAnsi="TimesNRMTPro"/>
          <w:sz w:val="20"/>
        </w:rPr>
        <w:t>senior notes due 2026, 5.250%</w:t>
      </w:r>
      <w:r>
        <w:rPr>
          <w:rFonts w:ascii="Times New Roman;Times;serif" w:hAnsi="Times New Roman;Times;serif"/>
          <w:sz w:val="20"/>
        </w:rPr>
        <w:t xml:space="preserve"> </w:t>
      </w:r>
      <w:r>
        <w:rPr>
          <w:rFonts w:ascii="TimesNRMTPro" w:hAnsi="TimesNRMTPro"/>
          <w:sz w:val="20"/>
        </w:rPr>
        <w:t>senior notes due 2027, 4.375%</w:t>
      </w:r>
      <w:r>
        <w:rPr>
          <w:rFonts w:ascii="Times New Roman;Times;serif" w:hAnsi="Times New Roman;Times;serif"/>
          <w:sz w:val="20"/>
        </w:rPr>
        <w:t xml:space="preserve"> </w:t>
      </w:r>
      <w:r>
        <w:rPr>
          <w:rFonts w:ascii="TimesNRMTPro" w:hAnsi="TimesNRMTPro"/>
          <w:sz w:val="20"/>
        </w:rPr>
        <w:t>senior notes due 2029 and the 9.000%</w:t>
      </w:r>
      <w:r>
        <w:rPr>
          <w:rFonts w:ascii="Times New Roman;Times;serif" w:hAnsi="Times New Roman;Times;serif"/>
          <w:sz w:val="20"/>
        </w:rPr>
        <w:t xml:space="preserve"> </w:t>
      </w:r>
      <w:r>
        <w:rPr>
          <w:rFonts w:ascii="TimesNRMTPro" w:hAnsi="TimesNRMTPro"/>
          <w:sz w:val="20"/>
        </w:rPr>
        <w:t xml:space="preserve">senior notes due 2030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NRMTPro" w:hAnsi="TimesNRMTPro"/>
          <w:sz w:val="20"/>
        </w:rPr>
        <w:t>(collectively, the “Existing Notes”) such that the Existing Notes are secured equally and ratably with the 10%</w:t>
      </w:r>
      <w:r>
        <w:rPr>
          <w:rFonts w:ascii="Times New Roman;Times;serif" w:hAnsi="Times New Roman;Times;serif"/>
          <w:sz w:val="20"/>
        </w:rPr>
        <w:t xml:space="preserve"> </w:t>
      </w:r>
      <w:r>
        <w:rPr>
          <w:rFonts w:ascii="TimesNRMTPro" w:hAnsi="TimesNRMTPro"/>
          <w:sz w:val="20"/>
        </w:rPr>
        <w:t>2029 Notes upon the issuance thereof. Accordingly, while we previously designated the Existing Notes as our senior unsecured notes they are now designated as our senior notes.</w:t>
      </w:r>
    </w:p>
    <w:p>
      <w:pPr>
        <w:pStyle w:val="TextBody"/>
        <w:bidi w:val="0"/>
        <w:spacing w:before="0" w:after="0"/>
        <w:ind w:left="0" w:right="0" w:firstLine="360"/>
        <w:jc w:val="left"/>
        <w:rPr>
          <w:rFonts w:ascii="Times New Roman;Times;serif" w:hAnsi="Times New Roman;Times;serif"/>
          <w:sz w:val="20"/>
        </w:rPr>
      </w:pPr>
      <w:r>
        <w:rPr>
          <w:rFonts w:ascii="TimesNRMTPro" w:hAnsi="TimesNRMTPro"/>
          <w:sz w:val="20"/>
        </w:rPr>
        <w:t>In May 2024, the Issuers issued $750</w:t>
      </w:r>
      <w:r>
        <w:rPr>
          <w:rFonts w:ascii="Times New Roman;Times;serif" w:hAnsi="Times New Roman;Times;serif"/>
          <w:sz w:val="20"/>
        </w:rPr>
        <w:t xml:space="preserve"> </w:t>
      </w:r>
      <w:r>
        <w:rPr>
          <w:rFonts w:ascii="TimesNRMTPro" w:hAnsi="TimesNRMTPro"/>
          <w:sz w:val="20"/>
        </w:rPr>
        <w:t>million in aggregate principal amount of 9.000%</w:t>
      </w:r>
      <w:r>
        <w:rPr>
          <w:rFonts w:ascii="Times New Roman;Times;serif" w:hAnsi="Times New Roman;Times;serif"/>
          <w:sz w:val="20"/>
        </w:rPr>
        <w:t xml:space="preserve"> </w:t>
      </w:r>
      <w:r>
        <w:rPr>
          <w:rFonts w:ascii="TimesNRMTPro" w:hAnsi="TimesNRMTPro"/>
          <w:sz w:val="20"/>
        </w:rPr>
        <w:t>senior notes due 2030. The net proceeds from the issuance were used to redeem the remaining outstanding 6.375%</w:t>
      </w:r>
      <w:r>
        <w:rPr>
          <w:rFonts w:ascii="Times New Roman;Times;serif" w:hAnsi="Times New Roman;Times;serif"/>
          <w:sz w:val="20"/>
        </w:rPr>
        <w:t xml:space="preserve"> </w:t>
      </w:r>
      <w:r>
        <w:rPr>
          <w:rFonts w:ascii="TimesNRMTPro" w:hAnsi="TimesNRMTPro"/>
          <w:sz w:val="20"/>
        </w:rPr>
        <w:t>senior notes due 2025 in full on June 13, 2024.</w:t>
      </w:r>
      <w:r>
        <w:rPr>
          <w:rFonts w:ascii="Times New Roman;Times;serif" w:hAnsi="Times New Roman;Times;serif"/>
          <w:sz w:val="20"/>
        </w:rPr>
        <w:t xml:space="preserve"> </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April 2024, Icahn Enterprises sold $12 million in aggregate principal amount of our 6.250% senior notes due 2026 and $5 million in aggregate principal amount of our 5.250% senior notes due 2027, both previously repurchased and held in treasury, in the open market. In August and September of 2024, Icahn Enterprises repurchased in the open market approximately $52 million aggregate principal amount of our 6.250% senior notes due 2026, $73 million aggregate principal amount of our 5.250% senior notes due 2027 and $52 million aggregate principal amount of our 4.375% senior notes due 2029 for total cash paid of $168 million and a total aggregate principal amount of $177 million of our senior notes repurchased. </w:t>
      </w:r>
      <w:r>
        <w:rPr>
          <w:rFonts w:ascii="TimesNRMTPro" w:hAnsi="TimesNRMTPro"/>
          <w:sz w:val="20"/>
        </w:rPr>
        <w:t>The repurchased notes of $177</w:t>
      </w:r>
      <w:r>
        <w:rPr>
          <w:rFonts w:ascii="Times New Roman;Times;serif" w:hAnsi="Times New Roman;Times;serif"/>
          <w:sz w:val="20"/>
        </w:rPr>
        <w:t xml:space="preserve"> </w:t>
      </w:r>
      <w:r>
        <w:rPr>
          <w:rFonts w:ascii="TimesNRMTPro" w:hAnsi="TimesNRMTPro"/>
          <w:sz w:val="20"/>
        </w:rPr>
        <w:t>million aggregate principal were extinguished but were not retired and are held in treasury.</w:t>
      </w:r>
      <w:r>
        <w:rPr>
          <w:rFonts w:ascii="Times New Roman;Times;serif" w:hAnsi="Times New Roman;Times;serif"/>
          <w:sz w:val="20"/>
        </w:rPr>
        <w:t xml:space="preserve"> </w:t>
      </w:r>
      <w:r>
        <w:rPr>
          <w:rFonts w:ascii="TimesNRMTPro" w:hAnsi="TimesNRMTPro"/>
          <w:sz w:val="20"/>
        </w:rPr>
        <w:t>In December 2024, we received $21</w:t>
      </w:r>
      <w:r>
        <w:rPr>
          <w:rFonts w:ascii="Times New Roman;Times;serif" w:hAnsi="Times New Roman;Times;serif"/>
          <w:sz w:val="20"/>
        </w:rPr>
        <w:t xml:space="preserve"> </w:t>
      </w:r>
      <w:r>
        <w:rPr>
          <w:rFonts w:ascii="TimesNRMTPro" w:hAnsi="TimesNRMTPro"/>
          <w:sz w:val="20"/>
        </w:rPr>
        <w:t>million as a part of the redemption of our 6.25%</w:t>
      </w:r>
      <w:r>
        <w:rPr>
          <w:rFonts w:ascii="Times New Roman;Times;serif" w:hAnsi="Times New Roman;Times;serif"/>
          <w:sz w:val="20"/>
        </w:rPr>
        <w:t xml:space="preserve"> </w:t>
      </w:r>
      <w:r>
        <w:rPr>
          <w:rFonts w:ascii="TimesNRMTPro" w:hAnsi="TimesNRMTPro"/>
          <w:sz w:val="20"/>
        </w:rPr>
        <w:t>senior notes due 2026 held in treasury.</w:t>
      </w:r>
      <w:r>
        <w:rPr>
          <w:rFonts w:ascii="Times New Roman;Times;serif" w:hAnsi="Times New Roman;Times;serif"/>
          <w:sz w:val="20"/>
        </w:rPr>
        <w:t xml:space="preserve">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In November and December of 2023, Icahn Enterprises repurchased in the open market approximately </w:t>
      </w:r>
      <w:r>
        <w:rPr>
          <w:rFonts w:ascii="Times New Roman;Times;serif" w:hAnsi="Times New Roman;Times;serif"/>
          <w:sz w:val="20"/>
        </w:rPr>
        <w:t>$35 million aggregate principal amount of our 4.750% senior notes due 2024, which the Company then cancelled and reduced the outstanding principal, $12 million aggregate principal amount of our 6.25% senior notes due 2026, $5 million aggregate principal amount of our 5.25% senior notes due 2027, and $40 million aggregate principal amount of our 4.375% senior notes due 2029 for total cash paid of $84 million for a total aggregate principal amount of $92 million. The remaining repurchased notes of $57 million aggregate principal were extinguished but were not retired and are held in treasury.</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2023, the Issuers issued $700 million in aggregate principal amount of 9.750% senior notes due 2029. The net proceeds from such issuance, together with $376 million of cash and cash equivalents on hand, was used to satisfy and discharge the remaining outstanding 4.750% senior notes due 2024, along with any accrued interest associated with the notes and related fees and expenses. </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Icahn Enterprises recorded a gain on extinguishment of debt of $3 million in 2025, a gain on extinguishment of debt of $8 million in 2024 and a gain on extinguishment of debt of $13 million in 2023 in connection with debt transactions.</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Commitments and Contingencies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See Note 19, “Commitments and Contingencies,” to the consolidated financial statements located in Item 8 of this Report.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14" w:name="_67d545f4_69f3_4536_a60a_15f37ade7b34"/>
      <w:bookmarkEnd w:id="2614"/>
      <w:r>
        <w:rPr>
          <w:rFonts w:ascii="Times New Roman;Times;serif" w:hAnsi="Times New Roman;Times;serif"/>
          <w:b/>
          <w:sz w:val="20"/>
        </w:rPr>
        <w:t>EXHIBIT INDEX</w:t>
      </w:r>
    </w:p>
    <w:tbl>
      <w:tblPr>
        <w:tblW w:w="10205" w:type="dxa"/>
        <w:jc w:val="left"/>
        <w:tblInd w:w="0" w:type="dxa"/>
        <w:tblLayout w:type="fixed"/>
        <w:tblCellMar>
          <w:top w:w="0" w:type="dxa"/>
          <w:left w:w="0" w:type="dxa"/>
          <w:bottom w:w="0" w:type="dxa"/>
          <w:right w:w="0" w:type="dxa"/>
        </w:tblCellMar>
      </w:tblPr>
      <w:tblGrid>
        <w:gridCol w:w="1081"/>
        <w:gridCol w:w="286"/>
        <w:gridCol w:w="8838"/>
      </w:tblGrid>
      <w:tr>
        <w:trPr/>
        <w:tc>
          <w:tcPr>
            <w:tcW w:w="108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8838"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286" w:type="dxa"/>
            <w:tcBorders/>
            <w:vAlign w:val="center"/>
          </w:tcPr>
          <w:p>
            <w:pPr>
              <w:pStyle w:val="TableContents"/>
              <w:bidi w:val="0"/>
              <w:spacing w:before="0" w:after="30"/>
              <w:ind w:left="0" w:right="0" w:hanging="0"/>
              <w:jc w:val="center"/>
              <w:rPr/>
            </w:pPr>
            <w:r>
              <w:rPr/>
              <w:t>  ​ ​</w:t>
            </w:r>
          </w:p>
        </w:tc>
        <w:tc>
          <w:tcPr>
            <w:tcW w:w="8838"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op w:val="single" w:sz="8" w:space="0" w:color="000000"/>
            </w:tcBorders>
            <w:tcMar>
              <w:top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2.1</w:t>
            </w:r>
          </w:p>
        </w:tc>
        <w:tc>
          <w:tcPr>
            <w:tcW w:w="286" w:type="dxa"/>
            <w:tcBorders/>
            <w:vAlign w:val="center"/>
          </w:tcPr>
          <w:p>
            <w:pPr>
              <w:pStyle w:val="TableContents"/>
              <w:bidi w:val="0"/>
              <w:spacing w:before="0" w:after="0"/>
              <w:ind w:left="0" w:right="0" w:hanging="0"/>
              <w:jc w:val="left"/>
              <w:rPr/>
            </w:pPr>
            <w:r>
              <w:rPr/>
              <w:t>​</w:t>
            </w:r>
          </w:p>
        </w:tc>
        <w:tc>
          <w:tcPr>
            <w:tcW w:w="8838" w:type="dxa"/>
            <w:tcBorders>
              <w:top w:val="single" w:sz="8" w:space="0" w:color="000000"/>
            </w:tcBorders>
            <w:tcMar>
              <w:top w:w="28"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4"/>
                </w:rPr>
                <w:t>Agreement and Plan of Merger, dated as of September 6, 2016, by and among Federal Mogul Holdings Corporation, American Entertainment Properties Corp. and IEH FM Holdings LLC (incorporated by reference to Exhibit 2.1 to Icahn Enterprises’ Form 8-K (SEC File No. 1-9516), filed on September 7, 2016).</w:t>
              </w:r>
            </w:hyperlink>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2.2</w:t>
            </w:r>
          </w:p>
        </w:tc>
        <w:tc>
          <w:tcPr>
            <w:tcW w:w="286" w:type="dxa"/>
            <w:tcBorders/>
            <w:vAlign w:val="center"/>
          </w:tcPr>
          <w:p>
            <w:pPr>
              <w:pStyle w:val="TableContents"/>
              <w:bidi w:val="0"/>
              <w:spacing w:before="0" w:after="0"/>
              <w:ind w:left="0" w:right="0" w:hanging="0"/>
              <w:jc w:val="left"/>
              <w:rPr/>
            </w:pPr>
            <w:r>
              <w:rPr/>
              <w:t>​</w:t>
            </w:r>
          </w:p>
        </w:tc>
        <w:tc>
          <w:tcPr>
            <w:tcW w:w="8838"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Equity Asset and Purchase Agreement, dated as of December 16, 2016, by and among American Railcar Leasing LLC, American Entertainment Properties Corp., AEP Rail Corp., SMBC Rail Services LLC and Sumitomo Mitsui Banking Corporation (incorporated by reference to Exhibit 2.1 to Icahn Enterprises’ and Icahn Enterprises Holdings’ joint Form 8-K (SEC File Nos. 1-9516 and 333-118021-01, respectively), filed on December 19, 2016)</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2.3</w:t>
            </w:r>
          </w:p>
        </w:tc>
        <w:tc>
          <w:tcPr>
            <w:tcW w:w="286" w:type="dxa"/>
            <w:tcBorders/>
            <w:vAlign w:val="center"/>
          </w:tcPr>
          <w:p>
            <w:pPr>
              <w:pStyle w:val="TableContents"/>
              <w:bidi w:val="0"/>
              <w:spacing w:before="0" w:after="0"/>
              <w:ind w:left="0" w:right="0" w:hanging="0"/>
              <w:jc w:val="left"/>
              <w:rPr/>
            </w:pPr>
            <w:r>
              <w:rPr/>
              <w:t>​</w:t>
            </w:r>
          </w:p>
        </w:tc>
        <w:tc>
          <w:tcPr>
            <w:tcW w:w="8838"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Membership Interest Purchase Agreement, dated April 10, 2018, by and among Tenneco Inc., Federal-Mogul LLC, American Entertainment Properties Corp., and Icahn Enterprises L.P. (incorporated by reference to Exhibit 2.1 to Icahn Enterprises’ and Icahn Enterprises Holdings’ joint Form 8-K (SEC File Nos. 1-9516 and 333-118021-01, respectively) filed April 10, 2018)</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2.4</w:t>
            </w:r>
          </w:p>
        </w:tc>
        <w:tc>
          <w:tcPr>
            <w:tcW w:w="286" w:type="dxa"/>
            <w:tcBorders/>
            <w:vAlign w:val="center"/>
          </w:tcPr>
          <w:p>
            <w:pPr>
              <w:pStyle w:val="TableContents"/>
              <w:bidi w:val="0"/>
              <w:spacing w:before="0" w:after="0"/>
              <w:ind w:left="0" w:right="0" w:hanging="0"/>
              <w:jc w:val="left"/>
              <w:rPr/>
            </w:pPr>
            <w:r>
              <w:rPr/>
              <w:t>​</w:t>
            </w:r>
          </w:p>
        </w:tc>
        <w:tc>
          <w:tcPr>
            <w:tcW w:w="8838"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Agreement and Plan of Merger, dated April 15, 2018, by and among Eldorado Resorts, Inc., Delta Merger Sub, Inc., GLP Capital, L.P. and Tropicana Entertainment Inc. (incorporated by reference to Exhibit 2.1 to Icahn Enterprises’ and Icahn Enterprises Holdings’ joint Form 8-K (SEC File Nos. 1-9516 and 333-118021-01, respectively) filed April 16, 2018)</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2.5</w:t>
            </w:r>
          </w:p>
        </w:tc>
        <w:tc>
          <w:tcPr>
            <w:tcW w:w="286" w:type="dxa"/>
            <w:tcBorders/>
            <w:vAlign w:val="center"/>
          </w:tcPr>
          <w:p>
            <w:pPr>
              <w:pStyle w:val="TableContents"/>
              <w:bidi w:val="0"/>
              <w:spacing w:before="0" w:after="0"/>
              <w:ind w:left="0" w:right="0" w:hanging="0"/>
              <w:jc w:val="left"/>
              <w:rPr/>
            </w:pPr>
            <w:r>
              <w:rPr/>
              <w:t>​</w:t>
            </w:r>
          </w:p>
        </w:tc>
        <w:tc>
          <w:tcPr>
            <w:tcW w:w="8838"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Agreement and Plan of Merger, dated as of October 22, 2018, by and between STL Parent Corp. and American Railcar Industries, Inc. (incorporated by reference to Exhibit 2.1 to Icahn Enterprises’ and Icahn Enterprises Holdings’ joint Form 8-K (SEC File Nos. 1-9516 and 333-118021-01, respectively) filed October 22, 2018)</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w:t>
            </w:r>
          </w:p>
        </w:tc>
        <w:tc>
          <w:tcPr>
            <w:tcW w:w="286" w:type="dxa"/>
            <w:tcBorders/>
            <w:vAlign w:val="center"/>
          </w:tcPr>
          <w:p>
            <w:pPr>
              <w:pStyle w:val="TableContents"/>
              <w:bidi w:val="0"/>
              <w:spacing w:before="0" w:after="30"/>
              <w:ind w:left="0" w:right="0" w:hanging="0"/>
              <w:jc w:val="center"/>
              <w:rPr/>
            </w:pPr>
            <w:r>
              <w:rPr/>
              <w:t> </w:t>
            </w:r>
          </w:p>
        </w:tc>
        <w:tc>
          <w:tcPr>
            <w:tcW w:w="8838"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Certificate of Limited Partnership of Icahn Enterprises L.P., f/k/a American Real Estate Partners, L.P. (“Icahn Enterprises”) dated February 17, 1987, as thereafter amended from time to time (incorporated by reference to Exhibit 3.1 to Icahn Enterprises’ Form 8-K (SEC File No. 1-9516), filed on September 20, 2007)</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w:t>
            </w:r>
          </w:p>
        </w:tc>
        <w:tc>
          <w:tcPr>
            <w:tcW w:w="286" w:type="dxa"/>
            <w:tcBorders/>
            <w:vAlign w:val="center"/>
          </w:tcPr>
          <w:p>
            <w:pPr>
              <w:pStyle w:val="TableContents"/>
              <w:bidi w:val="0"/>
              <w:spacing w:before="0" w:after="30"/>
              <w:ind w:left="0" w:right="0" w:hanging="0"/>
              <w:jc w:val="center"/>
              <w:rPr/>
            </w:pPr>
            <w:r>
              <w:rPr/>
              <w:t> </w:t>
            </w:r>
          </w:p>
        </w:tc>
        <w:tc>
          <w:tcPr>
            <w:tcW w:w="8838"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Certificate of Limited Partnership of Icahn Enterprises Holdings L.P., f/k/a American Real Estate Holdings Limited Partnership (“Icahn Enterprises Holdings”), dated February 17, 1987, as amended pursuant to the First Amendment thereto, dated March 10, 1987 (incorporated by reference to Exhibit 3.5 to Icahn Enterprises’ Form 10-Q for the quarter ended March 31, 2004 (SEC File No. 1-9516), filed on May 10, 2004), as further amended pursuant to the Certificate of Amendment thereto, dated September 17, 2007 (incorporated by reference to Exhibit 3.9 to Icahn Enterprises’ Form 10-K for the year ended December 31, 2007 (SEC File No. 1-9516), filed on March 17, 2008)</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3.3</w:t>
            </w:r>
          </w:p>
        </w:tc>
        <w:tc>
          <w:tcPr>
            <w:tcW w:w="286" w:type="dxa"/>
            <w:tcBorders/>
            <w:vAlign w:val="center"/>
          </w:tcPr>
          <w:p>
            <w:pPr>
              <w:pStyle w:val="TableContents"/>
              <w:bidi w:val="0"/>
              <w:spacing w:before="0" w:after="0"/>
              <w:ind w:left="0" w:right="0" w:hanging="0"/>
              <w:jc w:val="left"/>
              <w:rPr/>
            </w:pPr>
            <w:r>
              <w:rPr/>
              <w:t>​</w:t>
            </w:r>
          </w:p>
        </w:tc>
        <w:tc>
          <w:tcPr>
            <w:tcW w:w="8838"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4"/>
                </w:rPr>
                <w:t>Third Amended and Restated Agreement of Limited Partnership of Icahn Enterprises L.P., dated February 24, 2025</w:t>
              </w:r>
            </w:hyperlink>
            <w:hyperlink r:id="rId12">
              <w:r>
                <w:rPr>
                  <w:rStyle w:val="InternetLink"/>
                  <w:rFonts w:ascii="Times New Roman;Times;serif" w:hAnsi="Times New Roman;Times;serif"/>
                  <w:caps w:val="false"/>
                  <w:smallCaps w:val="false"/>
                  <w:sz w:val="24"/>
                </w:rPr>
                <w:t xml:space="preserve"> </w:t>
              </w:r>
            </w:hyperlink>
            <w:hyperlink r:id="rId13">
              <w:r>
                <w:rPr>
                  <w:rStyle w:val="InternetLink"/>
                  <w:rFonts w:ascii="Times New Roman;Times;serif" w:hAnsi="Times New Roman;Times;serif"/>
                  <w:b w:val="false"/>
                  <w:i w:val="false"/>
                  <w:caps w:val="false"/>
                  <w:smallCaps w:val="false"/>
                  <w:sz w:val="24"/>
                </w:rPr>
                <w:t>(incorporated by reference to Exhibit 3.3 to Icahn Enterprises’ Form 10-K for the year ended December 31, 2024 (SEC File No. 1-9516), filed on February 26, 2025).</w:t>
              </w:r>
            </w:hyperlink>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3.4</w:t>
            </w:r>
          </w:p>
        </w:tc>
        <w:tc>
          <w:tcPr>
            <w:tcW w:w="286" w:type="dxa"/>
            <w:tcBorders/>
            <w:vAlign w:val="center"/>
          </w:tcPr>
          <w:p>
            <w:pPr>
              <w:pStyle w:val="TableContents"/>
              <w:bidi w:val="0"/>
              <w:spacing w:before="0" w:after="0"/>
              <w:ind w:left="0" w:right="0" w:hanging="0"/>
              <w:jc w:val="left"/>
              <w:rPr/>
            </w:pPr>
            <w:r>
              <w:rPr/>
              <w:t>​</w:t>
            </w:r>
          </w:p>
        </w:tc>
        <w:tc>
          <w:tcPr>
            <w:tcW w:w="8838"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4"/>
                </w:rPr>
                <w:t>Second</w:t>
              </w:r>
            </w:hyperlink>
            <w:hyperlink r:id="rId15">
              <w:r>
                <w:rPr>
                  <w:rStyle w:val="InternetLink"/>
                  <w:rFonts w:ascii="Times New Roman;Times;serif" w:hAnsi="Times New Roman;Times;serif"/>
                  <w:caps w:val="false"/>
                  <w:smallCaps w:val="false"/>
                  <w:sz w:val="24"/>
                </w:rPr>
                <w:t xml:space="preserve"> </w:t>
              </w:r>
            </w:hyperlink>
            <w:hyperlink r:id="rId16">
              <w:r>
                <w:rPr>
                  <w:rStyle w:val="InternetLink"/>
                  <w:rFonts w:ascii="Times New Roman;Times;serif" w:hAnsi="Times New Roman;Times;serif"/>
                  <w:b w:val="false"/>
                  <w:i w:val="false"/>
                  <w:caps w:val="false"/>
                  <w:smallCaps w:val="false"/>
                  <w:sz w:val="24"/>
                </w:rPr>
                <w:t>Amended and Restated Agreement of Limited Partnership of Icahn Enterprises Holdings, dated as of February 24, 2025</w:t>
              </w:r>
            </w:hyperlink>
            <w:hyperlink r:id="rId17">
              <w:r>
                <w:rPr>
                  <w:rStyle w:val="InternetLink"/>
                  <w:rFonts w:ascii="Times New Roman;Times;serif" w:hAnsi="Times New Roman;Times;serif"/>
                  <w:caps w:val="false"/>
                  <w:smallCaps w:val="false"/>
                  <w:sz w:val="24"/>
                </w:rPr>
                <w:t xml:space="preserve"> </w:t>
              </w:r>
            </w:hyperlink>
            <w:hyperlink r:id="rId18">
              <w:r>
                <w:rPr>
                  <w:rStyle w:val="InternetLink"/>
                  <w:rFonts w:ascii="Times New Roman;Times;serif" w:hAnsi="Times New Roman;Times;serif"/>
                  <w:b w:val="false"/>
                  <w:i w:val="false"/>
                  <w:caps w:val="false"/>
                  <w:smallCaps w:val="false"/>
                  <w:sz w:val="24"/>
                </w:rPr>
                <w:t>(incorporated by reference to Exhibit 3.4 to Icahn Enterprises’ Form 10-K for the year ended December 31, 2024 (SEC File No. 1-9516), filed on February 26, 2025).</w:t>
              </w:r>
            </w:hyperlink>
            <w:r>
              <w:rPr>
                <w:rFonts w:ascii="Times New Roman;Times;serif" w:hAnsi="Times New Roman;Times;serif"/>
                <w:sz w:val="24"/>
              </w:rPr>
              <w:t xml:space="preserve"> </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4.1</w:t>
            </w:r>
          </w:p>
        </w:tc>
        <w:tc>
          <w:tcPr>
            <w:tcW w:w="286" w:type="dxa"/>
            <w:tcBorders/>
            <w:vAlign w:val="center"/>
          </w:tcPr>
          <w:p>
            <w:pPr>
              <w:pStyle w:val="TableContents"/>
              <w:bidi w:val="0"/>
              <w:spacing w:before="0" w:after="30"/>
              <w:ind w:left="0" w:right="0" w:hanging="0"/>
              <w:jc w:val="center"/>
              <w:rPr/>
            </w:pPr>
            <w:r>
              <w:rPr/>
              <w:t>​</w:t>
            </w:r>
          </w:p>
        </w:tc>
        <w:tc>
          <w:tcPr>
            <w:tcW w:w="8838"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Description of securities (incorporated by reference to Exhibit 4.1 to Icahn Enterprises’ and Icahn Enterprises Holdings’ joint Form 10-K for the year ended December 31, 2019 (SEC File Nos. 1-9516 and 333-118021-01, respectively), filed on February 28, 2020)</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4.2</w:t>
            </w:r>
          </w:p>
        </w:tc>
        <w:tc>
          <w:tcPr>
            <w:tcW w:w="286" w:type="dxa"/>
            <w:tcBorders/>
            <w:vAlign w:val="center"/>
          </w:tcPr>
          <w:p>
            <w:pPr>
              <w:pStyle w:val="TableContents"/>
              <w:bidi w:val="0"/>
              <w:spacing w:before="0" w:after="30"/>
              <w:ind w:left="0" w:right="0" w:hanging="0"/>
              <w:jc w:val="center"/>
              <w:rPr/>
            </w:pPr>
            <w:r>
              <w:rPr/>
              <w:t> </w:t>
            </w:r>
          </w:p>
        </w:tc>
        <w:tc>
          <w:tcPr>
            <w:tcW w:w="8838"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Form of Transfer Application (incorporated by reference to Exhibit 4.4 to Icahn Enterprises’ Form 10-K for the year ended December 31, 2004 (SEC File No. 1-9516), filed on March 16, 2005)</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4.3</w:t>
            </w:r>
          </w:p>
        </w:tc>
        <w:tc>
          <w:tcPr>
            <w:tcW w:w="286" w:type="dxa"/>
            <w:tcBorders/>
            <w:vAlign w:val="center"/>
          </w:tcPr>
          <w:p>
            <w:pPr>
              <w:pStyle w:val="TableContents"/>
              <w:bidi w:val="0"/>
              <w:spacing w:before="0" w:after="30"/>
              <w:ind w:left="0" w:right="0" w:hanging="0"/>
              <w:jc w:val="center"/>
              <w:rPr/>
            </w:pPr>
            <w:r>
              <w:rPr/>
              <w:t> </w:t>
            </w:r>
          </w:p>
        </w:tc>
        <w:tc>
          <w:tcPr>
            <w:tcW w:w="8838"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Specimen Depositary Receipt (incorporated by reference to Exhibit 4.3 to Icahn Enterprises’ Form 10-K for the year ended December 31, 2014 (SEC File No. 1-9516), filed on March 16, 2005)</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4.4</w:t>
            </w:r>
          </w:p>
        </w:tc>
        <w:tc>
          <w:tcPr>
            <w:tcW w:w="286" w:type="dxa"/>
            <w:tcBorders/>
            <w:vAlign w:val="center"/>
          </w:tcPr>
          <w:p>
            <w:pPr>
              <w:pStyle w:val="TableContents"/>
              <w:bidi w:val="0"/>
              <w:spacing w:before="0" w:after="0"/>
              <w:ind w:left="0" w:right="0" w:hanging="0"/>
              <w:jc w:val="left"/>
              <w:rPr/>
            </w:pPr>
            <w:r>
              <w:rPr/>
              <w:t>​</w:t>
            </w:r>
          </w:p>
        </w:tc>
        <w:tc>
          <w:tcPr>
            <w:tcW w:w="8838"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Specimen Depositary Certificate (incorporated by reference to Exhibit 4.1 to Icahn Enterprises’ Form 10-Q for the quarterly period ended June 30, 2016 (SEC File No. 1-9516), filed on August 4, 2016)</w:t>
              </w:r>
            </w:hyperlink>
            <w:r>
              <w:rPr>
                <w:rFonts w:ascii="Times New Roman;Times;serif" w:hAnsi="Times New Roman;Times;serif"/>
                <w:sz w:val="20"/>
              </w:rPr>
              <w:t>.</w:t>
            </w:r>
          </w:p>
        </w:tc>
      </w:tr>
      <w:tr>
        <w:trPr/>
        <w:tc>
          <w:tcPr>
            <w:tcW w:w="10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4.5</w:t>
            </w:r>
          </w:p>
        </w:tc>
        <w:tc>
          <w:tcPr>
            <w:tcW w:w="286" w:type="dxa"/>
            <w:tcBorders/>
            <w:vAlign w:val="center"/>
          </w:tcPr>
          <w:p>
            <w:pPr>
              <w:pStyle w:val="TableContents"/>
              <w:bidi w:val="0"/>
              <w:spacing w:before="0" w:after="30"/>
              <w:ind w:left="0" w:right="0" w:hanging="0"/>
              <w:jc w:val="center"/>
              <w:rPr/>
            </w:pPr>
            <w:r>
              <w:rPr/>
              <w:t> </w:t>
            </w:r>
          </w:p>
        </w:tc>
        <w:tc>
          <w:tcPr>
            <w:tcW w:w="8838"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Specimen Certificate representing preferred units (incorporated by reference to Exhibit 4.9 to Icahn Enterprises’ Form S-3/A (SEC File No. 33-54767), filed on February 22, 1995)</w:t>
              </w:r>
            </w:hyperlink>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1"/>
        <w:gridCol w:w="146"/>
        <w:gridCol w:w="9578"/>
      </w:tblGrid>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4.6</w:t>
            </w:r>
          </w:p>
        </w:tc>
        <w:tc>
          <w:tcPr>
            <w:tcW w:w="146" w:type="dxa"/>
            <w:tcBorders/>
            <w:vAlign w:val="center"/>
          </w:tcPr>
          <w:p>
            <w:pPr>
              <w:pStyle w:val="TableContents"/>
              <w:bidi w:val="0"/>
              <w:spacing w:before="0" w:after="30"/>
              <w:ind w:left="0" w:right="0" w:hanging="0"/>
              <w:jc w:val="center"/>
              <w:rPr/>
            </w:pPr>
            <w:r>
              <w:rPr/>
              <w:t> </w:t>
            </w:r>
          </w:p>
        </w:tc>
        <w:tc>
          <w:tcPr>
            <w:tcW w:w="9578"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Registration Rights Agreement between Icahn Enterprises and High Coast Limited Partnership (f/k/a X LP) (incorporated by reference to Exhibit 10.2 to Icahn Enterprises’ Form 10-K for the year ended December 31, 2004 (SEC File No. 1-9516), filed on March 16, 2005)</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4.7</w:t>
            </w:r>
          </w:p>
        </w:tc>
        <w:tc>
          <w:tcPr>
            <w:tcW w:w="146" w:type="dxa"/>
            <w:tcBorders/>
            <w:vAlign w:val="center"/>
          </w:tcPr>
          <w:p>
            <w:pPr>
              <w:pStyle w:val="TableContents"/>
              <w:bidi w:val="0"/>
              <w:spacing w:before="0" w:after="30"/>
              <w:ind w:left="0" w:right="0" w:hanging="0"/>
              <w:jc w:val="center"/>
              <w:rPr/>
            </w:pPr>
            <w:r>
              <w:rPr/>
              <w:t> </w:t>
            </w:r>
          </w:p>
        </w:tc>
        <w:tc>
          <w:tcPr>
            <w:tcW w:w="9578"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Registration Rights Agreement, dated June 30, 2005 between Icahn Enterprises and Highcrest Investors Corp., Amos Corp., Cyprus, LLC and Gascon Partners (incorporated by reference to Exhibit 10.6 to Icahn Enterprises’ Form 10-Q (SEC File No. 1-9516), filed on August 9, 2005), as amended by Amendment No. 1 thereto, dated as of August 8, 2007 (incorporated by reference to Exhibit 10.5 to Icahn Enterprises’ Form 10-Q for the quarter ended June 30, 2007 (SEC File No. 1-9516), filed on August 9, 2007)</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4.8</w:t>
            </w:r>
          </w:p>
        </w:tc>
        <w:tc>
          <w:tcPr>
            <w:tcW w:w="146" w:type="dxa"/>
            <w:tcBorders/>
            <w:vAlign w:val="center"/>
          </w:tcPr>
          <w:p>
            <w:pPr>
              <w:pStyle w:val="TableContents"/>
              <w:bidi w:val="0"/>
              <w:spacing w:before="0" w:after="30"/>
              <w:ind w:left="0" w:right="0" w:hanging="0"/>
              <w:jc w:val="center"/>
              <w:rPr/>
            </w:pPr>
            <w:r>
              <w:rPr/>
              <w:t> </w:t>
            </w:r>
          </w:p>
        </w:tc>
        <w:tc>
          <w:tcPr>
            <w:tcW w:w="9578"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4"/>
                </w:rPr>
                <w:t>Amended and Restated Depositary Agreement among Icahn Enterprises, Icahn Enterprises GP and Computershare Inc., dated as of August 2, 2016 (incorporated by reference to Exhibit 4.1 to Icahn Enterprises’ Form 10-Q for the quarter ended June 30, 2023 (SEC File No. 1-9516), filed on August 4, 2023).</w:t>
              </w:r>
            </w:hyperlink>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4.9</w:t>
            </w:r>
          </w:p>
        </w:tc>
        <w:tc>
          <w:tcPr>
            <w:tcW w:w="146" w:type="dxa"/>
            <w:tcBorders/>
            <w:vAlign w:val="center"/>
          </w:tcPr>
          <w:p>
            <w:pPr>
              <w:pStyle w:val="TableContents"/>
              <w:bidi w:val="0"/>
              <w:spacing w:before="0" w:after="30"/>
              <w:ind w:left="0" w:right="0" w:hanging="0"/>
              <w:jc w:val="center"/>
              <w:rPr/>
            </w:pPr>
            <w:r>
              <w:rPr/>
              <w:t>​</w:t>
            </w:r>
          </w:p>
        </w:tc>
        <w:tc>
          <w:tcPr>
            <w:tcW w:w="9578"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Indenture, dated as of May 10, 2019, among Icahn Enterprises, Icahn Enterprises Finance, Icahn Enterprises Holdings, as Guarantor, and Wilmington Trust Company, as Trustee relating to the 6.250% Senior Notes Due 2026 incorporated by reference to Exhibit 4.1 to Icahn Enterprises’ and Icahn Enterprises Holdings’ joint Form 8-K (SEC File Nos. 1-9516 and 333-118021-01, respectively), filed on May 10, 2019)</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4.10</w:t>
            </w:r>
          </w:p>
        </w:tc>
        <w:tc>
          <w:tcPr>
            <w:tcW w:w="146" w:type="dxa"/>
            <w:tcBorders/>
            <w:vAlign w:val="center"/>
          </w:tcPr>
          <w:p>
            <w:pPr>
              <w:pStyle w:val="TableContents"/>
              <w:bidi w:val="0"/>
              <w:spacing w:before="0" w:after="30"/>
              <w:ind w:left="0" w:right="0" w:hanging="0"/>
              <w:jc w:val="center"/>
              <w:rPr/>
            </w:pPr>
            <w:r>
              <w:rPr/>
              <w:t> </w:t>
            </w:r>
          </w:p>
        </w:tc>
        <w:tc>
          <w:tcPr>
            <w:tcW w:w="9578"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Indenture, dated as of December 12, 2019, among Icahn Enterprises, Icahn Enterprises Finance, Icahn Enterprises Holdings, as Guarantor, and Wilmington Trust Company, as Trustee relating to the 5.250% Senior Notes Due 2027 incorporated by reference to Exhibit 4.1 to Icahn Enterprises’ and Icahn Enterprises Holdings’ joint Form 8-K (SEC File Nos. 1-9516 and 333-118021-01, respectively), filed on December 12, 2019)</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4.11</w:t>
            </w:r>
          </w:p>
        </w:tc>
        <w:tc>
          <w:tcPr>
            <w:tcW w:w="146" w:type="dxa"/>
            <w:tcBorders/>
            <w:vAlign w:val="center"/>
          </w:tcPr>
          <w:p>
            <w:pPr>
              <w:pStyle w:val="TableContents"/>
              <w:bidi w:val="0"/>
              <w:spacing w:before="0" w:after="0"/>
              <w:ind w:left="0" w:right="0" w:hanging="0"/>
              <w:jc w:val="left"/>
              <w:rPr/>
            </w:pPr>
            <w:r>
              <w:rPr/>
              <w:t>​</w:t>
            </w:r>
          </w:p>
        </w:tc>
        <w:tc>
          <w:tcPr>
            <w:tcW w:w="9578"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Indenture, dated as of January 19, 2021, among Icahn Enterprises, Icahn Enterprises Finance, Icahn Enterprises Holdings, as Guarantor, and Wilmington Trust Company, as Trustee relating to the 4.375% Senior Notes Due 2029 incorporated by reference to Exhibit 4.1 to Icahn Enterprises’ and Icahn Enterprises Holdings’ joint Form 8-K (SEC File Nos. 1-9516 and 333-118021-01, respectively), filed on January 19, 2021)</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4.12</w:t>
            </w:r>
          </w:p>
        </w:tc>
        <w:tc>
          <w:tcPr>
            <w:tcW w:w="146" w:type="dxa"/>
            <w:tcBorders/>
            <w:vAlign w:val="center"/>
          </w:tcPr>
          <w:p>
            <w:pPr>
              <w:pStyle w:val="TableContents"/>
              <w:bidi w:val="0"/>
              <w:spacing w:before="0" w:after="0"/>
              <w:ind w:left="0" w:right="0" w:hanging="0"/>
              <w:jc w:val="left"/>
              <w:rPr/>
            </w:pPr>
            <w:r>
              <w:rPr/>
              <w:t>​</w:t>
            </w:r>
          </w:p>
        </w:tc>
        <w:tc>
          <w:tcPr>
            <w:tcW w:w="9578"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Indenture, dated as of December 19, 2023, among Icahn Enterprises, Icahn Enterprises Finance, Icahn Enterprises Holdings, as Guarantor, and Wilmington Trust, National Association, as Trustee, relating to the 9.750% Senior Notes Due 2029 (incorporated by reference to Exhibit 4.1 to Icahn Enterprises’ Form 8-K (SEC File No. 1-9516), filed on December 19, 2023)</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4.13</w:t>
            </w:r>
          </w:p>
        </w:tc>
        <w:tc>
          <w:tcPr>
            <w:tcW w:w="146" w:type="dxa"/>
            <w:tcBorders/>
            <w:vAlign w:val="center"/>
          </w:tcPr>
          <w:p>
            <w:pPr>
              <w:pStyle w:val="TableContents"/>
              <w:bidi w:val="0"/>
              <w:spacing w:before="0" w:after="0"/>
              <w:ind w:left="0" w:right="0" w:hanging="0"/>
              <w:jc w:val="left"/>
              <w:rPr>
                <w:shd w:fill="FFFF00" w:val="clear"/>
              </w:rPr>
            </w:pPr>
            <w:r>
              <w:rPr>
                <w:shd w:fill="FFFF00" w:val="clear"/>
              </w:rPr>
              <w:t>​</w:t>
            </w:r>
          </w:p>
        </w:tc>
        <w:tc>
          <w:tcPr>
            <w:tcW w:w="9578"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4"/>
                </w:rPr>
                <w:t>Indenture, dated May 28, 2024, among Icahn Enterprises L.P., Icahn Enterprises Finance Corp., Icahn Enterprises Holdings L.P., as guarantor, and Wilmington Trust, National Association, as trustee relating to the 9.000% Senior Notes due 2030 (incorporated by reference to Exhibit 4.1 to Icahn Enterprises’ Form 8-K (SEC File No. 1-9516) filed on May 28, 2024).</w:t>
              </w:r>
            </w:hyperlink>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4.14</w:t>
            </w:r>
          </w:p>
        </w:tc>
        <w:tc>
          <w:tcPr>
            <w:tcW w:w="146" w:type="dxa"/>
            <w:tcBorders/>
            <w:vAlign w:val="center"/>
          </w:tcPr>
          <w:p>
            <w:pPr>
              <w:pStyle w:val="TableContents"/>
              <w:bidi w:val="0"/>
              <w:spacing w:before="0" w:after="0"/>
              <w:ind w:left="0" w:right="0" w:hanging="0"/>
              <w:jc w:val="left"/>
              <w:rPr>
                <w:shd w:fill="FFFF00" w:val="clear"/>
              </w:rPr>
            </w:pPr>
            <w:r>
              <w:rPr>
                <w:shd w:fill="FFFF00" w:val="clear"/>
              </w:rPr>
              <w:t>​</w:t>
            </w:r>
          </w:p>
        </w:tc>
        <w:tc>
          <w:tcPr>
            <w:tcW w:w="9578"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4"/>
                </w:rPr>
                <w:t>Indenture, dated November 20, 2024, among Icahn Enterprises L.P., Icahn Enterprises Finance Corp., Icahn Enterprises Holdings L.P., as guarantor, and Wilmington Trust, National Association, as trustee relating to the 10.000% Senior Notes due 2029 (incorporated by reference to Exhibit 4.1 to Icahn Enterprises’ Form 8-K (SEC File No. 1-9516) filed on November 21, 2024).</w:t>
              </w:r>
            </w:hyperlink>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4.15</w:t>
            </w:r>
          </w:p>
        </w:tc>
        <w:tc>
          <w:tcPr>
            <w:tcW w:w="146" w:type="dxa"/>
            <w:tcBorders/>
            <w:vAlign w:val="center"/>
          </w:tcPr>
          <w:p>
            <w:pPr>
              <w:pStyle w:val="TableContents"/>
              <w:bidi w:val="0"/>
              <w:spacing w:before="0" w:after="0"/>
              <w:ind w:left="0" w:right="0" w:hanging="0"/>
              <w:jc w:val="left"/>
              <w:rPr>
                <w:shd w:fill="FFFF00" w:val="clear"/>
              </w:rPr>
            </w:pPr>
            <w:r>
              <w:rPr>
                <w:shd w:fill="FFFF00" w:val="clear"/>
              </w:rPr>
              <w:t>​</w:t>
            </w:r>
          </w:p>
        </w:tc>
        <w:tc>
          <w:tcPr>
            <w:tcW w:w="9578"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4"/>
                </w:rPr>
                <w:t>First Supplemental Indenture, dated August 19, 2025, among Icahn Enterprises L.P., Icahn Enterprises Finance Corp., Icahn Enterprises Holdings L.P., as guarantor, and Wilmington Trust, National Association, as trustee and notes collateral agent relating to the 10.000% Senior Notes due 2029 (incorporated by reference to Exhibit 4.2 to Icahn Enterprises’ Form 8-K (SEC File No.1-9516) filed on August 19, 2025).</w:t>
              </w:r>
            </w:hyperlink>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4.16</w:t>
            </w:r>
          </w:p>
        </w:tc>
        <w:tc>
          <w:tcPr>
            <w:tcW w:w="146" w:type="dxa"/>
            <w:tcBorders/>
            <w:vAlign w:val="center"/>
          </w:tcPr>
          <w:p>
            <w:pPr>
              <w:pStyle w:val="TableContents"/>
              <w:bidi w:val="0"/>
              <w:spacing w:before="0" w:after="0"/>
              <w:ind w:left="0" w:right="0" w:hanging="0"/>
              <w:jc w:val="left"/>
              <w:rPr>
                <w:shd w:fill="FFFF00" w:val="clear"/>
              </w:rPr>
            </w:pPr>
            <w:r>
              <w:rPr>
                <w:shd w:fill="FFFF00" w:val="clear"/>
              </w:rPr>
              <w:t>​</w:t>
            </w:r>
          </w:p>
        </w:tc>
        <w:tc>
          <w:tcPr>
            <w:tcW w:w="9578"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4"/>
                </w:rPr>
                <w:t>Shareholders Agreement, dated as of October 1, 2018, by and among Icahn Enterprises L.P., Icahn Enterprises Holdings L.P., American Entertainment Properties Corp. and Tenneco Inc. (incorporated by reference to Exhibit 4.1 to Icahn Enterprises’ and Icahn Enterprises Holdings’ joint Form 8-K (SEC File Nos. 1-9516 and 333-118021-01, respectively) file October 2, 2018).</w:t>
              </w:r>
            </w:hyperlink>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w:t>
            </w:r>
          </w:p>
        </w:tc>
        <w:tc>
          <w:tcPr>
            <w:tcW w:w="146" w:type="dxa"/>
            <w:tcBorders/>
            <w:vAlign w:val="center"/>
          </w:tcPr>
          <w:p>
            <w:pPr>
              <w:pStyle w:val="TableContents"/>
              <w:bidi w:val="0"/>
              <w:spacing w:before="0" w:after="30"/>
              <w:ind w:left="0" w:right="0" w:hanging="0"/>
              <w:jc w:val="center"/>
              <w:rPr/>
            </w:pPr>
            <w:r>
              <w:rPr/>
              <w:t> </w:t>
            </w:r>
          </w:p>
        </w:tc>
        <w:tc>
          <w:tcPr>
            <w:tcW w:w="9578"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Amended and Restated Agency Agreement (incorporated by reference to Exhibit 10.12 to Icahn Enterprises’ Form 10-K for the year ended December 31, 1994 (SEC File No. 1-9516), filed on March 31, 1995)</w:t>
              </w:r>
            </w:hyperlink>
            <w:r>
              <w:rPr>
                <w:rFonts w:ascii="Times New Roman;Times;serif" w:hAnsi="Times New Roman;Times;serif"/>
                <w:sz w:val="20"/>
              </w:rPr>
              <w:t>.</w:t>
            </w:r>
          </w:p>
        </w:tc>
      </w:tr>
      <w:tr>
        <w:trPr/>
        <w:tc>
          <w:tcPr>
            <w:tcW w:w="481"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10.2</w:t>
            </w:r>
          </w:p>
        </w:tc>
        <w:tc>
          <w:tcPr>
            <w:tcW w:w="146" w:type="dxa"/>
            <w:tcBorders/>
            <w:vAlign w:val="center"/>
          </w:tcPr>
          <w:p>
            <w:pPr>
              <w:pStyle w:val="TableContents"/>
              <w:bidi w:val="0"/>
              <w:spacing w:before="0" w:after="30"/>
              <w:ind w:left="0" w:right="0" w:hanging="0"/>
              <w:jc w:val="center"/>
              <w:rPr/>
            </w:pPr>
            <w:r>
              <w:rPr/>
              <w:t> </w:t>
            </w:r>
          </w:p>
        </w:tc>
        <w:tc>
          <w:tcPr>
            <w:tcW w:w="9578"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Undertaking, dated November 20, 1998, by Starfire Holding Corporation, for the benefit of Icahn Enterprises and its subsidiaries (incorporated by reference to Exhibit 10.42 to Icahn Enterprises’ Form 10-K for the year ended December 31, 2005 (SEC File No. 1-9516), filed on March 16, 2006)</w:t>
              </w:r>
            </w:hyperlink>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44"/>
        <w:gridCol w:w="146"/>
        <w:gridCol w:w="9415"/>
      </w:tblGrid>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10.3</w:t>
            </w:r>
          </w:p>
        </w:tc>
        <w:tc>
          <w:tcPr>
            <w:tcW w:w="146" w:type="dxa"/>
            <w:tcBorders/>
            <w:vAlign w:val="center"/>
          </w:tcPr>
          <w:p>
            <w:pPr>
              <w:pStyle w:val="TableContents"/>
              <w:bidi w:val="0"/>
              <w:spacing w:before="0" w:after="0"/>
              <w:ind w:left="0" w:right="0" w:hanging="0"/>
              <w:jc w:val="left"/>
              <w:rPr/>
            </w:pPr>
            <w:r>
              <w:rPr/>
              <w:t>​</w:t>
            </w:r>
          </w:p>
        </w:tc>
        <w:tc>
          <w:tcPr>
            <w:tcW w:w="9415"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Covered Affiliate and Shared Expenses Agreement by and among Icahn Enterprises, Icahn Partners LP, Icahn Fund Ltd., Icahn Fund II Ltd., Icahn Fund III Ltd., Icahn Partners Master Fund L.P., Icahn Partners Master Fund II L.P., Icahn Partners Master Fund III L.P., Icahn Cayman Partners, L.P. and Icahn Partners Master Fund II Feeder LP (incorporated by reference to Exhibit 10.4 to Icahn Enterprises’ Form 10-Q for the quarter ended June 30, 2007 (SEC File No. 1-9516), filed on August 9, 2007)</w:t>
              </w:r>
            </w:hyperlink>
            <w:r>
              <w:rPr>
                <w:rFonts w:ascii="Times New Roman;Times;serif" w:hAnsi="Times New Roman;Times;serif"/>
                <w:sz w:val="20"/>
              </w:rPr>
              <w:t>.</w:t>
            </w:r>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30"/>
              <w:ind w:left="0" w:right="0" w:hanging="0"/>
              <w:jc w:val="center"/>
              <w:rPr/>
            </w:pPr>
            <w:r>
              <w:rPr/>
              <w:t>​</w:t>
            </w:r>
          </w:p>
        </w:tc>
        <w:tc>
          <w:tcPr>
            <w:tcW w:w="9415" w:type="dxa"/>
            <w:tcBorders/>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Manager Agreement, dated October 1, 2020, among Icahn Enterprises, Icahn Capital LP, Icahn Partners Master Fund LP, Brett Icahn and Isthmus LLC (incorporated by reference to Exhibit 10.1 to Icahn Enterprises’ and Icahn Enterprises Holdings’ joint Form 8-K (SEC File Nos. 1-9516 and 333-118021-01, respectively), filed on October 1, 2020)</w:t>
              </w:r>
            </w:hyperlink>
            <w:r>
              <w:rPr>
                <w:rFonts w:ascii="Times New Roman;Times;serif" w:hAnsi="Times New Roman;Times;serif"/>
                <w:sz w:val="20"/>
              </w:rPr>
              <w:t>. †</w:t>
            </w:r>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10.5</w:t>
            </w:r>
          </w:p>
        </w:tc>
        <w:tc>
          <w:tcPr>
            <w:tcW w:w="146" w:type="dxa"/>
            <w:tcBorders/>
            <w:vAlign w:val="center"/>
          </w:tcPr>
          <w:p>
            <w:pPr>
              <w:pStyle w:val="TableContents"/>
              <w:bidi w:val="0"/>
              <w:spacing w:before="0" w:after="30"/>
              <w:ind w:left="0" w:right="0" w:hanging="0"/>
              <w:jc w:val="center"/>
              <w:rPr/>
            </w:pPr>
            <w:r>
              <w:rPr/>
              <w:t>​</w:t>
            </w:r>
          </w:p>
        </w:tc>
        <w:tc>
          <w:tcPr>
            <w:tcW w:w="9415" w:type="dxa"/>
            <w:tcBorders/>
            <w:vAlign w:val="center"/>
          </w:tcPr>
          <w:p>
            <w:pPr>
              <w:pStyle w:val="TableContents"/>
              <w:bidi w:val="0"/>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rPr>
                <w:t>Amendment No. 1 dated May 5, 2022 to the Management Agreement, dated October 1, 2020, among Icahn Enterprises, Icahn Capital LP, Brett Icahn, Isthmus LLC, Icahn Partners LP, and Icahn Partners Master Fund LP (incorporated by reference to Exhibit 10.1 to Icahn Enterprises’ Form 10-Q for the quarter ended March 31, 2022 (SEC File No. 1-9516) filed on May 6, 2022).</w:t>
              </w:r>
            </w:hyperlink>
            <w:r>
              <w:rPr>
                <w:rFonts w:ascii="Times New Roman;Times;serif" w:hAnsi="Times New Roman;Times;serif"/>
                <w:sz w:val="20"/>
              </w:rPr>
              <w:t xml:space="preserve"> †</w:t>
            </w:r>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10.6</w:t>
            </w:r>
          </w:p>
        </w:tc>
        <w:tc>
          <w:tcPr>
            <w:tcW w:w="146" w:type="dxa"/>
            <w:tcBorders/>
            <w:vAlign w:val="center"/>
          </w:tcPr>
          <w:p>
            <w:pPr>
              <w:pStyle w:val="TableContents"/>
              <w:bidi w:val="0"/>
              <w:spacing w:before="0" w:after="30"/>
              <w:ind w:left="0" w:right="0" w:hanging="0"/>
              <w:jc w:val="center"/>
              <w:rPr/>
            </w:pPr>
            <w:r>
              <w:rPr/>
              <w:t>​</w:t>
            </w:r>
          </w:p>
        </w:tc>
        <w:tc>
          <w:tcPr>
            <w:tcW w:w="9415" w:type="dxa"/>
            <w:tcBorders/>
            <w:vAlign w:val="center"/>
          </w:tcPr>
          <w:p>
            <w:pPr>
              <w:pStyle w:val="TableContents"/>
              <w:bidi w:val="0"/>
              <w:spacing w:before="0" w:after="0"/>
              <w:ind w:left="0" w:right="0" w:hanging="0"/>
              <w:jc w:val="left"/>
              <w:rPr/>
            </w:pPr>
            <w:hyperlink r:id="rId40">
              <w:r>
                <w:rPr>
                  <w:rStyle w:val="InternetLink"/>
                  <w:rFonts w:ascii="Times New Roman;Times;serif" w:hAnsi="Times New Roman;Times;serif"/>
                  <w:b w:val="false"/>
                  <w:i w:val="false"/>
                  <w:caps w:val="false"/>
                  <w:smallCaps w:val="false"/>
                  <w:sz w:val="24"/>
                </w:rPr>
                <w:t>Guaranty, dated October 1, 2020, between American Entertainment Properties Corp. and Isthmus LLC (incorporated by reference to Exhibit 10.2 to Icahn Enterprises’ and Icahn Enterprises Holdings’ joint Form 8-K (SEC File Nos. 1-9516 and 333-118021-01, respectively), filed on October 1, 2020)</w:t>
              </w:r>
            </w:hyperlink>
            <w:r>
              <w:rPr>
                <w:rFonts w:ascii="Times New Roman;Times;serif" w:hAnsi="Times New Roman;Times;serif"/>
                <w:sz w:val="24"/>
              </w:rPr>
              <w:t>.</w:t>
            </w:r>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10.7</w:t>
            </w:r>
          </w:p>
        </w:tc>
        <w:tc>
          <w:tcPr>
            <w:tcW w:w="146" w:type="dxa"/>
            <w:tcBorders/>
            <w:vAlign w:val="center"/>
          </w:tcPr>
          <w:p>
            <w:pPr>
              <w:pStyle w:val="TableContents"/>
              <w:bidi w:val="0"/>
              <w:spacing w:before="0" w:after="30"/>
              <w:ind w:left="0" w:right="0" w:hanging="0"/>
              <w:jc w:val="center"/>
              <w:rPr/>
            </w:pPr>
            <w:r>
              <w:rPr/>
              <w:t>​</w:t>
            </w:r>
          </w:p>
        </w:tc>
        <w:tc>
          <w:tcPr>
            <w:tcW w:w="9415" w:type="dxa"/>
            <w:tcBorders/>
            <w:vAlign w:val="center"/>
          </w:tcPr>
          <w:p>
            <w:pPr>
              <w:pStyle w:val="TableContents"/>
              <w:bidi w:val="0"/>
              <w:spacing w:before="0" w:after="0"/>
              <w:ind w:left="0" w:right="0" w:hanging="0"/>
              <w:jc w:val="left"/>
              <w:rPr/>
            </w:pPr>
            <w:hyperlink r:id="rId41">
              <w:r>
                <w:rPr>
                  <w:rStyle w:val="InternetLink"/>
                  <w:rFonts w:ascii="Times New Roman;Times;serif" w:hAnsi="Times New Roman;Times;serif"/>
                  <w:b w:val="false"/>
                  <w:i w:val="false"/>
                  <w:caps w:val="false"/>
                  <w:smallCaps w:val="false"/>
                  <w:sz w:val="24"/>
                </w:rPr>
                <w:t>Restricted Unit Agreement, dated October 1, 2020, between Icahn Enterprises and Brett Icahn (incorporated by reference to Exhibit 10.3 to Icahn Enterprises’ and Icahn Enterprises Holdings’ joint Form 8-K (SEC File Nos. 1-9516 and 333-118021-01, respectively), filed on October 1, 2020)</w:t>
              </w:r>
            </w:hyperlink>
            <w:r>
              <w:rPr>
                <w:rFonts w:ascii="Times New Roman;Times;serif" w:hAnsi="Times New Roman;Times;serif"/>
                <w:sz w:val="24"/>
              </w:rPr>
              <w:t>.</w:t>
            </w:r>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10.8</w:t>
            </w:r>
          </w:p>
        </w:tc>
        <w:tc>
          <w:tcPr>
            <w:tcW w:w="146" w:type="dxa"/>
            <w:tcBorders/>
            <w:vAlign w:val="center"/>
          </w:tcPr>
          <w:p>
            <w:pPr>
              <w:pStyle w:val="TableContents"/>
              <w:bidi w:val="0"/>
              <w:spacing w:before="0" w:after="30"/>
              <w:ind w:left="0" w:right="0" w:hanging="0"/>
              <w:jc w:val="center"/>
              <w:rPr/>
            </w:pPr>
            <w:r>
              <w:rPr/>
              <w:t>​</w:t>
            </w:r>
          </w:p>
        </w:tc>
        <w:tc>
          <w:tcPr>
            <w:tcW w:w="9415" w:type="dxa"/>
            <w:tcBorders/>
            <w:vAlign w:val="center"/>
          </w:tcPr>
          <w:p>
            <w:pPr>
              <w:pStyle w:val="TableContents"/>
              <w:bidi w:val="0"/>
              <w:spacing w:before="0" w:after="0"/>
              <w:ind w:left="0" w:right="0" w:hanging="0"/>
              <w:jc w:val="left"/>
              <w:rPr/>
            </w:pPr>
            <w:hyperlink r:id="rId42">
              <w:r>
                <w:rPr>
                  <w:rStyle w:val="InternetLink"/>
                  <w:rFonts w:ascii="Times New Roman;Times;serif" w:hAnsi="Times New Roman;Times;serif"/>
                  <w:b w:val="false"/>
                  <w:i w:val="false"/>
                  <w:caps w:val="false"/>
                  <w:smallCaps w:val="false"/>
                  <w:sz w:val="24"/>
                </w:rPr>
                <w:t>Icahn Enterprises L.P. 2017 Long Term Incentive Plan (incorporated by reference to Exhibit 99.1 to Icahn Enterprises’ Form S-8 (SEC File No. 333-216934) filed on March 24, 2017). †</w:t>
              </w:r>
            </w:hyperlink>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10.9</w:t>
            </w:r>
          </w:p>
        </w:tc>
        <w:tc>
          <w:tcPr>
            <w:tcW w:w="146" w:type="dxa"/>
            <w:tcBorders/>
            <w:vAlign w:val="center"/>
          </w:tcPr>
          <w:p>
            <w:pPr>
              <w:pStyle w:val="TableContents"/>
              <w:bidi w:val="0"/>
              <w:spacing w:before="0" w:after="30"/>
              <w:ind w:left="0" w:right="0" w:hanging="0"/>
              <w:jc w:val="center"/>
              <w:rPr/>
            </w:pPr>
            <w:r>
              <w:rPr/>
              <w:t>​</w:t>
            </w:r>
          </w:p>
        </w:tc>
        <w:tc>
          <w:tcPr>
            <w:tcW w:w="9415" w:type="dxa"/>
            <w:tcBorders/>
            <w:vAlign w:val="center"/>
          </w:tcPr>
          <w:p>
            <w:pPr>
              <w:pStyle w:val="TableContents"/>
              <w:bidi w:val="0"/>
              <w:spacing w:before="0" w:after="0"/>
              <w:ind w:left="0" w:right="0" w:hanging="0"/>
              <w:jc w:val="left"/>
              <w:rPr/>
            </w:pPr>
            <w:hyperlink r:id="rId43">
              <w:r>
                <w:rPr>
                  <w:rStyle w:val="InternetLink"/>
                  <w:rFonts w:ascii="Times New Roman;Times;serif" w:hAnsi="Times New Roman;Times;serif"/>
                  <w:b w:val="false"/>
                  <w:i w:val="false"/>
                  <w:caps w:val="false"/>
                  <w:smallCaps w:val="false"/>
                  <w:sz w:val="20"/>
                </w:rPr>
                <w:t>Employment Agreement with Andrew J. Teno, dated February 21, 2024 (incorporated by reference to Exhibit 10.1 to Icahn Enterprises’ Form 8-K (SEC File No. 1-9516), filed on February 21, 2024).</w:t>
              </w:r>
            </w:hyperlink>
            <w:r>
              <w:rPr>
                <w:rFonts w:ascii="Times New Roman;Times;serif" w:hAnsi="Times New Roman;Times;serif"/>
                <w:sz w:val="20"/>
              </w:rPr>
              <w:t xml:space="preserve"> †</w:t>
            </w:r>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10.10</w:t>
            </w:r>
          </w:p>
        </w:tc>
        <w:tc>
          <w:tcPr>
            <w:tcW w:w="146" w:type="dxa"/>
            <w:tcBorders/>
            <w:vAlign w:val="center"/>
          </w:tcPr>
          <w:p>
            <w:pPr>
              <w:pStyle w:val="TableContents"/>
              <w:bidi w:val="0"/>
              <w:spacing w:before="0" w:after="30"/>
              <w:ind w:left="0" w:right="0" w:hanging="0"/>
              <w:jc w:val="center"/>
              <w:rPr/>
            </w:pPr>
            <w:r>
              <w:rPr/>
              <w:t>​</w:t>
            </w:r>
          </w:p>
        </w:tc>
        <w:tc>
          <w:tcPr>
            <w:tcW w:w="9415" w:type="dxa"/>
            <w:tcBorders/>
            <w:vAlign w:val="center"/>
          </w:tcPr>
          <w:p>
            <w:pPr>
              <w:pStyle w:val="TableContents"/>
              <w:bidi w:val="0"/>
              <w:spacing w:before="0" w:after="0"/>
              <w:ind w:left="0" w:right="0" w:hanging="0"/>
              <w:jc w:val="left"/>
              <w:rPr/>
            </w:pPr>
            <w:hyperlink r:id="rId44">
              <w:r>
                <w:rPr>
                  <w:rStyle w:val="InternetLink"/>
                  <w:rFonts w:ascii="Times New Roman;Times;serif" w:hAnsi="Times New Roman;Times;serif"/>
                  <w:b w:val="false"/>
                  <w:i w:val="false"/>
                  <w:caps w:val="false"/>
                  <w:smallCaps w:val="false"/>
                  <w:sz w:val="24"/>
                </w:rPr>
                <w:t>Employment Letter Agreement, dated September 26, 2024, by and between Icahn Enterprises and Ted Papapostolou (incorporated by reference to Exhibit 10.1 to Icahn Enterprises’ Form 8-K (SEC File No. 1-9516), filed on September 27, 2024) †</w:t>
              </w:r>
            </w:hyperlink>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14.1</w:t>
            </w:r>
          </w:p>
        </w:tc>
        <w:tc>
          <w:tcPr>
            <w:tcW w:w="146" w:type="dxa"/>
            <w:tcBorders/>
            <w:vAlign w:val="center"/>
          </w:tcPr>
          <w:p>
            <w:pPr>
              <w:pStyle w:val="TableContents"/>
              <w:bidi w:val="0"/>
              <w:spacing w:before="0" w:after="30"/>
              <w:ind w:left="0" w:right="0" w:hanging="0"/>
              <w:jc w:val="center"/>
              <w:rPr/>
            </w:pPr>
            <w:r>
              <w:rPr/>
              <w:t> </w:t>
            </w:r>
          </w:p>
        </w:tc>
        <w:tc>
          <w:tcPr>
            <w:tcW w:w="9415" w:type="dxa"/>
            <w:tcBorders/>
            <w:vAlign w:val="center"/>
          </w:tcPr>
          <w:p>
            <w:pPr>
              <w:pStyle w:val="TableContents"/>
              <w:bidi w:val="0"/>
              <w:spacing w:before="0" w:after="0"/>
              <w:ind w:left="0" w:right="0" w:hanging="0"/>
              <w:jc w:val="left"/>
              <w:rPr/>
            </w:pPr>
            <w:hyperlink r:id="rId45">
              <w:r>
                <w:rPr>
                  <w:rStyle w:val="InternetLink"/>
                  <w:rFonts w:ascii="Times New Roman;Times;serif" w:hAnsi="Times New Roman;Times;serif"/>
                  <w:b w:val="false"/>
                  <w:i w:val="false"/>
                  <w:caps w:val="false"/>
                  <w:smallCaps w:val="false"/>
                  <w:sz w:val="20"/>
                </w:rPr>
                <w:t>Code of Business Conduct and Ethics (incorporated by reference to Exhibit 14.1 to Icahn Enterprises’ Form 10-Q for the quarter ended September 30, 2012 (SEC File No. 1-9516), filed on November 7, 2012)</w:t>
              </w:r>
            </w:hyperlink>
            <w:r>
              <w:rPr>
                <w:rFonts w:ascii="Times New Roman;Times;serif" w:hAnsi="Times New Roman;Times;serif"/>
                <w:sz w:val="20"/>
              </w:rPr>
              <w:t>.</w:t>
            </w:r>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19.1</w:t>
            </w:r>
          </w:p>
        </w:tc>
        <w:tc>
          <w:tcPr>
            <w:tcW w:w="146" w:type="dxa"/>
            <w:tcBorders/>
            <w:vAlign w:val="center"/>
          </w:tcPr>
          <w:p>
            <w:pPr>
              <w:pStyle w:val="TableContents"/>
              <w:bidi w:val="0"/>
              <w:spacing w:before="0" w:after="30"/>
              <w:ind w:left="0" w:right="0" w:hanging="0"/>
              <w:jc w:val="center"/>
              <w:rPr/>
            </w:pPr>
            <w:r>
              <w:rPr/>
              <w:t>​</w:t>
            </w:r>
          </w:p>
        </w:tc>
        <w:tc>
          <w:tcPr>
            <w:tcW w:w="9415" w:type="dxa"/>
            <w:tcBorders/>
            <w:vAlign w:val="center"/>
          </w:tcPr>
          <w:p>
            <w:pPr>
              <w:pStyle w:val="TableContents"/>
              <w:bidi w:val="0"/>
              <w:spacing w:before="0" w:after="0"/>
              <w:ind w:left="0" w:right="0" w:hanging="0"/>
              <w:jc w:val="left"/>
              <w:rPr/>
            </w:pPr>
            <w:hyperlink r:id="rId46">
              <w:r>
                <w:rPr>
                  <w:rStyle w:val="InternetLink"/>
                  <w:rFonts w:ascii="Times New Roman;Times;serif" w:hAnsi="Times New Roman;Times;serif"/>
                  <w:b w:val="false"/>
                  <w:i w:val="false"/>
                  <w:caps w:val="false"/>
                  <w:smallCaps w:val="false"/>
                  <w:sz w:val="24"/>
                </w:rPr>
                <w:t>Insider Trading Policy.</w:t>
              </w:r>
            </w:hyperlink>
            <w:hyperlink r:id="rId47">
              <w:r>
                <w:rPr>
                  <w:rStyle w:val="InternetLink"/>
                  <w:rFonts w:ascii="Times New Roman;Times;serif" w:hAnsi="Times New Roman;Times;serif"/>
                  <w:caps w:val="false"/>
                  <w:smallCaps w:val="false"/>
                  <w:sz w:val="24"/>
                </w:rPr>
                <w:t xml:space="preserve"> </w:t>
              </w:r>
            </w:hyperlink>
            <w:hyperlink r:id="rId48">
              <w:r>
                <w:rPr>
                  <w:rStyle w:val="InternetLink"/>
                  <w:rFonts w:ascii="Times New Roman;Times;serif" w:hAnsi="Times New Roman;Times;serif"/>
                  <w:b w:val="false"/>
                  <w:i w:val="false"/>
                  <w:caps w:val="false"/>
                  <w:smallCaps w:val="false"/>
                  <w:sz w:val="24"/>
                </w:rPr>
                <w:t>(incorporated by reference to Exhibit 19.1 to Icahn Enterprises’ Form 10-K for the year ended December 31, 2024 (SEC File No. 1-9516), filed on February 26, 2025)</w:t>
              </w:r>
            </w:hyperlink>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21.1</w:t>
            </w:r>
          </w:p>
        </w:tc>
        <w:tc>
          <w:tcPr>
            <w:tcW w:w="146" w:type="dxa"/>
            <w:tcBorders/>
            <w:vAlign w:val="center"/>
          </w:tcPr>
          <w:p>
            <w:pPr>
              <w:pStyle w:val="TableContents"/>
              <w:bidi w:val="0"/>
              <w:spacing w:before="0" w:after="30"/>
              <w:ind w:left="0" w:right="0" w:hanging="0"/>
              <w:jc w:val="center"/>
              <w:rPr/>
            </w:pPr>
            <w:r>
              <w:rPr/>
              <w:t> </w:t>
            </w:r>
          </w:p>
        </w:tc>
        <w:tc>
          <w:tcPr>
            <w:tcW w:w="9415" w:type="dxa"/>
            <w:tcBorders/>
            <w:vAlign w:val="center"/>
          </w:tcPr>
          <w:p>
            <w:pPr>
              <w:pStyle w:val="TableContents"/>
              <w:bidi w:val="0"/>
              <w:spacing w:before="0" w:after="0"/>
              <w:ind w:left="0" w:right="0" w:hanging="0"/>
              <w:jc w:val="left"/>
              <w:rPr/>
            </w:pPr>
            <w:hyperlink w:anchor="tmb-20251231xex21d1.htm">
              <w:r>
                <w:rPr>
                  <w:rStyle w:val="InternetLink"/>
                  <w:rFonts w:ascii="Times New Roman;Times;serif" w:hAnsi="Times New Roman;Times;serif"/>
                  <w:b w:val="false"/>
                  <w:i w:val="false"/>
                  <w:caps w:val="false"/>
                  <w:smallCaps w:val="false"/>
                  <w:sz w:val="20"/>
                </w:rPr>
                <w:t>Subsidiaries of the Registrant</w:t>
              </w:r>
            </w:hyperlink>
            <w:r>
              <w:rPr>
                <w:rFonts w:ascii="Times New Roman;Times;serif" w:hAnsi="Times New Roman;Times;serif"/>
                <w:sz w:val="20"/>
              </w:rPr>
              <w:t>.</w:t>
            </w:r>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22.1</w:t>
            </w:r>
          </w:p>
        </w:tc>
        <w:tc>
          <w:tcPr>
            <w:tcW w:w="146" w:type="dxa"/>
            <w:tcBorders/>
            <w:vAlign w:val="center"/>
          </w:tcPr>
          <w:p>
            <w:pPr>
              <w:pStyle w:val="TableContents"/>
              <w:bidi w:val="0"/>
              <w:spacing w:before="0" w:after="30"/>
              <w:ind w:left="0" w:right="0" w:hanging="0"/>
              <w:jc w:val="center"/>
              <w:rPr/>
            </w:pPr>
            <w:r>
              <w:rPr/>
              <w:t>​</w:t>
            </w:r>
          </w:p>
        </w:tc>
        <w:tc>
          <w:tcPr>
            <w:tcW w:w="9415" w:type="dxa"/>
            <w:tcBorders/>
            <w:vAlign w:val="center"/>
          </w:tcPr>
          <w:p>
            <w:pPr>
              <w:pStyle w:val="TableContents"/>
              <w:bidi w:val="0"/>
              <w:spacing w:before="0" w:after="0"/>
              <w:ind w:left="0" w:right="0" w:hanging="0"/>
              <w:jc w:val="left"/>
              <w:rPr/>
            </w:pPr>
            <w:hyperlink w:anchor="tmb-20251231xex22d1.htm">
              <w:r>
                <w:rPr>
                  <w:rStyle w:val="InternetLink"/>
                  <w:rFonts w:ascii="Times New Roman;Times;serif" w:hAnsi="Times New Roman;Times;serif"/>
                  <w:b w:val="false"/>
                  <w:i w:val="false"/>
                  <w:caps w:val="false"/>
                  <w:smallCaps w:val="false"/>
                  <w:sz w:val="24"/>
                </w:rPr>
                <w:t>Subsidiary guarantor.</w:t>
              </w:r>
            </w:hyperlink>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23.1</w:t>
            </w:r>
          </w:p>
        </w:tc>
        <w:tc>
          <w:tcPr>
            <w:tcW w:w="146" w:type="dxa"/>
            <w:tcBorders/>
            <w:vAlign w:val="center"/>
          </w:tcPr>
          <w:p>
            <w:pPr>
              <w:pStyle w:val="TableContents"/>
              <w:bidi w:val="0"/>
              <w:spacing w:before="0" w:after="30"/>
              <w:ind w:left="0" w:right="0" w:hanging="0"/>
              <w:jc w:val="center"/>
              <w:rPr/>
            </w:pPr>
            <w:r>
              <w:rPr/>
              <w:t> </w:t>
            </w:r>
          </w:p>
        </w:tc>
        <w:tc>
          <w:tcPr>
            <w:tcW w:w="9415" w:type="dxa"/>
            <w:tcBorders/>
            <w:vAlign w:val="center"/>
          </w:tcPr>
          <w:p>
            <w:pPr>
              <w:pStyle w:val="TableContents"/>
              <w:bidi w:val="0"/>
              <w:spacing w:before="0" w:after="0"/>
              <w:ind w:left="0" w:right="0" w:hanging="0"/>
              <w:jc w:val="left"/>
              <w:rPr/>
            </w:pPr>
            <w:hyperlink w:anchor="tmb-20251231xex23d1.htm">
              <w:r>
                <w:rPr>
                  <w:rStyle w:val="InternetLink"/>
                  <w:rFonts w:ascii="Times New Roman;Times;serif" w:hAnsi="Times New Roman;Times;serif"/>
                  <w:b w:val="false"/>
                  <w:i w:val="false"/>
                  <w:caps w:val="false"/>
                  <w:smallCaps w:val="false"/>
                  <w:sz w:val="20"/>
                </w:rPr>
                <w:t>Consent of Grant Thornton LLP</w:t>
              </w:r>
            </w:hyperlink>
            <w:r>
              <w:rPr>
                <w:rFonts w:ascii="Times New Roman;Times;serif" w:hAnsi="Times New Roman;Times;serif"/>
                <w:sz w:val="20"/>
              </w:rPr>
              <w:t>.</w:t>
            </w:r>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31.1</w:t>
            </w:r>
          </w:p>
        </w:tc>
        <w:tc>
          <w:tcPr>
            <w:tcW w:w="146" w:type="dxa"/>
            <w:tcBorders/>
            <w:vAlign w:val="center"/>
          </w:tcPr>
          <w:p>
            <w:pPr>
              <w:pStyle w:val="TableContents"/>
              <w:bidi w:val="0"/>
              <w:spacing w:before="0" w:after="30"/>
              <w:ind w:left="0" w:right="0" w:hanging="0"/>
              <w:jc w:val="center"/>
              <w:rPr/>
            </w:pPr>
            <w:r>
              <w:rPr/>
              <w:t> </w:t>
            </w:r>
          </w:p>
        </w:tc>
        <w:tc>
          <w:tcPr>
            <w:tcW w:w="9415" w:type="dxa"/>
            <w:tcBorders/>
            <w:vAlign w:val="center"/>
          </w:tcPr>
          <w:p>
            <w:pPr>
              <w:pStyle w:val="TableContents"/>
              <w:bidi w:val="0"/>
              <w:spacing w:before="0" w:after="0"/>
              <w:ind w:left="0" w:right="0" w:hanging="0"/>
              <w:jc w:val="left"/>
              <w:rPr/>
            </w:pPr>
            <w:hyperlink w:anchor="tmb-20251231xex31d1.htm">
              <w:r>
                <w:rPr>
                  <w:rStyle w:val="InternetLink"/>
                  <w:rFonts w:ascii="Times New Roman;Times;serif" w:hAnsi="Times New Roman;Times;serif"/>
                  <w:b w:val="false"/>
                  <w:i w:val="false"/>
                  <w:caps w:val="false"/>
                  <w:smallCaps w:val="false"/>
                  <w:sz w:val="20"/>
                </w:rPr>
                <w:t>Certification of Chief Executive Officer pursuant to Section 302(a) of the Sarbanes-Oxley Act of 2002 and Rule 13a-14(a) of the Securities Exchange Act of 1934</w:t>
              </w:r>
            </w:hyperlink>
            <w:r>
              <w:rPr>
                <w:rFonts w:ascii="Times New Roman;Times;serif" w:hAnsi="Times New Roman;Times;serif"/>
                <w:sz w:val="20"/>
              </w:rPr>
              <w:t>.</w:t>
            </w:r>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31.2</w:t>
            </w:r>
          </w:p>
        </w:tc>
        <w:tc>
          <w:tcPr>
            <w:tcW w:w="146" w:type="dxa"/>
            <w:tcBorders/>
            <w:vAlign w:val="center"/>
          </w:tcPr>
          <w:p>
            <w:pPr>
              <w:pStyle w:val="TableContents"/>
              <w:bidi w:val="0"/>
              <w:spacing w:before="0" w:after="30"/>
              <w:ind w:left="0" w:right="0" w:hanging="0"/>
              <w:jc w:val="center"/>
              <w:rPr/>
            </w:pPr>
            <w:r>
              <w:rPr/>
              <w:t> </w:t>
            </w:r>
          </w:p>
        </w:tc>
        <w:tc>
          <w:tcPr>
            <w:tcW w:w="9415" w:type="dxa"/>
            <w:tcBorders/>
            <w:vAlign w:val="center"/>
          </w:tcPr>
          <w:p>
            <w:pPr>
              <w:pStyle w:val="TableContents"/>
              <w:bidi w:val="0"/>
              <w:spacing w:before="0" w:after="0"/>
              <w:ind w:left="0" w:right="0" w:hanging="0"/>
              <w:jc w:val="left"/>
              <w:rPr/>
            </w:pPr>
            <w:hyperlink w:anchor="tmb-20251231xex31d2.htm">
              <w:r>
                <w:rPr>
                  <w:rStyle w:val="InternetLink"/>
                  <w:rFonts w:ascii="Times New Roman;Times;serif" w:hAnsi="Times New Roman;Times;serif"/>
                  <w:b w:val="false"/>
                  <w:i w:val="false"/>
                  <w:caps w:val="false"/>
                  <w:smallCaps w:val="false"/>
                  <w:sz w:val="20"/>
                </w:rPr>
                <w:t>Certification of Chief Financial Officer pursuant to Section 302(a) of the Sarbanes-Oxley Act of 2002 and Rule 13a-14(a) of the Securities Exchange Act of 1934</w:t>
              </w:r>
            </w:hyperlink>
            <w:r>
              <w:rPr>
                <w:rFonts w:ascii="Times New Roman;Times;serif" w:hAnsi="Times New Roman;Times;serif"/>
                <w:sz w:val="20"/>
              </w:rPr>
              <w:t>.</w:t>
            </w:r>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32.1</w:t>
            </w:r>
          </w:p>
        </w:tc>
        <w:tc>
          <w:tcPr>
            <w:tcW w:w="146" w:type="dxa"/>
            <w:tcBorders/>
            <w:vAlign w:val="center"/>
          </w:tcPr>
          <w:p>
            <w:pPr>
              <w:pStyle w:val="TableContents"/>
              <w:bidi w:val="0"/>
              <w:spacing w:before="0" w:after="30"/>
              <w:ind w:left="0" w:right="0" w:hanging="0"/>
              <w:jc w:val="center"/>
              <w:rPr/>
            </w:pPr>
            <w:r>
              <w:rPr/>
              <w:t> </w:t>
            </w:r>
          </w:p>
        </w:tc>
        <w:tc>
          <w:tcPr>
            <w:tcW w:w="9415" w:type="dxa"/>
            <w:tcBorders/>
            <w:vAlign w:val="center"/>
          </w:tcPr>
          <w:p>
            <w:pPr>
              <w:pStyle w:val="TableContents"/>
              <w:bidi w:val="0"/>
              <w:spacing w:before="0" w:after="0"/>
              <w:ind w:left="0" w:right="0" w:hanging="0"/>
              <w:jc w:val="left"/>
              <w:rPr/>
            </w:pPr>
            <w:hyperlink w:anchor="tmb-20251231xex32d1.htm">
              <w:r>
                <w:rPr>
                  <w:rStyle w:val="InternetLink"/>
                  <w:rFonts w:ascii="Times New Roman;Times;serif" w:hAnsi="Times New Roman;Times;serif"/>
                  <w:b w:val="false"/>
                  <w:i w:val="false"/>
                  <w:caps w:val="false"/>
                  <w:smallCaps w:val="false"/>
                  <w:sz w:val="20"/>
                </w:rPr>
                <w:t>Certification of Chief Executive Officer and Chief Financial Officer pursuant to Section 906 of the Sarbanes-Oxley Act of 2002 (18 U.S.C. 1350) and Rule 13a-14(b) of the Securities Exchange Act of 1934</w:t>
              </w:r>
            </w:hyperlink>
            <w:r>
              <w:rPr>
                <w:rFonts w:ascii="Times New Roman;Times;serif" w:hAnsi="Times New Roman;Times;serif"/>
                <w:sz w:val="20"/>
              </w:rPr>
              <w:t>.</w:t>
            </w:r>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97.1</w:t>
            </w:r>
          </w:p>
        </w:tc>
        <w:tc>
          <w:tcPr>
            <w:tcW w:w="146" w:type="dxa"/>
            <w:tcBorders/>
            <w:vAlign w:val="center"/>
          </w:tcPr>
          <w:p>
            <w:pPr>
              <w:pStyle w:val="TableContents"/>
              <w:bidi w:val="0"/>
              <w:spacing w:before="0" w:after="0"/>
              <w:ind w:left="0" w:right="0" w:hanging="0"/>
              <w:jc w:val="left"/>
              <w:rPr/>
            </w:pPr>
            <w:r>
              <w:rPr/>
              <w:t>​</w:t>
            </w:r>
          </w:p>
        </w:tc>
        <w:tc>
          <w:tcPr>
            <w:tcW w:w="9415" w:type="dxa"/>
            <w:tcBorders/>
            <w:vAlign w:val="center"/>
          </w:tcPr>
          <w:p>
            <w:pPr>
              <w:pStyle w:val="TableContents"/>
              <w:bidi w:val="0"/>
              <w:spacing w:before="0" w:after="0"/>
              <w:ind w:left="0" w:right="0" w:hanging="0"/>
              <w:jc w:val="left"/>
              <w:rPr/>
            </w:pPr>
            <w:hyperlink r:id="rId49">
              <w:r>
                <w:rPr>
                  <w:rStyle w:val="InternetLink"/>
                  <w:rFonts w:ascii="Times New Roman;Times;serif" w:hAnsi="Times New Roman;Times;serif"/>
                  <w:b w:val="false"/>
                  <w:i w:val="false"/>
                  <w:caps w:val="false"/>
                  <w:smallCaps w:val="false"/>
                  <w:sz w:val="24"/>
                </w:rPr>
                <w:t>Icahn Enterprises L.P. Dodd-Frank Clawback Policy, effective as of December 1, 2023 (incorporated by reference to Exhibit 97.1 to Icahn Enterprises’ Annual Report on Form 10-K (SEC File NO. 1-9516), filed on February 29, 2024).</w:t>
              </w:r>
            </w:hyperlink>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46" w:type="dxa"/>
            <w:tcBorders/>
            <w:vAlign w:val="center"/>
          </w:tcPr>
          <w:p>
            <w:pPr>
              <w:pStyle w:val="TableContents"/>
              <w:bidi w:val="0"/>
              <w:spacing w:before="0" w:after="0"/>
              <w:ind w:left="0" w:right="0" w:hanging="0"/>
              <w:jc w:val="left"/>
              <w:rPr/>
            </w:pPr>
            <w:r>
              <w:rPr/>
              <w:t>​</w:t>
            </w:r>
          </w:p>
        </w:tc>
        <w:tc>
          <w:tcPr>
            <w:tcW w:w="9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46" w:type="dxa"/>
            <w:tcBorders/>
            <w:vAlign w:val="center"/>
          </w:tcPr>
          <w:p>
            <w:pPr>
              <w:pStyle w:val="TableContents"/>
              <w:bidi w:val="0"/>
              <w:spacing w:before="0" w:after="0"/>
              <w:ind w:left="0" w:right="0" w:hanging="0"/>
              <w:jc w:val="left"/>
              <w:rPr/>
            </w:pPr>
            <w:r>
              <w:rPr/>
              <w:t>​</w:t>
            </w:r>
          </w:p>
        </w:tc>
        <w:tc>
          <w:tcPr>
            <w:tcW w:w="9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46" w:type="dxa"/>
            <w:tcBorders/>
            <w:vAlign w:val="center"/>
          </w:tcPr>
          <w:p>
            <w:pPr>
              <w:pStyle w:val="TableContents"/>
              <w:bidi w:val="0"/>
              <w:spacing w:before="0" w:after="0"/>
              <w:ind w:left="0" w:right="0" w:hanging="0"/>
              <w:jc w:val="left"/>
              <w:rPr/>
            </w:pPr>
            <w:r>
              <w:rPr/>
              <w:t>​</w:t>
            </w:r>
          </w:p>
        </w:tc>
        <w:tc>
          <w:tcPr>
            <w:tcW w:w="9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46" w:type="dxa"/>
            <w:tcBorders/>
            <w:vAlign w:val="center"/>
          </w:tcPr>
          <w:p>
            <w:pPr>
              <w:pStyle w:val="TableContents"/>
              <w:bidi w:val="0"/>
              <w:spacing w:before="0" w:after="0"/>
              <w:ind w:left="0" w:right="0" w:hanging="0"/>
              <w:jc w:val="left"/>
              <w:rPr/>
            </w:pPr>
            <w:r>
              <w:rPr/>
              <w:t>​</w:t>
            </w:r>
          </w:p>
        </w:tc>
        <w:tc>
          <w:tcPr>
            <w:tcW w:w="9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46" w:type="dxa"/>
            <w:tcBorders/>
            <w:vAlign w:val="center"/>
          </w:tcPr>
          <w:p>
            <w:pPr>
              <w:pStyle w:val="TableContents"/>
              <w:bidi w:val="0"/>
              <w:spacing w:before="0" w:after="0"/>
              <w:ind w:left="0" w:right="0" w:hanging="0"/>
              <w:jc w:val="left"/>
              <w:rPr/>
            </w:pPr>
            <w:r>
              <w:rPr/>
              <w:t>​</w:t>
            </w:r>
          </w:p>
        </w:tc>
        <w:tc>
          <w:tcPr>
            <w:tcW w:w="9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44"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0"/>
              <w:ind w:left="0" w:right="0" w:hanging="0"/>
              <w:jc w:val="left"/>
              <w:rPr/>
            </w:pPr>
            <w:r>
              <w:rPr/>
              <w:t>​</w:t>
            </w:r>
          </w:p>
        </w:tc>
        <w:tc>
          <w:tcPr>
            <w:tcW w:w="9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in Exhibit 101).</w:t>
            </w:r>
          </w:p>
        </w:tc>
      </w:tr>
      <w:tr>
        <w:trPr/>
        <w:tc>
          <w:tcPr>
            <w:tcW w:w="644" w:type="dxa"/>
            <w:tcBorders/>
            <w:vAlign w:val="center"/>
          </w:tcPr>
          <w:p>
            <w:pPr>
              <w:pStyle w:val="TableContents"/>
              <w:bidi w:val="0"/>
              <w:spacing w:before="0" w:after="3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9415" w:type="dxa"/>
            <w:tcBorders/>
            <w:vAlign w:val="center"/>
          </w:tcPr>
          <w:p>
            <w:pPr>
              <w:pStyle w:val="TableContents"/>
              <w:bidi w:val="0"/>
              <w:spacing w:before="0" w:after="0"/>
              <w:ind w:left="0" w:right="0" w:hanging="0"/>
              <w:jc w:val="left"/>
              <w:rPr/>
            </w:pPr>
            <w:r>
              <w:rPr/>
              <w:t>​</w:t>
            </w:r>
          </w:p>
        </w:tc>
      </w:tr>
      <w:tr>
        <w:trPr/>
        <w:tc>
          <w:tcPr>
            <w:tcW w:w="644" w:type="dxa"/>
            <w:tcBorders/>
            <w:vAlign w:val="center"/>
          </w:tcPr>
          <w:p>
            <w:pPr>
              <w:pStyle w:val="TableContents"/>
              <w:bidi w:val="0"/>
              <w:spacing w:before="0" w:after="3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9415"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Indicates a management contract or compensatory plan or arrangement.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615" w:name="_a47499d1_03b4_4907_829b_50cecb1c7079"/>
      <w:bookmarkEnd w:id="2615"/>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4491" w:type="dxa"/>
        <w:jc w:val="left"/>
        <w:tblInd w:w="0" w:type="dxa"/>
        <w:tblLayout w:type="fixed"/>
        <w:tblCellMar>
          <w:top w:w="0" w:type="dxa"/>
          <w:left w:w="0" w:type="dxa"/>
          <w:bottom w:w="0" w:type="dxa"/>
          <w:right w:w="0" w:type="dxa"/>
        </w:tblCellMar>
      </w:tblPr>
      <w:tblGrid>
        <w:gridCol w:w="124"/>
        <w:gridCol w:w="406"/>
        <w:gridCol w:w="3961"/>
      </w:tblGrid>
      <w:tr>
        <w:trPr/>
        <w:tc>
          <w:tcPr>
            <w:tcW w:w="124" w:type="dxa"/>
            <w:tcBorders/>
            <w:vAlign w:val="center"/>
          </w:tcPr>
          <w:p>
            <w:pPr>
              <w:pStyle w:val="TableContents"/>
              <w:bidi w:val="0"/>
              <w:spacing w:before="0" w:after="0"/>
              <w:ind w:left="0" w:right="0" w:hanging="0"/>
              <w:jc w:val="left"/>
              <w:rPr/>
            </w:pPr>
            <w:r>
              <w:rPr/>
              <w:t>​</w:t>
            </w:r>
          </w:p>
        </w:tc>
        <w:tc>
          <w:tcPr>
            <w:tcW w:w="436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Icahn Enterprises L.P.</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Icahn Enterprises G.P. Inc., its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Andrew Teno </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Teno</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February 25,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Pursuant to the requirements of the Securities Exchange Act of 1934, this report has been signed below by the following persons in the capacities indicated with respect to Icahn Enterprises G.P. Inc., the general partner of Icahn Enterprises L.P., and on behalf of the registrant and on the dates indicated below by the following persons in the capacities and on the dates indicated. </w:t>
      </w:r>
    </w:p>
    <w:tbl>
      <w:tblPr>
        <w:tblW w:w="8705" w:type="dxa"/>
        <w:jc w:val="left"/>
        <w:tblInd w:w="0" w:type="dxa"/>
        <w:tblLayout w:type="fixed"/>
        <w:tblCellMar>
          <w:top w:w="0" w:type="dxa"/>
          <w:left w:w="0" w:type="dxa"/>
          <w:bottom w:w="28" w:type="dxa"/>
          <w:right w:w="0" w:type="dxa"/>
        </w:tblCellMar>
      </w:tblPr>
      <w:tblGrid>
        <w:gridCol w:w="2581"/>
        <w:gridCol w:w="286"/>
        <w:gridCol w:w="3916"/>
        <w:gridCol w:w="286"/>
        <w:gridCol w:w="1636"/>
      </w:tblGrid>
      <w:tr>
        <w:trPr/>
        <w:tc>
          <w:tcPr>
            <w:tcW w:w="258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tc>
        <w:tc>
          <w:tcPr>
            <w:tcW w:w="286" w:type="dxa"/>
            <w:tcBorders/>
            <w:tcMar>
              <w:bottom w:w="0" w:type="dxa"/>
            </w:tcMar>
            <w:vAlign w:val="center"/>
          </w:tcPr>
          <w:p>
            <w:pPr>
              <w:pStyle w:val="TableContents"/>
              <w:bidi w:val="0"/>
              <w:spacing w:before="0" w:after="0"/>
              <w:ind w:left="0" w:right="0" w:hanging="0"/>
              <w:jc w:val="left"/>
              <w:rPr/>
            </w:pPr>
            <w:r>
              <w:rPr/>
              <w:t>  ​ ​</w:t>
            </w:r>
          </w:p>
        </w:tc>
        <w:tc>
          <w:tcPr>
            <w:tcW w:w="39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286" w:type="dxa"/>
            <w:tcBorders/>
            <w:tcMar>
              <w:bottom w:w="0" w:type="dxa"/>
            </w:tcMar>
            <w:vAlign w:val="center"/>
          </w:tcPr>
          <w:p>
            <w:pPr>
              <w:pStyle w:val="TableContents"/>
              <w:bidi w:val="0"/>
              <w:spacing w:before="0" w:after="0"/>
              <w:ind w:left="0" w:right="0" w:hanging="0"/>
              <w:jc w:val="left"/>
              <w:rPr/>
            </w:pPr>
            <w:r>
              <w:rPr/>
              <w:t>  ​ ​</w:t>
            </w:r>
          </w:p>
        </w:tc>
        <w:tc>
          <w:tcPr>
            <w:tcW w:w="163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258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r>
      <w:tr>
        <w:trPr/>
        <w:tc>
          <w:tcPr>
            <w:tcW w:w="258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Teno</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25, 2026</w:t>
            </w:r>
          </w:p>
        </w:tc>
      </w:tr>
      <w:tr>
        <w:trPr/>
        <w:tc>
          <w:tcPr>
            <w:tcW w:w="258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Teno</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81"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8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Ted Papapostolou</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Director</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25, 2026</w:t>
            </w:r>
          </w:p>
        </w:tc>
      </w:tr>
      <w:tr>
        <w:trPr/>
        <w:tc>
          <w:tcPr>
            <w:tcW w:w="258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Ted Papapostolou</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581"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8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Flint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Accounting Officer </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25, 2026</w:t>
            </w:r>
          </w:p>
        </w:tc>
      </w:tr>
      <w:tr>
        <w:trPr/>
        <w:tc>
          <w:tcPr>
            <w:tcW w:w="258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Flint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81"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8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Denise Barton</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25, 2026</w:t>
            </w:r>
          </w:p>
        </w:tc>
      </w:tr>
      <w:tr>
        <w:trPr/>
        <w:tc>
          <w:tcPr>
            <w:tcW w:w="258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Denise Barton</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81"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8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Nancy Dunlap</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25, 2026</w:t>
            </w:r>
          </w:p>
        </w:tc>
      </w:tr>
      <w:tr>
        <w:trPr/>
        <w:tc>
          <w:tcPr>
            <w:tcW w:w="258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Nancy Dunlap</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81"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8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Margarita Paláu-Hernández</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25, 2026</w:t>
            </w:r>
          </w:p>
        </w:tc>
      </w:tr>
      <w:tr>
        <w:trPr/>
        <w:tc>
          <w:tcPr>
            <w:tcW w:w="258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Margarita Paláu-Hernández</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81"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81"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81" w:type="dxa"/>
            <w:tcBorders>
              <w:bottom w:val="single" w:sz="2" w:space="0" w:color="000000"/>
            </w:tcBorders>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r>
        <w:trPr/>
        <w:tc>
          <w:tcPr>
            <w:tcW w:w="258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Carl C. Icahn</w:t>
            </w:r>
          </w:p>
        </w:tc>
        <w:tc>
          <w:tcPr>
            <w:tcW w:w="286" w:type="dxa"/>
            <w:tcBorders/>
            <w:tcMar>
              <w:bottom w:w="0" w:type="dxa"/>
            </w:tcMar>
            <w:vAlign w:val="center"/>
          </w:tcPr>
          <w:p>
            <w:pPr>
              <w:pStyle w:val="TableContents"/>
              <w:bidi w:val="0"/>
              <w:spacing w:before="0" w:after="0"/>
              <w:ind w:left="0" w:right="0" w:hanging="0"/>
              <w:jc w:val="left"/>
              <w:rPr/>
            </w:pPr>
            <w:r>
              <w:rPr/>
              <w:t>​</w:t>
            </w:r>
          </w:p>
        </w:tc>
        <w:tc>
          <w:tcPr>
            <w:tcW w:w="391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155</w:t>
      </w:r>
    </w:p>
    <w:p>
      <w:pPr>
        <w:pStyle w:val="TextBody"/>
        <w:bidi w:val="0"/>
        <w:spacing w:before="0" w:after="0"/>
        <w:ind w:left="0" w:right="0" w:hanging="0"/>
        <w:jc w:val="left"/>
        <w:rPr>
          <w:rFonts w:ascii="Times New Roman;Times;serif" w:hAnsi="Times New Roman;Times;serif"/>
          <w:sz w:val="24"/>
        </w:rPr>
      </w:pPr>
      <w:bookmarkStart w:id="2616" w:name="tmb-20251231xex21d1.htm"/>
      <w:bookmarkStart w:id="2617" w:name="kstmb20251231xex21d1"/>
      <w:bookmarkEnd w:id="2616"/>
      <w:bookmarkEnd w:id="2617"/>
      <w:r>
        <w:rPr>
          <w:rFonts w:ascii="Times New Roman;Times;serif" w:hAnsi="Times New Roman;Times;serif"/>
          <w:sz w:val="24"/>
          <w:shd w:fill="FFFFFF" w:val="clear"/>
        </w:rPr>
        <w:tab/>
      </w:r>
      <w:r>
        <w:rPr>
          <w:rFonts w:ascii="Times New Roman;Times;serif" w:hAnsi="Times New Roman;Times;serif"/>
          <w:b/>
          <w:i w:val="false"/>
          <w:caps w:val="false"/>
          <w:smallCaps w:val="false"/>
          <w:sz w:val="20"/>
          <w:shd w:fill="FFFFFF" w:val="clear"/>
        </w:rPr>
        <w:t>EXHIBIT 21.1</w:t>
      </w:r>
      <w:r>
        <mc:AlternateContent>
          <mc:Choice Requires="wps">
            <w:drawing>
              <wp:anchor behindDoc="0" distT="0" distB="0" distL="0" distR="0" simplePos="0" locked="0" layoutInCell="1" allowOverlap="1" relativeHeight="847">
                <wp:simplePos x="0" y="0"/>
                <wp:positionH relativeFrom="page">
                  <wp:posOffset>0</wp:posOffset>
                </wp:positionH>
                <wp:positionV relativeFrom="line">
                  <wp:posOffset>635</wp:posOffset>
                </wp:positionV>
                <wp:extent cx="6480175" cy="175260"/>
                <wp:effectExtent l="0" t="0" r="0" b="0"/>
                <wp:wrapNone/>
                <wp:docPr id="846" name="Frame8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SUBSIDIARIES OF THE REGISTRANT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4449" w:type="dxa"/>
        <w:jc w:val="center"/>
        <w:tblInd w:w="0" w:type="dxa"/>
        <w:tblLayout w:type="fixed"/>
        <w:tblCellMar>
          <w:top w:w="0" w:type="dxa"/>
          <w:left w:w="0" w:type="dxa"/>
          <w:bottom w:w="0" w:type="dxa"/>
          <w:right w:w="0" w:type="dxa"/>
        </w:tblCellMar>
      </w:tblPr>
      <w:tblGrid>
        <w:gridCol w:w="4186"/>
        <w:gridCol w:w="109"/>
        <w:gridCol w:w="154"/>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2658110" cy="525780"/>
                      <wp:effectExtent l="0" t="0" r="0" b="0"/>
                      <wp:wrapNone/>
                      <wp:docPr id="847" name="Frame847"/>
                      <a:graphic xmlns:a="http://schemas.openxmlformats.org/drawingml/2006/main">
                        <a:graphicData uri="http://schemas.microsoft.com/office/word/2010/wordprocessingShape">
                          <wps:wsp>
                            <wps:cNvSpPr txBox="1"/>
                            <wps:spPr>
                              <a:xfrm>
                                <a:off x="0" y="0"/>
                                <a:ext cx="2658110" cy="52578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69215" cy="2804160"/>
                      <wp:effectExtent l="0" t="0" r="0" b="0"/>
                      <wp:wrapNone/>
                      <wp:docPr id="848" name="Frame848"/>
                      <a:graphic xmlns:a="http://schemas.openxmlformats.org/drawingml/2006/main">
                        <a:graphicData uri="http://schemas.microsoft.com/office/word/2010/wordprocessingShape">
                          <wps:wsp>
                            <wps:cNvSpPr txBox="1"/>
                            <wps:spPr>
                              <a:xfrm>
                                <a:off x="0" y="0"/>
                                <a:ext cx="69215" cy="280416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20.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0">
                      <wp:simplePos x="0" y="0"/>
                      <wp:positionH relativeFrom="character">
                        <wp:align>left</wp:align>
                      </wp:positionH>
                      <wp:positionV relativeFrom="line">
                        <wp:posOffset>635</wp:posOffset>
                      </wp:positionV>
                      <wp:extent cx="97790" cy="175260"/>
                      <wp:effectExtent l="0" t="0" r="0" b="0"/>
                      <wp:wrapNone/>
                      <wp:docPr id="849" name="Frame84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1">
                      <wp:simplePos x="0" y="0"/>
                      <wp:positionH relativeFrom="character">
                        <wp:align>left</wp:align>
                      </wp:positionH>
                      <wp:positionV relativeFrom="line">
                        <wp:posOffset>635</wp:posOffset>
                      </wp:positionV>
                      <wp:extent cx="2658110" cy="192405"/>
                      <wp:effectExtent l="0" t="0" r="0" b="0"/>
                      <wp:wrapNone/>
                      <wp:docPr id="850" name="Frame850"/>
                      <a:graphic xmlns:a="http://schemas.openxmlformats.org/drawingml/2006/main">
                        <a:graphicData uri="http://schemas.microsoft.com/office/word/2010/wordprocessingShape">
                          <wps:wsp>
                            <wps:cNvSpPr txBox="1"/>
                            <wps:spPr>
                              <a:xfrm>
                                <a:off x="0" y="0"/>
                                <a:ext cx="2658110" cy="19240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b/>
                                      <w:sz w:val="20"/>
                                    </w:rPr>
                                  </w:pPr>
                                  <w:r>
                                    <w:rPr>
                                      <w:rFonts w:ascii="Times New Roman;Times;serif" w:hAnsi="Times New Roman;Times;serif"/>
                                      <w:b/>
                                      <w:sz w:val="20"/>
                                    </w:rPr>
                                    <w:t>Entity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b/>
                                <w:sz w:val="20"/>
                              </w:rPr>
                            </w:pPr>
                            <w:r>
                              <w:rPr>
                                <w:rFonts w:ascii="Times New Roman;Times;serif" w:hAnsi="Times New Roman;Times;serif"/>
                                <w:b/>
                                <w:sz w:val="20"/>
                              </w:rPr>
                              <w:t>Entity</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2">
                      <wp:simplePos x="0" y="0"/>
                      <wp:positionH relativeFrom="character">
                        <wp:align>left</wp:align>
                      </wp:positionH>
                      <wp:positionV relativeFrom="line">
                        <wp:posOffset>635</wp:posOffset>
                      </wp:positionV>
                      <wp:extent cx="69215" cy="175260"/>
                      <wp:effectExtent l="0" t="0" r="0" b="0"/>
                      <wp:wrapNone/>
                      <wp:docPr id="851" name="Frame8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3">
                      <wp:simplePos x="0" y="0"/>
                      <wp:positionH relativeFrom="character">
                        <wp:align>left</wp:align>
                      </wp:positionH>
                      <wp:positionV relativeFrom="line">
                        <wp:posOffset>635</wp:posOffset>
                      </wp:positionV>
                      <wp:extent cx="97790" cy="2809875"/>
                      <wp:effectExtent l="0" t="0" r="0" b="0"/>
                      <wp:wrapNone/>
                      <wp:docPr id="852" name="Frame852"/>
                      <a:graphic xmlns:a="http://schemas.openxmlformats.org/drawingml/2006/main">
                        <a:graphicData uri="http://schemas.microsoft.com/office/word/2010/wordprocessingShape">
                          <wps:wsp>
                            <wps:cNvSpPr txBox="1"/>
                            <wps:spPr>
                              <a:xfrm>
                                <a:off x="0" y="0"/>
                                <a:ext cx="97790" cy="280987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b/>
                                      <w:sz w:val="20"/>
                                    </w:rPr>
                                  </w:pPr>
                                  <w:r>
                                    <w:rPr>
                                      <w:rFonts w:ascii="Times New Roman;Times;serif" w:hAnsi="Times New Roman;Times;serif"/>
                                      <w:b/>
                                      <w:sz w:val="20"/>
                                    </w:rPr>
                                    <w:t>Jurisdiction of Formation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21.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b/>
                                <w:sz w:val="20"/>
                              </w:rPr>
                            </w:pPr>
                            <w:r>
                              <w:rPr>
                                <w:rFonts w:ascii="Times New Roman;Times;serif" w:hAnsi="Times New Roman;Times;serif"/>
                                <w:b/>
                                <w:sz w:val="20"/>
                              </w:rPr>
                              <w:t>Jurisdiction of Formation</w:t>
                            </w:r>
                          </w:p>
                        </w:txbxContent>
                      </v:textbox>
                      <w10:wrap type="none"/>
                    </v:rect>
                  </w:pict>
                </mc:Fallback>
              </mc:AlternateContent>
            </w:r>
          </w:p>
        </w:tc>
      </w:tr>
      <w:tr>
        <w:trPr/>
        <w:tc>
          <w:tcPr>
            <w:tcW w:w="4186" w:type="dxa"/>
            <w:tcBorders>
              <w:top w:val="single" w:sz="8" w:space="0" w:color="000000"/>
            </w:tcBorders>
            <w:tcMar>
              <w:top w:w="28" w:type="dxa"/>
            </w:tcMar>
            <w:vAlign w:val="center"/>
          </w:tcPr>
          <w:p>
            <w:pPr>
              <w:pStyle w:val="TableContents"/>
              <w:bidi w:val="0"/>
              <w:spacing w:lineRule="auto" w:line="249" w:before="55" w:after="30"/>
              <w:ind w:left="0" w:right="0" w:hanging="0"/>
              <w:jc w:val="left"/>
              <w:rPr>
                <w:rFonts w:ascii="Times New Roman;Times;serif" w:hAnsi="Times New Roman;Times;serif"/>
                <w:sz w:val="20"/>
              </w:rPr>
            </w:pPr>
            <w:r>
              <w:rPr>
                <w:rFonts w:ascii="Times New Roman;Times;serif" w:hAnsi="Times New Roman;Times;serif"/>
                <w:sz w:val="20"/>
              </w:rPr>
              <w:t>Icahn Enterprises Holdings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4">
                      <wp:simplePos x="0" y="0"/>
                      <wp:positionH relativeFrom="character">
                        <wp:align>left</wp:align>
                      </wp:positionH>
                      <wp:positionV relativeFrom="line">
                        <wp:posOffset>635</wp:posOffset>
                      </wp:positionV>
                      <wp:extent cx="69215" cy="175260"/>
                      <wp:effectExtent l="0" t="0" r="0" b="0"/>
                      <wp:wrapNone/>
                      <wp:docPr id="853" name="Frame8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5">
                      <wp:simplePos x="0" y="0"/>
                      <wp:positionH relativeFrom="character">
                        <wp:align>left</wp:align>
                      </wp:positionH>
                      <wp:positionV relativeFrom="line">
                        <wp:posOffset>635</wp:posOffset>
                      </wp:positionV>
                      <wp:extent cx="97790" cy="1052195"/>
                      <wp:effectExtent l="0" t="0" r="0" b="0"/>
                      <wp:wrapNone/>
                      <wp:docPr id="854" name="Frame854"/>
                      <a:graphic xmlns:a="http://schemas.openxmlformats.org/drawingml/2006/main">
                        <a:graphicData uri="http://schemas.microsoft.com/office/word/2010/wordprocessingShape">
                          <wps:wsp>
                            <wps:cNvSpPr txBox="1"/>
                            <wps:spPr>
                              <a:xfrm>
                                <a:off x="0" y="0"/>
                                <a:ext cx="97790" cy="1052195"/>
                              </a:xfrm>
                              <a:prstGeom prst="rect"/>
                              <a:solidFill>
                                <a:srgbClr val="FFFFFF"/>
                              </a:solidFill>
                            </wps:spPr>
                            <wps:txbx>
                              <w:txbxContent>
                                <w:p>
                                  <w:pPr>
                                    <w:pStyle w:val="TableContents"/>
                                    <w:bidi w:val="0"/>
                                    <w:spacing w:lineRule="auto" w:line="237" w:before="5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2.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5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American Entertainment Properties Corp.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6">
                      <wp:simplePos x="0" y="0"/>
                      <wp:positionH relativeFrom="character">
                        <wp:align>left</wp:align>
                      </wp:positionH>
                      <wp:positionV relativeFrom="line">
                        <wp:posOffset>635</wp:posOffset>
                      </wp:positionV>
                      <wp:extent cx="69215" cy="220980"/>
                      <wp:effectExtent l="0" t="0" r="0" b="0"/>
                      <wp:wrapNone/>
                      <wp:docPr id="855" name="Frame85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7">
                      <wp:simplePos x="0" y="0"/>
                      <wp:positionH relativeFrom="character">
                        <wp:align>left</wp:align>
                      </wp:positionH>
                      <wp:positionV relativeFrom="line">
                        <wp:posOffset>635</wp:posOffset>
                      </wp:positionV>
                      <wp:extent cx="97790" cy="1064895"/>
                      <wp:effectExtent l="0" t="0" r="0" b="0"/>
                      <wp:wrapNone/>
                      <wp:docPr id="856" name="Frame856"/>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AEP Real Estate Holdings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8">
                      <wp:simplePos x="0" y="0"/>
                      <wp:positionH relativeFrom="character">
                        <wp:align>left</wp:align>
                      </wp:positionH>
                      <wp:positionV relativeFrom="line">
                        <wp:posOffset>635</wp:posOffset>
                      </wp:positionV>
                      <wp:extent cx="69215" cy="220980"/>
                      <wp:effectExtent l="0" t="0" r="0" b="0"/>
                      <wp:wrapNone/>
                      <wp:docPr id="857" name="Frame85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9">
                      <wp:simplePos x="0" y="0"/>
                      <wp:positionH relativeFrom="character">
                        <wp:align>left</wp:align>
                      </wp:positionH>
                      <wp:positionV relativeFrom="line">
                        <wp:posOffset>635</wp:posOffset>
                      </wp:positionV>
                      <wp:extent cx="97790" cy="1064895"/>
                      <wp:effectExtent l="0" t="0" r="0" b="0"/>
                      <wp:wrapNone/>
                      <wp:docPr id="858" name="Frame858"/>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AEP CCR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0">
                      <wp:simplePos x="0" y="0"/>
                      <wp:positionH relativeFrom="character">
                        <wp:align>left</wp:align>
                      </wp:positionH>
                      <wp:positionV relativeFrom="line">
                        <wp:posOffset>635</wp:posOffset>
                      </wp:positionV>
                      <wp:extent cx="69215" cy="220980"/>
                      <wp:effectExtent l="0" t="0" r="0" b="0"/>
                      <wp:wrapNone/>
                      <wp:docPr id="859" name="Frame85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1">
                      <wp:simplePos x="0" y="0"/>
                      <wp:positionH relativeFrom="character">
                        <wp:align>left</wp:align>
                      </wp:positionH>
                      <wp:positionV relativeFrom="line">
                        <wp:posOffset>635</wp:posOffset>
                      </wp:positionV>
                      <wp:extent cx="97790" cy="1064895"/>
                      <wp:effectExtent l="0" t="0" r="0" b="0"/>
                      <wp:wrapNone/>
                      <wp:docPr id="860" name="Frame860"/>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AEPC Holdings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2">
                      <wp:simplePos x="0" y="0"/>
                      <wp:positionH relativeFrom="character">
                        <wp:align>left</wp:align>
                      </wp:positionH>
                      <wp:positionV relativeFrom="line">
                        <wp:posOffset>635</wp:posOffset>
                      </wp:positionV>
                      <wp:extent cx="69215" cy="220980"/>
                      <wp:effectExtent l="0" t="0" r="0" b="0"/>
                      <wp:wrapNone/>
                      <wp:docPr id="861" name="Frame86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3">
                      <wp:simplePos x="0" y="0"/>
                      <wp:positionH relativeFrom="character">
                        <wp:align>left</wp:align>
                      </wp:positionH>
                      <wp:positionV relativeFrom="line">
                        <wp:posOffset>635</wp:posOffset>
                      </wp:positionV>
                      <wp:extent cx="97790" cy="1064895"/>
                      <wp:effectExtent l="0" t="0" r="0" b="0"/>
                      <wp:wrapNone/>
                      <wp:docPr id="862" name="Frame862"/>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AEP Pinewild Holding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4">
                      <wp:simplePos x="0" y="0"/>
                      <wp:positionH relativeFrom="character">
                        <wp:align>left</wp:align>
                      </wp:positionH>
                      <wp:positionV relativeFrom="line">
                        <wp:posOffset>635</wp:posOffset>
                      </wp:positionV>
                      <wp:extent cx="69215" cy="220980"/>
                      <wp:effectExtent l="0" t="0" r="0" b="0"/>
                      <wp:wrapNone/>
                      <wp:docPr id="863" name="Frame86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5">
                      <wp:simplePos x="0" y="0"/>
                      <wp:positionH relativeFrom="character">
                        <wp:align>left</wp:align>
                      </wp:positionH>
                      <wp:positionV relativeFrom="line">
                        <wp:posOffset>635</wp:posOffset>
                      </wp:positionV>
                      <wp:extent cx="97790" cy="1064895"/>
                      <wp:effectExtent l="0" t="0" r="0" b="0"/>
                      <wp:wrapNone/>
                      <wp:docPr id="864" name="Frame864"/>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AEP PLC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6">
                      <wp:simplePos x="0" y="0"/>
                      <wp:positionH relativeFrom="character">
                        <wp:align>left</wp:align>
                      </wp:positionH>
                      <wp:positionV relativeFrom="line">
                        <wp:posOffset>635</wp:posOffset>
                      </wp:positionV>
                      <wp:extent cx="69215" cy="220980"/>
                      <wp:effectExtent l="0" t="0" r="0" b="0"/>
                      <wp:wrapNone/>
                      <wp:docPr id="865" name="Frame86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7">
                      <wp:simplePos x="0" y="0"/>
                      <wp:positionH relativeFrom="character">
                        <wp:align>left</wp:align>
                      </wp:positionH>
                      <wp:positionV relativeFrom="line">
                        <wp:posOffset>635</wp:posOffset>
                      </wp:positionV>
                      <wp:extent cx="97790" cy="1064895"/>
                      <wp:effectExtent l="0" t="0" r="0" b="0"/>
                      <wp:wrapNone/>
                      <wp:docPr id="866" name="Frame866"/>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Net Lease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8">
                      <wp:simplePos x="0" y="0"/>
                      <wp:positionH relativeFrom="character">
                        <wp:align>left</wp:align>
                      </wp:positionH>
                      <wp:positionV relativeFrom="line">
                        <wp:posOffset>635</wp:posOffset>
                      </wp:positionV>
                      <wp:extent cx="69215" cy="220980"/>
                      <wp:effectExtent l="0" t="0" r="0" b="0"/>
                      <wp:wrapNone/>
                      <wp:docPr id="867" name="Frame86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9">
                      <wp:simplePos x="0" y="0"/>
                      <wp:positionH relativeFrom="character">
                        <wp:align>left</wp:align>
                      </wp:positionH>
                      <wp:positionV relativeFrom="line">
                        <wp:posOffset>635</wp:posOffset>
                      </wp:positionV>
                      <wp:extent cx="97790" cy="1064895"/>
                      <wp:effectExtent l="0" t="0" r="0" b="0"/>
                      <wp:wrapNone/>
                      <wp:docPr id="868" name="Frame868"/>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Property Management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0">
                      <wp:simplePos x="0" y="0"/>
                      <wp:positionH relativeFrom="character">
                        <wp:align>left</wp:align>
                      </wp:positionH>
                      <wp:positionV relativeFrom="line">
                        <wp:posOffset>635</wp:posOffset>
                      </wp:positionV>
                      <wp:extent cx="69215" cy="220980"/>
                      <wp:effectExtent l="0" t="0" r="0" b="0"/>
                      <wp:wrapNone/>
                      <wp:docPr id="869" name="Frame86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1">
                      <wp:simplePos x="0" y="0"/>
                      <wp:positionH relativeFrom="character">
                        <wp:align>left</wp:align>
                      </wp:positionH>
                      <wp:positionV relativeFrom="line">
                        <wp:posOffset>635</wp:posOffset>
                      </wp:positionV>
                      <wp:extent cx="97790" cy="1064895"/>
                      <wp:effectExtent l="0" t="0" r="0" b="0"/>
                      <wp:wrapNone/>
                      <wp:docPr id="870" name="Frame870"/>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HCR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2">
                      <wp:simplePos x="0" y="0"/>
                      <wp:positionH relativeFrom="character">
                        <wp:align>left</wp:align>
                      </wp:positionH>
                      <wp:positionV relativeFrom="line">
                        <wp:posOffset>635</wp:posOffset>
                      </wp:positionV>
                      <wp:extent cx="69215" cy="220980"/>
                      <wp:effectExtent l="0" t="0" r="0" b="0"/>
                      <wp:wrapNone/>
                      <wp:docPr id="871" name="Frame87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3">
                      <wp:simplePos x="0" y="0"/>
                      <wp:positionH relativeFrom="character">
                        <wp:align>left</wp:align>
                      </wp:positionH>
                      <wp:positionV relativeFrom="line">
                        <wp:posOffset>635</wp:posOffset>
                      </wp:positionV>
                      <wp:extent cx="97790" cy="1064895"/>
                      <wp:effectExtent l="0" t="0" r="0" b="0"/>
                      <wp:wrapNone/>
                      <wp:docPr id="872" name="Frame872"/>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HCR Operating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4">
                      <wp:simplePos x="0" y="0"/>
                      <wp:positionH relativeFrom="character">
                        <wp:align>left</wp:align>
                      </wp:positionH>
                      <wp:positionV relativeFrom="line">
                        <wp:posOffset>635</wp:posOffset>
                      </wp:positionV>
                      <wp:extent cx="69215" cy="220980"/>
                      <wp:effectExtent l="0" t="0" r="0" b="0"/>
                      <wp:wrapNone/>
                      <wp:docPr id="873" name="Frame87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5">
                      <wp:simplePos x="0" y="0"/>
                      <wp:positionH relativeFrom="character">
                        <wp:align>left</wp:align>
                      </wp:positionH>
                      <wp:positionV relativeFrom="line">
                        <wp:posOffset>635</wp:posOffset>
                      </wp:positionV>
                      <wp:extent cx="97790" cy="1064895"/>
                      <wp:effectExtent l="0" t="0" r="0" b="0"/>
                      <wp:wrapNone/>
                      <wp:docPr id="874" name="Frame874"/>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HCR Properties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6">
                      <wp:simplePos x="0" y="0"/>
                      <wp:positionH relativeFrom="character">
                        <wp:align>left</wp:align>
                      </wp:positionH>
                      <wp:positionV relativeFrom="line">
                        <wp:posOffset>635</wp:posOffset>
                      </wp:positionV>
                      <wp:extent cx="69215" cy="220980"/>
                      <wp:effectExtent l="0" t="0" r="0" b="0"/>
                      <wp:wrapNone/>
                      <wp:docPr id="875" name="Frame87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7">
                      <wp:simplePos x="0" y="0"/>
                      <wp:positionH relativeFrom="character">
                        <wp:align>left</wp:align>
                      </wp:positionH>
                      <wp:positionV relativeFrom="line">
                        <wp:posOffset>635</wp:posOffset>
                      </wp:positionV>
                      <wp:extent cx="97790" cy="1064895"/>
                      <wp:effectExtent l="0" t="0" r="0" b="0"/>
                      <wp:wrapNone/>
                      <wp:docPr id="876" name="Frame876"/>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HCR Services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8">
                      <wp:simplePos x="0" y="0"/>
                      <wp:positionH relativeFrom="character">
                        <wp:align>left</wp:align>
                      </wp:positionH>
                      <wp:positionV relativeFrom="line">
                        <wp:posOffset>635</wp:posOffset>
                      </wp:positionV>
                      <wp:extent cx="69215" cy="220980"/>
                      <wp:effectExtent l="0" t="0" r="0" b="0"/>
                      <wp:wrapNone/>
                      <wp:docPr id="877" name="Frame87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9">
                      <wp:simplePos x="0" y="0"/>
                      <wp:positionH relativeFrom="character">
                        <wp:align>left</wp:align>
                      </wp:positionH>
                      <wp:positionV relativeFrom="line">
                        <wp:posOffset>635</wp:posOffset>
                      </wp:positionV>
                      <wp:extent cx="97790" cy="1064895"/>
                      <wp:effectExtent l="0" t="0" r="0" b="0"/>
                      <wp:wrapNone/>
                      <wp:docPr id="878" name="Frame878"/>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HRC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0">
                      <wp:simplePos x="0" y="0"/>
                      <wp:positionH relativeFrom="character">
                        <wp:align>left</wp:align>
                      </wp:positionH>
                      <wp:positionV relativeFrom="line">
                        <wp:posOffset>635</wp:posOffset>
                      </wp:positionV>
                      <wp:extent cx="69215" cy="220980"/>
                      <wp:effectExtent l="0" t="0" r="0" b="0"/>
                      <wp:wrapNone/>
                      <wp:docPr id="879" name="Frame87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1">
                      <wp:simplePos x="0" y="0"/>
                      <wp:positionH relativeFrom="character">
                        <wp:align>left</wp:align>
                      </wp:positionH>
                      <wp:positionV relativeFrom="line">
                        <wp:posOffset>635</wp:posOffset>
                      </wp:positionV>
                      <wp:extent cx="97790" cy="1064895"/>
                      <wp:effectExtent l="0" t="0" r="0" b="0"/>
                      <wp:wrapNone/>
                      <wp:docPr id="880" name="Frame880"/>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Homes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2">
                      <wp:simplePos x="0" y="0"/>
                      <wp:positionH relativeFrom="character">
                        <wp:align>left</wp:align>
                      </wp:positionH>
                      <wp:positionV relativeFrom="line">
                        <wp:posOffset>635</wp:posOffset>
                      </wp:positionV>
                      <wp:extent cx="69215" cy="220980"/>
                      <wp:effectExtent l="0" t="0" r="0" b="0"/>
                      <wp:wrapNone/>
                      <wp:docPr id="881" name="Frame88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3">
                      <wp:simplePos x="0" y="0"/>
                      <wp:positionH relativeFrom="character">
                        <wp:align>left</wp:align>
                      </wp:positionH>
                      <wp:positionV relativeFrom="line">
                        <wp:posOffset>635</wp:posOffset>
                      </wp:positionV>
                      <wp:extent cx="97790" cy="1064895"/>
                      <wp:effectExtent l="0" t="0" r="0" b="0"/>
                      <wp:wrapNone/>
                      <wp:docPr id="882" name="Frame882"/>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Home Properties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4">
                      <wp:simplePos x="0" y="0"/>
                      <wp:positionH relativeFrom="character">
                        <wp:align>left</wp:align>
                      </wp:positionH>
                      <wp:positionV relativeFrom="line">
                        <wp:posOffset>635</wp:posOffset>
                      </wp:positionV>
                      <wp:extent cx="69215" cy="220980"/>
                      <wp:effectExtent l="0" t="0" r="0" b="0"/>
                      <wp:wrapNone/>
                      <wp:docPr id="883" name="Frame88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5">
                      <wp:simplePos x="0" y="0"/>
                      <wp:positionH relativeFrom="character">
                        <wp:align>left</wp:align>
                      </wp:positionH>
                      <wp:positionV relativeFrom="line">
                        <wp:posOffset>635</wp:posOffset>
                      </wp:positionV>
                      <wp:extent cx="97790" cy="1064895"/>
                      <wp:effectExtent l="0" t="0" r="0" b="0"/>
                      <wp:wrapNone/>
                      <wp:docPr id="884" name="Frame884"/>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Club Resort Properties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6">
                      <wp:simplePos x="0" y="0"/>
                      <wp:positionH relativeFrom="character">
                        <wp:align>left</wp:align>
                      </wp:positionH>
                      <wp:positionV relativeFrom="line">
                        <wp:posOffset>635</wp:posOffset>
                      </wp:positionV>
                      <wp:extent cx="69215" cy="220980"/>
                      <wp:effectExtent l="0" t="0" r="0" b="0"/>
                      <wp:wrapNone/>
                      <wp:docPr id="885" name="Frame88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7">
                      <wp:simplePos x="0" y="0"/>
                      <wp:positionH relativeFrom="character">
                        <wp:align>left</wp:align>
                      </wp:positionH>
                      <wp:positionV relativeFrom="line">
                        <wp:posOffset>635</wp:posOffset>
                      </wp:positionV>
                      <wp:extent cx="97790" cy="1064895"/>
                      <wp:effectExtent l="0" t="0" r="0" b="0"/>
                      <wp:wrapNone/>
                      <wp:docPr id="886" name="Frame886"/>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Moorestown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8">
                      <wp:simplePos x="0" y="0"/>
                      <wp:positionH relativeFrom="character">
                        <wp:align>left</wp:align>
                      </wp:positionH>
                      <wp:positionV relativeFrom="line">
                        <wp:posOffset>635</wp:posOffset>
                      </wp:positionV>
                      <wp:extent cx="69215" cy="220980"/>
                      <wp:effectExtent l="0" t="0" r="0" b="0"/>
                      <wp:wrapNone/>
                      <wp:docPr id="887" name="Frame88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9">
                      <wp:simplePos x="0" y="0"/>
                      <wp:positionH relativeFrom="character">
                        <wp:align>left</wp:align>
                      </wp:positionH>
                      <wp:positionV relativeFrom="line">
                        <wp:posOffset>635</wp:posOffset>
                      </wp:positionV>
                      <wp:extent cx="97790" cy="1064895"/>
                      <wp:effectExtent l="0" t="0" r="0" b="0"/>
                      <wp:wrapNone/>
                      <wp:docPr id="888" name="Frame888"/>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Prop Co. Holdings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0">
                      <wp:simplePos x="0" y="0"/>
                      <wp:positionH relativeFrom="character">
                        <wp:align>left</wp:align>
                      </wp:positionH>
                      <wp:positionV relativeFrom="line">
                        <wp:posOffset>635</wp:posOffset>
                      </wp:positionV>
                      <wp:extent cx="69215" cy="220980"/>
                      <wp:effectExtent l="0" t="0" r="0" b="0"/>
                      <wp:wrapNone/>
                      <wp:docPr id="889" name="Frame88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1">
                      <wp:simplePos x="0" y="0"/>
                      <wp:positionH relativeFrom="character">
                        <wp:align>left</wp:align>
                      </wp:positionH>
                      <wp:positionV relativeFrom="line">
                        <wp:posOffset>635</wp:posOffset>
                      </wp:positionV>
                      <wp:extent cx="97790" cy="1064895"/>
                      <wp:effectExtent l="0" t="0" r="0" b="0"/>
                      <wp:wrapNone/>
                      <wp:docPr id="890" name="Frame890"/>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New Seabury Homes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2">
                      <wp:simplePos x="0" y="0"/>
                      <wp:positionH relativeFrom="character">
                        <wp:align>left</wp:align>
                      </wp:positionH>
                      <wp:positionV relativeFrom="line">
                        <wp:posOffset>635</wp:posOffset>
                      </wp:positionV>
                      <wp:extent cx="69215" cy="220980"/>
                      <wp:effectExtent l="0" t="0" r="0" b="0"/>
                      <wp:wrapNone/>
                      <wp:docPr id="891" name="Frame89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3">
                      <wp:simplePos x="0" y="0"/>
                      <wp:positionH relativeFrom="character">
                        <wp:align>left</wp:align>
                      </wp:positionH>
                      <wp:positionV relativeFrom="line">
                        <wp:posOffset>635</wp:posOffset>
                      </wp:positionV>
                      <wp:extent cx="97790" cy="1064895"/>
                      <wp:effectExtent l="0" t="0" r="0" b="0"/>
                      <wp:wrapNone/>
                      <wp:docPr id="892" name="Frame892"/>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Utility Holdings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4">
                      <wp:simplePos x="0" y="0"/>
                      <wp:positionH relativeFrom="character">
                        <wp:align>left</wp:align>
                      </wp:positionH>
                      <wp:positionV relativeFrom="line">
                        <wp:posOffset>635</wp:posOffset>
                      </wp:positionV>
                      <wp:extent cx="69215" cy="220980"/>
                      <wp:effectExtent l="0" t="0" r="0" b="0"/>
                      <wp:wrapNone/>
                      <wp:docPr id="893" name="Frame89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5">
                      <wp:simplePos x="0" y="0"/>
                      <wp:positionH relativeFrom="character">
                        <wp:align>left</wp:align>
                      </wp:positionH>
                      <wp:positionV relativeFrom="line">
                        <wp:posOffset>635</wp:posOffset>
                      </wp:positionV>
                      <wp:extent cx="97790" cy="1064895"/>
                      <wp:effectExtent l="0" t="0" r="0" b="0"/>
                      <wp:wrapNone/>
                      <wp:docPr id="894" name="Frame894"/>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AREP Florida Holdings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6">
                      <wp:simplePos x="0" y="0"/>
                      <wp:positionH relativeFrom="character">
                        <wp:align>left</wp:align>
                      </wp:positionH>
                      <wp:positionV relativeFrom="line">
                        <wp:posOffset>635</wp:posOffset>
                      </wp:positionV>
                      <wp:extent cx="69215" cy="220980"/>
                      <wp:effectExtent l="0" t="0" r="0" b="0"/>
                      <wp:wrapNone/>
                      <wp:docPr id="895" name="Frame89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7">
                      <wp:simplePos x="0" y="0"/>
                      <wp:positionH relativeFrom="character">
                        <wp:align>left</wp:align>
                      </wp:positionH>
                      <wp:positionV relativeFrom="line">
                        <wp:posOffset>635</wp:posOffset>
                      </wp:positionV>
                      <wp:extent cx="97790" cy="1064895"/>
                      <wp:effectExtent l="0" t="0" r="0" b="0"/>
                      <wp:wrapNone/>
                      <wp:docPr id="896" name="Frame896"/>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AREP KH Holding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8">
                      <wp:simplePos x="0" y="0"/>
                      <wp:positionH relativeFrom="character">
                        <wp:align>left</wp:align>
                      </wp:positionH>
                      <wp:positionV relativeFrom="line">
                        <wp:posOffset>635</wp:posOffset>
                      </wp:positionV>
                      <wp:extent cx="69215" cy="220980"/>
                      <wp:effectExtent l="0" t="0" r="0" b="0"/>
                      <wp:wrapNone/>
                      <wp:docPr id="897" name="Frame89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9">
                      <wp:simplePos x="0" y="0"/>
                      <wp:positionH relativeFrom="character">
                        <wp:align>left</wp:align>
                      </wp:positionH>
                      <wp:positionV relativeFrom="line">
                        <wp:posOffset>635</wp:posOffset>
                      </wp:positionV>
                      <wp:extent cx="97790" cy="1064895"/>
                      <wp:effectExtent l="0" t="0" r="0" b="0"/>
                      <wp:wrapNone/>
                      <wp:docPr id="898" name="Frame898"/>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AREP New York Holdings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0">
                      <wp:simplePos x="0" y="0"/>
                      <wp:positionH relativeFrom="character">
                        <wp:align>left</wp:align>
                      </wp:positionH>
                      <wp:positionV relativeFrom="line">
                        <wp:posOffset>635</wp:posOffset>
                      </wp:positionV>
                      <wp:extent cx="69215" cy="220980"/>
                      <wp:effectExtent l="0" t="0" r="0" b="0"/>
                      <wp:wrapNone/>
                      <wp:docPr id="899" name="Frame89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1">
                      <wp:simplePos x="0" y="0"/>
                      <wp:positionH relativeFrom="character">
                        <wp:align>left</wp:align>
                      </wp:positionH>
                      <wp:positionV relativeFrom="line">
                        <wp:posOffset>635</wp:posOffset>
                      </wp:positionV>
                      <wp:extent cx="97790" cy="1064895"/>
                      <wp:effectExtent l="0" t="0" r="0" b="0"/>
                      <wp:wrapNone/>
                      <wp:docPr id="900" name="Frame900"/>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AREP Real Estate Holdings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2">
                      <wp:simplePos x="0" y="0"/>
                      <wp:positionH relativeFrom="character">
                        <wp:align>left</wp:align>
                      </wp:positionH>
                      <wp:positionV relativeFrom="line">
                        <wp:posOffset>635</wp:posOffset>
                      </wp:positionV>
                      <wp:extent cx="69215" cy="220980"/>
                      <wp:effectExtent l="0" t="0" r="0" b="0"/>
                      <wp:wrapNone/>
                      <wp:docPr id="901" name="Frame90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3">
                      <wp:simplePos x="0" y="0"/>
                      <wp:positionH relativeFrom="character">
                        <wp:align>left</wp:align>
                      </wp:positionH>
                      <wp:positionV relativeFrom="line">
                        <wp:posOffset>635</wp:posOffset>
                      </wp:positionV>
                      <wp:extent cx="97790" cy="1064895"/>
                      <wp:effectExtent l="0" t="0" r="0" b="0"/>
                      <wp:wrapNone/>
                      <wp:docPr id="902" name="Frame902"/>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Bayswater Cottages at New Seabury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4">
                      <wp:simplePos x="0" y="0"/>
                      <wp:positionH relativeFrom="character">
                        <wp:align>left</wp:align>
                      </wp:positionH>
                      <wp:positionV relativeFrom="line">
                        <wp:posOffset>635</wp:posOffset>
                      </wp:positionV>
                      <wp:extent cx="69215" cy="220980"/>
                      <wp:effectExtent l="0" t="0" r="0" b="0"/>
                      <wp:wrapNone/>
                      <wp:docPr id="903" name="Frame90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5">
                      <wp:simplePos x="0" y="0"/>
                      <wp:positionH relativeFrom="character">
                        <wp:align>left</wp:align>
                      </wp:positionH>
                      <wp:positionV relativeFrom="line">
                        <wp:posOffset>635</wp:posOffset>
                      </wp:positionV>
                      <wp:extent cx="97790" cy="1064895"/>
                      <wp:effectExtent l="0" t="0" r="0" b="0"/>
                      <wp:wrapNone/>
                      <wp:docPr id="904" name="Frame904"/>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Atlantic Coast Entertainment Holdings, Inc.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6">
                      <wp:simplePos x="0" y="0"/>
                      <wp:positionH relativeFrom="character">
                        <wp:align>left</wp:align>
                      </wp:positionH>
                      <wp:positionV relativeFrom="line">
                        <wp:posOffset>635</wp:posOffset>
                      </wp:positionV>
                      <wp:extent cx="69215" cy="220980"/>
                      <wp:effectExtent l="0" t="0" r="0" b="0"/>
                      <wp:wrapNone/>
                      <wp:docPr id="905" name="Frame90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7">
                      <wp:simplePos x="0" y="0"/>
                      <wp:positionH relativeFrom="character">
                        <wp:align>left</wp:align>
                      </wp:positionH>
                      <wp:positionV relativeFrom="line">
                        <wp:posOffset>635</wp:posOffset>
                      </wp:positionV>
                      <wp:extent cx="97790" cy="1304925"/>
                      <wp:effectExtent l="0" t="0" r="0" b="0"/>
                      <wp:wrapNone/>
                      <wp:docPr id="906" name="Frame906"/>
                      <a:graphic xmlns:a="http://schemas.openxmlformats.org/drawingml/2006/main">
                        <a:graphicData uri="http://schemas.microsoft.com/office/word/2010/wordprocessingShape">
                          <wps:wsp>
                            <wps:cNvSpPr txBox="1"/>
                            <wps:spPr>
                              <a:xfrm>
                                <a:off x="0" y="0"/>
                                <a:ext cx="97790" cy="130492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p>
                                  <w:pPr>
                                    <w:pStyle w:val="TableContents"/>
                                    <w:bidi w:val="0"/>
                                    <w:spacing w:lineRule="auto" w:line="237" w:before="75"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02.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p>
                            <w:pPr>
                              <w:pStyle w:val="TableContents"/>
                              <w:bidi w:val="0"/>
                              <w:spacing w:lineRule="auto" w:line="237" w:before="75" w:after="30"/>
                              <w:ind w:left="0" w:right="0" w:hanging="0"/>
                              <w:jc w:val="center"/>
                              <w:rPr/>
                            </w:pPr>
                            <w:r>
                              <w:rPr/>
                              <w:t>​</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Bayswater Development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8">
                      <wp:simplePos x="0" y="0"/>
                      <wp:positionH relativeFrom="character">
                        <wp:align>left</wp:align>
                      </wp:positionH>
                      <wp:positionV relativeFrom="line">
                        <wp:posOffset>635</wp:posOffset>
                      </wp:positionV>
                      <wp:extent cx="69215" cy="220980"/>
                      <wp:effectExtent l="0" t="0" r="0" b="0"/>
                      <wp:wrapNone/>
                      <wp:docPr id="907" name="Frame90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9">
                      <wp:simplePos x="0" y="0"/>
                      <wp:positionH relativeFrom="character">
                        <wp:align>left</wp:align>
                      </wp:positionH>
                      <wp:positionV relativeFrom="line">
                        <wp:posOffset>635</wp:posOffset>
                      </wp:positionV>
                      <wp:extent cx="97790" cy="1064895"/>
                      <wp:effectExtent l="0" t="0" r="0" b="0"/>
                      <wp:wrapNone/>
                      <wp:docPr id="908" name="Frame908"/>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Bayswater Falling Waters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0">
                      <wp:simplePos x="0" y="0"/>
                      <wp:positionH relativeFrom="character">
                        <wp:align>left</wp:align>
                      </wp:positionH>
                      <wp:positionV relativeFrom="line">
                        <wp:posOffset>635</wp:posOffset>
                      </wp:positionV>
                      <wp:extent cx="69215" cy="220980"/>
                      <wp:effectExtent l="0" t="0" r="0" b="0"/>
                      <wp:wrapNone/>
                      <wp:docPr id="909" name="Frame90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1">
                      <wp:simplePos x="0" y="0"/>
                      <wp:positionH relativeFrom="character">
                        <wp:align>left</wp:align>
                      </wp:positionH>
                      <wp:positionV relativeFrom="line">
                        <wp:posOffset>635</wp:posOffset>
                      </wp:positionV>
                      <wp:extent cx="97790" cy="1064895"/>
                      <wp:effectExtent l="0" t="0" r="0" b="0"/>
                      <wp:wrapNone/>
                      <wp:docPr id="910" name="Frame910"/>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Bayswater Flat Pond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2">
                      <wp:simplePos x="0" y="0"/>
                      <wp:positionH relativeFrom="character">
                        <wp:align>left</wp:align>
                      </wp:positionH>
                      <wp:positionV relativeFrom="line">
                        <wp:posOffset>635</wp:posOffset>
                      </wp:positionV>
                      <wp:extent cx="69215" cy="220980"/>
                      <wp:effectExtent l="0" t="0" r="0" b="0"/>
                      <wp:wrapNone/>
                      <wp:docPr id="911" name="Frame91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3">
                      <wp:simplePos x="0" y="0"/>
                      <wp:positionH relativeFrom="character">
                        <wp:align>left</wp:align>
                      </wp:positionH>
                      <wp:positionV relativeFrom="line">
                        <wp:posOffset>635</wp:posOffset>
                      </wp:positionV>
                      <wp:extent cx="97790" cy="1064895"/>
                      <wp:effectExtent l="0" t="0" r="0" b="0"/>
                      <wp:wrapNone/>
                      <wp:docPr id="912" name="Frame912"/>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Bayswater Hammond Ridge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4">
                      <wp:simplePos x="0" y="0"/>
                      <wp:positionH relativeFrom="character">
                        <wp:align>left</wp:align>
                      </wp:positionH>
                      <wp:positionV relativeFrom="line">
                        <wp:posOffset>635</wp:posOffset>
                      </wp:positionV>
                      <wp:extent cx="69215" cy="220980"/>
                      <wp:effectExtent l="0" t="0" r="0" b="0"/>
                      <wp:wrapNone/>
                      <wp:docPr id="913" name="Frame91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5">
                      <wp:simplePos x="0" y="0"/>
                      <wp:positionH relativeFrom="character">
                        <wp:align>left</wp:align>
                      </wp:positionH>
                      <wp:positionV relativeFrom="line">
                        <wp:posOffset>635</wp:posOffset>
                      </wp:positionV>
                      <wp:extent cx="97790" cy="1064895"/>
                      <wp:effectExtent l="0" t="0" r="0" b="0"/>
                      <wp:wrapNone/>
                      <wp:docPr id="914" name="Frame914"/>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Bayswater Pondview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6">
                      <wp:simplePos x="0" y="0"/>
                      <wp:positionH relativeFrom="character">
                        <wp:align>left</wp:align>
                      </wp:positionH>
                      <wp:positionV relativeFrom="line">
                        <wp:posOffset>635</wp:posOffset>
                      </wp:positionV>
                      <wp:extent cx="69215" cy="220980"/>
                      <wp:effectExtent l="0" t="0" r="0" b="0"/>
                      <wp:wrapNone/>
                      <wp:docPr id="915" name="Frame91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7">
                      <wp:simplePos x="0" y="0"/>
                      <wp:positionH relativeFrom="character">
                        <wp:align>left</wp:align>
                      </wp:positionH>
                      <wp:positionV relativeFrom="line">
                        <wp:posOffset>635</wp:posOffset>
                      </wp:positionV>
                      <wp:extent cx="97790" cy="1064895"/>
                      <wp:effectExtent l="0" t="0" r="0" b="0"/>
                      <wp:wrapNone/>
                      <wp:docPr id="916" name="Frame916"/>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Bayswater Seaside II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8">
                      <wp:simplePos x="0" y="0"/>
                      <wp:positionH relativeFrom="character">
                        <wp:align>left</wp:align>
                      </wp:positionH>
                      <wp:positionV relativeFrom="line">
                        <wp:posOffset>635</wp:posOffset>
                      </wp:positionV>
                      <wp:extent cx="69215" cy="220980"/>
                      <wp:effectExtent l="0" t="0" r="0" b="0"/>
                      <wp:wrapNone/>
                      <wp:docPr id="917" name="Frame91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9">
                      <wp:simplePos x="0" y="0"/>
                      <wp:positionH relativeFrom="character">
                        <wp:align>left</wp:align>
                      </wp:positionH>
                      <wp:positionV relativeFrom="line">
                        <wp:posOffset>635</wp:posOffset>
                      </wp:positionV>
                      <wp:extent cx="97790" cy="1064895"/>
                      <wp:effectExtent l="0" t="0" r="0" b="0"/>
                      <wp:wrapNone/>
                      <wp:docPr id="918" name="Frame918"/>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GH Vero Beach Development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0">
                      <wp:simplePos x="0" y="0"/>
                      <wp:positionH relativeFrom="character">
                        <wp:align>left</wp:align>
                      </wp:positionH>
                      <wp:positionV relativeFrom="line">
                        <wp:posOffset>635</wp:posOffset>
                      </wp:positionV>
                      <wp:extent cx="69215" cy="220980"/>
                      <wp:effectExtent l="0" t="0" r="0" b="0"/>
                      <wp:wrapNone/>
                      <wp:docPr id="919" name="Frame91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1">
                      <wp:simplePos x="0" y="0"/>
                      <wp:positionH relativeFrom="character">
                        <wp:align>left</wp:align>
                      </wp:positionH>
                      <wp:positionV relativeFrom="line">
                        <wp:posOffset>635</wp:posOffset>
                      </wp:positionV>
                      <wp:extent cx="97790" cy="1064895"/>
                      <wp:effectExtent l="0" t="0" r="0" b="0"/>
                      <wp:wrapNone/>
                      <wp:docPr id="920" name="Frame920"/>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GH Vero Holdings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2">
                      <wp:simplePos x="0" y="0"/>
                      <wp:positionH relativeFrom="character">
                        <wp:align>left</wp:align>
                      </wp:positionH>
                      <wp:positionV relativeFrom="line">
                        <wp:posOffset>635</wp:posOffset>
                      </wp:positionV>
                      <wp:extent cx="69215" cy="220980"/>
                      <wp:effectExtent l="0" t="0" r="0" b="0"/>
                      <wp:wrapNone/>
                      <wp:docPr id="921" name="Frame92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3">
                      <wp:simplePos x="0" y="0"/>
                      <wp:positionH relativeFrom="character">
                        <wp:align>left</wp:align>
                      </wp:positionH>
                      <wp:positionV relativeFrom="line">
                        <wp:posOffset>635</wp:posOffset>
                      </wp:positionV>
                      <wp:extent cx="97790" cy="1064895"/>
                      <wp:effectExtent l="0" t="0" r="0" b="0"/>
                      <wp:wrapNone/>
                      <wp:docPr id="922" name="Frame922"/>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Grand Harbor Golf Club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4">
                      <wp:simplePos x="0" y="0"/>
                      <wp:positionH relativeFrom="character">
                        <wp:align>left</wp:align>
                      </wp:positionH>
                      <wp:positionV relativeFrom="line">
                        <wp:posOffset>635</wp:posOffset>
                      </wp:positionV>
                      <wp:extent cx="69215" cy="220980"/>
                      <wp:effectExtent l="0" t="0" r="0" b="0"/>
                      <wp:wrapNone/>
                      <wp:docPr id="923" name="Frame92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5">
                      <wp:simplePos x="0" y="0"/>
                      <wp:positionH relativeFrom="character">
                        <wp:align>left</wp:align>
                      </wp:positionH>
                      <wp:positionV relativeFrom="line">
                        <wp:posOffset>635</wp:posOffset>
                      </wp:positionV>
                      <wp:extent cx="97790" cy="1064895"/>
                      <wp:effectExtent l="0" t="0" r="0" b="0"/>
                      <wp:wrapNone/>
                      <wp:docPr id="924" name="Frame924"/>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Grand Harbor North Land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6">
                      <wp:simplePos x="0" y="0"/>
                      <wp:positionH relativeFrom="character">
                        <wp:align>left</wp:align>
                      </wp:positionH>
                      <wp:positionV relativeFrom="line">
                        <wp:posOffset>635</wp:posOffset>
                      </wp:positionV>
                      <wp:extent cx="69215" cy="220980"/>
                      <wp:effectExtent l="0" t="0" r="0" b="0"/>
                      <wp:wrapNone/>
                      <wp:docPr id="925" name="Frame92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7">
                      <wp:simplePos x="0" y="0"/>
                      <wp:positionH relativeFrom="character">
                        <wp:align>left</wp:align>
                      </wp:positionH>
                      <wp:positionV relativeFrom="line">
                        <wp:posOffset>635</wp:posOffset>
                      </wp:positionV>
                      <wp:extent cx="97790" cy="1064895"/>
                      <wp:effectExtent l="0" t="0" r="0" b="0"/>
                      <wp:wrapNone/>
                      <wp:docPr id="926" name="Frame926"/>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Icahn Automotive Service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8">
                      <wp:simplePos x="0" y="0"/>
                      <wp:positionH relativeFrom="character">
                        <wp:align>left</wp:align>
                      </wp:positionH>
                      <wp:positionV relativeFrom="line">
                        <wp:posOffset>635</wp:posOffset>
                      </wp:positionV>
                      <wp:extent cx="69215" cy="220980"/>
                      <wp:effectExtent l="0" t="0" r="0" b="0"/>
                      <wp:wrapNone/>
                      <wp:docPr id="927" name="Frame92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9">
                      <wp:simplePos x="0" y="0"/>
                      <wp:positionH relativeFrom="character">
                        <wp:align>left</wp:align>
                      </wp:positionH>
                      <wp:positionV relativeFrom="line">
                        <wp:posOffset>635</wp:posOffset>
                      </wp:positionV>
                      <wp:extent cx="97790" cy="1010920"/>
                      <wp:effectExtent l="0" t="0" r="0" b="0"/>
                      <wp:wrapNone/>
                      <wp:docPr id="928" name="Frame928"/>
                      <a:graphic xmlns:a="http://schemas.openxmlformats.org/drawingml/2006/main">
                        <a:graphicData uri="http://schemas.microsoft.com/office/word/2010/wordprocessingShape">
                          <wps:wsp>
                            <wps:cNvSpPr txBox="1"/>
                            <wps:spPr>
                              <a:xfrm>
                                <a:off x="0" y="0"/>
                                <a:ext cx="97790" cy="101092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7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Icahn Automotive Group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0">
                      <wp:simplePos x="0" y="0"/>
                      <wp:positionH relativeFrom="character">
                        <wp:align>left</wp:align>
                      </wp:positionH>
                      <wp:positionV relativeFrom="line">
                        <wp:posOffset>635</wp:posOffset>
                      </wp:positionV>
                      <wp:extent cx="69215" cy="220980"/>
                      <wp:effectExtent l="0" t="0" r="0" b="0"/>
                      <wp:wrapNone/>
                      <wp:docPr id="929" name="Frame92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1">
                      <wp:simplePos x="0" y="0"/>
                      <wp:positionH relativeFrom="character">
                        <wp:align>left</wp:align>
                      </wp:positionH>
                      <wp:positionV relativeFrom="line">
                        <wp:posOffset>635</wp:posOffset>
                      </wp:positionV>
                      <wp:extent cx="97790" cy="799465"/>
                      <wp:effectExtent l="0" t="0" r="0" b="0"/>
                      <wp:wrapNone/>
                      <wp:docPr id="930" name="Frame930"/>
                      <a:graphic xmlns:a="http://schemas.openxmlformats.org/drawingml/2006/main">
                        <a:graphicData uri="http://schemas.microsoft.com/office/word/2010/wordprocessingShape">
                          <wps:wsp>
                            <wps:cNvSpPr txBox="1"/>
                            <wps:spPr>
                              <a:xfrm>
                                <a:off x="0" y="0"/>
                                <a:ext cx="97790" cy="79946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62.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767 Auto Leasing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2">
                      <wp:simplePos x="0" y="0"/>
                      <wp:positionH relativeFrom="character">
                        <wp:align>left</wp:align>
                      </wp:positionH>
                      <wp:positionV relativeFrom="line">
                        <wp:posOffset>635</wp:posOffset>
                      </wp:positionV>
                      <wp:extent cx="69215" cy="220980"/>
                      <wp:effectExtent l="0" t="0" r="0" b="0"/>
                      <wp:wrapNone/>
                      <wp:docPr id="931" name="Frame93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3">
                      <wp:simplePos x="0" y="0"/>
                      <wp:positionH relativeFrom="character">
                        <wp:align>left</wp:align>
                      </wp:positionH>
                      <wp:positionV relativeFrom="line">
                        <wp:posOffset>635</wp:posOffset>
                      </wp:positionV>
                      <wp:extent cx="97790" cy="588010"/>
                      <wp:effectExtent l="0" t="0" r="0" b="0"/>
                      <wp:wrapNone/>
                      <wp:docPr id="932" name="Frame932"/>
                      <a:graphic xmlns:a="http://schemas.openxmlformats.org/drawingml/2006/main">
                        <a:graphicData uri="http://schemas.microsoft.com/office/word/2010/wordprocessingShape">
                          <wps:wsp>
                            <wps:cNvSpPr txBox="1"/>
                            <wps:spPr>
                              <a:xfrm>
                                <a:off x="0" y="0"/>
                                <a:ext cx="97790" cy="58801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46.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Icahn Enterprises Onshore/Offshore Investors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4">
                      <wp:simplePos x="0" y="0"/>
                      <wp:positionH relativeFrom="character">
                        <wp:align>left</wp:align>
                      </wp:positionH>
                      <wp:positionV relativeFrom="line">
                        <wp:posOffset>635</wp:posOffset>
                      </wp:positionV>
                      <wp:extent cx="69215" cy="220980"/>
                      <wp:effectExtent l="0" t="0" r="0" b="0"/>
                      <wp:wrapNone/>
                      <wp:docPr id="933" name="Frame93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5">
                      <wp:simplePos x="0" y="0"/>
                      <wp:positionH relativeFrom="character">
                        <wp:align>left</wp:align>
                      </wp:positionH>
                      <wp:positionV relativeFrom="line">
                        <wp:posOffset>635</wp:posOffset>
                      </wp:positionV>
                      <wp:extent cx="97790" cy="376555"/>
                      <wp:effectExtent l="0" t="0" r="0" b="0"/>
                      <wp:wrapNone/>
                      <wp:docPr id="934" name="Frame934"/>
                      <a:graphic xmlns:a="http://schemas.openxmlformats.org/drawingml/2006/main">
                        <a:graphicData uri="http://schemas.microsoft.com/office/word/2010/wordprocessingShape">
                          <wps:wsp>
                            <wps:cNvSpPr txBox="1"/>
                            <wps:spPr>
                              <a:xfrm>
                                <a:off x="0" y="0"/>
                                <a:ext cx="97790" cy="37655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9.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Icahn Strategy Holding Corp.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6">
                      <wp:simplePos x="0" y="0"/>
                      <wp:positionH relativeFrom="character">
                        <wp:align>left</wp:align>
                      </wp:positionH>
                      <wp:positionV relativeFrom="line">
                        <wp:posOffset>635</wp:posOffset>
                      </wp:positionV>
                      <wp:extent cx="69215" cy="220980"/>
                      <wp:effectExtent l="0" t="0" r="0" b="0"/>
                      <wp:wrapNone/>
                      <wp:docPr id="935" name="Frame93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7">
                      <wp:simplePos x="0" y="0"/>
                      <wp:positionH relativeFrom="character">
                        <wp:align>left</wp:align>
                      </wp:positionH>
                      <wp:positionV relativeFrom="line">
                        <wp:posOffset>635</wp:posOffset>
                      </wp:positionV>
                      <wp:extent cx="97790" cy="1064895"/>
                      <wp:effectExtent l="0" t="0" r="0" b="0"/>
                      <wp:wrapNone/>
                      <wp:docPr id="936" name="Frame936"/>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IEH BioPharma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8">
                      <wp:simplePos x="0" y="0"/>
                      <wp:positionH relativeFrom="character">
                        <wp:align>left</wp:align>
                      </wp:positionH>
                      <wp:positionV relativeFrom="line">
                        <wp:posOffset>635</wp:posOffset>
                      </wp:positionV>
                      <wp:extent cx="69215" cy="220980"/>
                      <wp:effectExtent l="0" t="0" r="0" b="0"/>
                      <wp:wrapNone/>
                      <wp:docPr id="937" name="Frame93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9">
                      <wp:simplePos x="0" y="0"/>
                      <wp:positionH relativeFrom="character">
                        <wp:align>left</wp:align>
                      </wp:positionH>
                      <wp:positionV relativeFrom="line">
                        <wp:posOffset>635</wp:posOffset>
                      </wp:positionV>
                      <wp:extent cx="97790" cy="1064895"/>
                      <wp:effectExtent l="0" t="0" r="0" b="0"/>
                      <wp:wrapNone/>
                      <wp:docPr id="938" name="Frame938"/>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8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IEH Loop Road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0">
                      <wp:simplePos x="0" y="0"/>
                      <wp:positionH relativeFrom="character">
                        <wp:align>left</wp:align>
                      </wp:positionH>
                      <wp:positionV relativeFrom="line">
                        <wp:posOffset>635</wp:posOffset>
                      </wp:positionV>
                      <wp:extent cx="69215" cy="220980"/>
                      <wp:effectExtent l="0" t="0" r="0" b="0"/>
                      <wp:wrapNone/>
                      <wp:docPr id="939" name="Frame93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941">
                      <wp:simplePos x="0" y="0"/>
                      <wp:positionH relativeFrom="character">
                        <wp:align>left</wp:align>
                      </wp:positionH>
                      <wp:positionV relativeFrom="line">
                        <wp:posOffset>635</wp:posOffset>
                      </wp:positionV>
                      <wp:extent cx="97790" cy="1064895"/>
                      <wp:effectExtent l="0" t="0" r="0" b="0"/>
                      <wp:wrapNone/>
                      <wp:docPr id="940" name="Frame940"/>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289" w:type="dxa"/>
        <w:jc w:val="center"/>
        <w:tblInd w:w="0" w:type="dxa"/>
        <w:tblLayout w:type="fixed"/>
        <w:tblCellMar>
          <w:top w:w="0" w:type="dxa"/>
          <w:left w:w="0" w:type="dxa"/>
          <w:bottom w:w="0" w:type="dxa"/>
          <w:right w:w="0" w:type="dxa"/>
        </w:tblCellMar>
      </w:tblPr>
      <w:tblGrid>
        <w:gridCol w:w="5026"/>
        <w:gridCol w:w="109"/>
        <w:gridCol w:w="154"/>
      </w:tblGrid>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IEH Leesburg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2">
                      <wp:simplePos x="0" y="0"/>
                      <wp:positionH relativeFrom="character">
                        <wp:align>left</wp:align>
                      </wp:positionH>
                      <wp:positionV relativeFrom="line">
                        <wp:posOffset>635</wp:posOffset>
                      </wp:positionV>
                      <wp:extent cx="69215" cy="220980"/>
                      <wp:effectExtent l="0" t="0" r="0" b="0"/>
                      <wp:wrapNone/>
                      <wp:docPr id="941" name="Frame94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3">
                      <wp:simplePos x="0" y="0"/>
                      <wp:positionH relativeFrom="character">
                        <wp:align>left</wp:align>
                      </wp:positionH>
                      <wp:positionV relativeFrom="line">
                        <wp:posOffset>635</wp:posOffset>
                      </wp:positionV>
                      <wp:extent cx="97790" cy="220980"/>
                      <wp:effectExtent l="0" t="0" r="0" b="0"/>
                      <wp:wrapNone/>
                      <wp:docPr id="942" name="Frame942"/>
                      <a:graphic xmlns:a="http://schemas.openxmlformats.org/drawingml/2006/main">
                        <a:graphicData uri="http://schemas.microsoft.com/office/word/2010/wordprocessingShape">
                          <wps:wsp>
                            <wps:cNvSpPr txBox="1"/>
                            <wps:spPr>
                              <a:xfrm>
                                <a:off x="0" y="0"/>
                                <a:ext cx="97790" cy="220980"/>
                              </a:xfrm>
                              <a:prstGeom prst="rect"/>
                              <a:solidFill>
                                <a:srgbClr val="FFFFFF"/>
                              </a:solidFill>
                            </wps:spPr>
                            <wps:txbx>
                              <w:txbxContent>
                                <w:p>
                                  <w:pPr>
                                    <w:pStyle w:val="TableContents"/>
                                    <w:bidi w:val="0"/>
                                    <w:spacing w:lineRule="auto" w:line="237" w:before="75"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pPr>
                            <w:r>
                              <w:rPr/>
                              <w:t>​</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IEH Sherman Drive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4">
                      <wp:simplePos x="0" y="0"/>
                      <wp:positionH relativeFrom="character">
                        <wp:align>left</wp:align>
                      </wp:positionH>
                      <wp:positionV relativeFrom="line">
                        <wp:posOffset>635</wp:posOffset>
                      </wp:positionV>
                      <wp:extent cx="69215" cy="220980"/>
                      <wp:effectExtent l="0" t="0" r="0" b="0"/>
                      <wp:wrapNone/>
                      <wp:docPr id="943" name="Frame94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5">
                      <wp:simplePos x="0" y="0"/>
                      <wp:positionH relativeFrom="character">
                        <wp:align>left</wp:align>
                      </wp:positionH>
                      <wp:positionV relativeFrom="line">
                        <wp:posOffset>635</wp:posOffset>
                      </wp:positionV>
                      <wp:extent cx="97790" cy="1064895"/>
                      <wp:effectExtent l="0" t="0" r="0" b="0"/>
                      <wp:wrapNone/>
                      <wp:docPr id="944" name="Frame944"/>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IEH Frederick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6">
                      <wp:simplePos x="0" y="0"/>
                      <wp:positionH relativeFrom="character">
                        <wp:align>left</wp:align>
                      </wp:positionH>
                      <wp:positionV relativeFrom="line">
                        <wp:posOffset>635</wp:posOffset>
                      </wp:positionV>
                      <wp:extent cx="69215" cy="220980"/>
                      <wp:effectExtent l="0" t="0" r="0" b="0"/>
                      <wp:wrapNone/>
                      <wp:docPr id="945" name="Frame94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7">
                      <wp:simplePos x="0" y="0"/>
                      <wp:positionH relativeFrom="character">
                        <wp:align>left</wp:align>
                      </wp:positionH>
                      <wp:positionV relativeFrom="line">
                        <wp:posOffset>635</wp:posOffset>
                      </wp:positionV>
                      <wp:extent cx="97790" cy="1064895"/>
                      <wp:effectExtent l="0" t="0" r="0" b="0"/>
                      <wp:wrapNone/>
                      <wp:docPr id="946" name="Frame946"/>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IEH FMGI Holdings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8">
                      <wp:simplePos x="0" y="0"/>
                      <wp:positionH relativeFrom="character">
                        <wp:align>left</wp:align>
                      </wp:positionH>
                      <wp:positionV relativeFrom="line">
                        <wp:posOffset>635</wp:posOffset>
                      </wp:positionV>
                      <wp:extent cx="69215" cy="220980"/>
                      <wp:effectExtent l="0" t="0" r="0" b="0"/>
                      <wp:wrapNone/>
                      <wp:docPr id="947" name="Frame94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9">
                      <wp:simplePos x="0" y="0"/>
                      <wp:positionH relativeFrom="character">
                        <wp:align>left</wp:align>
                      </wp:positionH>
                      <wp:positionV relativeFrom="line">
                        <wp:posOffset>635</wp:posOffset>
                      </wp:positionV>
                      <wp:extent cx="97790" cy="1064895"/>
                      <wp:effectExtent l="0" t="0" r="0" b="0"/>
                      <wp:wrapNone/>
                      <wp:docPr id="948" name="Frame948"/>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IEH Holdco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0">
                      <wp:simplePos x="0" y="0"/>
                      <wp:positionH relativeFrom="character">
                        <wp:align>left</wp:align>
                      </wp:positionH>
                      <wp:positionV relativeFrom="line">
                        <wp:posOffset>635</wp:posOffset>
                      </wp:positionV>
                      <wp:extent cx="69215" cy="220980"/>
                      <wp:effectExtent l="0" t="0" r="0" b="0"/>
                      <wp:wrapNone/>
                      <wp:docPr id="949" name="Frame94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1">
                      <wp:simplePos x="0" y="0"/>
                      <wp:positionH relativeFrom="character">
                        <wp:align>left</wp:align>
                      </wp:positionH>
                      <wp:positionV relativeFrom="line">
                        <wp:posOffset>635</wp:posOffset>
                      </wp:positionV>
                      <wp:extent cx="97790" cy="1064895"/>
                      <wp:effectExtent l="0" t="0" r="0" b="0"/>
                      <wp:wrapNone/>
                      <wp:docPr id="950" name="Frame950"/>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Energy Holding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2">
                      <wp:simplePos x="0" y="0"/>
                      <wp:positionH relativeFrom="character">
                        <wp:align>left</wp:align>
                      </wp:positionH>
                      <wp:positionV relativeFrom="line">
                        <wp:posOffset>635</wp:posOffset>
                      </wp:positionV>
                      <wp:extent cx="69215" cy="220980"/>
                      <wp:effectExtent l="0" t="0" r="0" b="0"/>
                      <wp:wrapNone/>
                      <wp:docPr id="951" name="Frame95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3">
                      <wp:simplePos x="0" y="0"/>
                      <wp:positionH relativeFrom="character">
                        <wp:align>left</wp:align>
                      </wp:positionH>
                      <wp:positionV relativeFrom="line">
                        <wp:posOffset>635</wp:posOffset>
                      </wp:positionV>
                      <wp:extent cx="97790" cy="1064895"/>
                      <wp:effectExtent l="0" t="0" r="0" b="0"/>
                      <wp:wrapNone/>
                      <wp:docPr id="952" name="Frame952"/>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Ferrous Brazil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4">
                      <wp:simplePos x="0" y="0"/>
                      <wp:positionH relativeFrom="character">
                        <wp:align>left</wp:align>
                      </wp:positionH>
                      <wp:positionV relativeFrom="line">
                        <wp:posOffset>635</wp:posOffset>
                      </wp:positionV>
                      <wp:extent cx="69215" cy="220980"/>
                      <wp:effectExtent l="0" t="0" r="0" b="0"/>
                      <wp:wrapNone/>
                      <wp:docPr id="953" name="Frame95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5">
                      <wp:simplePos x="0" y="0"/>
                      <wp:positionH relativeFrom="character">
                        <wp:align>left</wp:align>
                      </wp:positionH>
                      <wp:positionV relativeFrom="line">
                        <wp:posOffset>635</wp:posOffset>
                      </wp:positionV>
                      <wp:extent cx="97790" cy="1064895"/>
                      <wp:effectExtent l="0" t="0" r="0" b="0"/>
                      <wp:wrapNone/>
                      <wp:docPr id="954" name="Frame954"/>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Ferrous Brazil Sub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6">
                      <wp:simplePos x="0" y="0"/>
                      <wp:positionH relativeFrom="character">
                        <wp:align>left</wp:align>
                      </wp:positionH>
                      <wp:positionV relativeFrom="line">
                        <wp:posOffset>635</wp:posOffset>
                      </wp:positionV>
                      <wp:extent cx="69215" cy="220980"/>
                      <wp:effectExtent l="0" t="0" r="0" b="0"/>
                      <wp:wrapNone/>
                      <wp:docPr id="955" name="Frame95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7">
                      <wp:simplePos x="0" y="0"/>
                      <wp:positionH relativeFrom="character">
                        <wp:align>left</wp:align>
                      </wp:positionH>
                      <wp:positionV relativeFrom="line">
                        <wp:posOffset>635</wp:posOffset>
                      </wp:positionV>
                      <wp:extent cx="97790" cy="1064895"/>
                      <wp:effectExtent l="0" t="0" r="0" b="0"/>
                      <wp:wrapNone/>
                      <wp:docPr id="956" name="Frame956"/>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AC Holdings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8">
                      <wp:simplePos x="0" y="0"/>
                      <wp:positionH relativeFrom="character">
                        <wp:align>left</wp:align>
                      </wp:positionH>
                      <wp:positionV relativeFrom="line">
                        <wp:posOffset>635</wp:posOffset>
                      </wp:positionV>
                      <wp:extent cx="69215" cy="220980"/>
                      <wp:effectExtent l="0" t="0" r="0" b="0"/>
                      <wp:wrapNone/>
                      <wp:docPr id="957" name="Frame95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9">
                      <wp:simplePos x="0" y="0"/>
                      <wp:positionH relativeFrom="character">
                        <wp:align>left</wp:align>
                      </wp:positionH>
                      <wp:positionV relativeFrom="line">
                        <wp:posOffset>635</wp:posOffset>
                      </wp:positionV>
                      <wp:extent cx="97790" cy="1064895"/>
                      <wp:effectExtent l="0" t="0" r="0" b="0"/>
                      <wp:wrapNone/>
                      <wp:docPr id="958" name="Frame958"/>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AC Plaza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0">
                      <wp:simplePos x="0" y="0"/>
                      <wp:positionH relativeFrom="character">
                        <wp:align>left</wp:align>
                      </wp:positionH>
                      <wp:positionV relativeFrom="line">
                        <wp:posOffset>635</wp:posOffset>
                      </wp:positionV>
                      <wp:extent cx="69215" cy="220980"/>
                      <wp:effectExtent l="0" t="0" r="0" b="0"/>
                      <wp:wrapNone/>
                      <wp:docPr id="959" name="Frame95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1">
                      <wp:simplePos x="0" y="0"/>
                      <wp:positionH relativeFrom="character">
                        <wp:align>left</wp:align>
                      </wp:positionH>
                      <wp:positionV relativeFrom="line">
                        <wp:posOffset>635</wp:posOffset>
                      </wp:positionV>
                      <wp:extent cx="97790" cy="1210310"/>
                      <wp:effectExtent l="0" t="0" r="0" b="0"/>
                      <wp:wrapNone/>
                      <wp:docPr id="960" name="Frame960"/>
                      <a:graphic xmlns:a="http://schemas.openxmlformats.org/drawingml/2006/main">
                        <a:graphicData uri="http://schemas.microsoft.com/office/word/2010/wordprocessingShape">
                          <wps:wsp>
                            <wps:cNvSpPr txBox="1"/>
                            <wps:spPr>
                              <a:xfrm>
                                <a:off x="0" y="0"/>
                                <a:ext cx="97790" cy="121031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New Jersey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95.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New Jersey</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Atlanta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2">
                      <wp:simplePos x="0" y="0"/>
                      <wp:positionH relativeFrom="character">
                        <wp:align>left</wp:align>
                      </wp:positionH>
                      <wp:positionV relativeFrom="line">
                        <wp:posOffset>635</wp:posOffset>
                      </wp:positionV>
                      <wp:extent cx="69215" cy="220980"/>
                      <wp:effectExtent l="0" t="0" r="0" b="0"/>
                      <wp:wrapNone/>
                      <wp:docPr id="961" name="Frame96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3">
                      <wp:simplePos x="0" y="0"/>
                      <wp:positionH relativeFrom="character">
                        <wp:align>left</wp:align>
                      </wp:positionH>
                      <wp:positionV relativeFrom="line">
                        <wp:posOffset>635</wp:posOffset>
                      </wp:positionV>
                      <wp:extent cx="97790" cy="1064895"/>
                      <wp:effectExtent l="0" t="0" r="0" b="0"/>
                      <wp:wrapNone/>
                      <wp:docPr id="962" name="Frame962"/>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Chester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4">
                      <wp:simplePos x="0" y="0"/>
                      <wp:positionH relativeFrom="character">
                        <wp:align>left</wp:align>
                      </wp:positionH>
                      <wp:positionV relativeFrom="line">
                        <wp:posOffset>635</wp:posOffset>
                      </wp:positionV>
                      <wp:extent cx="69215" cy="220980"/>
                      <wp:effectExtent l="0" t="0" r="0" b="0"/>
                      <wp:wrapNone/>
                      <wp:docPr id="963" name="Frame96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5">
                      <wp:simplePos x="0" y="0"/>
                      <wp:positionH relativeFrom="character">
                        <wp:align>left</wp:align>
                      </wp:positionH>
                      <wp:positionV relativeFrom="line">
                        <wp:posOffset>635</wp:posOffset>
                      </wp:positionV>
                      <wp:extent cx="97790" cy="1064895"/>
                      <wp:effectExtent l="0" t="0" r="0" b="0"/>
                      <wp:wrapNone/>
                      <wp:docPr id="964" name="Frame964"/>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TERH LP,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6">
                      <wp:simplePos x="0" y="0"/>
                      <wp:positionH relativeFrom="character">
                        <wp:align>left</wp:align>
                      </wp:positionH>
                      <wp:positionV relativeFrom="line">
                        <wp:posOffset>635</wp:posOffset>
                      </wp:positionV>
                      <wp:extent cx="69215" cy="220980"/>
                      <wp:effectExtent l="0" t="0" r="0" b="0"/>
                      <wp:wrapNone/>
                      <wp:docPr id="965" name="Frame96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7">
                      <wp:simplePos x="0" y="0"/>
                      <wp:positionH relativeFrom="character">
                        <wp:align>left</wp:align>
                      </wp:positionH>
                      <wp:positionV relativeFrom="line">
                        <wp:posOffset>635</wp:posOffset>
                      </wp:positionV>
                      <wp:extent cx="97790" cy="1064895"/>
                      <wp:effectExtent l="0" t="0" r="0" b="0"/>
                      <wp:wrapNone/>
                      <wp:docPr id="966" name="Frame966"/>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TTM Associates</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8">
                      <wp:simplePos x="0" y="0"/>
                      <wp:positionH relativeFrom="character">
                        <wp:align>left</wp:align>
                      </wp:positionH>
                      <wp:positionV relativeFrom="line">
                        <wp:posOffset>635</wp:posOffset>
                      </wp:positionV>
                      <wp:extent cx="69215" cy="220980"/>
                      <wp:effectExtent l="0" t="0" r="0" b="0"/>
                      <wp:wrapNone/>
                      <wp:docPr id="967" name="Frame96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9">
                      <wp:simplePos x="0" y="0"/>
                      <wp:positionH relativeFrom="character">
                        <wp:align>left</wp:align>
                      </wp:positionH>
                      <wp:positionV relativeFrom="line">
                        <wp:posOffset>635</wp:posOffset>
                      </wp:positionV>
                      <wp:extent cx="97790" cy="1210310"/>
                      <wp:effectExtent l="0" t="0" r="0" b="0"/>
                      <wp:wrapNone/>
                      <wp:docPr id="968" name="Frame968"/>
                      <a:graphic xmlns:a="http://schemas.openxmlformats.org/drawingml/2006/main">
                        <a:graphicData uri="http://schemas.microsoft.com/office/word/2010/wordprocessingShape">
                          <wps:wsp>
                            <wps:cNvSpPr txBox="1"/>
                            <wps:spPr>
                              <a:xfrm>
                                <a:off x="0" y="0"/>
                                <a:ext cx="97790" cy="121031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New Jersey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95.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New Jersey</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TER Holdings I, Inc. f/k/a Trump Entertainment Resorts,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0">
                      <wp:simplePos x="0" y="0"/>
                      <wp:positionH relativeFrom="character">
                        <wp:align>left</wp:align>
                      </wp:positionH>
                      <wp:positionV relativeFrom="line">
                        <wp:posOffset>635</wp:posOffset>
                      </wp:positionV>
                      <wp:extent cx="69215" cy="220980"/>
                      <wp:effectExtent l="0" t="0" r="0" b="0"/>
                      <wp:wrapNone/>
                      <wp:docPr id="969" name="Frame96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1">
                      <wp:simplePos x="0" y="0"/>
                      <wp:positionH relativeFrom="character">
                        <wp:align>left</wp:align>
                      </wp:positionH>
                      <wp:positionV relativeFrom="line">
                        <wp:posOffset>635</wp:posOffset>
                      </wp:positionV>
                      <wp:extent cx="97790" cy="1064895"/>
                      <wp:effectExtent l="0" t="0" r="0" b="0"/>
                      <wp:wrapNone/>
                      <wp:docPr id="970" name="Frame970"/>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Indianapolis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2">
                      <wp:simplePos x="0" y="0"/>
                      <wp:positionH relativeFrom="character">
                        <wp:align>left</wp:align>
                      </wp:positionH>
                      <wp:positionV relativeFrom="line">
                        <wp:posOffset>635</wp:posOffset>
                      </wp:positionV>
                      <wp:extent cx="69215" cy="220980"/>
                      <wp:effectExtent l="0" t="0" r="0" b="0"/>
                      <wp:wrapNone/>
                      <wp:docPr id="971" name="Frame97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3">
                      <wp:simplePos x="0" y="0"/>
                      <wp:positionH relativeFrom="character">
                        <wp:align>left</wp:align>
                      </wp:positionH>
                      <wp:positionV relativeFrom="line">
                        <wp:posOffset>635</wp:posOffset>
                      </wp:positionV>
                      <wp:extent cx="97790" cy="1064895"/>
                      <wp:effectExtent l="0" t="0" r="0" b="0"/>
                      <wp:wrapNone/>
                      <wp:docPr id="972" name="Frame972"/>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Mesquite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4">
                      <wp:simplePos x="0" y="0"/>
                      <wp:positionH relativeFrom="character">
                        <wp:align>left</wp:align>
                      </wp:positionH>
                      <wp:positionV relativeFrom="line">
                        <wp:posOffset>635</wp:posOffset>
                      </wp:positionV>
                      <wp:extent cx="69215" cy="220980"/>
                      <wp:effectExtent l="0" t="0" r="0" b="0"/>
                      <wp:wrapNone/>
                      <wp:docPr id="973" name="Frame97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5">
                      <wp:simplePos x="0" y="0"/>
                      <wp:positionH relativeFrom="character">
                        <wp:align>left</wp:align>
                      </wp:positionH>
                      <wp:positionV relativeFrom="line">
                        <wp:posOffset>635</wp:posOffset>
                      </wp:positionV>
                      <wp:extent cx="97790" cy="1064895"/>
                      <wp:effectExtent l="0" t="0" r="0" b="0"/>
                      <wp:wrapNone/>
                      <wp:docPr id="974" name="Frame974"/>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Peachtree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6">
                      <wp:simplePos x="0" y="0"/>
                      <wp:positionH relativeFrom="character">
                        <wp:align>left</wp:align>
                      </wp:positionH>
                      <wp:positionV relativeFrom="line">
                        <wp:posOffset>635</wp:posOffset>
                      </wp:positionV>
                      <wp:extent cx="69215" cy="220980"/>
                      <wp:effectExtent l="0" t="0" r="0" b="0"/>
                      <wp:wrapNone/>
                      <wp:docPr id="975" name="Frame97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7">
                      <wp:simplePos x="0" y="0"/>
                      <wp:positionH relativeFrom="character">
                        <wp:align>left</wp:align>
                      </wp:positionH>
                      <wp:positionV relativeFrom="line">
                        <wp:posOffset>635</wp:posOffset>
                      </wp:positionV>
                      <wp:extent cx="97790" cy="1064895"/>
                      <wp:effectExtent l="0" t="0" r="0" b="0"/>
                      <wp:wrapNone/>
                      <wp:docPr id="976" name="Frame976"/>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Refining 1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8">
                      <wp:simplePos x="0" y="0"/>
                      <wp:positionH relativeFrom="character">
                        <wp:align>left</wp:align>
                      </wp:positionH>
                      <wp:positionV relativeFrom="line">
                        <wp:posOffset>635</wp:posOffset>
                      </wp:positionV>
                      <wp:extent cx="69215" cy="220980"/>
                      <wp:effectExtent l="0" t="0" r="0" b="0"/>
                      <wp:wrapNone/>
                      <wp:docPr id="977" name="Frame97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9">
                      <wp:simplePos x="0" y="0"/>
                      <wp:positionH relativeFrom="character">
                        <wp:align>left</wp:align>
                      </wp:positionH>
                      <wp:positionV relativeFrom="line">
                        <wp:posOffset>635</wp:posOffset>
                      </wp:positionV>
                      <wp:extent cx="97790" cy="1064895"/>
                      <wp:effectExtent l="0" t="0" r="0" b="0"/>
                      <wp:wrapNone/>
                      <wp:docPr id="978" name="Frame978"/>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Refining 2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0">
                      <wp:simplePos x="0" y="0"/>
                      <wp:positionH relativeFrom="character">
                        <wp:align>left</wp:align>
                      </wp:positionH>
                      <wp:positionV relativeFrom="line">
                        <wp:posOffset>635</wp:posOffset>
                      </wp:positionV>
                      <wp:extent cx="69215" cy="220980"/>
                      <wp:effectExtent l="0" t="0" r="0" b="0"/>
                      <wp:wrapNone/>
                      <wp:docPr id="979" name="Frame97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1">
                      <wp:simplePos x="0" y="0"/>
                      <wp:positionH relativeFrom="character">
                        <wp:align>left</wp:align>
                      </wp:positionH>
                      <wp:positionV relativeFrom="line">
                        <wp:posOffset>635</wp:posOffset>
                      </wp:positionV>
                      <wp:extent cx="97790" cy="1064895"/>
                      <wp:effectExtent l="0" t="0" r="0" b="0"/>
                      <wp:wrapNone/>
                      <wp:docPr id="980" name="Frame980"/>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Valley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2">
                      <wp:simplePos x="0" y="0"/>
                      <wp:positionH relativeFrom="character">
                        <wp:align>left</wp:align>
                      </wp:positionH>
                      <wp:positionV relativeFrom="line">
                        <wp:posOffset>635</wp:posOffset>
                      </wp:positionV>
                      <wp:extent cx="69215" cy="220980"/>
                      <wp:effectExtent l="0" t="0" r="0" b="0"/>
                      <wp:wrapNone/>
                      <wp:docPr id="981" name="Frame98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3">
                      <wp:simplePos x="0" y="0"/>
                      <wp:positionH relativeFrom="character">
                        <wp:align>left</wp:align>
                      </wp:positionH>
                      <wp:positionV relativeFrom="line">
                        <wp:posOffset>635</wp:posOffset>
                      </wp:positionV>
                      <wp:extent cx="97790" cy="1064895"/>
                      <wp:effectExtent l="0" t="0" r="0" b="0"/>
                      <wp:wrapNone/>
                      <wp:docPr id="982" name="Frame982"/>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Viga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4">
                      <wp:simplePos x="0" y="0"/>
                      <wp:positionH relativeFrom="character">
                        <wp:align>left</wp:align>
                      </wp:positionH>
                      <wp:positionV relativeFrom="line">
                        <wp:posOffset>635</wp:posOffset>
                      </wp:positionV>
                      <wp:extent cx="69215" cy="220980"/>
                      <wp:effectExtent l="0" t="0" r="0" b="0"/>
                      <wp:wrapNone/>
                      <wp:docPr id="983" name="Frame98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5">
                      <wp:simplePos x="0" y="0"/>
                      <wp:positionH relativeFrom="character">
                        <wp:align>left</wp:align>
                      </wp:positionH>
                      <wp:positionV relativeFrom="line">
                        <wp:posOffset>635</wp:posOffset>
                      </wp:positionV>
                      <wp:extent cx="97790" cy="1064895"/>
                      <wp:effectExtent l="0" t="0" r="0" b="0"/>
                      <wp:wrapNone/>
                      <wp:docPr id="984" name="Frame984"/>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New Seabury Golf Club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6">
                      <wp:simplePos x="0" y="0"/>
                      <wp:positionH relativeFrom="character">
                        <wp:align>left</wp:align>
                      </wp:positionH>
                      <wp:positionV relativeFrom="line">
                        <wp:posOffset>635</wp:posOffset>
                      </wp:positionV>
                      <wp:extent cx="69215" cy="220980"/>
                      <wp:effectExtent l="0" t="0" r="0" b="0"/>
                      <wp:wrapNone/>
                      <wp:docPr id="985" name="Frame98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7">
                      <wp:simplePos x="0" y="0"/>
                      <wp:positionH relativeFrom="character">
                        <wp:align>left</wp:align>
                      </wp:positionH>
                      <wp:positionV relativeFrom="line">
                        <wp:posOffset>635</wp:posOffset>
                      </wp:positionV>
                      <wp:extent cx="97790" cy="1064895"/>
                      <wp:effectExtent l="0" t="0" r="0" b="0"/>
                      <wp:wrapNone/>
                      <wp:docPr id="986" name="Frame986"/>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New Seabury Properties L.L.C .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8">
                      <wp:simplePos x="0" y="0"/>
                      <wp:positionH relativeFrom="character">
                        <wp:align>left</wp:align>
                      </wp:positionH>
                      <wp:positionV relativeFrom="line">
                        <wp:posOffset>635</wp:posOffset>
                      </wp:positionV>
                      <wp:extent cx="69215" cy="220980"/>
                      <wp:effectExtent l="0" t="0" r="0" b="0"/>
                      <wp:wrapNone/>
                      <wp:docPr id="987" name="Frame98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9">
                      <wp:simplePos x="0" y="0"/>
                      <wp:positionH relativeFrom="character">
                        <wp:align>left</wp:align>
                      </wp:positionH>
                      <wp:positionV relativeFrom="line">
                        <wp:posOffset>635</wp:posOffset>
                      </wp:positionV>
                      <wp:extent cx="97790" cy="1064895"/>
                      <wp:effectExtent l="0" t="0" r="0" b="0"/>
                      <wp:wrapNone/>
                      <wp:docPr id="988" name="Frame988"/>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New Seabury Resources Management,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0">
                      <wp:simplePos x="0" y="0"/>
                      <wp:positionH relativeFrom="character">
                        <wp:align>left</wp:align>
                      </wp:positionH>
                      <wp:positionV relativeFrom="line">
                        <wp:posOffset>635</wp:posOffset>
                      </wp:positionV>
                      <wp:extent cx="69215" cy="220980"/>
                      <wp:effectExtent l="0" t="0" r="0" b="0"/>
                      <wp:wrapNone/>
                      <wp:docPr id="989" name="Frame98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1">
                      <wp:simplePos x="0" y="0"/>
                      <wp:positionH relativeFrom="character">
                        <wp:align>left</wp:align>
                      </wp:positionH>
                      <wp:positionV relativeFrom="line">
                        <wp:posOffset>635</wp:posOffset>
                      </wp:positionV>
                      <wp:extent cx="97790" cy="1064895"/>
                      <wp:effectExtent l="0" t="0" r="0" b="0"/>
                      <wp:wrapNone/>
                      <wp:docPr id="990" name="Frame990"/>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New Seabury Real Estate Holdings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2">
                      <wp:simplePos x="0" y="0"/>
                      <wp:positionH relativeFrom="character">
                        <wp:align>left</wp:align>
                      </wp:positionH>
                      <wp:positionV relativeFrom="line">
                        <wp:posOffset>635</wp:posOffset>
                      </wp:positionV>
                      <wp:extent cx="69215" cy="220980"/>
                      <wp:effectExtent l="0" t="0" r="0" b="0"/>
                      <wp:wrapNone/>
                      <wp:docPr id="991" name="Frame99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3">
                      <wp:simplePos x="0" y="0"/>
                      <wp:positionH relativeFrom="character">
                        <wp:align>left</wp:align>
                      </wp:positionH>
                      <wp:positionV relativeFrom="line">
                        <wp:posOffset>635</wp:posOffset>
                      </wp:positionV>
                      <wp:extent cx="97790" cy="1064895"/>
                      <wp:effectExtent l="0" t="0" r="0" b="0"/>
                      <wp:wrapNone/>
                      <wp:docPr id="992" name="Frame992"/>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NS Beach Club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4">
                      <wp:simplePos x="0" y="0"/>
                      <wp:positionH relativeFrom="character">
                        <wp:align>left</wp:align>
                      </wp:positionH>
                      <wp:positionV relativeFrom="line">
                        <wp:posOffset>635</wp:posOffset>
                      </wp:positionV>
                      <wp:extent cx="69215" cy="220980"/>
                      <wp:effectExtent l="0" t="0" r="0" b="0"/>
                      <wp:wrapNone/>
                      <wp:docPr id="993" name="Frame99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5">
                      <wp:simplePos x="0" y="0"/>
                      <wp:positionH relativeFrom="character">
                        <wp:align>left</wp:align>
                      </wp:positionH>
                      <wp:positionV relativeFrom="line">
                        <wp:posOffset>635</wp:posOffset>
                      </wp:positionV>
                      <wp:extent cx="97790" cy="1064895"/>
                      <wp:effectExtent l="0" t="0" r="0" b="0"/>
                      <wp:wrapNone/>
                      <wp:docPr id="994" name="Frame994"/>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Pinewild Country Club of Pinehurst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6">
                      <wp:simplePos x="0" y="0"/>
                      <wp:positionH relativeFrom="character">
                        <wp:align>left</wp:align>
                      </wp:positionH>
                      <wp:positionV relativeFrom="line">
                        <wp:posOffset>635</wp:posOffset>
                      </wp:positionV>
                      <wp:extent cx="69215" cy="220980"/>
                      <wp:effectExtent l="0" t="0" r="0" b="0"/>
                      <wp:wrapNone/>
                      <wp:docPr id="995" name="Frame99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7">
                      <wp:simplePos x="0" y="0"/>
                      <wp:positionH relativeFrom="character">
                        <wp:align>left</wp:align>
                      </wp:positionH>
                      <wp:positionV relativeFrom="line">
                        <wp:posOffset>635</wp:posOffset>
                      </wp:positionV>
                      <wp:extent cx="97790" cy="1064895"/>
                      <wp:effectExtent l="0" t="0" r="0" b="0"/>
                      <wp:wrapNone/>
                      <wp:docPr id="996" name="Frame996"/>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Pinewild Phase 4 Land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8">
                      <wp:simplePos x="0" y="0"/>
                      <wp:positionH relativeFrom="character">
                        <wp:align>left</wp:align>
                      </wp:positionH>
                      <wp:positionV relativeFrom="line">
                        <wp:posOffset>635</wp:posOffset>
                      </wp:positionV>
                      <wp:extent cx="69215" cy="220980"/>
                      <wp:effectExtent l="0" t="0" r="0" b="0"/>
                      <wp:wrapNone/>
                      <wp:docPr id="997" name="Frame99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9">
                      <wp:simplePos x="0" y="0"/>
                      <wp:positionH relativeFrom="character">
                        <wp:align>left</wp:align>
                      </wp:positionH>
                      <wp:positionV relativeFrom="line">
                        <wp:posOffset>635</wp:posOffset>
                      </wp:positionV>
                      <wp:extent cx="97790" cy="1064895"/>
                      <wp:effectExtent l="0" t="0" r="0" b="0"/>
                      <wp:wrapNone/>
                      <wp:docPr id="998" name="Frame998"/>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Pinewild Phase 5 Land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0">
                      <wp:simplePos x="0" y="0"/>
                      <wp:positionH relativeFrom="character">
                        <wp:align>left</wp:align>
                      </wp:positionH>
                      <wp:positionV relativeFrom="line">
                        <wp:posOffset>635</wp:posOffset>
                      </wp:positionV>
                      <wp:extent cx="69215" cy="220980"/>
                      <wp:effectExtent l="0" t="0" r="0" b="0"/>
                      <wp:wrapNone/>
                      <wp:docPr id="999" name="Frame99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1">
                      <wp:simplePos x="0" y="0"/>
                      <wp:positionH relativeFrom="character">
                        <wp:align>left</wp:align>
                      </wp:positionH>
                      <wp:positionV relativeFrom="line">
                        <wp:posOffset>635</wp:posOffset>
                      </wp:positionV>
                      <wp:extent cx="97790" cy="1064895"/>
                      <wp:effectExtent l="0" t="0" r="0" b="0"/>
                      <wp:wrapNone/>
                      <wp:docPr id="1000" name="Frame1000"/>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Pinewild Builders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2">
                      <wp:simplePos x="0" y="0"/>
                      <wp:positionH relativeFrom="character">
                        <wp:align>left</wp:align>
                      </wp:positionH>
                      <wp:positionV relativeFrom="line">
                        <wp:posOffset>635</wp:posOffset>
                      </wp:positionV>
                      <wp:extent cx="69215" cy="220980"/>
                      <wp:effectExtent l="0" t="0" r="0" b="0"/>
                      <wp:wrapNone/>
                      <wp:docPr id="1001" name="Frame100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3">
                      <wp:simplePos x="0" y="0"/>
                      <wp:positionH relativeFrom="character">
                        <wp:align>left</wp:align>
                      </wp:positionH>
                      <wp:positionV relativeFrom="line">
                        <wp:posOffset>635</wp:posOffset>
                      </wp:positionV>
                      <wp:extent cx="97790" cy="1064895"/>
                      <wp:effectExtent l="0" t="0" r="0" b="0"/>
                      <wp:wrapNone/>
                      <wp:docPr id="1002" name="Frame1002"/>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Pinewild Club Management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4">
                      <wp:simplePos x="0" y="0"/>
                      <wp:positionH relativeFrom="character">
                        <wp:align>left</wp:align>
                      </wp:positionH>
                      <wp:positionV relativeFrom="line">
                        <wp:posOffset>635</wp:posOffset>
                      </wp:positionV>
                      <wp:extent cx="69215" cy="220980"/>
                      <wp:effectExtent l="0" t="0" r="0" b="0"/>
                      <wp:wrapNone/>
                      <wp:docPr id="1003" name="Frame100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5">
                      <wp:simplePos x="0" y="0"/>
                      <wp:positionH relativeFrom="character">
                        <wp:align>left</wp:align>
                      </wp:positionH>
                      <wp:positionV relativeFrom="line">
                        <wp:posOffset>635</wp:posOffset>
                      </wp:positionV>
                      <wp:extent cx="97790" cy="919480"/>
                      <wp:effectExtent l="0" t="0" r="0" b="0"/>
                      <wp:wrapNone/>
                      <wp:docPr id="1004" name="Frame1004"/>
                      <a:graphic xmlns:a="http://schemas.openxmlformats.org/drawingml/2006/main">
                        <a:graphicData uri="http://schemas.microsoft.com/office/word/2010/wordprocessingShape">
                          <wps:wsp>
                            <wps:cNvSpPr txBox="1"/>
                            <wps:spPr>
                              <a:xfrm>
                                <a:off x="0" y="0"/>
                                <a:ext cx="97790" cy="91948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7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Section 5 Development Monitoring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6">
                      <wp:simplePos x="0" y="0"/>
                      <wp:positionH relativeFrom="character">
                        <wp:align>left</wp:align>
                      </wp:positionH>
                      <wp:positionV relativeFrom="line">
                        <wp:posOffset>635</wp:posOffset>
                      </wp:positionV>
                      <wp:extent cx="69215" cy="220980"/>
                      <wp:effectExtent l="0" t="0" r="0" b="0"/>
                      <wp:wrapNone/>
                      <wp:docPr id="1005" name="Frame100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7">
                      <wp:simplePos x="0" y="0"/>
                      <wp:positionH relativeFrom="character">
                        <wp:align>left</wp:align>
                      </wp:positionH>
                      <wp:positionV relativeFrom="line">
                        <wp:posOffset>635</wp:posOffset>
                      </wp:positionV>
                      <wp:extent cx="97790" cy="1064895"/>
                      <wp:effectExtent l="0" t="0" r="0" b="0"/>
                      <wp:wrapNone/>
                      <wp:docPr id="1006" name="Frame1006"/>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VB Community Management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8">
                      <wp:simplePos x="0" y="0"/>
                      <wp:positionH relativeFrom="character">
                        <wp:align>left</wp:align>
                      </wp:positionH>
                      <wp:positionV relativeFrom="line">
                        <wp:posOffset>635</wp:posOffset>
                      </wp:positionV>
                      <wp:extent cx="69215" cy="220980"/>
                      <wp:effectExtent l="0" t="0" r="0" b="0"/>
                      <wp:wrapNone/>
                      <wp:docPr id="1007" name="Frame100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9">
                      <wp:simplePos x="0" y="0"/>
                      <wp:positionH relativeFrom="character">
                        <wp:align>left</wp:align>
                      </wp:positionH>
                      <wp:positionV relativeFrom="line">
                        <wp:posOffset>635</wp:posOffset>
                      </wp:positionV>
                      <wp:extent cx="97790" cy="1064895"/>
                      <wp:effectExtent l="0" t="0" r="0" b="0"/>
                      <wp:wrapNone/>
                      <wp:docPr id="1008" name="Frame1008"/>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Vero Beach Acquisition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0">
                      <wp:simplePos x="0" y="0"/>
                      <wp:positionH relativeFrom="character">
                        <wp:align>left</wp:align>
                      </wp:positionH>
                      <wp:positionV relativeFrom="line">
                        <wp:posOffset>635</wp:posOffset>
                      </wp:positionV>
                      <wp:extent cx="69215" cy="220980"/>
                      <wp:effectExtent l="0" t="0" r="0" b="0"/>
                      <wp:wrapNone/>
                      <wp:docPr id="1009" name="Frame100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1">
                      <wp:simplePos x="0" y="0"/>
                      <wp:positionH relativeFrom="character">
                        <wp:align>left</wp:align>
                      </wp:positionH>
                      <wp:positionV relativeFrom="line">
                        <wp:posOffset>635</wp:posOffset>
                      </wp:positionV>
                      <wp:extent cx="97790" cy="1064895"/>
                      <wp:effectExtent l="0" t="0" r="0" b="0"/>
                      <wp:wrapNone/>
                      <wp:docPr id="1010" name="Frame1010"/>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Eagle Beach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2">
                      <wp:simplePos x="0" y="0"/>
                      <wp:positionH relativeFrom="character">
                        <wp:align>left</wp:align>
                      </wp:positionH>
                      <wp:positionV relativeFrom="line">
                        <wp:posOffset>635</wp:posOffset>
                      </wp:positionV>
                      <wp:extent cx="69215" cy="220980"/>
                      <wp:effectExtent l="0" t="0" r="0" b="0"/>
                      <wp:wrapNone/>
                      <wp:docPr id="1011" name="Frame101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3">
                      <wp:simplePos x="0" y="0"/>
                      <wp:positionH relativeFrom="character">
                        <wp:align>left</wp:align>
                      </wp:positionH>
                      <wp:positionV relativeFrom="line">
                        <wp:posOffset>635</wp:posOffset>
                      </wp:positionV>
                      <wp:extent cx="97790" cy="1064895"/>
                      <wp:effectExtent l="0" t="0" r="0" b="0"/>
                      <wp:wrapNone/>
                      <wp:docPr id="1012" name="Frame1012"/>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Eagle Entertainment Cayman Holdings Company Ltd.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4">
                      <wp:simplePos x="0" y="0"/>
                      <wp:positionH relativeFrom="character">
                        <wp:align>left</wp:align>
                      </wp:positionH>
                      <wp:positionV relativeFrom="line">
                        <wp:posOffset>635</wp:posOffset>
                      </wp:positionV>
                      <wp:extent cx="69215" cy="220980"/>
                      <wp:effectExtent l="0" t="0" r="0" b="0"/>
                      <wp:wrapNone/>
                      <wp:docPr id="1013" name="Frame101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5">
                      <wp:simplePos x="0" y="0"/>
                      <wp:positionH relativeFrom="character">
                        <wp:align>left</wp:align>
                      </wp:positionH>
                      <wp:positionV relativeFrom="line">
                        <wp:posOffset>635</wp:posOffset>
                      </wp:positionV>
                      <wp:extent cx="97790" cy="1092200"/>
                      <wp:effectExtent l="0" t="0" r="0" b="0"/>
                      <wp:wrapNone/>
                      <wp:docPr id="1014" name="Frame1014"/>
                      <a:graphic xmlns:a="http://schemas.openxmlformats.org/drawingml/2006/main">
                        <a:graphicData uri="http://schemas.microsoft.com/office/word/2010/wordprocessingShape">
                          <wps:wsp>
                            <wps:cNvSpPr txBox="1"/>
                            <wps:spPr>
                              <a:xfrm>
                                <a:off x="0" y="0"/>
                                <a:ext cx="97790" cy="109220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Cayman Islands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Cayman Islands</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Aruba Development Corporation</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6">
                      <wp:simplePos x="0" y="0"/>
                      <wp:positionH relativeFrom="character">
                        <wp:align>left</wp:align>
                      </wp:positionH>
                      <wp:positionV relativeFrom="line">
                        <wp:posOffset>635</wp:posOffset>
                      </wp:positionV>
                      <wp:extent cx="69215" cy="220980"/>
                      <wp:effectExtent l="0" t="0" r="0" b="0"/>
                      <wp:wrapNone/>
                      <wp:docPr id="1015" name="Frame101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7">
                      <wp:simplePos x="0" y="0"/>
                      <wp:positionH relativeFrom="character">
                        <wp:align>left</wp:align>
                      </wp:positionH>
                      <wp:positionV relativeFrom="line">
                        <wp:posOffset>635</wp:posOffset>
                      </wp:positionV>
                      <wp:extent cx="97790" cy="774065"/>
                      <wp:effectExtent l="0" t="0" r="0" b="0"/>
                      <wp:wrapNone/>
                      <wp:docPr id="1016" name="Frame1016"/>
                      <a:graphic xmlns:a="http://schemas.openxmlformats.org/drawingml/2006/main">
                        <a:graphicData uri="http://schemas.microsoft.com/office/word/2010/wordprocessingShape">
                          <wps:wsp>
                            <wps:cNvSpPr txBox="1"/>
                            <wps:spPr>
                              <a:xfrm>
                                <a:off x="0" y="0"/>
                                <a:ext cx="97790" cy="77406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Aruba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60.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Aruba</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Eagle Aruba Casino Operating Corporation VBA</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8">
                      <wp:simplePos x="0" y="0"/>
                      <wp:positionH relativeFrom="character">
                        <wp:align>left</wp:align>
                      </wp:positionH>
                      <wp:positionV relativeFrom="line">
                        <wp:posOffset>635</wp:posOffset>
                      </wp:positionV>
                      <wp:extent cx="69215" cy="220980"/>
                      <wp:effectExtent l="0" t="0" r="0" b="0"/>
                      <wp:wrapNone/>
                      <wp:docPr id="1017" name="Frame101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9">
                      <wp:simplePos x="0" y="0"/>
                      <wp:positionH relativeFrom="character">
                        <wp:align>left</wp:align>
                      </wp:positionH>
                      <wp:positionV relativeFrom="line">
                        <wp:posOffset>635</wp:posOffset>
                      </wp:positionV>
                      <wp:extent cx="97790" cy="669290"/>
                      <wp:effectExtent l="0" t="0" r="0" b="0"/>
                      <wp:wrapNone/>
                      <wp:docPr id="1018" name="Frame1018"/>
                      <a:graphic xmlns:a="http://schemas.openxmlformats.org/drawingml/2006/main">
                        <a:graphicData uri="http://schemas.microsoft.com/office/word/2010/wordprocessingShape">
                          <wps:wsp>
                            <wps:cNvSpPr txBox="1"/>
                            <wps:spPr>
                              <a:xfrm>
                                <a:off x="0" y="0"/>
                                <a:ext cx="97790" cy="66929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Aruba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52.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Aruba</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Eagle Aruba Resort Operating Corporation VBA</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0">
                      <wp:simplePos x="0" y="0"/>
                      <wp:positionH relativeFrom="character">
                        <wp:align>left</wp:align>
                      </wp:positionH>
                      <wp:positionV relativeFrom="line">
                        <wp:posOffset>635</wp:posOffset>
                      </wp:positionV>
                      <wp:extent cx="69215" cy="220980"/>
                      <wp:effectExtent l="0" t="0" r="0" b="0"/>
                      <wp:wrapNone/>
                      <wp:docPr id="1019" name="Frame101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1">
                      <wp:simplePos x="0" y="0"/>
                      <wp:positionH relativeFrom="character">
                        <wp:align>left</wp:align>
                      </wp:positionH>
                      <wp:positionV relativeFrom="line">
                        <wp:posOffset>635</wp:posOffset>
                      </wp:positionV>
                      <wp:extent cx="97790" cy="457835"/>
                      <wp:effectExtent l="0" t="0" r="0" b="0"/>
                      <wp:wrapNone/>
                      <wp:docPr id="1020" name="Frame1020"/>
                      <a:graphic xmlns:a="http://schemas.openxmlformats.org/drawingml/2006/main">
                        <a:graphicData uri="http://schemas.microsoft.com/office/word/2010/wordprocessingShape">
                          <wps:wsp>
                            <wps:cNvSpPr txBox="1"/>
                            <wps:spPr>
                              <a:xfrm>
                                <a:off x="0" y="0"/>
                                <a:ext cx="97790" cy="45783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Aruba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6.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Aruba</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Federal-Mogul Ignition Company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2">
                      <wp:simplePos x="0" y="0"/>
                      <wp:positionH relativeFrom="character">
                        <wp:align>left</wp:align>
                      </wp:positionH>
                      <wp:positionV relativeFrom="line">
                        <wp:posOffset>635</wp:posOffset>
                      </wp:positionV>
                      <wp:extent cx="69215" cy="220980"/>
                      <wp:effectExtent l="0" t="0" r="0" b="0"/>
                      <wp:wrapNone/>
                      <wp:docPr id="1021" name="Frame102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3">
                      <wp:simplePos x="0" y="0"/>
                      <wp:positionH relativeFrom="character">
                        <wp:align>left</wp:align>
                      </wp:positionH>
                      <wp:positionV relativeFrom="line">
                        <wp:posOffset>635</wp:posOffset>
                      </wp:positionV>
                      <wp:extent cx="97790" cy="246380"/>
                      <wp:effectExtent l="0" t="0" r="0" b="0"/>
                      <wp:wrapNone/>
                      <wp:docPr id="1022" name="Frame1022"/>
                      <a:graphic xmlns:a="http://schemas.openxmlformats.org/drawingml/2006/main">
                        <a:graphicData uri="http://schemas.microsoft.com/office/word/2010/wordprocessingShape">
                          <wps:wsp>
                            <wps:cNvSpPr txBox="1"/>
                            <wps:spPr>
                              <a:xfrm>
                                <a:off x="0" y="0"/>
                                <a:ext cx="97790" cy="24638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Missouri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9.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Missouri</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Federal-Mogul New Products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4">
                      <wp:simplePos x="0" y="0"/>
                      <wp:positionH relativeFrom="character">
                        <wp:align>left</wp:align>
                      </wp:positionH>
                      <wp:positionV relativeFrom="line">
                        <wp:posOffset>635</wp:posOffset>
                      </wp:positionV>
                      <wp:extent cx="69215" cy="220980"/>
                      <wp:effectExtent l="0" t="0" r="0" b="0"/>
                      <wp:wrapNone/>
                      <wp:docPr id="1023" name="Frame102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5">
                      <wp:simplePos x="0" y="0"/>
                      <wp:positionH relativeFrom="character">
                        <wp:align>left</wp:align>
                      </wp:positionH>
                      <wp:positionV relativeFrom="line">
                        <wp:posOffset>635</wp:posOffset>
                      </wp:positionV>
                      <wp:extent cx="97790" cy="1064895"/>
                      <wp:effectExtent l="0" t="0" r="0" b="0"/>
                      <wp:wrapNone/>
                      <wp:docPr id="1024" name="Frame1024"/>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IEP Parts Acquisition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6">
                      <wp:simplePos x="0" y="0"/>
                      <wp:positionH relativeFrom="character">
                        <wp:align>left</wp:align>
                      </wp:positionH>
                      <wp:positionV relativeFrom="line">
                        <wp:posOffset>635</wp:posOffset>
                      </wp:positionV>
                      <wp:extent cx="69215" cy="220980"/>
                      <wp:effectExtent l="0" t="0" r="0" b="0"/>
                      <wp:wrapNone/>
                      <wp:docPr id="1025" name="Frame102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7">
                      <wp:simplePos x="0" y="0"/>
                      <wp:positionH relativeFrom="character">
                        <wp:align>left</wp:align>
                      </wp:positionH>
                      <wp:positionV relativeFrom="line">
                        <wp:posOffset>635</wp:posOffset>
                      </wp:positionV>
                      <wp:extent cx="97790" cy="1064895"/>
                      <wp:effectExtent l="0" t="0" r="0" b="0"/>
                      <wp:wrapNone/>
                      <wp:docPr id="1026" name="Frame1026"/>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IE Gator Leasing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8">
                      <wp:simplePos x="0" y="0"/>
                      <wp:positionH relativeFrom="character">
                        <wp:align>left</wp:align>
                      </wp:positionH>
                      <wp:positionV relativeFrom="line">
                        <wp:posOffset>635</wp:posOffset>
                      </wp:positionV>
                      <wp:extent cx="69215" cy="220980"/>
                      <wp:effectExtent l="0" t="0" r="0" b="0"/>
                      <wp:wrapNone/>
                      <wp:docPr id="1027" name="Frame102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9">
                      <wp:simplePos x="0" y="0"/>
                      <wp:positionH relativeFrom="character">
                        <wp:align>left</wp:align>
                      </wp:positionH>
                      <wp:positionV relativeFrom="line">
                        <wp:posOffset>635</wp:posOffset>
                      </wp:positionV>
                      <wp:extent cx="97790" cy="1064895"/>
                      <wp:effectExtent l="0" t="0" r="0" b="0"/>
                      <wp:wrapNone/>
                      <wp:docPr id="1028" name="Frame1028"/>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Icahn Enterprises Finance Corp.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0">
                      <wp:simplePos x="0" y="0"/>
                      <wp:positionH relativeFrom="character">
                        <wp:align>left</wp:align>
                      </wp:positionH>
                      <wp:positionV relativeFrom="line">
                        <wp:posOffset>635</wp:posOffset>
                      </wp:positionV>
                      <wp:extent cx="69215" cy="220980"/>
                      <wp:effectExtent l="0" t="0" r="0" b="0"/>
                      <wp:wrapNone/>
                      <wp:docPr id="1029" name="Frame102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1">
                      <wp:simplePos x="0" y="0"/>
                      <wp:positionH relativeFrom="character">
                        <wp:align>left</wp:align>
                      </wp:positionH>
                      <wp:positionV relativeFrom="line">
                        <wp:posOffset>635</wp:posOffset>
                      </wp:positionV>
                      <wp:extent cx="97790" cy="1064895"/>
                      <wp:effectExtent l="0" t="0" r="0" b="0"/>
                      <wp:wrapNone/>
                      <wp:docPr id="1030" name="Frame1030"/>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Nashville Recycling,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2">
                      <wp:simplePos x="0" y="0"/>
                      <wp:positionH relativeFrom="character">
                        <wp:align>left</wp:align>
                      </wp:positionH>
                      <wp:positionV relativeFrom="line">
                        <wp:posOffset>635</wp:posOffset>
                      </wp:positionV>
                      <wp:extent cx="69215" cy="220980"/>
                      <wp:effectExtent l="0" t="0" r="0" b="0"/>
                      <wp:wrapNone/>
                      <wp:docPr id="1031" name="Frame103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3">
                      <wp:simplePos x="0" y="0"/>
                      <wp:positionH relativeFrom="character">
                        <wp:align>left</wp:align>
                      </wp:positionH>
                      <wp:positionV relativeFrom="line">
                        <wp:posOffset>635</wp:posOffset>
                      </wp:positionV>
                      <wp:extent cx="97790" cy="1064895"/>
                      <wp:effectExtent l="0" t="0" r="0" b="0"/>
                      <wp:wrapNone/>
                      <wp:docPr id="1032" name="Frame1032"/>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IPH GP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4">
                      <wp:simplePos x="0" y="0"/>
                      <wp:positionH relativeFrom="character">
                        <wp:align>left</wp:align>
                      </wp:positionH>
                      <wp:positionV relativeFrom="line">
                        <wp:posOffset>635</wp:posOffset>
                      </wp:positionV>
                      <wp:extent cx="69215" cy="220980"/>
                      <wp:effectExtent l="0" t="0" r="0" b="0"/>
                      <wp:wrapNone/>
                      <wp:docPr id="1033" name="Frame103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5">
                      <wp:simplePos x="0" y="0"/>
                      <wp:positionH relativeFrom="character">
                        <wp:align>left</wp:align>
                      </wp:positionH>
                      <wp:positionV relativeFrom="line">
                        <wp:posOffset>635</wp:posOffset>
                      </wp:positionV>
                      <wp:extent cx="97790" cy="1064895"/>
                      <wp:effectExtent l="0" t="0" r="0" b="0"/>
                      <wp:wrapNone/>
                      <wp:docPr id="1034" name="Frame1034"/>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502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Icahn Capital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6">
                      <wp:simplePos x="0" y="0"/>
                      <wp:positionH relativeFrom="character">
                        <wp:align>left</wp:align>
                      </wp:positionH>
                      <wp:positionV relativeFrom="line">
                        <wp:posOffset>635</wp:posOffset>
                      </wp:positionV>
                      <wp:extent cx="69215" cy="220980"/>
                      <wp:effectExtent l="0" t="0" r="0" b="0"/>
                      <wp:wrapNone/>
                      <wp:docPr id="1035" name="Frame103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037">
                      <wp:simplePos x="0" y="0"/>
                      <wp:positionH relativeFrom="character">
                        <wp:align>left</wp:align>
                      </wp:positionH>
                      <wp:positionV relativeFrom="line">
                        <wp:posOffset>635</wp:posOffset>
                      </wp:positionV>
                      <wp:extent cx="97790" cy="1064895"/>
                      <wp:effectExtent l="0" t="0" r="0" b="0"/>
                      <wp:wrapNone/>
                      <wp:docPr id="1036" name="Frame1036"/>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bl>
    <w:p>
      <w:pPr>
        <w:pStyle w:val="TextBody"/>
        <w:bidi w:val="0"/>
        <w:spacing w:lineRule="auto" w:line="29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704" w:type="dxa"/>
        <w:jc w:val="center"/>
        <w:tblInd w:w="0" w:type="dxa"/>
        <w:tblLayout w:type="fixed"/>
        <w:tblCellMar>
          <w:top w:w="0" w:type="dxa"/>
          <w:left w:w="0" w:type="dxa"/>
          <w:bottom w:w="0" w:type="dxa"/>
          <w:right w:w="0" w:type="dxa"/>
        </w:tblCellMar>
      </w:tblPr>
      <w:tblGrid>
        <w:gridCol w:w="4441"/>
        <w:gridCol w:w="109"/>
        <w:gridCol w:w="154"/>
      </w:tblGrid>
      <w:tr>
        <w:trPr/>
        <w:tc>
          <w:tcPr>
            <w:tcW w:w="444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Icahn Onshore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8">
                      <wp:simplePos x="0" y="0"/>
                      <wp:positionH relativeFrom="character">
                        <wp:align>left</wp:align>
                      </wp:positionH>
                      <wp:positionV relativeFrom="line">
                        <wp:posOffset>635</wp:posOffset>
                      </wp:positionV>
                      <wp:extent cx="69215" cy="220980"/>
                      <wp:effectExtent l="0" t="0" r="0" b="0"/>
                      <wp:wrapNone/>
                      <wp:docPr id="1037" name="Frame103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9">
                      <wp:simplePos x="0" y="0"/>
                      <wp:positionH relativeFrom="character">
                        <wp:align>left</wp:align>
                      </wp:positionH>
                      <wp:positionV relativeFrom="line">
                        <wp:posOffset>635</wp:posOffset>
                      </wp:positionV>
                      <wp:extent cx="98425" cy="1064895"/>
                      <wp:effectExtent l="0" t="0" r="0" b="0"/>
                      <wp:wrapNone/>
                      <wp:docPr id="1038" name="Frame1038"/>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Icahn Offshore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0">
                      <wp:simplePos x="0" y="0"/>
                      <wp:positionH relativeFrom="character">
                        <wp:align>left</wp:align>
                      </wp:positionH>
                      <wp:positionV relativeFrom="line">
                        <wp:posOffset>635</wp:posOffset>
                      </wp:positionV>
                      <wp:extent cx="69215" cy="220980"/>
                      <wp:effectExtent l="0" t="0" r="0" b="0"/>
                      <wp:wrapNone/>
                      <wp:docPr id="1039" name="Frame103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1">
                      <wp:simplePos x="0" y="0"/>
                      <wp:positionH relativeFrom="character">
                        <wp:align>left</wp:align>
                      </wp:positionH>
                      <wp:positionV relativeFrom="line">
                        <wp:posOffset>635</wp:posOffset>
                      </wp:positionV>
                      <wp:extent cx="98425" cy="1064895"/>
                      <wp:effectExtent l="0" t="0" r="0" b="0"/>
                      <wp:wrapNone/>
                      <wp:docPr id="1040" name="Frame1040"/>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Pep Boys - Manny Moe &amp; Jack of Delaware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2">
                      <wp:simplePos x="0" y="0"/>
                      <wp:positionH relativeFrom="character">
                        <wp:align>left</wp:align>
                      </wp:positionH>
                      <wp:positionV relativeFrom="line">
                        <wp:posOffset>635</wp:posOffset>
                      </wp:positionV>
                      <wp:extent cx="69215" cy="220980"/>
                      <wp:effectExtent l="0" t="0" r="0" b="0"/>
                      <wp:wrapNone/>
                      <wp:docPr id="1041" name="Frame104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3">
                      <wp:simplePos x="0" y="0"/>
                      <wp:positionH relativeFrom="character">
                        <wp:align>left</wp:align>
                      </wp:positionH>
                      <wp:positionV relativeFrom="line">
                        <wp:posOffset>635</wp:posOffset>
                      </wp:positionV>
                      <wp:extent cx="98425" cy="1064895"/>
                      <wp:effectExtent l="0" t="0" r="0" b="0"/>
                      <wp:wrapNone/>
                      <wp:docPr id="1042" name="Frame1042"/>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Pep Boys - Manny Moe &amp; Jack of Delaware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4">
                      <wp:simplePos x="0" y="0"/>
                      <wp:positionH relativeFrom="character">
                        <wp:align>left</wp:align>
                      </wp:positionH>
                      <wp:positionV relativeFrom="line">
                        <wp:posOffset>635</wp:posOffset>
                      </wp:positionV>
                      <wp:extent cx="69215" cy="217170"/>
                      <wp:effectExtent l="0" t="0" r="0" b="0"/>
                      <wp:wrapNone/>
                      <wp:docPr id="1043" name="Frame104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5">
                      <wp:simplePos x="0" y="0"/>
                      <wp:positionH relativeFrom="character">
                        <wp:align>left</wp:align>
                      </wp:positionH>
                      <wp:positionV relativeFrom="line">
                        <wp:posOffset>635</wp:posOffset>
                      </wp:positionV>
                      <wp:extent cx="98425" cy="1047115"/>
                      <wp:effectExtent l="0" t="0" r="0" b="0"/>
                      <wp:wrapNone/>
                      <wp:docPr id="1044" name="Frame1044"/>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The Pep Boys-Manny, Moe &amp; Jack Holding Corp.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6">
                      <wp:simplePos x="0" y="0"/>
                      <wp:positionH relativeFrom="character">
                        <wp:align>left</wp:align>
                      </wp:positionH>
                      <wp:positionV relativeFrom="line">
                        <wp:posOffset>635</wp:posOffset>
                      </wp:positionV>
                      <wp:extent cx="69215" cy="217170"/>
                      <wp:effectExtent l="0" t="0" r="0" b="0"/>
                      <wp:wrapNone/>
                      <wp:docPr id="1045" name="Frame104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7">
                      <wp:simplePos x="0" y="0"/>
                      <wp:positionH relativeFrom="character">
                        <wp:align>left</wp:align>
                      </wp:positionH>
                      <wp:positionV relativeFrom="line">
                        <wp:posOffset>635</wp:posOffset>
                      </wp:positionV>
                      <wp:extent cx="98425" cy="1047115"/>
                      <wp:effectExtent l="0" t="0" r="0" b="0"/>
                      <wp:wrapNone/>
                      <wp:docPr id="1046" name="Frame1046"/>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The Pep Boys-Manny Moe &amp; Jack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8">
                      <wp:simplePos x="0" y="0"/>
                      <wp:positionH relativeFrom="character">
                        <wp:align>left</wp:align>
                      </wp:positionH>
                      <wp:positionV relativeFrom="line">
                        <wp:posOffset>635</wp:posOffset>
                      </wp:positionV>
                      <wp:extent cx="69215" cy="217170"/>
                      <wp:effectExtent l="0" t="0" r="0" b="0"/>
                      <wp:wrapNone/>
                      <wp:docPr id="1047" name="Frame104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9">
                      <wp:simplePos x="0" y="0"/>
                      <wp:positionH relativeFrom="character">
                        <wp:align>left</wp:align>
                      </wp:positionH>
                      <wp:positionV relativeFrom="line">
                        <wp:posOffset>635</wp:posOffset>
                      </wp:positionV>
                      <wp:extent cx="98425" cy="1047115"/>
                      <wp:effectExtent l="0" t="0" r="0" b="0"/>
                      <wp:wrapNone/>
                      <wp:docPr id="1048" name="Frame1048"/>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Tire Stores Group Holding Corp.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0">
                      <wp:simplePos x="0" y="0"/>
                      <wp:positionH relativeFrom="character">
                        <wp:align>left</wp:align>
                      </wp:positionH>
                      <wp:positionV relativeFrom="line">
                        <wp:posOffset>635</wp:posOffset>
                      </wp:positionV>
                      <wp:extent cx="69215" cy="217170"/>
                      <wp:effectExtent l="0" t="0" r="0" b="0"/>
                      <wp:wrapNone/>
                      <wp:docPr id="1049" name="Frame104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1">
                      <wp:simplePos x="0" y="0"/>
                      <wp:positionH relativeFrom="character">
                        <wp:align>left</wp:align>
                      </wp:positionH>
                      <wp:positionV relativeFrom="line">
                        <wp:posOffset>635</wp:posOffset>
                      </wp:positionV>
                      <wp:extent cx="98425" cy="1047115"/>
                      <wp:effectExtent l="0" t="0" r="0" b="0"/>
                      <wp:wrapNone/>
                      <wp:docPr id="1050" name="Frame1050"/>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Big 10 Tire Stores,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2">
                      <wp:simplePos x="0" y="0"/>
                      <wp:positionH relativeFrom="character">
                        <wp:align>left</wp:align>
                      </wp:positionH>
                      <wp:positionV relativeFrom="line">
                        <wp:posOffset>635</wp:posOffset>
                      </wp:positionV>
                      <wp:extent cx="69215" cy="217170"/>
                      <wp:effectExtent l="0" t="0" r="0" b="0"/>
                      <wp:wrapNone/>
                      <wp:docPr id="1051" name="Frame105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3">
                      <wp:simplePos x="0" y="0"/>
                      <wp:positionH relativeFrom="character">
                        <wp:align>left</wp:align>
                      </wp:positionH>
                      <wp:positionV relativeFrom="line">
                        <wp:posOffset>635</wp:posOffset>
                      </wp:positionV>
                      <wp:extent cx="98425" cy="1047115"/>
                      <wp:effectExtent l="0" t="0" r="0" b="0"/>
                      <wp:wrapNone/>
                      <wp:docPr id="1052" name="Frame1052"/>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Pep Boys - Manny, Moe &amp; Jack of Puerto Rico, Inc.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4">
                      <wp:simplePos x="0" y="0"/>
                      <wp:positionH relativeFrom="character">
                        <wp:align>left</wp:align>
                      </wp:positionH>
                      <wp:positionV relativeFrom="line">
                        <wp:posOffset>635</wp:posOffset>
                      </wp:positionV>
                      <wp:extent cx="69215" cy="217170"/>
                      <wp:effectExtent l="0" t="0" r="0" b="0"/>
                      <wp:wrapNone/>
                      <wp:docPr id="1053" name="Frame105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5">
                      <wp:simplePos x="0" y="0"/>
                      <wp:positionH relativeFrom="character">
                        <wp:align>left</wp:align>
                      </wp:positionH>
                      <wp:positionV relativeFrom="line">
                        <wp:posOffset>635</wp:posOffset>
                      </wp:positionV>
                      <wp:extent cx="98425" cy="1047115"/>
                      <wp:effectExtent l="0" t="0" r="0" b="0"/>
                      <wp:wrapNone/>
                      <wp:docPr id="1054" name="Frame1054"/>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Carrus Supply Corporation</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6">
                      <wp:simplePos x="0" y="0"/>
                      <wp:positionH relativeFrom="character">
                        <wp:align>left</wp:align>
                      </wp:positionH>
                      <wp:positionV relativeFrom="line">
                        <wp:posOffset>635</wp:posOffset>
                      </wp:positionV>
                      <wp:extent cx="69215" cy="217170"/>
                      <wp:effectExtent l="0" t="0" r="0" b="0"/>
                      <wp:wrapNone/>
                      <wp:docPr id="1055" name="Frame105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7">
                      <wp:simplePos x="0" y="0"/>
                      <wp:positionH relativeFrom="character">
                        <wp:align>left</wp:align>
                      </wp:positionH>
                      <wp:positionV relativeFrom="line">
                        <wp:posOffset>635</wp:posOffset>
                      </wp:positionV>
                      <wp:extent cx="98425" cy="1047115"/>
                      <wp:effectExtent l="0" t="0" r="0" b="0"/>
                      <wp:wrapNone/>
                      <wp:docPr id="1056" name="Frame1056"/>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PB Acquisition Company Florida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8">
                      <wp:simplePos x="0" y="0"/>
                      <wp:positionH relativeFrom="character">
                        <wp:align>left</wp:align>
                      </wp:positionH>
                      <wp:positionV relativeFrom="line">
                        <wp:posOffset>635</wp:posOffset>
                      </wp:positionV>
                      <wp:extent cx="69215" cy="217170"/>
                      <wp:effectExtent l="0" t="0" r="0" b="0"/>
                      <wp:wrapNone/>
                      <wp:docPr id="1057" name="Frame105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9">
                      <wp:simplePos x="0" y="0"/>
                      <wp:positionH relativeFrom="character">
                        <wp:align>left</wp:align>
                      </wp:positionH>
                      <wp:positionV relativeFrom="line">
                        <wp:posOffset>635</wp:posOffset>
                      </wp:positionV>
                      <wp:extent cx="98425" cy="1047115"/>
                      <wp:effectExtent l="0" t="0" r="0" b="0"/>
                      <wp:wrapNone/>
                      <wp:docPr id="1058" name="Frame1058"/>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PB Acquisition Company Texas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0">
                      <wp:simplePos x="0" y="0"/>
                      <wp:positionH relativeFrom="character">
                        <wp:align>left</wp:align>
                      </wp:positionH>
                      <wp:positionV relativeFrom="line">
                        <wp:posOffset>635</wp:posOffset>
                      </wp:positionV>
                      <wp:extent cx="69215" cy="217170"/>
                      <wp:effectExtent l="0" t="0" r="0" b="0"/>
                      <wp:wrapNone/>
                      <wp:docPr id="1059" name="Frame105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1">
                      <wp:simplePos x="0" y="0"/>
                      <wp:positionH relativeFrom="character">
                        <wp:align>left</wp:align>
                      </wp:positionH>
                      <wp:positionV relativeFrom="line">
                        <wp:posOffset>635</wp:posOffset>
                      </wp:positionV>
                      <wp:extent cx="98425" cy="1047115"/>
                      <wp:effectExtent l="0" t="0" r="0" b="0"/>
                      <wp:wrapNone/>
                      <wp:docPr id="1060" name="Frame1060"/>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Indiana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2">
                      <wp:simplePos x="0" y="0"/>
                      <wp:positionH relativeFrom="character">
                        <wp:align>left</wp:align>
                      </wp:positionH>
                      <wp:positionV relativeFrom="line">
                        <wp:posOffset>635</wp:posOffset>
                      </wp:positionV>
                      <wp:extent cx="69215" cy="217170"/>
                      <wp:effectExtent l="0" t="0" r="0" b="0"/>
                      <wp:wrapNone/>
                      <wp:docPr id="1061" name="Frame106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3">
                      <wp:simplePos x="0" y="0"/>
                      <wp:positionH relativeFrom="character">
                        <wp:align>left</wp:align>
                      </wp:positionH>
                      <wp:positionV relativeFrom="line">
                        <wp:posOffset>635</wp:posOffset>
                      </wp:positionV>
                      <wp:extent cx="98425" cy="1047115"/>
                      <wp:effectExtent l="0" t="0" r="0" b="0"/>
                      <wp:wrapNone/>
                      <wp:docPr id="1062" name="Frame1062"/>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PB Acquisition Company North Carolina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4">
                      <wp:simplePos x="0" y="0"/>
                      <wp:positionH relativeFrom="character">
                        <wp:align>left</wp:align>
                      </wp:positionH>
                      <wp:positionV relativeFrom="line">
                        <wp:posOffset>635</wp:posOffset>
                      </wp:positionV>
                      <wp:extent cx="69215" cy="217170"/>
                      <wp:effectExtent l="0" t="0" r="0" b="0"/>
                      <wp:wrapNone/>
                      <wp:docPr id="1063" name="Frame106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5">
                      <wp:simplePos x="0" y="0"/>
                      <wp:positionH relativeFrom="character">
                        <wp:align>left</wp:align>
                      </wp:positionH>
                      <wp:positionV relativeFrom="line">
                        <wp:posOffset>635</wp:posOffset>
                      </wp:positionV>
                      <wp:extent cx="98425" cy="1047115"/>
                      <wp:effectExtent l="0" t="0" r="0" b="0"/>
                      <wp:wrapNone/>
                      <wp:docPr id="1064" name="Frame1064"/>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PB Acquisition Company Puerto Rico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6">
                      <wp:simplePos x="0" y="0"/>
                      <wp:positionH relativeFrom="character">
                        <wp:align>left</wp:align>
                      </wp:positionH>
                      <wp:positionV relativeFrom="line">
                        <wp:posOffset>635</wp:posOffset>
                      </wp:positionV>
                      <wp:extent cx="69215" cy="217170"/>
                      <wp:effectExtent l="0" t="0" r="0" b="0"/>
                      <wp:wrapNone/>
                      <wp:docPr id="1065" name="Frame106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7">
                      <wp:simplePos x="0" y="0"/>
                      <wp:positionH relativeFrom="character">
                        <wp:align>left</wp:align>
                      </wp:positionH>
                      <wp:positionV relativeFrom="line">
                        <wp:posOffset>635</wp:posOffset>
                      </wp:positionV>
                      <wp:extent cx="98425" cy="1047115"/>
                      <wp:effectExtent l="0" t="0" r="0" b="0"/>
                      <wp:wrapNone/>
                      <wp:docPr id="1066" name="Frame1066"/>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PB Acquisition Company Tennessee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8">
                      <wp:simplePos x="0" y="0"/>
                      <wp:positionH relativeFrom="character">
                        <wp:align>left</wp:align>
                      </wp:positionH>
                      <wp:positionV relativeFrom="line">
                        <wp:posOffset>635</wp:posOffset>
                      </wp:positionV>
                      <wp:extent cx="69215" cy="217170"/>
                      <wp:effectExtent l="0" t="0" r="0" b="0"/>
                      <wp:wrapNone/>
                      <wp:docPr id="1067" name="Frame106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9">
                      <wp:simplePos x="0" y="0"/>
                      <wp:positionH relativeFrom="character">
                        <wp:align>left</wp:align>
                      </wp:positionH>
                      <wp:positionV relativeFrom="line">
                        <wp:posOffset>635</wp:posOffset>
                      </wp:positionV>
                      <wp:extent cx="98425" cy="1047115"/>
                      <wp:effectExtent l="0" t="0" r="0" b="0"/>
                      <wp:wrapNone/>
                      <wp:docPr id="1068" name="Frame1068"/>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Colchester Insurance Company</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0">
                      <wp:simplePos x="0" y="0"/>
                      <wp:positionH relativeFrom="character">
                        <wp:align>left</wp:align>
                      </wp:positionH>
                      <wp:positionV relativeFrom="line">
                        <wp:posOffset>635</wp:posOffset>
                      </wp:positionV>
                      <wp:extent cx="69215" cy="217170"/>
                      <wp:effectExtent l="0" t="0" r="0" b="0"/>
                      <wp:wrapNone/>
                      <wp:docPr id="1069" name="Frame106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1">
                      <wp:simplePos x="0" y="0"/>
                      <wp:positionH relativeFrom="character">
                        <wp:align>left</wp:align>
                      </wp:positionH>
                      <wp:positionV relativeFrom="line">
                        <wp:posOffset>635</wp:posOffset>
                      </wp:positionV>
                      <wp:extent cx="98425" cy="1047115"/>
                      <wp:effectExtent l="0" t="0" r="0" b="0"/>
                      <wp:wrapNone/>
                      <wp:docPr id="1070" name="Frame1070"/>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Vermont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Vermont</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Pep Boys – Manny, Moe &amp; Jack of Texas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2">
                      <wp:simplePos x="0" y="0"/>
                      <wp:positionH relativeFrom="character">
                        <wp:align>left</wp:align>
                      </wp:positionH>
                      <wp:positionV relativeFrom="line">
                        <wp:posOffset>635</wp:posOffset>
                      </wp:positionV>
                      <wp:extent cx="69215" cy="217170"/>
                      <wp:effectExtent l="0" t="0" r="0" b="0"/>
                      <wp:wrapNone/>
                      <wp:docPr id="1071" name="Frame107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3">
                      <wp:simplePos x="0" y="0"/>
                      <wp:positionH relativeFrom="character">
                        <wp:align>left</wp:align>
                      </wp:positionH>
                      <wp:positionV relativeFrom="line">
                        <wp:posOffset>635</wp:posOffset>
                      </wp:positionV>
                      <wp:extent cx="98425" cy="761365"/>
                      <wp:effectExtent l="0" t="0" r="0" b="0"/>
                      <wp:wrapNone/>
                      <wp:docPr id="1072" name="Frame1072"/>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 xml:space="preserve">Texas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 xml:space="preserve">Texas </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Pep Boys Pakistan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4">
                      <wp:simplePos x="0" y="0"/>
                      <wp:positionH relativeFrom="character">
                        <wp:align>left</wp:align>
                      </wp:positionH>
                      <wp:positionV relativeFrom="line">
                        <wp:posOffset>635</wp:posOffset>
                      </wp:positionV>
                      <wp:extent cx="69215" cy="217170"/>
                      <wp:effectExtent l="0" t="0" r="0" b="0"/>
                      <wp:wrapNone/>
                      <wp:docPr id="1073" name="Frame107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5">
                      <wp:simplePos x="0" y="0"/>
                      <wp:positionH relativeFrom="character">
                        <wp:align>left</wp:align>
                      </wp:positionH>
                      <wp:positionV relativeFrom="line">
                        <wp:posOffset>635</wp:posOffset>
                      </wp:positionV>
                      <wp:extent cx="98425" cy="904240"/>
                      <wp:effectExtent l="0" t="0" r="0" b="0"/>
                      <wp:wrapNone/>
                      <wp:docPr id="1074" name="Frame1074"/>
                      <a:graphic xmlns:a="http://schemas.openxmlformats.org/drawingml/2006/main">
                        <a:graphicData uri="http://schemas.microsoft.com/office/word/2010/wordprocessingShape">
                          <wps:wsp>
                            <wps:cNvSpPr txBox="1"/>
                            <wps:spPr>
                              <a:xfrm>
                                <a:off x="0" y="0"/>
                                <a:ext cx="98425" cy="90424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Pakistan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1.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Pakistan</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Car Sales US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6">
                      <wp:simplePos x="0" y="0"/>
                      <wp:positionH relativeFrom="character">
                        <wp:align>left</wp:align>
                      </wp:positionH>
                      <wp:positionV relativeFrom="line">
                        <wp:posOffset>635</wp:posOffset>
                      </wp:positionV>
                      <wp:extent cx="69215" cy="217170"/>
                      <wp:effectExtent l="0" t="0" r="0" b="0"/>
                      <wp:wrapNone/>
                      <wp:docPr id="1075" name="Frame107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7">
                      <wp:simplePos x="0" y="0"/>
                      <wp:positionH relativeFrom="character">
                        <wp:align>left</wp:align>
                      </wp:positionH>
                      <wp:positionV relativeFrom="line">
                        <wp:posOffset>635</wp:posOffset>
                      </wp:positionV>
                      <wp:extent cx="98425" cy="1047115"/>
                      <wp:effectExtent l="0" t="0" r="0" b="0"/>
                      <wp:wrapNone/>
                      <wp:docPr id="1076" name="Frame1076"/>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Car Sales of New York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8">
                      <wp:simplePos x="0" y="0"/>
                      <wp:positionH relativeFrom="character">
                        <wp:align>left</wp:align>
                      </wp:positionH>
                      <wp:positionV relativeFrom="line">
                        <wp:posOffset>635</wp:posOffset>
                      </wp:positionV>
                      <wp:extent cx="69215" cy="217170"/>
                      <wp:effectExtent l="0" t="0" r="0" b="0"/>
                      <wp:wrapNone/>
                      <wp:docPr id="1077" name="Frame107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9">
                      <wp:simplePos x="0" y="0"/>
                      <wp:positionH relativeFrom="character">
                        <wp:align>left</wp:align>
                      </wp:positionH>
                      <wp:positionV relativeFrom="line">
                        <wp:posOffset>635</wp:posOffset>
                      </wp:positionV>
                      <wp:extent cx="98425" cy="1047115"/>
                      <wp:effectExtent l="0" t="0" r="0" b="0"/>
                      <wp:wrapNone/>
                      <wp:docPr id="1078" name="Frame1078"/>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Car Sales of California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0">
                      <wp:simplePos x="0" y="0"/>
                      <wp:positionH relativeFrom="character">
                        <wp:align>left</wp:align>
                      </wp:positionH>
                      <wp:positionV relativeFrom="line">
                        <wp:posOffset>635</wp:posOffset>
                      </wp:positionV>
                      <wp:extent cx="69215" cy="217170"/>
                      <wp:effectExtent l="0" t="0" r="0" b="0"/>
                      <wp:wrapNone/>
                      <wp:docPr id="1079" name="Frame107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1">
                      <wp:simplePos x="0" y="0"/>
                      <wp:positionH relativeFrom="character">
                        <wp:align>left</wp:align>
                      </wp:positionH>
                      <wp:positionV relativeFrom="line">
                        <wp:posOffset>635</wp:posOffset>
                      </wp:positionV>
                      <wp:extent cx="98425" cy="1047115"/>
                      <wp:effectExtent l="0" t="0" r="0" b="0"/>
                      <wp:wrapNone/>
                      <wp:docPr id="1080" name="Frame1080"/>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Car Sales of Georgia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2">
                      <wp:simplePos x="0" y="0"/>
                      <wp:positionH relativeFrom="character">
                        <wp:align>left</wp:align>
                      </wp:positionH>
                      <wp:positionV relativeFrom="line">
                        <wp:posOffset>635</wp:posOffset>
                      </wp:positionV>
                      <wp:extent cx="69215" cy="217170"/>
                      <wp:effectExtent l="0" t="0" r="0" b="0"/>
                      <wp:wrapNone/>
                      <wp:docPr id="1081" name="Frame108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3">
                      <wp:simplePos x="0" y="0"/>
                      <wp:positionH relativeFrom="character">
                        <wp:align>left</wp:align>
                      </wp:positionH>
                      <wp:positionV relativeFrom="line">
                        <wp:posOffset>635</wp:posOffset>
                      </wp:positionV>
                      <wp:extent cx="98425" cy="1047115"/>
                      <wp:effectExtent l="0" t="0" r="0" b="0"/>
                      <wp:wrapNone/>
                      <wp:docPr id="1082" name="Frame1082"/>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Car Sales of Pennsylvania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4">
                      <wp:simplePos x="0" y="0"/>
                      <wp:positionH relativeFrom="character">
                        <wp:align>left</wp:align>
                      </wp:positionH>
                      <wp:positionV relativeFrom="line">
                        <wp:posOffset>635</wp:posOffset>
                      </wp:positionV>
                      <wp:extent cx="69215" cy="217170"/>
                      <wp:effectExtent l="0" t="0" r="0" b="0"/>
                      <wp:wrapNone/>
                      <wp:docPr id="1083" name="Frame108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5">
                      <wp:simplePos x="0" y="0"/>
                      <wp:positionH relativeFrom="character">
                        <wp:align>left</wp:align>
                      </wp:positionH>
                      <wp:positionV relativeFrom="line">
                        <wp:posOffset>635</wp:posOffset>
                      </wp:positionV>
                      <wp:extent cx="98425" cy="1047115"/>
                      <wp:effectExtent l="0" t="0" r="0" b="0"/>
                      <wp:wrapNone/>
                      <wp:docPr id="1084" name="Frame1084"/>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The Pep Boys Manny Moe &amp; Jack of California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6">
                      <wp:simplePos x="0" y="0"/>
                      <wp:positionH relativeFrom="character">
                        <wp:align>left</wp:align>
                      </wp:positionH>
                      <wp:positionV relativeFrom="line">
                        <wp:posOffset>635</wp:posOffset>
                      </wp:positionV>
                      <wp:extent cx="69215" cy="217170"/>
                      <wp:effectExtent l="0" t="0" r="0" b="0"/>
                      <wp:wrapNone/>
                      <wp:docPr id="1085" name="Frame108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7">
                      <wp:simplePos x="0" y="0"/>
                      <wp:positionH relativeFrom="character">
                        <wp:align>left</wp:align>
                      </wp:positionH>
                      <wp:positionV relativeFrom="line">
                        <wp:posOffset>635</wp:posOffset>
                      </wp:positionV>
                      <wp:extent cx="98425" cy="1047115"/>
                      <wp:effectExtent l="0" t="0" r="0" b="0"/>
                      <wp:wrapNone/>
                      <wp:docPr id="1086" name="Frame1086"/>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California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California</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San Diego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8">
                      <wp:simplePos x="0" y="0"/>
                      <wp:positionH relativeFrom="character">
                        <wp:align>left</wp:align>
                      </wp:positionH>
                      <wp:positionV relativeFrom="line">
                        <wp:posOffset>635</wp:posOffset>
                      </wp:positionV>
                      <wp:extent cx="69215" cy="217170"/>
                      <wp:effectExtent l="0" t="0" r="0" b="0"/>
                      <wp:wrapNone/>
                      <wp:docPr id="1087" name="Frame108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9">
                      <wp:simplePos x="0" y="0"/>
                      <wp:positionH relativeFrom="character">
                        <wp:align>left</wp:align>
                      </wp:positionH>
                      <wp:positionV relativeFrom="line">
                        <wp:posOffset>635</wp:posOffset>
                      </wp:positionV>
                      <wp:extent cx="98425" cy="1047115"/>
                      <wp:effectExtent l="0" t="0" r="0" b="0"/>
                      <wp:wrapNone/>
                      <wp:docPr id="1088" name="Frame1088"/>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PB Acquisition Company Arizona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0">
                      <wp:simplePos x="0" y="0"/>
                      <wp:positionH relativeFrom="character">
                        <wp:align>left</wp:align>
                      </wp:positionH>
                      <wp:positionV relativeFrom="line">
                        <wp:posOffset>635</wp:posOffset>
                      </wp:positionV>
                      <wp:extent cx="69215" cy="217170"/>
                      <wp:effectExtent l="0" t="0" r="0" b="0"/>
                      <wp:wrapNone/>
                      <wp:docPr id="1089" name="Frame108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1">
                      <wp:simplePos x="0" y="0"/>
                      <wp:positionH relativeFrom="character">
                        <wp:align>left</wp:align>
                      </wp:positionH>
                      <wp:positionV relativeFrom="line">
                        <wp:posOffset>635</wp:posOffset>
                      </wp:positionV>
                      <wp:extent cx="98425" cy="1047115"/>
                      <wp:effectExtent l="0" t="0" r="0" b="0"/>
                      <wp:wrapNone/>
                      <wp:docPr id="1090" name="Frame1090"/>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Alameda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2">
                      <wp:simplePos x="0" y="0"/>
                      <wp:positionH relativeFrom="character">
                        <wp:align>left</wp:align>
                      </wp:positionH>
                      <wp:positionV relativeFrom="line">
                        <wp:posOffset>635</wp:posOffset>
                      </wp:positionV>
                      <wp:extent cx="69215" cy="217170"/>
                      <wp:effectExtent l="0" t="0" r="0" b="0"/>
                      <wp:wrapNone/>
                      <wp:docPr id="1091" name="Frame109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3">
                      <wp:simplePos x="0" y="0"/>
                      <wp:positionH relativeFrom="character">
                        <wp:align>left</wp:align>
                      </wp:positionH>
                      <wp:positionV relativeFrom="line">
                        <wp:posOffset>635</wp:posOffset>
                      </wp:positionV>
                      <wp:extent cx="98425" cy="1047115"/>
                      <wp:effectExtent l="0" t="0" r="0" b="0"/>
                      <wp:wrapNone/>
                      <wp:docPr id="1092" name="Frame1092"/>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Colorado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4">
                      <wp:simplePos x="0" y="0"/>
                      <wp:positionH relativeFrom="character">
                        <wp:align>left</wp:align>
                      </wp:positionH>
                      <wp:positionV relativeFrom="line">
                        <wp:posOffset>635</wp:posOffset>
                      </wp:positionV>
                      <wp:extent cx="69215" cy="217170"/>
                      <wp:effectExtent l="0" t="0" r="0" b="0"/>
                      <wp:wrapNone/>
                      <wp:docPr id="1093" name="Frame109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5">
                      <wp:simplePos x="0" y="0"/>
                      <wp:positionH relativeFrom="character">
                        <wp:align>left</wp:align>
                      </wp:positionH>
                      <wp:positionV relativeFrom="line">
                        <wp:posOffset>635</wp:posOffset>
                      </wp:positionV>
                      <wp:extent cx="98425" cy="1047115"/>
                      <wp:effectExtent l="0" t="0" r="0" b="0"/>
                      <wp:wrapNone/>
                      <wp:docPr id="1094" name="Frame1094"/>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PB Acquisition Company Minnesota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6">
                      <wp:simplePos x="0" y="0"/>
                      <wp:positionH relativeFrom="character">
                        <wp:align>left</wp:align>
                      </wp:positionH>
                      <wp:positionV relativeFrom="line">
                        <wp:posOffset>635</wp:posOffset>
                      </wp:positionV>
                      <wp:extent cx="69215" cy="217170"/>
                      <wp:effectExtent l="0" t="0" r="0" b="0"/>
                      <wp:wrapNone/>
                      <wp:docPr id="1095" name="Frame109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7">
                      <wp:simplePos x="0" y="0"/>
                      <wp:positionH relativeFrom="character">
                        <wp:align>left</wp:align>
                      </wp:positionH>
                      <wp:positionV relativeFrom="line">
                        <wp:posOffset>635</wp:posOffset>
                      </wp:positionV>
                      <wp:extent cx="98425" cy="1047115"/>
                      <wp:effectExtent l="0" t="0" r="0" b="0"/>
                      <wp:wrapNone/>
                      <wp:docPr id="1096" name="Frame1096"/>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Illinois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8">
                      <wp:simplePos x="0" y="0"/>
                      <wp:positionH relativeFrom="character">
                        <wp:align>left</wp:align>
                      </wp:positionH>
                      <wp:positionV relativeFrom="line">
                        <wp:posOffset>635</wp:posOffset>
                      </wp:positionV>
                      <wp:extent cx="69215" cy="217170"/>
                      <wp:effectExtent l="0" t="0" r="0" b="0"/>
                      <wp:wrapNone/>
                      <wp:docPr id="1097" name="Frame109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9">
                      <wp:simplePos x="0" y="0"/>
                      <wp:positionH relativeFrom="character">
                        <wp:align>left</wp:align>
                      </wp:positionH>
                      <wp:positionV relativeFrom="line">
                        <wp:posOffset>635</wp:posOffset>
                      </wp:positionV>
                      <wp:extent cx="98425" cy="1047115"/>
                      <wp:effectExtent l="0" t="0" r="0" b="0"/>
                      <wp:wrapNone/>
                      <wp:docPr id="1098" name="Frame1098"/>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PB Acquisition Company Hartford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0">
                      <wp:simplePos x="0" y="0"/>
                      <wp:positionH relativeFrom="character">
                        <wp:align>left</wp:align>
                      </wp:positionH>
                      <wp:positionV relativeFrom="line">
                        <wp:posOffset>635</wp:posOffset>
                      </wp:positionV>
                      <wp:extent cx="69215" cy="217170"/>
                      <wp:effectExtent l="0" t="0" r="0" b="0"/>
                      <wp:wrapNone/>
                      <wp:docPr id="1099" name="Frame109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1">
                      <wp:simplePos x="0" y="0"/>
                      <wp:positionH relativeFrom="character">
                        <wp:align>left</wp:align>
                      </wp:positionH>
                      <wp:positionV relativeFrom="line">
                        <wp:posOffset>635</wp:posOffset>
                      </wp:positionV>
                      <wp:extent cx="98425" cy="1047115"/>
                      <wp:effectExtent l="0" t="0" r="0" b="0"/>
                      <wp:wrapNone/>
                      <wp:docPr id="1100" name="Frame1100"/>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PB Acquisition Company Massachusetts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2">
                      <wp:simplePos x="0" y="0"/>
                      <wp:positionH relativeFrom="character">
                        <wp:align>left</wp:align>
                      </wp:positionH>
                      <wp:positionV relativeFrom="line">
                        <wp:posOffset>635</wp:posOffset>
                      </wp:positionV>
                      <wp:extent cx="69215" cy="217170"/>
                      <wp:effectExtent l="0" t="0" r="0" b="0"/>
                      <wp:wrapNone/>
                      <wp:docPr id="1101" name="Frame110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3">
                      <wp:simplePos x="0" y="0"/>
                      <wp:positionH relativeFrom="character">
                        <wp:align>left</wp:align>
                      </wp:positionH>
                      <wp:positionV relativeFrom="line">
                        <wp:posOffset>635</wp:posOffset>
                      </wp:positionV>
                      <wp:extent cx="98425" cy="1047115"/>
                      <wp:effectExtent l="0" t="0" r="0" b="0"/>
                      <wp:wrapNone/>
                      <wp:docPr id="1102" name="Frame1102"/>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Michigan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4">
                      <wp:simplePos x="0" y="0"/>
                      <wp:positionH relativeFrom="character">
                        <wp:align>left</wp:align>
                      </wp:positionH>
                      <wp:positionV relativeFrom="line">
                        <wp:posOffset>635</wp:posOffset>
                      </wp:positionV>
                      <wp:extent cx="69215" cy="217170"/>
                      <wp:effectExtent l="0" t="0" r="0" b="0"/>
                      <wp:wrapNone/>
                      <wp:docPr id="1103" name="Frame110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5">
                      <wp:simplePos x="0" y="0"/>
                      <wp:positionH relativeFrom="character">
                        <wp:align>left</wp:align>
                      </wp:positionH>
                      <wp:positionV relativeFrom="line">
                        <wp:posOffset>635</wp:posOffset>
                      </wp:positionV>
                      <wp:extent cx="98425" cy="918210"/>
                      <wp:effectExtent l="0" t="0" r="0" b="0"/>
                      <wp:wrapNone/>
                      <wp:docPr id="1104" name="Frame1104"/>
                      <a:graphic xmlns:a="http://schemas.openxmlformats.org/drawingml/2006/main">
                        <a:graphicData uri="http://schemas.microsoft.com/office/word/2010/wordprocessingShape">
                          <wps:wsp>
                            <wps:cNvSpPr txBox="1"/>
                            <wps:spPr>
                              <a:xfrm>
                                <a:off x="0" y="0"/>
                                <a:ext cx="98425" cy="91821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2.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PB Acquisition Company Nassau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6">
                      <wp:simplePos x="0" y="0"/>
                      <wp:positionH relativeFrom="character">
                        <wp:align>left</wp:align>
                      </wp:positionH>
                      <wp:positionV relativeFrom="line">
                        <wp:posOffset>635</wp:posOffset>
                      </wp:positionV>
                      <wp:extent cx="69215" cy="217170"/>
                      <wp:effectExtent l="0" t="0" r="0" b="0"/>
                      <wp:wrapNone/>
                      <wp:docPr id="1105" name="Frame110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7">
                      <wp:simplePos x="0" y="0"/>
                      <wp:positionH relativeFrom="character">
                        <wp:align>left</wp:align>
                      </wp:positionH>
                      <wp:positionV relativeFrom="line">
                        <wp:posOffset>635</wp:posOffset>
                      </wp:positionV>
                      <wp:extent cx="98425" cy="709295"/>
                      <wp:effectExtent l="0" t="0" r="0" b="0"/>
                      <wp:wrapNone/>
                      <wp:docPr id="1106" name="Frame1106"/>
                      <a:graphic xmlns:a="http://schemas.openxmlformats.org/drawingml/2006/main">
                        <a:graphicData uri="http://schemas.microsoft.com/office/word/2010/wordprocessingShape">
                          <wps:wsp>
                            <wps:cNvSpPr txBox="1"/>
                            <wps:spPr>
                              <a:xfrm>
                                <a:off x="0" y="0"/>
                                <a:ext cx="98425" cy="70929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5.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PB Acquisition Company Washington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8">
                      <wp:simplePos x="0" y="0"/>
                      <wp:positionH relativeFrom="character">
                        <wp:align>left</wp:align>
                      </wp:positionH>
                      <wp:positionV relativeFrom="line">
                        <wp:posOffset>635</wp:posOffset>
                      </wp:positionV>
                      <wp:extent cx="69215" cy="217170"/>
                      <wp:effectExtent l="0" t="0" r="0" b="0"/>
                      <wp:wrapNone/>
                      <wp:docPr id="1107" name="Frame110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9">
                      <wp:simplePos x="0" y="0"/>
                      <wp:positionH relativeFrom="character">
                        <wp:align>left</wp:align>
                      </wp:positionH>
                      <wp:positionV relativeFrom="line">
                        <wp:posOffset>635</wp:posOffset>
                      </wp:positionV>
                      <wp:extent cx="98425" cy="500380"/>
                      <wp:effectExtent l="0" t="0" r="0" b="0"/>
                      <wp:wrapNone/>
                      <wp:docPr id="1108" name="Frame1108"/>
                      <a:graphic xmlns:a="http://schemas.openxmlformats.org/drawingml/2006/main">
                        <a:graphicData uri="http://schemas.microsoft.com/office/word/2010/wordprocessingShape">
                          <wps:wsp>
                            <wps:cNvSpPr txBox="1"/>
                            <wps:spPr>
                              <a:xfrm>
                                <a:off x="0" y="0"/>
                                <a:ext cx="98425" cy="50038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JBRE Holdings,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0">
                      <wp:simplePos x="0" y="0"/>
                      <wp:positionH relativeFrom="character">
                        <wp:align>left</wp:align>
                      </wp:positionH>
                      <wp:positionV relativeFrom="line">
                        <wp:posOffset>635</wp:posOffset>
                      </wp:positionV>
                      <wp:extent cx="69215" cy="217170"/>
                      <wp:effectExtent l="0" t="0" r="0" b="0"/>
                      <wp:wrapNone/>
                      <wp:docPr id="1109" name="Frame110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1">
                      <wp:simplePos x="0" y="0"/>
                      <wp:positionH relativeFrom="character">
                        <wp:align>left</wp:align>
                      </wp:positionH>
                      <wp:positionV relativeFrom="line">
                        <wp:posOffset>635</wp:posOffset>
                      </wp:positionV>
                      <wp:extent cx="98425" cy="291465"/>
                      <wp:effectExtent l="0" t="0" r="0" b="0"/>
                      <wp:wrapNone/>
                      <wp:docPr id="1110" name="Frame1110"/>
                      <a:graphic xmlns:a="http://schemas.openxmlformats.org/drawingml/2006/main">
                        <a:graphicData uri="http://schemas.microsoft.com/office/word/2010/wordprocessingShape">
                          <wps:wsp>
                            <wps:cNvSpPr txBox="1"/>
                            <wps:spPr>
                              <a:xfrm>
                                <a:off x="0" y="0"/>
                                <a:ext cx="98425" cy="2914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2.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JBRE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2">
                      <wp:simplePos x="0" y="0"/>
                      <wp:positionH relativeFrom="character">
                        <wp:align>left</wp:align>
                      </wp:positionH>
                      <wp:positionV relativeFrom="line">
                        <wp:posOffset>635</wp:posOffset>
                      </wp:positionV>
                      <wp:extent cx="69215" cy="217170"/>
                      <wp:effectExtent l="0" t="0" r="0" b="0"/>
                      <wp:wrapNone/>
                      <wp:docPr id="1111" name="Frame111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3">
                      <wp:simplePos x="0" y="0"/>
                      <wp:positionH relativeFrom="character">
                        <wp:align>left</wp:align>
                      </wp:positionH>
                      <wp:positionV relativeFrom="line">
                        <wp:posOffset>635</wp:posOffset>
                      </wp:positionV>
                      <wp:extent cx="98425" cy="1047115"/>
                      <wp:effectExtent l="0" t="0" r="0" b="0"/>
                      <wp:wrapNone/>
                      <wp:docPr id="1112" name="Frame1112"/>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JBRE CTEX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4">
                      <wp:simplePos x="0" y="0"/>
                      <wp:positionH relativeFrom="character">
                        <wp:align>left</wp:align>
                      </wp:positionH>
                      <wp:positionV relativeFrom="line">
                        <wp:posOffset>635</wp:posOffset>
                      </wp:positionV>
                      <wp:extent cx="69215" cy="217170"/>
                      <wp:effectExtent l="0" t="0" r="0" b="0"/>
                      <wp:wrapNone/>
                      <wp:docPr id="1113" name="Frame111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5">
                      <wp:simplePos x="0" y="0"/>
                      <wp:positionH relativeFrom="character">
                        <wp:align>left</wp:align>
                      </wp:positionH>
                      <wp:positionV relativeFrom="line">
                        <wp:posOffset>635</wp:posOffset>
                      </wp:positionV>
                      <wp:extent cx="98425" cy="1047115"/>
                      <wp:effectExtent l="0" t="0" r="0" b="0"/>
                      <wp:wrapNone/>
                      <wp:docPr id="1114" name="Frame1114"/>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JBRE CO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6">
                      <wp:simplePos x="0" y="0"/>
                      <wp:positionH relativeFrom="character">
                        <wp:align>left</wp:align>
                      </wp:positionH>
                      <wp:positionV relativeFrom="line">
                        <wp:posOffset>635</wp:posOffset>
                      </wp:positionV>
                      <wp:extent cx="69215" cy="217170"/>
                      <wp:effectExtent l="0" t="0" r="0" b="0"/>
                      <wp:wrapNone/>
                      <wp:docPr id="1115" name="Frame111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7">
                      <wp:simplePos x="0" y="0"/>
                      <wp:positionH relativeFrom="character">
                        <wp:align>left</wp:align>
                      </wp:positionH>
                      <wp:positionV relativeFrom="line">
                        <wp:posOffset>635</wp:posOffset>
                      </wp:positionV>
                      <wp:extent cx="98425" cy="1047115"/>
                      <wp:effectExtent l="0" t="0" r="0" b="0"/>
                      <wp:wrapNone/>
                      <wp:docPr id="1116" name="Frame1116"/>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JBRE AZ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8">
                      <wp:simplePos x="0" y="0"/>
                      <wp:positionH relativeFrom="character">
                        <wp:align>left</wp:align>
                      </wp:positionH>
                      <wp:positionV relativeFrom="line">
                        <wp:posOffset>635</wp:posOffset>
                      </wp:positionV>
                      <wp:extent cx="69215" cy="217170"/>
                      <wp:effectExtent l="0" t="0" r="0" b="0"/>
                      <wp:wrapNone/>
                      <wp:docPr id="1117" name="Frame111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9">
                      <wp:simplePos x="0" y="0"/>
                      <wp:positionH relativeFrom="character">
                        <wp:align>left</wp:align>
                      </wp:positionH>
                      <wp:positionV relativeFrom="line">
                        <wp:posOffset>635</wp:posOffset>
                      </wp:positionV>
                      <wp:extent cx="98425" cy="1047115"/>
                      <wp:effectExtent l="0" t="0" r="0" b="0"/>
                      <wp:wrapNone/>
                      <wp:docPr id="1118" name="Frame1118"/>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JBRE GA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0">
                      <wp:simplePos x="0" y="0"/>
                      <wp:positionH relativeFrom="character">
                        <wp:align>left</wp:align>
                      </wp:positionH>
                      <wp:positionV relativeFrom="line">
                        <wp:posOffset>635</wp:posOffset>
                      </wp:positionV>
                      <wp:extent cx="69215" cy="217170"/>
                      <wp:effectExtent l="0" t="0" r="0" b="0"/>
                      <wp:wrapNone/>
                      <wp:docPr id="1119" name="Frame111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1">
                      <wp:simplePos x="0" y="0"/>
                      <wp:positionH relativeFrom="character">
                        <wp:align>left</wp:align>
                      </wp:positionH>
                      <wp:positionV relativeFrom="line">
                        <wp:posOffset>635</wp:posOffset>
                      </wp:positionV>
                      <wp:extent cx="98425" cy="1047115"/>
                      <wp:effectExtent l="0" t="0" r="0" b="0"/>
                      <wp:wrapNone/>
                      <wp:docPr id="1120" name="Frame1120"/>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JBRE NV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2">
                      <wp:simplePos x="0" y="0"/>
                      <wp:positionH relativeFrom="character">
                        <wp:align>left</wp:align>
                      </wp:positionH>
                      <wp:positionV relativeFrom="line">
                        <wp:posOffset>635</wp:posOffset>
                      </wp:positionV>
                      <wp:extent cx="69215" cy="217170"/>
                      <wp:effectExtent l="0" t="0" r="0" b="0"/>
                      <wp:wrapNone/>
                      <wp:docPr id="1121" name="Frame112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3">
                      <wp:simplePos x="0" y="0"/>
                      <wp:positionH relativeFrom="character">
                        <wp:align>left</wp:align>
                      </wp:positionH>
                      <wp:positionV relativeFrom="line">
                        <wp:posOffset>635</wp:posOffset>
                      </wp:positionV>
                      <wp:extent cx="98425" cy="1047115"/>
                      <wp:effectExtent l="0" t="0" r="0" b="0"/>
                      <wp:wrapNone/>
                      <wp:docPr id="1122" name="Frame1122"/>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JBRE NTEX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4">
                      <wp:simplePos x="0" y="0"/>
                      <wp:positionH relativeFrom="character">
                        <wp:align>left</wp:align>
                      </wp:positionH>
                      <wp:positionV relativeFrom="line">
                        <wp:posOffset>635</wp:posOffset>
                      </wp:positionV>
                      <wp:extent cx="69215" cy="217170"/>
                      <wp:effectExtent l="0" t="0" r="0" b="0"/>
                      <wp:wrapNone/>
                      <wp:docPr id="1123" name="Frame112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5">
                      <wp:simplePos x="0" y="0"/>
                      <wp:positionH relativeFrom="character">
                        <wp:align>left</wp:align>
                      </wp:positionH>
                      <wp:positionV relativeFrom="line">
                        <wp:posOffset>635</wp:posOffset>
                      </wp:positionV>
                      <wp:extent cx="98425" cy="1047115"/>
                      <wp:effectExtent l="0" t="0" r="0" b="0"/>
                      <wp:wrapNone/>
                      <wp:docPr id="1124" name="Frame1124"/>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JBRE FL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6">
                      <wp:simplePos x="0" y="0"/>
                      <wp:positionH relativeFrom="character">
                        <wp:align>left</wp:align>
                      </wp:positionH>
                      <wp:positionV relativeFrom="line">
                        <wp:posOffset>635</wp:posOffset>
                      </wp:positionV>
                      <wp:extent cx="69215" cy="217170"/>
                      <wp:effectExtent l="0" t="0" r="0" b="0"/>
                      <wp:wrapNone/>
                      <wp:docPr id="1125" name="Frame112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7">
                      <wp:simplePos x="0" y="0"/>
                      <wp:positionH relativeFrom="character">
                        <wp:align>left</wp:align>
                      </wp:positionH>
                      <wp:positionV relativeFrom="line">
                        <wp:posOffset>635</wp:posOffset>
                      </wp:positionV>
                      <wp:extent cx="98425" cy="1047115"/>
                      <wp:effectExtent l="0" t="0" r="0" b="0"/>
                      <wp:wrapNone/>
                      <wp:docPr id="1126" name="Frame1126"/>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JBRE STEX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8">
                      <wp:simplePos x="0" y="0"/>
                      <wp:positionH relativeFrom="character">
                        <wp:align>left</wp:align>
                      </wp:positionH>
                      <wp:positionV relativeFrom="line">
                        <wp:posOffset>635</wp:posOffset>
                      </wp:positionV>
                      <wp:extent cx="69215" cy="217170"/>
                      <wp:effectExtent l="0" t="0" r="0" b="0"/>
                      <wp:wrapNone/>
                      <wp:docPr id="1127" name="Frame112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9">
                      <wp:simplePos x="0" y="0"/>
                      <wp:positionH relativeFrom="character">
                        <wp:align>left</wp:align>
                      </wp:positionH>
                      <wp:positionV relativeFrom="line">
                        <wp:posOffset>635</wp:posOffset>
                      </wp:positionV>
                      <wp:extent cx="98425" cy="1047115"/>
                      <wp:effectExtent l="0" t="0" r="0" b="0"/>
                      <wp:wrapNone/>
                      <wp:docPr id="1128" name="Frame1128"/>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Precision Auto Care, Inc.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0">
                      <wp:simplePos x="0" y="0"/>
                      <wp:positionH relativeFrom="character">
                        <wp:align>left</wp:align>
                      </wp:positionH>
                      <wp:positionV relativeFrom="line">
                        <wp:posOffset>635</wp:posOffset>
                      </wp:positionV>
                      <wp:extent cx="69215" cy="217170"/>
                      <wp:effectExtent l="0" t="0" r="0" b="0"/>
                      <wp:wrapNone/>
                      <wp:docPr id="1129" name="Frame112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1">
                      <wp:simplePos x="0" y="0"/>
                      <wp:positionH relativeFrom="character">
                        <wp:align>left</wp:align>
                      </wp:positionH>
                      <wp:positionV relativeFrom="line">
                        <wp:posOffset>635</wp:posOffset>
                      </wp:positionV>
                      <wp:extent cx="98425" cy="904240"/>
                      <wp:effectExtent l="0" t="0" r="0" b="0"/>
                      <wp:wrapNone/>
                      <wp:docPr id="1130" name="Frame1130"/>
                      <a:graphic xmlns:a="http://schemas.openxmlformats.org/drawingml/2006/main">
                        <a:graphicData uri="http://schemas.microsoft.com/office/word/2010/wordprocessingShape">
                          <wps:wsp>
                            <wps:cNvSpPr txBox="1"/>
                            <wps:spPr>
                              <a:xfrm>
                                <a:off x="0" y="0"/>
                                <a:ext cx="98425" cy="90424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1.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v:textbox>
                      <w10:wrap type="none"/>
                    </v:rect>
                  </w:pict>
                </mc:Fallback>
              </mc:AlternateContent>
            </w:r>
          </w:p>
        </w:tc>
      </w:tr>
      <w:tr>
        <w:trPr/>
        <w:tc>
          <w:tcPr>
            <w:tcW w:w="444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Precision Printing,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2">
                      <wp:simplePos x="0" y="0"/>
                      <wp:positionH relativeFrom="character">
                        <wp:align>left</wp:align>
                      </wp:positionH>
                      <wp:positionV relativeFrom="line">
                        <wp:posOffset>635</wp:posOffset>
                      </wp:positionV>
                      <wp:extent cx="69215" cy="217170"/>
                      <wp:effectExtent l="0" t="0" r="0" b="0"/>
                      <wp:wrapNone/>
                      <wp:docPr id="1131" name="Frame113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133">
                      <wp:simplePos x="0" y="0"/>
                      <wp:positionH relativeFrom="character">
                        <wp:align>left</wp:align>
                      </wp:positionH>
                      <wp:positionV relativeFrom="line">
                        <wp:posOffset>635</wp:posOffset>
                      </wp:positionV>
                      <wp:extent cx="98425" cy="904240"/>
                      <wp:effectExtent l="0" t="0" r="0" b="0"/>
                      <wp:wrapNone/>
                      <wp:docPr id="1132" name="Frame1132"/>
                      <a:graphic xmlns:a="http://schemas.openxmlformats.org/drawingml/2006/main">
                        <a:graphicData uri="http://schemas.microsoft.com/office/word/2010/wordprocessingShape">
                          <wps:wsp>
                            <wps:cNvSpPr txBox="1"/>
                            <wps:spPr>
                              <a:xfrm>
                                <a:off x="0" y="0"/>
                                <a:ext cx="98425" cy="90424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1.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v:textbox>
                      <w10:wrap type="none"/>
                    </v:rect>
                  </w:pict>
                </mc:Fallback>
              </mc:AlternateContent>
            </w:r>
          </w:p>
        </w:tc>
      </w:tr>
    </w:tbl>
    <w:p>
      <w:pPr>
        <w:pStyle w:val="TextBody"/>
        <w:bidi w:val="0"/>
        <w:spacing w:lineRule="auto" w:line="29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224" w:type="dxa"/>
        <w:jc w:val="center"/>
        <w:tblInd w:w="0" w:type="dxa"/>
        <w:tblLayout w:type="fixed"/>
        <w:tblCellMar>
          <w:top w:w="0" w:type="dxa"/>
          <w:left w:w="0" w:type="dxa"/>
          <w:bottom w:w="0" w:type="dxa"/>
          <w:right w:w="0" w:type="dxa"/>
        </w:tblCellMar>
      </w:tblPr>
      <w:tblGrid>
        <w:gridCol w:w="3961"/>
        <w:gridCol w:w="109"/>
        <w:gridCol w:w="154"/>
      </w:tblGrid>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WE JAC Corporation</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4">
                      <wp:simplePos x="0" y="0"/>
                      <wp:positionH relativeFrom="character">
                        <wp:align>left</wp:align>
                      </wp:positionH>
                      <wp:positionV relativeFrom="line">
                        <wp:posOffset>635</wp:posOffset>
                      </wp:positionV>
                      <wp:extent cx="69215" cy="217170"/>
                      <wp:effectExtent l="0" t="0" r="0" b="0"/>
                      <wp:wrapNone/>
                      <wp:docPr id="1133" name="Frame113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5">
                      <wp:simplePos x="0" y="0"/>
                      <wp:positionH relativeFrom="character">
                        <wp:align>left</wp:align>
                      </wp:positionH>
                      <wp:positionV relativeFrom="line">
                        <wp:posOffset>635</wp:posOffset>
                      </wp:positionV>
                      <wp:extent cx="98425" cy="1047115"/>
                      <wp:effectExtent l="0" t="0" r="0" b="0"/>
                      <wp:wrapNone/>
                      <wp:docPr id="1134" name="Frame1134"/>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Precision Tune Auto Care,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6">
                      <wp:simplePos x="0" y="0"/>
                      <wp:positionH relativeFrom="character">
                        <wp:align>left</wp:align>
                      </wp:positionH>
                      <wp:positionV relativeFrom="line">
                        <wp:posOffset>635</wp:posOffset>
                      </wp:positionV>
                      <wp:extent cx="69215" cy="217170"/>
                      <wp:effectExtent l="0" t="0" r="0" b="0"/>
                      <wp:wrapNone/>
                      <wp:docPr id="1135" name="Frame113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7">
                      <wp:simplePos x="0" y="0"/>
                      <wp:positionH relativeFrom="character">
                        <wp:align>left</wp:align>
                      </wp:positionH>
                      <wp:positionV relativeFrom="line">
                        <wp:posOffset>635</wp:posOffset>
                      </wp:positionV>
                      <wp:extent cx="98425" cy="904240"/>
                      <wp:effectExtent l="0" t="0" r="0" b="0"/>
                      <wp:wrapNone/>
                      <wp:docPr id="1136" name="Frame1136"/>
                      <a:graphic xmlns:a="http://schemas.openxmlformats.org/drawingml/2006/main">
                        <a:graphicData uri="http://schemas.microsoft.com/office/word/2010/wordprocessingShape">
                          <wps:wsp>
                            <wps:cNvSpPr txBox="1"/>
                            <wps:spPr>
                              <a:xfrm>
                                <a:off x="0" y="0"/>
                                <a:ext cx="98425" cy="90424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1.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PTAC Operating Centers,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8">
                      <wp:simplePos x="0" y="0"/>
                      <wp:positionH relativeFrom="character">
                        <wp:align>left</wp:align>
                      </wp:positionH>
                      <wp:positionV relativeFrom="line">
                        <wp:posOffset>635</wp:posOffset>
                      </wp:positionV>
                      <wp:extent cx="69215" cy="217170"/>
                      <wp:effectExtent l="0" t="0" r="0" b="0"/>
                      <wp:wrapNone/>
                      <wp:docPr id="1137" name="Frame113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9">
                      <wp:simplePos x="0" y="0"/>
                      <wp:positionH relativeFrom="character">
                        <wp:align>left</wp:align>
                      </wp:positionH>
                      <wp:positionV relativeFrom="line">
                        <wp:posOffset>635</wp:posOffset>
                      </wp:positionV>
                      <wp:extent cx="98425" cy="904240"/>
                      <wp:effectExtent l="0" t="0" r="0" b="0"/>
                      <wp:wrapNone/>
                      <wp:docPr id="1138" name="Frame1138"/>
                      <a:graphic xmlns:a="http://schemas.openxmlformats.org/drawingml/2006/main">
                        <a:graphicData uri="http://schemas.microsoft.com/office/word/2010/wordprocessingShape">
                          <wps:wsp>
                            <wps:cNvSpPr txBox="1"/>
                            <wps:spPr>
                              <a:xfrm>
                                <a:off x="0" y="0"/>
                                <a:ext cx="98425" cy="90424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1.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PTAC Operating Centers II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0">
                      <wp:simplePos x="0" y="0"/>
                      <wp:positionH relativeFrom="character">
                        <wp:align>left</wp:align>
                      </wp:positionH>
                      <wp:positionV relativeFrom="line">
                        <wp:posOffset>635</wp:posOffset>
                      </wp:positionV>
                      <wp:extent cx="69215" cy="217170"/>
                      <wp:effectExtent l="0" t="0" r="0" b="0"/>
                      <wp:wrapNone/>
                      <wp:docPr id="1139" name="Frame113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1">
                      <wp:simplePos x="0" y="0"/>
                      <wp:positionH relativeFrom="character">
                        <wp:align>left</wp:align>
                      </wp:positionH>
                      <wp:positionV relativeFrom="line">
                        <wp:posOffset>635</wp:posOffset>
                      </wp:positionV>
                      <wp:extent cx="98425" cy="1047115"/>
                      <wp:effectExtent l="0" t="0" r="0" b="0"/>
                      <wp:wrapNone/>
                      <wp:docPr id="1140" name="Frame1140"/>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PTW,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2">
                      <wp:simplePos x="0" y="0"/>
                      <wp:positionH relativeFrom="character">
                        <wp:align>left</wp:align>
                      </wp:positionH>
                      <wp:positionV relativeFrom="line">
                        <wp:posOffset>635</wp:posOffset>
                      </wp:positionV>
                      <wp:extent cx="69215" cy="217170"/>
                      <wp:effectExtent l="0" t="0" r="0" b="0"/>
                      <wp:wrapNone/>
                      <wp:docPr id="1141" name="Frame114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3">
                      <wp:simplePos x="0" y="0"/>
                      <wp:positionH relativeFrom="character">
                        <wp:align>left</wp:align>
                      </wp:positionH>
                      <wp:positionV relativeFrom="line">
                        <wp:posOffset>635</wp:posOffset>
                      </wp:positionV>
                      <wp:extent cx="98425" cy="1475740"/>
                      <wp:effectExtent l="0" t="0" r="0" b="0"/>
                      <wp:wrapNone/>
                      <wp:docPr id="1142" name="Frame1142"/>
                      <a:graphic xmlns:a="http://schemas.openxmlformats.org/drawingml/2006/main">
                        <a:graphicData uri="http://schemas.microsoft.com/office/word/2010/wordprocessingShape">
                          <wps:wsp>
                            <wps:cNvSpPr txBox="1"/>
                            <wps:spPr>
                              <a:xfrm>
                                <a:off x="0" y="0"/>
                                <a:ext cx="98425" cy="147574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Washington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16.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Washington</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Precision Franchising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4">
                      <wp:simplePos x="0" y="0"/>
                      <wp:positionH relativeFrom="character">
                        <wp:align>left</wp:align>
                      </wp:positionH>
                      <wp:positionV relativeFrom="line">
                        <wp:posOffset>635</wp:posOffset>
                      </wp:positionV>
                      <wp:extent cx="69215" cy="217170"/>
                      <wp:effectExtent l="0" t="0" r="0" b="0"/>
                      <wp:wrapNone/>
                      <wp:docPr id="1143" name="Frame114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5">
                      <wp:simplePos x="0" y="0"/>
                      <wp:positionH relativeFrom="character">
                        <wp:align>left</wp:align>
                      </wp:positionH>
                      <wp:positionV relativeFrom="line">
                        <wp:posOffset>635</wp:posOffset>
                      </wp:positionV>
                      <wp:extent cx="98425" cy="904240"/>
                      <wp:effectExtent l="0" t="0" r="0" b="0"/>
                      <wp:wrapNone/>
                      <wp:docPr id="1144" name="Frame1144"/>
                      <a:graphic xmlns:a="http://schemas.openxmlformats.org/drawingml/2006/main">
                        <a:graphicData uri="http://schemas.microsoft.com/office/word/2010/wordprocessingShape">
                          <wps:wsp>
                            <wps:cNvSpPr txBox="1"/>
                            <wps:spPr>
                              <a:xfrm>
                                <a:off x="0" y="0"/>
                                <a:ext cx="98425" cy="90424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1.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Virginia</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PT Auto Care Canada,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6">
                      <wp:simplePos x="0" y="0"/>
                      <wp:positionH relativeFrom="character">
                        <wp:align>left</wp:align>
                      </wp:positionH>
                      <wp:positionV relativeFrom="line">
                        <wp:posOffset>635</wp:posOffset>
                      </wp:positionV>
                      <wp:extent cx="69215" cy="217170"/>
                      <wp:effectExtent l="0" t="0" r="0" b="0"/>
                      <wp:wrapNone/>
                      <wp:docPr id="1145" name="Frame114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7">
                      <wp:simplePos x="0" y="0"/>
                      <wp:positionH relativeFrom="character">
                        <wp:align>left</wp:align>
                      </wp:positionH>
                      <wp:positionV relativeFrom="line">
                        <wp:posOffset>635</wp:posOffset>
                      </wp:positionV>
                      <wp:extent cx="98425" cy="2761615"/>
                      <wp:effectExtent l="0" t="0" r="0" b="0"/>
                      <wp:wrapNone/>
                      <wp:docPr id="1146" name="Frame1146"/>
                      <a:graphic xmlns:a="http://schemas.openxmlformats.org/drawingml/2006/main">
                        <a:graphicData uri="http://schemas.microsoft.com/office/word/2010/wordprocessingShape">
                          <wps:wsp>
                            <wps:cNvSpPr txBox="1"/>
                            <wps:spPr>
                              <a:xfrm>
                                <a:off x="0" y="0"/>
                                <a:ext cx="98425" cy="27616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British Columbia, Canada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17.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British Columbia, Canada</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ACC-U-TUNE</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8">
                      <wp:simplePos x="0" y="0"/>
                      <wp:positionH relativeFrom="character">
                        <wp:align>left</wp:align>
                      </wp:positionH>
                      <wp:positionV relativeFrom="line">
                        <wp:posOffset>635</wp:posOffset>
                      </wp:positionV>
                      <wp:extent cx="69215" cy="217170"/>
                      <wp:effectExtent l="0" t="0" r="0" b="0"/>
                      <wp:wrapNone/>
                      <wp:docPr id="1147" name="Frame114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9">
                      <wp:simplePos x="0" y="0"/>
                      <wp:positionH relativeFrom="character">
                        <wp:align>left</wp:align>
                      </wp:positionH>
                      <wp:positionV relativeFrom="line">
                        <wp:posOffset>635</wp:posOffset>
                      </wp:positionV>
                      <wp:extent cx="98425" cy="1047115"/>
                      <wp:effectExtent l="0" t="0" r="0" b="0"/>
                      <wp:wrapNone/>
                      <wp:docPr id="1148" name="Frame1148"/>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California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California</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National 60 Minute Tune,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0">
                      <wp:simplePos x="0" y="0"/>
                      <wp:positionH relativeFrom="character">
                        <wp:align>left</wp:align>
                      </wp:positionH>
                      <wp:positionV relativeFrom="line">
                        <wp:posOffset>635</wp:posOffset>
                      </wp:positionV>
                      <wp:extent cx="69215" cy="217170"/>
                      <wp:effectExtent l="0" t="0" r="0" b="0"/>
                      <wp:wrapNone/>
                      <wp:docPr id="1149" name="Frame114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1">
                      <wp:simplePos x="0" y="0"/>
                      <wp:positionH relativeFrom="character">
                        <wp:align>left</wp:align>
                      </wp:positionH>
                      <wp:positionV relativeFrom="line">
                        <wp:posOffset>635</wp:posOffset>
                      </wp:positionV>
                      <wp:extent cx="98425" cy="1475740"/>
                      <wp:effectExtent l="0" t="0" r="0" b="0"/>
                      <wp:wrapNone/>
                      <wp:docPr id="1150" name="Frame1150"/>
                      <a:graphic xmlns:a="http://schemas.openxmlformats.org/drawingml/2006/main">
                        <a:graphicData uri="http://schemas.microsoft.com/office/word/2010/wordprocessingShape">
                          <wps:wsp>
                            <wps:cNvSpPr txBox="1"/>
                            <wps:spPr>
                              <a:xfrm>
                                <a:off x="0" y="0"/>
                                <a:ext cx="98425" cy="147574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Washington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16.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Washington</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Miracle Industries,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2">
                      <wp:simplePos x="0" y="0"/>
                      <wp:positionH relativeFrom="character">
                        <wp:align>left</wp:align>
                      </wp:positionH>
                      <wp:positionV relativeFrom="line">
                        <wp:posOffset>635</wp:posOffset>
                      </wp:positionV>
                      <wp:extent cx="69215" cy="217170"/>
                      <wp:effectExtent l="0" t="0" r="0" b="0"/>
                      <wp:wrapNone/>
                      <wp:docPr id="1151" name="Frame115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3">
                      <wp:simplePos x="0" y="0"/>
                      <wp:positionH relativeFrom="character">
                        <wp:align>left</wp:align>
                      </wp:positionH>
                      <wp:positionV relativeFrom="line">
                        <wp:posOffset>635</wp:posOffset>
                      </wp:positionV>
                      <wp:extent cx="98425" cy="618490"/>
                      <wp:effectExtent l="0" t="0" r="0" b="0"/>
                      <wp:wrapNone/>
                      <wp:docPr id="1152" name="Frame1152"/>
                      <a:graphic xmlns:a="http://schemas.openxmlformats.org/drawingml/2006/main">
                        <a:graphicData uri="http://schemas.microsoft.com/office/word/2010/wordprocessingShape">
                          <wps:wsp>
                            <wps:cNvSpPr txBox="1"/>
                            <wps:spPr>
                              <a:xfrm>
                                <a:off x="0" y="0"/>
                                <a:ext cx="98425" cy="61849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Ohio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48.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Ohio</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PAC Mexican Delaware Holding Company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4">
                      <wp:simplePos x="0" y="0"/>
                      <wp:positionH relativeFrom="character">
                        <wp:align>left</wp:align>
                      </wp:positionH>
                      <wp:positionV relativeFrom="line">
                        <wp:posOffset>635</wp:posOffset>
                      </wp:positionV>
                      <wp:extent cx="69215" cy="217170"/>
                      <wp:effectExtent l="0" t="0" r="0" b="0"/>
                      <wp:wrapNone/>
                      <wp:docPr id="1153" name="Frame115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5">
                      <wp:simplePos x="0" y="0"/>
                      <wp:positionH relativeFrom="character">
                        <wp:align>left</wp:align>
                      </wp:positionH>
                      <wp:positionV relativeFrom="line">
                        <wp:posOffset>635</wp:posOffset>
                      </wp:positionV>
                      <wp:extent cx="98425" cy="1047115"/>
                      <wp:effectExtent l="0" t="0" r="0" b="0"/>
                      <wp:wrapNone/>
                      <wp:docPr id="1154" name="Frame1154"/>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Precision Auto Care Mexico II, S. de R.l.</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6">
                      <wp:simplePos x="0" y="0"/>
                      <wp:positionH relativeFrom="character">
                        <wp:align>left</wp:align>
                      </wp:positionH>
                      <wp:positionV relativeFrom="line">
                        <wp:posOffset>635</wp:posOffset>
                      </wp:positionV>
                      <wp:extent cx="69215" cy="217170"/>
                      <wp:effectExtent l="0" t="0" r="0" b="0"/>
                      <wp:wrapNone/>
                      <wp:docPr id="1155" name="Frame115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7">
                      <wp:simplePos x="0" y="0"/>
                      <wp:positionH relativeFrom="character">
                        <wp:align>left</wp:align>
                      </wp:positionH>
                      <wp:positionV relativeFrom="line">
                        <wp:posOffset>635</wp:posOffset>
                      </wp:positionV>
                      <wp:extent cx="98425" cy="761365"/>
                      <wp:effectExtent l="0" t="0" r="0" b="0"/>
                      <wp:wrapNone/>
                      <wp:docPr id="1156" name="Frame1156"/>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Precision Auto Care Mexico I, S. de R.l.</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8">
                      <wp:simplePos x="0" y="0"/>
                      <wp:positionH relativeFrom="character">
                        <wp:align>left</wp:align>
                      </wp:positionH>
                      <wp:positionV relativeFrom="line">
                        <wp:posOffset>635</wp:posOffset>
                      </wp:positionV>
                      <wp:extent cx="69215" cy="217170"/>
                      <wp:effectExtent l="0" t="0" r="0" b="0"/>
                      <wp:wrapNone/>
                      <wp:docPr id="1157" name="Frame115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9">
                      <wp:simplePos x="0" y="0"/>
                      <wp:positionH relativeFrom="character">
                        <wp:align>left</wp:align>
                      </wp:positionH>
                      <wp:positionV relativeFrom="line">
                        <wp:posOffset>635</wp:posOffset>
                      </wp:positionV>
                      <wp:extent cx="98425" cy="761365"/>
                      <wp:effectExtent l="0" t="0" r="0" b="0"/>
                      <wp:wrapNone/>
                      <wp:docPr id="1158" name="Frame1158"/>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Promotora de Franquicas Praxis, S.A. de C.V.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0">
                      <wp:simplePos x="0" y="0"/>
                      <wp:positionH relativeFrom="character">
                        <wp:align>left</wp:align>
                      </wp:positionH>
                      <wp:positionV relativeFrom="line">
                        <wp:posOffset>635</wp:posOffset>
                      </wp:positionV>
                      <wp:extent cx="69215" cy="217170"/>
                      <wp:effectExtent l="0" t="0" r="0" b="0"/>
                      <wp:wrapNone/>
                      <wp:docPr id="1159" name="Frame115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1">
                      <wp:simplePos x="0" y="0"/>
                      <wp:positionH relativeFrom="character">
                        <wp:align>left</wp:align>
                      </wp:positionH>
                      <wp:positionV relativeFrom="line">
                        <wp:posOffset>635</wp:posOffset>
                      </wp:positionV>
                      <wp:extent cx="98425" cy="761365"/>
                      <wp:effectExtent l="0" t="0" r="0" b="0"/>
                      <wp:wrapNone/>
                      <wp:docPr id="1160" name="Frame1160"/>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Praxis Afinaciones de Puerto Rico,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2">
                      <wp:simplePos x="0" y="0"/>
                      <wp:positionH relativeFrom="character">
                        <wp:align>left</wp:align>
                      </wp:positionH>
                      <wp:positionV relativeFrom="line">
                        <wp:posOffset>635</wp:posOffset>
                      </wp:positionV>
                      <wp:extent cx="69215" cy="217170"/>
                      <wp:effectExtent l="0" t="0" r="0" b="0"/>
                      <wp:wrapNone/>
                      <wp:docPr id="1161" name="Frame116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3">
                      <wp:simplePos x="0" y="0"/>
                      <wp:positionH relativeFrom="character">
                        <wp:align>left</wp:align>
                      </wp:positionH>
                      <wp:positionV relativeFrom="line">
                        <wp:posOffset>635</wp:posOffset>
                      </wp:positionV>
                      <wp:extent cx="98425" cy="1189990"/>
                      <wp:effectExtent l="0" t="0" r="0" b="0"/>
                      <wp:wrapNone/>
                      <wp:docPr id="1162" name="Frame1162"/>
                      <a:graphic xmlns:a="http://schemas.openxmlformats.org/drawingml/2006/main">
                        <a:graphicData uri="http://schemas.microsoft.com/office/word/2010/wordprocessingShape">
                          <wps:wsp>
                            <wps:cNvSpPr txBox="1"/>
                            <wps:spPr>
                              <a:xfrm>
                                <a:off x="0" y="0"/>
                                <a:ext cx="98425" cy="118999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Puerto Rico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93.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Puerto Rico</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Sixar Afinaciones Puerto Rico,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4">
                      <wp:simplePos x="0" y="0"/>
                      <wp:positionH relativeFrom="character">
                        <wp:align>left</wp:align>
                      </wp:positionH>
                      <wp:positionV relativeFrom="line">
                        <wp:posOffset>635</wp:posOffset>
                      </wp:positionV>
                      <wp:extent cx="69215" cy="217170"/>
                      <wp:effectExtent l="0" t="0" r="0" b="0"/>
                      <wp:wrapNone/>
                      <wp:docPr id="1163" name="Frame116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5">
                      <wp:simplePos x="0" y="0"/>
                      <wp:positionH relativeFrom="character">
                        <wp:align>left</wp:align>
                      </wp:positionH>
                      <wp:positionV relativeFrom="line">
                        <wp:posOffset>635</wp:posOffset>
                      </wp:positionV>
                      <wp:extent cx="98425" cy="1189990"/>
                      <wp:effectExtent l="0" t="0" r="0" b="0"/>
                      <wp:wrapNone/>
                      <wp:docPr id="1164" name="Frame1164"/>
                      <a:graphic xmlns:a="http://schemas.openxmlformats.org/drawingml/2006/main">
                        <a:graphicData uri="http://schemas.microsoft.com/office/word/2010/wordprocessingShape">
                          <wps:wsp>
                            <wps:cNvSpPr txBox="1"/>
                            <wps:spPr>
                              <a:xfrm>
                                <a:off x="0" y="0"/>
                                <a:ext cx="98425" cy="118999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Puerto Rico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93.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Puerto Rico</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Praxis Autopartes S.A. de C.V.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6">
                      <wp:simplePos x="0" y="0"/>
                      <wp:positionH relativeFrom="character">
                        <wp:align>left</wp:align>
                      </wp:positionH>
                      <wp:positionV relativeFrom="line">
                        <wp:posOffset>635</wp:posOffset>
                      </wp:positionV>
                      <wp:extent cx="69215" cy="217170"/>
                      <wp:effectExtent l="0" t="0" r="0" b="0"/>
                      <wp:wrapNone/>
                      <wp:docPr id="1165" name="Frame116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7">
                      <wp:simplePos x="0" y="0"/>
                      <wp:positionH relativeFrom="character">
                        <wp:align>left</wp:align>
                      </wp:positionH>
                      <wp:positionV relativeFrom="line">
                        <wp:posOffset>635</wp:posOffset>
                      </wp:positionV>
                      <wp:extent cx="98425" cy="761365"/>
                      <wp:effectExtent l="0" t="0" r="0" b="0"/>
                      <wp:wrapNone/>
                      <wp:docPr id="1166" name="Frame1166"/>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Praxis Afinaciones S.A. de C.V.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8">
                      <wp:simplePos x="0" y="0"/>
                      <wp:positionH relativeFrom="character">
                        <wp:align>left</wp:align>
                      </wp:positionH>
                      <wp:positionV relativeFrom="line">
                        <wp:posOffset>635</wp:posOffset>
                      </wp:positionV>
                      <wp:extent cx="69215" cy="217170"/>
                      <wp:effectExtent l="0" t="0" r="0" b="0"/>
                      <wp:wrapNone/>
                      <wp:docPr id="1167" name="Frame116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9">
                      <wp:simplePos x="0" y="0"/>
                      <wp:positionH relativeFrom="character">
                        <wp:align>left</wp:align>
                      </wp:positionH>
                      <wp:positionV relativeFrom="line">
                        <wp:posOffset>635</wp:posOffset>
                      </wp:positionV>
                      <wp:extent cx="98425" cy="761365"/>
                      <wp:effectExtent l="0" t="0" r="0" b="0"/>
                      <wp:wrapNone/>
                      <wp:docPr id="1168" name="Frame1168"/>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Premier Accessories S.A. de C.V.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0">
                      <wp:simplePos x="0" y="0"/>
                      <wp:positionH relativeFrom="character">
                        <wp:align>left</wp:align>
                      </wp:positionH>
                      <wp:positionV relativeFrom="line">
                        <wp:posOffset>635</wp:posOffset>
                      </wp:positionV>
                      <wp:extent cx="69215" cy="217170"/>
                      <wp:effectExtent l="0" t="0" r="0" b="0"/>
                      <wp:wrapNone/>
                      <wp:docPr id="1169" name="Frame116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1">
                      <wp:simplePos x="0" y="0"/>
                      <wp:positionH relativeFrom="character">
                        <wp:align>left</wp:align>
                      </wp:positionH>
                      <wp:positionV relativeFrom="line">
                        <wp:posOffset>635</wp:posOffset>
                      </wp:positionV>
                      <wp:extent cx="98425" cy="761365"/>
                      <wp:effectExtent l="0" t="0" r="0" b="0"/>
                      <wp:wrapNone/>
                      <wp:docPr id="1170" name="Frame1170"/>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Sixar Afinaciones S.A. de C.V.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2">
                      <wp:simplePos x="0" y="0"/>
                      <wp:positionH relativeFrom="character">
                        <wp:align>left</wp:align>
                      </wp:positionH>
                      <wp:positionV relativeFrom="line">
                        <wp:posOffset>635</wp:posOffset>
                      </wp:positionV>
                      <wp:extent cx="69215" cy="217170"/>
                      <wp:effectExtent l="0" t="0" r="0" b="0"/>
                      <wp:wrapNone/>
                      <wp:docPr id="1171" name="Frame117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3">
                      <wp:simplePos x="0" y="0"/>
                      <wp:positionH relativeFrom="character">
                        <wp:align>left</wp:align>
                      </wp:positionH>
                      <wp:positionV relativeFrom="line">
                        <wp:posOffset>635</wp:posOffset>
                      </wp:positionV>
                      <wp:extent cx="98425" cy="761365"/>
                      <wp:effectExtent l="0" t="0" r="0" b="0"/>
                      <wp:wrapNone/>
                      <wp:docPr id="1172" name="Frame1172"/>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Sixar Guadalajara S.A. de C.V.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4">
                      <wp:simplePos x="0" y="0"/>
                      <wp:positionH relativeFrom="character">
                        <wp:align>left</wp:align>
                      </wp:positionH>
                      <wp:positionV relativeFrom="line">
                        <wp:posOffset>635</wp:posOffset>
                      </wp:positionV>
                      <wp:extent cx="69215" cy="217170"/>
                      <wp:effectExtent l="0" t="0" r="0" b="0"/>
                      <wp:wrapNone/>
                      <wp:docPr id="1173" name="Frame117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5">
                      <wp:simplePos x="0" y="0"/>
                      <wp:positionH relativeFrom="character">
                        <wp:align>left</wp:align>
                      </wp:positionH>
                      <wp:positionV relativeFrom="line">
                        <wp:posOffset>635</wp:posOffset>
                      </wp:positionV>
                      <wp:extent cx="98425" cy="761365"/>
                      <wp:effectExtent l="0" t="0" r="0" b="0"/>
                      <wp:wrapNone/>
                      <wp:docPr id="1174" name="Frame1174"/>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Sixar Occidente, S.A.</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6">
                      <wp:simplePos x="0" y="0"/>
                      <wp:positionH relativeFrom="character">
                        <wp:align>left</wp:align>
                      </wp:positionH>
                      <wp:positionV relativeFrom="line">
                        <wp:posOffset>635</wp:posOffset>
                      </wp:positionV>
                      <wp:extent cx="69215" cy="217170"/>
                      <wp:effectExtent l="0" t="0" r="0" b="0"/>
                      <wp:wrapNone/>
                      <wp:docPr id="1175" name="Frame117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7">
                      <wp:simplePos x="0" y="0"/>
                      <wp:positionH relativeFrom="character">
                        <wp:align>left</wp:align>
                      </wp:positionH>
                      <wp:positionV relativeFrom="line">
                        <wp:posOffset>635</wp:posOffset>
                      </wp:positionV>
                      <wp:extent cx="98425" cy="761365"/>
                      <wp:effectExtent l="0" t="0" r="0" b="0"/>
                      <wp:wrapNone/>
                      <wp:docPr id="1176" name="Frame1176"/>
                      <a:graphic xmlns:a="http://schemas.openxmlformats.org/drawingml/2006/main">
                        <a:graphicData uri="http://schemas.microsoft.com/office/word/2010/wordprocessingShape">
                          <wps:wsp>
                            <wps:cNvSpPr txBox="1"/>
                            <wps:spPr>
                              <a:xfrm>
                                <a:off x="0" y="0"/>
                                <a:ext cx="98425" cy="7613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Miracle Partners,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8">
                      <wp:simplePos x="0" y="0"/>
                      <wp:positionH relativeFrom="character">
                        <wp:align>left</wp:align>
                      </wp:positionH>
                      <wp:positionV relativeFrom="line">
                        <wp:posOffset>635</wp:posOffset>
                      </wp:positionV>
                      <wp:extent cx="69215" cy="217170"/>
                      <wp:effectExtent l="0" t="0" r="0" b="0"/>
                      <wp:wrapNone/>
                      <wp:docPr id="1177" name="Frame117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9">
                      <wp:simplePos x="0" y="0"/>
                      <wp:positionH relativeFrom="character">
                        <wp:align>left</wp:align>
                      </wp:positionH>
                      <wp:positionV relativeFrom="line">
                        <wp:posOffset>635</wp:posOffset>
                      </wp:positionV>
                      <wp:extent cx="98425" cy="1047115"/>
                      <wp:effectExtent l="0" t="0" r="0" b="0"/>
                      <wp:wrapNone/>
                      <wp:docPr id="1178" name="Frame1178"/>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Precision Building Solutions,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0">
                      <wp:simplePos x="0" y="0"/>
                      <wp:positionH relativeFrom="character">
                        <wp:align>left</wp:align>
                      </wp:positionH>
                      <wp:positionV relativeFrom="line">
                        <wp:posOffset>635</wp:posOffset>
                      </wp:positionV>
                      <wp:extent cx="69215" cy="217170"/>
                      <wp:effectExtent l="0" t="0" r="0" b="0"/>
                      <wp:wrapNone/>
                      <wp:docPr id="1179" name="Frame117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1">
                      <wp:simplePos x="0" y="0"/>
                      <wp:positionH relativeFrom="character">
                        <wp:align>left</wp:align>
                      </wp:positionH>
                      <wp:positionV relativeFrom="line">
                        <wp:posOffset>635</wp:posOffset>
                      </wp:positionV>
                      <wp:extent cx="98425" cy="1047115"/>
                      <wp:effectExtent l="0" t="0" r="0" b="0"/>
                      <wp:wrapNone/>
                      <wp:docPr id="1180" name="Frame1180"/>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IEH Auto Parts Holding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2">
                      <wp:simplePos x="0" y="0"/>
                      <wp:positionH relativeFrom="character">
                        <wp:align>left</wp:align>
                      </wp:positionH>
                      <wp:positionV relativeFrom="line">
                        <wp:posOffset>635</wp:posOffset>
                      </wp:positionV>
                      <wp:extent cx="69215" cy="217170"/>
                      <wp:effectExtent l="0" t="0" r="0" b="0"/>
                      <wp:wrapNone/>
                      <wp:docPr id="1181" name="Frame118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3">
                      <wp:simplePos x="0" y="0"/>
                      <wp:positionH relativeFrom="character">
                        <wp:align>left</wp:align>
                      </wp:positionH>
                      <wp:positionV relativeFrom="line">
                        <wp:posOffset>635</wp:posOffset>
                      </wp:positionV>
                      <wp:extent cx="98425" cy="1047115"/>
                      <wp:effectExtent l="0" t="0" r="0" b="0"/>
                      <wp:wrapNone/>
                      <wp:docPr id="1182" name="Frame1182"/>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IEH BA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4">
                      <wp:simplePos x="0" y="0"/>
                      <wp:positionH relativeFrom="character">
                        <wp:align>left</wp:align>
                      </wp:positionH>
                      <wp:positionV relativeFrom="line">
                        <wp:posOffset>635</wp:posOffset>
                      </wp:positionV>
                      <wp:extent cx="69215" cy="217170"/>
                      <wp:effectExtent l="0" t="0" r="0" b="0"/>
                      <wp:wrapNone/>
                      <wp:docPr id="1183" name="Frame118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5">
                      <wp:simplePos x="0" y="0"/>
                      <wp:positionH relativeFrom="character">
                        <wp:align>left</wp:align>
                      </wp:positionH>
                      <wp:positionV relativeFrom="line">
                        <wp:posOffset>635</wp:posOffset>
                      </wp:positionV>
                      <wp:extent cx="98425" cy="1047115"/>
                      <wp:effectExtent l="0" t="0" r="0" b="0"/>
                      <wp:wrapNone/>
                      <wp:docPr id="1184" name="Frame1184"/>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IEH AIM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6">
                      <wp:simplePos x="0" y="0"/>
                      <wp:positionH relativeFrom="character">
                        <wp:align>left</wp:align>
                      </wp:positionH>
                      <wp:positionV relativeFrom="line">
                        <wp:posOffset>635</wp:posOffset>
                      </wp:positionV>
                      <wp:extent cx="69215" cy="217170"/>
                      <wp:effectExtent l="0" t="0" r="0" b="0"/>
                      <wp:wrapNone/>
                      <wp:docPr id="1185" name="Frame118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7">
                      <wp:simplePos x="0" y="0"/>
                      <wp:positionH relativeFrom="character">
                        <wp:align>left</wp:align>
                      </wp:positionH>
                      <wp:positionV relativeFrom="line">
                        <wp:posOffset>635</wp:posOffset>
                      </wp:positionV>
                      <wp:extent cx="98425" cy="1047115"/>
                      <wp:effectExtent l="0" t="0" r="0" b="0"/>
                      <wp:wrapNone/>
                      <wp:docPr id="1186" name="Frame1186"/>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Icahn Automotive Service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8">
                      <wp:simplePos x="0" y="0"/>
                      <wp:positionH relativeFrom="character">
                        <wp:align>left</wp:align>
                      </wp:positionH>
                      <wp:positionV relativeFrom="line">
                        <wp:posOffset>635</wp:posOffset>
                      </wp:positionV>
                      <wp:extent cx="69215" cy="217170"/>
                      <wp:effectExtent l="0" t="0" r="0" b="0"/>
                      <wp:wrapNone/>
                      <wp:docPr id="1187" name="Frame118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9">
                      <wp:simplePos x="0" y="0"/>
                      <wp:positionH relativeFrom="character">
                        <wp:align>left</wp:align>
                      </wp:positionH>
                      <wp:positionV relativeFrom="line">
                        <wp:posOffset>635</wp:posOffset>
                      </wp:positionV>
                      <wp:extent cx="98425" cy="1047115"/>
                      <wp:effectExtent l="0" t="0" r="0" b="0"/>
                      <wp:wrapNone/>
                      <wp:docPr id="1188" name="Frame1188"/>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Icahn Automotive Service Partners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0">
                      <wp:simplePos x="0" y="0"/>
                      <wp:positionH relativeFrom="character">
                        <wp:align>left</wp:align>
                      </wp:positionH>
                      <wp:positionV relativeFrom="line">
                        <wp:posOffset>635</wp:posOffset>
                      </wp:positionV>
                      <wp:extent cx="69215" cy="217170"/>
                      <wp:effectExtent l="0" t="0" r="0" b="0"/>
                      <wp:wrapNone/>
                      <wp:docPr id="1189" name="Frame118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1">
                      <wp:simplePos x="0" y="0"/>
                      <wp:positionH relativeFrom="character">
                        <wp:align>left</wp:align>
                      </wp:positionH>
                      <wp:positionV relativeFrom="line">
                        <wp:posOffset>635</wp:posOffset>
                      </wp:positionV>
                      <wp:extent cx="98425" cy="1047115"/>
                      <wp:effectExtent l="0" t="0" r="0" b="0"/>
                      <wp:wrapNone/>
                      <wp:docPr id="1190" name="Frame1190"/>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IEH Auto Parts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2">
                      <wp:simplePos x="0" y="0"/>
                      <wp:positionH relativeFrom="character">
                        <wp:align>left</wp:align>
                      </wp:positionH>
                      <wp:positionV relativeFrom="line">
                        <wp:posOffset>635</wp:posOffset>
                      </wp:positionV>
                      <wp:extent cx="69215" cy="217170"/>
                      <wp:effectExtent l="0" t="0" r="0" b="0"/>
                      <wp:wrapNone/>
                      <wp:docPr id="1191" name="Frame119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3">
                      <wp:simplePos x="0" y="0"/>
                      <wp:positionH relativeFrom="character">
                        <wp:align>left</wp:align>
                      </wp:positionH>
                      <wp:positionV relativeFrom="line">
                        <wp:posOffset>635</wp:posOffset>
                      </wp:positionV>
                      <wp:extent cx="98425" cy="943610"/>
                      <wp:effectExtent l="0" t="0" r="0" b="0"/>
                      <wp:wrapNone/>
                      <wp:docPr id="1192" name="Frame1192"/>
                      <a:graphic xmlns:a="http://schemas.openxmlformats.org/drawingml/2006/main">
                        <a:graphicData uri="http://schemas.microsoft.com/office/word/2010/wordprocessingShape">
                          <wps:wsp>
                            <wps:cNvSpPr txBox="1"/>
                            <wps:spPr>
                              <a:xfrm>
                                <a:off x="0" y="0"/>
                                <a:ext cx="98425" cy="94361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4.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AP Acquisition Company Clark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4">
                      <wp:simplePos x="0" y="0"/>
                      <wp:positionH relativeFrom="character">
                        <wp:align>left</wp:align>
                      </wp:positionH>
                      <wp:positionV relativeFrom="line">
                        <wp:posOffset>635</wp:posOffset>
                      </wp:positionV>
                      <wp:extent cx="69215" cy="217170"/>
                      <wp:effectExtent l="0" t="0" r="0" b="0"/>
                      <wp:wrapNone/>
                      <wp:docPr id="1193" name="Frame119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5">
                      <wp:simplePos x="0" y="0"/>
                      <wp:positionH relativeFrom="character">
                        <wp:align>left</wp:align>
                      </wp:positionH>
                      <wp:positionV relativeFrom="line">
                        <wp:posOffset>635</wp:posOffset>
                      </wp:positionV>
                      <wp:extent cx="98425" cy="734695"/>
                      <wp:effectExtent l="0" t="0" r="0" b="0"/>
                      <wp:wrapNone/>
                      <wp:docPr id="1194" name="Frame1194"/>
                      <a:graphic xmlns:a="http://schemas.openxmlformats.org/drawingml/2006/main">
                        <a:graphicData uri="http://schemas.microsoft.com/office/word/2010/wordprocessingShape">
                          <wps:wsp>
                            <wps:cNvSpPr txBox="1"/>
                            <wps:spPr>
                              <a:xfrm>
                                <a:off x="0" y="0"/>
                                <a:ext cx="98425" cy="73469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7.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AP Acquisition Company Gordon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6">
                      <wp:simplePos x="0" y="0"/>
                      <wp:positionH relativeFrom="character">
                        <wp:align>left</wp:align>
                      </wp:positionH>
                      <wp:positionV relativeFrom="line">
                        <wp:posOffset>635</wp:posOffset>
                      </wp:positionV>
                      <wp:extent cx="69215" cy="217170"/>
                      <wp:effectExtent l="0" t="0" r="0" b="0"/>
                      <wp:wrapNone/>
                      <wp:docPr id="1195" name="Frame119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7">
                      <wp:simplePos x="0" y="0"/>
                      <wp:positionH relativeFrom="character">
                        <wp:align>left</wp:align>
                      </wp:positionH>
                      <wp:positionV relativeFrom="line">
                        <wp:posOffset>635</wp:posOffset>
                      </wp:positionV>
                      <wp:extent cx="98425" cy="525780"/>
                      <wp:effectExtent l="0" t="0" r="0" b="0"/>
                      <wp:wrapNone/>
                      <wp:docPr id="1196" name="Frame1196"/>
                      <a:graphic xmlns:a="http://schemas.openxmlformats.org/drawingml/2006/main">
                        <a:graphicData uri="http://schemas.microsoft.com/office/word/2010/wordprocessingShape">
                          <wps:wsp>
                            <wps:cNvSpPr txBox="1"/>
                            <wps:spPr>
                              <a:xfrm>
                                <a:off x="0" y="0"/>
                                <a:ext cx="98425" cy="525780"/>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AP Acquisition Company Missouri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8">
                      <wp:simplePos x="0" y="0"/>
                      <wp:positionH relativeFrom="character">
                        <wp:align>left</wp:align>
                      </wp:positionH>
                      <wp:positionV relativeFrom="line">
                        <wp:posOffset>635</wp:posOffset>
                      </wp:positionV>
                      <wp:extent cx="69215" cy="217170"/>
                      <wp:effectExtent l="0" t="0" r="0" b="0"/>
                      <wp:wrapNone/>
                      <wp:docPr id="1197" name="Frame119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9">
                      <wp:simplePos x="0" y="0"/>
                      <wp:positionH relativeFrom="character">
                        <wp:align>left</wp:align>
                      </wp:positionH>
                      <wp:positionV relativeFrom="line">
                        <wp:posOffset>635</wp:posOffset>
                      </wp:positionV>
                      <wp:extent cx="98425" cy="316865"/>
                      <wp:effectExtent l="0" t="0" r="0" b="0"/>
                      <wp:wrapNone/>
                      <wp:docPr id="1198" name="Frame1198"/>
                      <a:graphic xmlns:a="http://schemas.openxmlformats.org/drawingml/2006/main">
                        <a:graphicData uri="http://schemas.microsoft.com/office/word/2010/wordprocessingShape">
                          <wps:wsp>
                            <wps:cNvSpPr txBox="1"/>
                            <wps:spPr>
                              <a:xfrm>
                                <a:off x="0" y="0"/>
                                <a:ext cx="98425" cy="3168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AP Acquisition Company Washington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0">
                      <wp:simplePos x="0" y="0"/>
                      <wp:positionH relativeFrom="character">
                        <wp:align>left</wp:align>
                      </wp:positionH>
                      <wp:positionV relativeFrom="line">
                        <wp:posOffset>635</wp:posOffset>
                      </wp:positionV>
                      <wp:extent cx="69215" cy="217170"/>
                      <wp:effectExtent l="0" t="0" r="0" b="0"/>
                      <wp:wrapNone/>
                      <wp:docPr id="1199" name="Frame119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1">
                      <wp:simplePos x="0" y="0"/>
                      <wp:positionH relativeFrom="character">
                        <wp:align>left</wp:align>
                      </wp:positionH>
                      <wp:positionV relativeFrom="line">
                        <wp:posOffset>635</wp:posOffset>
                      </wp:positionV>
                      <wp:extent cx="98425" cy="1047115"/>
                      <wp:effectExtent l="0" t="0" r="0" b="0"/>
                      <wp:wrapNone/>
                      <wp:docPr id="1200" name="Frame1200"/>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AP Acquisition Company Massachusetts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2">
                      <wp:simplePos x="0" y="0"/>
                      <wp:positionH relativeFrom="character">
                        <wp:align>left</wp:align>
                      </wp:positionH>
                      <wp:positionV relativeFrom="line">
                        <wp:posOffset>635</wp:posOffset>
                      </wp:positionV>
                      <wp:extent cx="69215" cy="217170"/>
                      <wp:effectExtent l="0" t="0" r="0" b="0"/>
                      <wp:wrapNone/>
                      <wp:docPr id="1201" name="Frame120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3">
                      <wp:simplePos x="0" y="0"/>
                      <wp:positionH relativeFrom="character">
                        <wp:align>left</wp:align>
                      </wp:positionH>
                      <wp:positionV relativeFrom="line">
                        <wp:posOffset>635</wp:posOffset>
                      </wp:positionV>
                      <wp:extent cx="98425" cy="1047115"/>
                      <wp:effectExtent l="0" t="0" r="0" b="0"/>
                      <wp:wrapNone/>
                      <wp:docPr id="1202" name="Frame1202"/>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AP Acquisition Company New York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4">
                      <wp:simplePos x="0" y="0"/>
                      <wp:positionH relativeFrom="character">
                        <wp:align>left</wp:align>
                      </wp:positionH>
                      <wp:positionV relativeFrom="line">
                        <wp:posOffset>635</wp:posOffset>
                      </wp:positionV>
                      <wp:extent cx="69215" cy="217170"/>
                      <wp:effectExtent l="0" t="0" r="0" b="0"/>
                      <wp:wrapNone/>
                      <wp:docPr id="1203" name="Frame120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5">
                      <wp:simplePos x="0" y="0"/>
                      <wp:positionH relativeFrom="character">
                        <wp:align>left</wp:align>
                      </wp:positionH>
                      <wp:positionV relativeFrom="line">
                        <wp:posOffset>635</wp:posOffset>
                      </wp:positionV>
                      <wp:extent cx="98425" cy="1047115"/>
                      <wp:effectExtent l="0" t="0" r="0" b="0"/>
                      <wp:wrapNone/>
                      <wp:docPr id="1204" name="Frame1204"/>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AP Acquisition Company North Carolina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6">
                      <wp:simplePos x="0" y="0"/>
                      <wp:positionH relativeFrom="character">
                        <wp:align>left</wp:align>
                      </wp:positionH>
                      <wp:positionV relativeFrom="line">
                        <wp:posOffset>635</wp:posOffset>
                      </wp:positionV>
                      <wp:extent cx="69215" cy="217170"/>
                      <wp:effectExtent l="0" t="0" r="0" b="0"/>
                      <wp:wrapNone/>
                      <wp:docPr id="1205" name="Frame120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7">
                      <wp:simplePos x="0" y="0"/>
                      <wp:positionH relativeFrom="character">
                        <wp:align>left</wp:align>
                      </wp:positionH>
                      <wp:positionV relativeFrom="line">
                        <wp:posOffset>635</wp:posOffset>
                      </wp:positionV>
                      <wp:extent cx="98425" cy="1047115"/>
                      <wp:effectExtent l="0" t="0" r="0" b="0"/>
                      <wp:wrapNone/>
                      <wp:docPr id="1206" name="Frame1206"/>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AAMCO Transmissions,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8">
                      <wp:simplePos x="0" y="0"/>
                      <wp:positionH relativeFrom="character">
                        <wp:align>left</wp:align>
                      </wp:positionH>
                      <wp:positionV relativeFrom="line">
                        <wp:posOffset>635</wp:posOffset>
                      </wp:positionV>
                      <wp:extent cx="69215" cy="217170"/>
                      <wp:effectExtent l="0" t="0" r="0" b="0"/>
                      <wp:wrapNone/>
                      <wp:docPr id="1207" name="Frame120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9">
                      <wp:simplePos x="0" y="0"/>
                      <wp:positionH relativeFrom="character">
                        <wp:align>left</wp:align>
                      </wp:positionH>
                      <wp:positionV relativeFrom="line">
                        <wp:posOffset>635</wp:posOffset>
                      </wp:positionV>
                      <wp:extent cx="98425" cy="1618615"/>
                      <wp:effectExtent l="0" t="0" r="0" b="0"/>
                      <wp:wrapNone/>
                      <wp:docPr id="1208" name="Frame1208"/>
                      <a:graphic xmlns:a="http://schemas.openxmlformats.org/drawingml/2006/main">
                        <a:graphicData uri="http://schemas.microsoft.com/office/word/2010/wordprocessingShape">
                          <wps:wsp>
                            <wps:cNvSpPr txBox="1"/>
                            <wps:spPr>
                              <a:xfrm>
                                <a:off x="0" y="0"/>
                                <a:ext cx="98425" cy="16186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Pennsylvania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27.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Pennsylvania</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AAMCO Canada,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0">
                      <wp:simplePos x="0" y="0"/>
                      <wp:positionH relativeFrom="character">
                        <wp:align>left</wp:align>
                      </wp:positionH>
                      <wp:positionV relativeFrom="line">
                        <wp:posOffset>635</wp:posOffset>
                      </wp:positionV>
                      <wp:extent cx="69215" cy="217170"/>
                      <wp:effectExtent l="0" t="0" r="0" b="0"/>
                      <wp:wrapNone/>
                      <wp:docPr id="1209" name="Frame120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1">
                      <wp:simplePos x="0" y="0"/>
                      <wp:positionH relativeFrom="character">
                        <wp:align>left</wp:align>
                      </wp:positionH>
                      <wp:positionV relativeFrom="line">
                        <wp:posOffset>635</wp:posOffset>
                      </wp:positionV>
                      <wp:extent cx="98425" cy="2475865"/>
                      <wp:effectExtent l="0" t="0" r="0" b="0"/>
                      <wp:wrapNone/>
                      <wp:docPr id="1210" name="Frame1210"/>
                      <a:graphic xmlns:a="http://schemas.openxmlformats.org/drawingml/2006/main">
                        <a:graphicData uri="http://schemas.microsoft.com/office/word/2010/wordprocessingShape">
                          <wps:wsp>
                            <wps:cNvSpPr txBox="1"/>
                            <wps:spPr>
                              <a:xfrm>
                                <a:off x="0" y="0"/>
                                <a:ext cx="98425" cy="247586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New Brunswick, Canada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94.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New Brunswick, Canada</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American Driveline Technical Services,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2">
                      <wp:simplePos x="0" y="0"/>
                      <wp:positionH relativeFrom="character">
                        <wp:align>left</wp:align>
                      </wp:positionH>
                      <wp:positionV relativeFrom="line">
                        <wp:posOffset>635</wp:posOffset>
                      </wp:positionV>
                      <wp:extent cx="69215" cy="217170"/>
                      <wp:effectExtent l="0" t="0" r="0" b="0"/>
                      <wp:wrapNone/>
                      <wp:docPr id="1211" name="Frame121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3">
                      <wp:simplePos x="0" y="0"/>
                      <wp:positionH relativeFrom="character">
                        <wp:align>left</wp:align>
                      </wp:positionH>
                      <wp:positionV relativeFrom="line">
                        <wp:posOffset>635</wp:posOffset>
                      </wp:positionV>
                      <wp:extent cx="98425" cy="1618615"/>
                      <wp:effectExtent l="0" t="0" r="0" b="0"/>
                      <wp:wrapNone/>
                      <wp:docPr id="1212" name="Frame1212"/>
                      <a:graphic xmlns:a="http://schemas.openxmlformats.org/drawingml/2006/main">
                        <a:graphicData uri="http://schemas.microsoft.com/office/word/2010/wordprocessingShape">
                          <wps:wsp>
                            <wps:cNvSpPr txBox="1"/>
                            <wps:spPr>
                              <a:xfrm>
                                <a:off x="0" y="0"/>
                                <a:ext cx="98425" cy="16186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Pennsylvania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27.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Pennsylvania</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American Driveline Centers,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4">
                      <wp:simplePos x="0" y="0"/>
                      <wp:positionH relativeFrom="character">
                        <wp:align>left</wp:align>
                      </wp:positionH>
                      <wp:positionV relativeFrom="line">
                        <wp:posOffset>635</wp:posOffset>
                      </wp:positionV>
                      <wp:extent cx="69215" cy="217170"/>
                      <wp:effectExtent l="0" t="0" r="0" b="0"/>
                      <wp:wrapNone/>
                      <wp:docPr id="1213" name="Frame121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5">
                      <wp:simplePos x="0" y="0"/>
                      <wp:positionH relativeFrom="character">
                        <wp:align>left</wp:align>
                      </wp:positionH>
                      <wp:positionV relativeFrom="line">
                        <wp:posOffset>635</wp:posOffset>
                      </wp:positionV>
                      <wp:extent cx="98425" cy="1618615"/>
                      <wp:effectExtent l="0" t="0" r="0" b="0"/>
                      <wp:wrapNone/>
                      <wp:docPr id="1214" name="Frame1214"/>
                      <a:graphic xmlns:a="http://schemas.openxmlformats.org/drawingml/2006/main">
                        <a:graphicData uri="http://schemas.microsoft.com/office/word/2010/wordprocessingShape">
                          <wps:wsp>
                            <wps:cNvSpPr txBox="1"/>
                            <wps:spPr>
                              <a:xfrm>
                                <a:off x="0" y="0"/>
                                <a:ext cx="98425" cy="16186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Pennsylvania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27.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Pennsylvania</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Cottman Transmission Systems,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6">
                      <wp:simplePos x="0" y="0"/>
                      <wp:positionH relativeFrom="character">
                        <wp:align>left</wp:align>
                      </wp:positionH>
                      <wp:positionV relativeFrom="line">
                        <wp:posOffset>635</wp:posOffset>
                      </wp:positionV>
                      <wp:extent cx="69215" cy="217170"/>
                      <wp:effectExtent l="0" t="0" r="0" b="0"/>
                      <wp:wrapNone/>
                      <wp:docPr id="1215" name="Frame121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7">
                      <wp:simplePos x="0" y="0"/>
                      <wp:positionH relativeFrom="character">
                        <wp:align>left</wp:align>
                      </wp:positionH>
                      <wp:positionV relativeFrom="line">
                        <wp:posOffset>635</wp:posOffset>
                      </wp:positionV>
                      <wp:extent cx="98425" cy="1047115"/>
                      <wp:effectExtent l="0" t="0" r="0" b="0"/>
                      <wp:wrapNone/>
                      <wp:docPr id="1216" name="Frame1216"/>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Ross Advertising,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8">
                      <wp:simplePos x="0" y="0"/>
                      <wp:positionH relativeFrom="character">
                        <wp:align>left</wp:align>
                      </wp:positionH>
                      <wp:positionV relativeFrom="line">
                        <wp:posOffset>635</wp:posOffset>
                      </wp:positionV>
                      <wp:extent cx="69215" cy="217170"/>
                      <wp:effectExtent l="0" t="0" r="0" b="0"/>
                      <wp:wrapNone/>
                      <wp:docPr id="1217" name="Frame121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9">
                      <wp:simplePos x="0" y="0"/>
                      <wp:positionH relativeFrom="character">
                        <wp:align>left</wp:align>
                      </wp:positionH>
                      <wp:positionV relativeFrom="line">
                        <wp:posOffset>635</wp:posOffset>
                      </wp:positionV>
                      <wp:extent cx="98425" cy="1618615"/>
                      <wp:effectExtent l="0" t="0" r="0" b="0"/>
                      <wp:wrapNone/>
                      <wp:docPr id="1218" name="Frame1218"/>
                      <a:graphic xmlns:a="http://schemas.openxmlformats.org/drawingml/2006/main">
                        <a:graphicData uri="http://schemas.microsoft.com/office/word/2010/wordprocessingShape">
                          <wps:wsp>
                            <wps:cNvSpPr txBox="1"/>
                            <wps:spPr>
                              <a:xfrm>
                                <a:off x="0" y="0"/>
                                <a:ext cx="98425" cy="16186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Pennsylvania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27.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Pennsylvania</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AAMCO Retail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0">
                      <wp:simplePos x="0" y="0"/>
                      <wp:positionH relativeFrom="character">
                        <wp:align>left</wp:align>
                      </wp:positionH>
                      <wp:positionV relativeFrom="line">
                        <wp:posOffset>635</wp:posOffset>
                      </wp:positionV>
                      <wp:extent cx="69215" cy="217170"/>
                      <wp:effectExtent l="0" t="0" r="0" b="0"/>
                      <wp:wrapNone/>
                      <wp:docPr id="1219" name="Frame121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1">
                      <wp:simplePos x="0" y="0"/>
                      <wp:positionH relativeFrom="character">
                        <wp:align>left</wp:align>
                      </wp:positionH>
                      <wp:positionV relativeFrom="line">
                        <wp:posOffset>635</wp:posOffset>
                      </wp:positionV>
                      <wp:extent cx="98425" cy="1047115"/>
                      <wp:effectExtent l="0" t="0" r="0" b="0"/>
                      <wp:wrapNone/>
                      <wp:docPr id="1220" name="Frame1220"/>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AAMCO Northeast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2">
                      <wp:simplePos x="0" y="0"/>
                      <wp:positionH relativeFrom="character">
                        <wp:align>left</wp:align>
                      </wp:positionH>
                      <wp:positionV relativeFrom="line">
                        <wp:posOffset>635</wp:posOffset>
                      </wp:positionV>
                      <wp:extent cx="69215" cy="217170"/>
                      <wp:effectExtent l="0" t="0" r="0" b="0"/>
                      <wp:wrapNone/>
                      <wp:docPr id="1221" name="Frame122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3">
                      <wp:simplePos x="0" y="0"/>
                      <wp:positionH relativeFrom="character">
                        <wp:align>left</wp:align>
                      </wp:positionH>
                      <wp:positionV relativeFrom="line">
                        <wp:posOffset>635</wp:posOffset>
                      </wp:positionV>
                      <wp:extent cx="98425" cy="1047115"/>
                      <wp:effectExtent l="0" t="0" r="0" b="0"/>
                      <wp:wrapNone/>
                      <wp:docPr id="1222" name="Frame1222"/>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AAMCO Northwest LLC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4">
                      <wp:simplePos x="0" y="0"/>
                      <wp:positionH relativeFrom="character">
                        <wp:align>left</wp:align>
                      </wp:positionH>
                      <wp:positionV relativeFrom="line">
                        <wp:posOffset>635</wp:posOffset>
                      </wp:positionV>
                      <wp:extent cx="69215" cy="217170"/>
                      <wp:effectExtent l="0" t="0" r="0" b="0"/>
                      <wp:wrapNone/>
                      <wp:docPr id="1223" name="Frame1223"/>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5">
                      <wp:simplePos x="0" y="0"/>
                      <wp:positionH relativeFrom="character">
                        <wp:align>left</wp:align>
                      </wp:positionH>
                      <wp:positionV relativeFrom="line">
                        <wp:posOffset>635</wp:posOffset>
                      </wp:positionV>
                      <wp:extent cx="98425" cy="1047115"/>
                      <wp:effectExtent l="0" t="0" r="0" b="0"/>
                      <wp:wrapNone/>
                      <wp:docPr id="1224" name="Frame1224"/>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AAMCO Southeast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6">
                      <wp:simplePos x="0" y="0"/>
                      <wp:positionH relativeFrom="character">
                        <wp:align>left</wp:align>
                      </wp:positionH>
                      <wp:positionV relativeFrom="line">
                        <wp:posOffset>635</wp:posOffset>
                      </wp:positionV>
                      <wp:extent cx="69215" cy="217170"/>
                      <wp:effectExtent l="0" t="0" r="0" b="0"/>
                      <wp:wrapNone/>
                      <wp:docPr id="1225" name="Frame1225"/>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7">
                      <wp:simplePos x="0" y="0"/>
                      <wp:positionH relativeFrom="character">
                        <wp:align>left</wp:align>
                      </wp:positionH>
                      <wp:positionV relativeFrom="line">
                        <wp:posOffset>635</wp:posOffset>
                      </wp:positionV>
                      <wp:extent cx="98425" cy="1047115"/>
                      <wp:effectExtent l="0" t="0" r="0" b="0"/>
                      <wp:wrapNone/>
                      <wp:docPr id="1226" name="Frame1226"/>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396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AAMCO Southwest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8">
                      <wp:simplePos x="0" y="0"/>
                      <wp:positionH relativeFrom="character">
                        <wp:align>left</wp:align>
                      </wp:positionH>
                      <wp:positionV relativeFrom="line">
                        <wp:posOffset>635</wp:posOffset>
                      </wp:positionV>
                      <wp:extent cx="69215" cy="217170"/>
                      <wp:effectExtent l="0" t="0" r="0" b="0"/>
                      <wp:wrapNone/>
                      <wp:docPr id="1227" name="Frame1227"/>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229">
                      <wp:simplePos x="0" y="0"/>
                      <wp:positionH relativeFrom="character">
                        <wp:align>left</wp:align>
                      </wp:positionH>
                      <wp:positionV relativeFrom="line">
                        <wp:posOffset>635</wp:posOffset>
                      </wp:positionV>
                      <wp:extent cx="98425" cy="1047115"/>
                      <wp:effectExtent l="0" t="0" r="0" b="0"/>
                      <wp:wrapNone/>
                      <wp:docPr id="1228" name="Frame1228"/>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bl>
    <w:p>
      <w:pPr>
        <w:pStyle w:val="TextBody"/>
        <w:bidi w:val="0"/>
        <w:spacing w:lineRule="auto" w:line="29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434" w:type="dxa"/>
        <w:jc w:val="center"/>
        <w:tblInd w:w="0" w:type="dxa"/>
        <w:tblLayout w:type="fixed"/>
        <w:tblCellMar>
          <w:top w:w="0" w:type="dxa"/>
          <w:left w:w="0" w:type="dxa"/>
          <w:bottom w:w="0" w:type="dxa"/>
          <w:right w:w="0" w:type="dxa"/>
        </w:tblCellMar>
      </w:tblPr>
      <w:tblGrid>
        <w:gridCol w:w="4171"/>
        <w:gridCol w:w="109"/>
        <w:gridCol w:w="154"/>
      </w:tblGrid>
      <w:tr>
        <w:trPr/>
        <w:tc>
          <w:tcPr>
            <w:tcW w:w="417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Transom ADS Holdings Corp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0">
                      <wp:simplePos x="0" y="0"/>
                      <wp:positionH relativeFrom="character">
                        <wp:align>left</wp:align>
                      </wp:positionH>
                      <wp:positionV relativeFrom="line">
                        <wp:posOffset>635</wp:posOffset>
                      </wp:positionV>
                      <wp:extent cx="69215" cy="217170"/>
                      <wp:effectExtent l="0" t="0" r="0" b="0"/>
                      <wp:wrapNone/>
                      <wp:docPr id="1229" name="Frame1229"/>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1">
                      <wp:simplePos x="0" y="0"/>
                      <wp:positionH relativeFrom="character">
                        <wp:align>left</wp:align>
                      </wp:positionH>
                      <wp:positionV relativeFrom="line">
                        <wp:posOffset>635</wp:posOffset>
                      </wp:positionV>
                      <wp:extent cx="98425" cy="1047115"/>
                      <wp:effectExtent l="0" t="0" r="0" b="0"/>
                      <wp:wrapNone/>
                      <wp:docPr id="1230" name="Frame1230"/>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2" w:before="75" w:after="30"/>
              <w:ind w:left="0" w:right="0" w:hanging="0"/>
              <w:jc w:val="left"/>
              <w:rPr>
                <w:rFonts w:ascii="Times New Roman;Times;serif" w:hAnsi="Times New Roman;Times;serif"/>
                <w:sz w:val="20"/>
              </w:rPr>
            </w:pPr>
            <w:r>
              <w:rPr>
                <w:rFonts w:ascii="Times New Roman;Times;serif" w:hAnsi="Times New Roman;Times;serif"/>
                <w:sz w:val="20"/>
              </w:rPr>
              <w:t xml:space="preserve">American Driveline Systems, Inc.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2">
                      <wp:simplePos x="0" y="0"/>
                      <wp:positionH relativeFrom="character">
                        <wp:align>left</wp:align>
                      </wp:positionH>
                      <wp:positionV relativeFrom="line">
                        <wp:posOffset>635</wp:posOffset>
                      </wp:positionV>
                      <wp:extent cx="69215" cy="217170"/>
                      <wp:effectExtent l="0" t="0" r="0" b="0"/>
                      <wp:wrapNone/>
                      <wp:docPr id="1231" name="Frame1231"/>
                      <a:graphic xmlns:a="http://schemas.openxmlformats.org/drawingml/2006/main">
                        <a:graphicData uri="http://schemas.microsoft.com/office/word/2010/wordprocessingShape">
                          <wps:wsp>
                            <wps:cNvSpPr txBox="1"/>
                            <wps:spPr>
                              <a:xfrm>
                                <a:off x="0" y="0"/>
                                <a:ext cx="69215" cy="217170"/>
                              </a:xfrm>
                              <a:prstGeom prst="rect"/>
                              <a:solidFill>
                                <a:srgbClr val="FFFFFF"/>
                              </a:solidFill>
                            </wps:spPr>
                            <wps:txbx>
                              <w:txbxContent>
                                <w:p>
                                  <w:pPr>
                                    <w:pStyle w:val="TableContents"/>
                                    <w:bidi w:val="0"/>
                                    <w:spacing w:lineRule="auto" w:line="232"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3">
                      <wp:simplePos x="0" y="0"/>
                      <wp:positionH relativeFrom="character">
                        <wp:align>left</wp:align>
                      </wp:positionH>
                      <wp:positionV relativeFrom="line">
                        <wp:posOffset>635</wp:posOffset>
                      </wp:positionV>
                      <wp:extent cx="98425" cy="1047115"/>
                      <wp:effectExtent l="0" t="0" r="0" b="0"/>
                      <wp:wrapNone/>
                      <wp:docPr id="1232" name="Frame1232"/>
                      <a:graphic xmlns:a="http://schemas.openxmlformats.org/drawingml/2006/main">
                        <a:graphicData uri="http://schemas.microsoft.com/office/word/2010/wordprocessingShape">
                          <wps:wsp>
                            <wps:cNvSpPr txBox="1"/>
                            <wps:spPr>
                              <a:xfrm>
                                <a:off x="0" y="0"/>
                                <a:ext cx="98425" cy="1047115"/>
                              </a:xfrm>
                              <a:prstGeom prst="rect"/>
                              <a:solidFill>
                                <a:srgbClr val="FFFFFF"/>
                              </a:solidFill>
                            </wps:spPr>
                            <wps:txb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2"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Energy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4">
                      <wp:simplePos x="0" y="0"/>
                      <wp:positionH relativeFrom="character">
                        <wp:align>left</wp:align>
                      </wp:positionH>
                      <wp:positionV relativeFrom="line">
                        <wp:posOffset>635</wp:posOffset>
                      </wp:positionV>
                      <wp:extent cx="69215" cy="220980"/>
                      <wp:effectExtent l="0" t="0" r="0" b="0"/>
                      <wp:wrapNone/>
                      <wp:docPr id="1233" name="Frame123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5">
                      <wp:simplePos x="0" y="0"/>
                      <wp:positionH relativeFrom="character">
                        <wp:align>left</wp:align>
                      </wp:positionH>
                      <wp:positionV relativeFrom="line">
                        <wp:posOffset>635</wp:posOffset>
                      </wp:positionV>
                      <wp:extent cx="98425" cy="1064895"/>
                      <wp:effectExtent l="0" t="0" r="0" b="0"/>
                      <wp:wrapNone/>
                      <wp:docPr id="1234" name="Frame1234"/>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 xml:space="preserve">CVR Energy Holdings, Inc. </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6">
                      <wp:simplePos x="0" y="0"/>
                      <wp:positionH relativeFrom="character">
                        <wp:align>left</wp:align>
                      </wp:positionH>
                      <wp:positionV relativeFrom="line">
                        <wp:posOffset>635</wp:posOffset>
                      </wp:positionV>
                      <wp:extent cx="69215" cy="220980"/>
                      <wp:effectExtent l="0" t="0" r="0" b="0"/>
                      <wp:wrapNone/>
                      <wp:docPr id="1235" name="Frame123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7">
                      <wp:simplePos x="0" y="0"/>
                      <wp:positionH relativeFrom="character">
                        <wp:align>left</wp:align>
                      </wp:positionH>
                      <wp:positionV relativeFrom="line">
                        <wp:posOffset>635</wp:posOffset>
                      </wp:positionV>
                      <wp:extent cx="98425" cy="1064895"/>
                      <wp:effectExtent l="0" t="0" r="0" b="0"/>
                      <wp:wrapNone/>
                      <wp:docPr id="1236" name="Frame1236"/>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Services,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8">
                      <wp:simplePos x="0" y="0"/>
                      <wp:positionH relativeFrom="character">
                        <wp:align>left</wp:align>
                      </wp:positionH>
                      <wp:positionV relativeFrom="line">
                        <wp:posOffset>635</wp:posOffset>
                      </wp:positionV>
                      <wp:extent cx="69215" cy="220980"/>
                      <wp:effectExtent l="0" t="0" r="0" b="0"/>
                      <wp:wrapNone/>
                      <wp:docPr id="1237" name="Frame123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9">
                      <wp:simplePos x="0" y="0"/>
                      <wp:positionH relativeFrom="character">
                        <wp:align>left</wp:align>
                      </wp:positionH>
                      <wp:positionV relativeFrom="line">
                        <wp:posOffset>635</wp:posOffset>
                      </wp:positionV>
                      <wp:extent cx="98425" cy="1064895"/>
                      <wp:effectExtent l="0" t="0" r="0" b="0"/>
                      <wp:wrapNone/>
                      <wp:docPr id="1238" name="Frame1238"/>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Coffeyville Resources Crude Transportation,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0">
                      <wp:simplePos x="0" y="0"/>
                      <wp:positionH relativeFrom="character">
                        <wp:align>left</wp:align>
                      </wp:positionH>
                      <wp:positionV relativeFrom="line">
                        <wp:posOffset>635</wp:posOffset>
                      </wp:positionV>
                      <wp:extent cx="69215" cy="220980"/>
                      <wp:effectExtent l="0" t="0" r="0" b="0"/>
                      <wp:wrapNone/>
                      <wp:docPr id="1239" name="Frame123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1">
                      <wp:simplePos x="0" y="0"/>
                      <wp:positionH relativeFrom="character">
                        <wp:align>left</wp:align>
                      </wp:positionH>
                      <wp:positionV relativeFrom="line">
                        <wp:posOffset>635</wp:posOffset>
                      </wp:positionV>
                      <wp:extent cx="98425" cy="1064895"/>
                      <wp:effectExtent l="0" t="0" r="0" b="0"/>
                      <wp:wrapNone/>
                      <wp:docPr id="1240" name="Frame1240"/>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Coffeyville Resources Nitrogen Fertilizers,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2">
                      <wp:simplePos x="0" y="0"/>
                      <wp:positionH relativeFrom="character">
                        <wp:align>left</wp:align>
                      </wp:positionH>
                      <wp:positionV relativeFrom="line">
                        <wp:posOffset>635</wp:posOffset>
                      </wp:positionV>
                      <wp:extent cx="69215" cy="220980"/>
                      <wp:effectExtent l="0" t="0" r="0" b="0"/>
                      <wp:wrapNone/>
                      <wp:docPr id="1241" name="Frame124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3">
                      <wp:simplePos x="0" y="0"/>
                      <wp:positionH relativeFrom="character">
                        <wp:align>left</wp:align>
                      </wp:positionH>
                      <wp:positionV relativeFrom="line">
                        <wp:posOffset>635</wp:posOffset>
                      </wp:positionV>
                      <wp:extent cx="98425" cy="1064895"/>
                      <wp:effectExtent l="0" t="0" r="0" b="0"/>
                      <wp:wrapNone/>
                      <wp:docPr id="1242" name="Frame1242"/>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Coffeyville Resources Pipeline,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4">
                      <wp:simplePos x="0" y="0"/>
                      <wp:positionH relativeFrom="character">
                        <wp:align>left</wp:align>
                      </wp:positionH>
                      <wp:positionV relativeFrom="line">
                        <wp:posOffset>635</wp:posOffset>
                      </wp:positionV>
                      <wp:extent cx="69215" cy="220980"/>
                      <wp:effectExtent l="0" t="0" r="0" b="0"/>
                      <wp:wrapNone/>
                      <wp:docPr id="1243" name="Frame124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5">
                      <wp:simplePos x="0" y="0"/>
                      <wp:positionH relativeFrom="character">
                        <wp:align>left</wp:align>
                      </wp:positionH>
                      <wp:positionV relativeFrom="line">
                        <wp:posOffset>635</wp:posOffset>
                      </wp:positionV>
                      <wp:extent cx="98425" cy="1064895"/>
                      <wp:effectExtent l="0" t="0" r="0" b="0"/>
                      <wp:wrapNone/>
                      <wp:docPr id="1244" name="Frame1244"/>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Partners,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6">
                      <wp:simplePos x="0" y="0"/>
                      <wp:positionH relativeFrom="character">
                        <wp:align>left</wp:align>
                      </wp:positionH>
                      <wp:positionV relativeFrom="line">
                        <wp:posOffset>635</wp:posOffset>
                      </wp:positionV>
                      <wp:extent cx="69215" cy="220980"/>
                      <wp:effectExtent l="0" t="0" r="0" b="0"/>
                      <wp:wrapNone/>
                      <wp:docPr id="1245" name="Frame124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7">
                      <wp:simplePos x="0" y="0"/>
                      <wp:positionH relativeFrom="character">
                        <wp:align>left</wp:align>
                      </wp:positionH>
                      <wp:positionV relativeFrom="line">
                        <wp:posOffset>635</wp:posOffset>
                      </wp:positionV>
                      <wp:extent cx="98425" cy="1064895"/>
                      <wp:effectExtent l="0" t="0" r="0" b="0"/>
                      <wp:wrapNone/>
                      <wp:docPr id="1246" name="Frame1246"/>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Wynnewood Energy Company,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8">
                      <wp:simplePos x="0" y="0"/>
                      <wp:positionH relativeFrom="character">
                        <wp:align>left</wp:align>
                      </wp:positionH>
                      <wp:positionV relativeFrom="line">
                        <wp:posOffset>635</wp:posOffset>
                      </wp:positionV>
                      <wp:extent cx="69215" cy="220980"/>
                      <wp:effectExtent l="0" t="0" r="0" b="0"/>
                      <wp:wrapNone/>
                      <wp:docPr id="1247" name="Frame124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9">
                      <wp:simplePos x="0" y="0"/>
                      <wp:positionH relativeFrom="character">
                        <wp:align>left</wp:align>
                      </wp:positionH>
                      <wp:positionV relativeFrom="line">
                        <wp:posOffset>635</wp:posOffset>
                      </wp:positionV>
                      <wp:extent cx="98425" cy="1064895"/>
                      <wp:effectExtent l="0" t="0" r="0" b="0"/>
                      <wp:wrapNone/>
                      <wp:docPr id="1248" name="Frame1248"/>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RHC,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0">
                      <wp:simplePos x="0" y="0"/>
                      <wp:positionH relativeFrom="character">
                        <wp:align>left</wp:align>
                      </wp:positionH>
                      <wp:positionV relativeFrom="line">
                        <wp:posOffset>635</wp:posOffset>
                      </wp:positionV>
                      <wp:extent cx="69215" cy="220980"/>
                      <wp:effectExtent l="0" t="0" r="0" b="0"/>
                      <wp:wrapNone/>
                      <wp:docPr id="1249" name="Frame124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1">
                      <wp:simplePos x="0" y="0"/>
                      <wp:positionH relativeFrom="character">
                        <wp:align>left</wp:align>
                      </wp:positionH>
                      <wp:positionV relativeFrom="line">
                        <wp:posOffset>635</wp:posOffset>
                      </wp:positionV>
                      <wp:extent cx="98425" cy="1064895"/>
                      <wp:effectExtent l="0" t="0" r="0" b="0"/>
                      <wp:wrapNone/>
                      <wp:docPr id="1250" name="Frame1250"/>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Refining,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2">
                      <wp:simplePos x="0" y="0"/>
                      <wp:positionH relativeFrom="character">
                        <wp:align>left</wp:align>
                      </wp:positionH>
                      <wp:positionV relativeFrom="line">
                        <wp:posOffset>635</wp:posOffset>
                      </wp:positionV>
                      <wp:extent cx="69215" cy="220980"/>
                      <wp:effectExtent l="0" t="0" r="0" b="0"/>
                      <wp:wrapNone/>
                      <wp:docPr id="1251" name="Frame125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3">
                      <wp:simplePos x="0" y="0"/>
                      <wp:positionH relativeFrom="character">
                        <wp:align>left</wp:align>
                      </wp:positionH>
                      <wp:positionV relativeFrom="line">
                        <wp:posOffset>635</wp:posOffset>
                      </wp:positionV>
                      <wp:extent cx="98425" cy="1064895"/>
                      <wp:effectExtent l="0" t="0" r="0" b="0"/>
                      <wp:wrapNone/>
                      <wp:docPr id="1252" name="Frame1252"/>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Refining,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4">
                      <wp:simplePos x="0" y="0"/>
                      <wp:positionH relativeFrom="character">
                        <wp:align>left</wp:align>
                      </wp:positionH>
                      <wp:positionV relativeFrom="line">
                        <wp:posOffset>635</wp:posOffset>
                      </wp:positionV>
                      <wp:extent cx="69215" cy="220980"/>
                      <wp:effectExtent l="0" t="0" r="0" b="0"/>
                      <wp:wrapNone/>
                      <wp:docPr id="1253" name="Frame125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5">
                      <wp:simplePos x="0" y="0"/>
                      <wp:positionH relativeFrom="character">
                        <wp:align>left</wp:align>
                      </wp:positionH>
                      <wp:positionV relativeFrom="line">
                        <wp:posOffset>635</wp:posOffset>
                      </wp:positionV>
                      <wp:extent cx="98425" cy="1064895"/>
                      <wp:effectExtent l="0" t="0" r="0" b="0"/>
                      <wp:wrapNone/>
                      <wp:docPr id="1254" name="Frame1254"/>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Nitrogen,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6">
                      <wp:simplePos x="0" y="0"/>
                      <wp:positionH relativeFrom="character">
                        <wp:align>left</wp:align>
                      </wp:positionH>
                      <wp:positionV relativeFrom="line">
                        <wp:posOffset>635</wp:posOffset>
                      </wp:positionV>
                      <wp:extent cx="69215" cy="220980"/>
                      <wp:effectExtent l="0" t="0" r="0" b="0"/>
                      <wp:wrapNone/>
                      <wp:docPr id="1255" name="Frame125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7">
                      <wp:simplePos x="0" y="0"/>
                      <wp:positionH relativeFrom="character">
                        <wp:align>left</wp:align>
                      </wp:positionH>
                      <wp:positionV relativeFrom="line">
                        <wp:posOffset>635</wp:posOffset>
                      </wp:positionV>
                      <wp:extent cx="98425" cy="1064895"/>
                      <wp:effectExtent l="0" t="0" r="0" b="0"/>
                      <wp:wrapNone/>
                      <wp:docPr id="1256" name="Frame1256"/>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Common Assets WYN,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8">
                      <wp:simplePos x="0" y="0"/>
                      <wp:positionH relativeFrom="character">
                        <wp:align>left</wp:align>
                      </wp:positionH>
                      <wp:positionV relativeFrom="line">
                        <wp:posOffset>635</wp:posOffset>
                      </wp:positionV>
                      <wp:extent cx="69215" cy="220980"/>
                      <wp:effectExtent l="0" t="0" r="0" b="0"/>
                      <wp:wrapNone/>
                      <wp:docPr id="1257" name="Frame125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9">
                      <wp:simplePos x="0" y="0"/>
                      <wp:positionH relativeFrom="character">
                        <wp:align>left</wp:align>
                      </wp:positionH>
                      <wp:positionV relativeFrom="line">
                        <wp:posOffset>635</wp:posOffset>
                      </wp:positionV>
                      <wp:extent cx="98425" cy="1064895"/>
                      <wp:effectExtent l="0" t="0" r="0" b="0"/>
                      <wp:wrapNone/>
                      <wp:docPr id="1258" name="Frame1258"/>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Common Assets CVL,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0">
                      <wp:simplePos x="0" y="0"/>
                      <wp:positionH relativeFrom="character">
                        <wp:align>left</wp:align>
                      </wp:positionH>
                      <wp:positionV relativeFrom="line">
                        <wp:posOffset>635</wp:posOffset>
                      </wp:positionV>
                      <wp:extent cx="69215" cy="220980"/>
                      <wp:effectExtent l="0" t="0" r="0" b="0"/>
                      <wp:wrapNone/>
                      <wp:docPr id="1259" name="Frame125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1">
                      <wp:simplePos x="0" y="0"/>
                      <wp:positionH relativeFrom="character">
                        <wp:align>left</wp:align>
                      </wp:positionH>
                      <wp:positionV relativeFrom="line">
                        <wp:posOffset>635</wp:posOffset>
                      </wp:positionV>
                      <wp:extent cx="98425" cy="1064895"/>
                      <wp:effectExtent l="0" t="0" r="0" b="0"/>
                      <wp:wrapNone/>
                      <wp:docPr id="1260" name="Frame1260"/>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Common Services,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2">
                      <wp:simplePos x="0" y="0"/>
                      <wp:positionH relativeFrom="character">
                        <wp:align>left</wp:align>
                      </wp:positionH>
                      <wp:positionV relativeFrom="line">
                        <wp:posOffset>635</wp:posOffset>
                      </wp:positionV>
                      <wp:extent cx="69215" cy="220980"/>
                      <wp:effectExtent l="0" t="0" r="0" b="0"/>
                      <wp:wrapNone/>
                      <wp:docPr id="1261" name="Frame126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3">
                      <wp:simplePos x="0" y="0"/>
                      <wp:positionH relativeFrom="character">
                        <wp:align>left</wp:align>
                      </wp:positionH>
                      <wp:positionV relativeFrom="line">
                        <wp:posOffset>635</wp:posOffset>
                      </wp:positionV>
                      <wp:extent cx="98425" cy="1064895"/>
                      <wp:effectExtent l="0" t="0" r="0" b="0"/>
                      <wp:wrapNone/>
                      <wp:docPr id="1262" name="Frame1262"/>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East Dubuque Nitrogen Fertlizers,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4">
                      <wp:simplePos x="0" y="0"/>
                      <wp:positionH relativeFrom="character">
                        <wp:align>left</wp:align>
                      </wp:positionH>
                      <wp:positionV relativeFrom="line">
                        <wp:posOffset>635</wp:posOffset>
                      </wp:positionV>
                      <wp:extent cx="69215" cy="220980"/>
                      <wp:effectExtent l="0" t="0" r="0" b="0"/>
                      <wp:wrapNone/>
                      <wp:docPr id="1263" name="Frame126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5">
                      <wp:simplePos x="0" y="0"/>
                      <wp:positionH relativeFrom="character">
                        <wp:align>left</wp:align>
                      </wp:positionH>
                      <wp:positionV relativeFrom="line">
                        <wp:posOffset>635</wp:posOffset>
                      </wp:positionV>
                      <wp:extent cx="98425" cy="1064895"/>
                      <wp:effectExtent l="0" t="0" r="0" b="0"/>
                      <wp:wrapNone/>
                      <wp:docPr id="1264" name="Frame1264"/>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Wynnewood Insurance Company</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6">
                      <wp:simplePos x="0" y="0"/>
                      <wp:positionH relativeFrom="character">
                        <wp:align>left</wp:align>
                      </wp:positionH>
                      <wp:positionV relativeFrom="line">
                        <wp:posOffset>635</wp:posOffset>
                      </wp:positionV>
                      <wp:extent cx="69215" cy="220980"/>
                      <wp:effectExtent l="0" t="0" r="0" b="0"/>
                      <wp:wrapNone/>
                      <wp:docPr id="1265" name="Frame126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7">
                      <wp:simplePos x="0" y="0"/>
                      <wp:positionH relativeFrom="character">
                        <wp:align>left</wp:align>
                      </wp:positionH>
                      <wp:positionV relativeFrom="line">
                        <wp:posOffset>635</wp:posOffset>
                      </wp:positionV>
                      <wp:extent cx="98425" cy="1064895"/>
                      <wp:effectExtent l="0" t="0" r="0" b="0"/>
                      <wp:wrapNone/>
                      <wp:docPr id="1266" name="Frame1266"/>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Refining CVL,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8">
                      <wp:simplePos x="0" y="0"/>
                      <wp:positionH relativeFrom="character">
                        <wp:align>left</wp:align>
                      </wp:positionH>
                      <wp:positionV relativeFrom="line">
                        <wp:posOffset>635</wp:posOffset>
                      </wp:positionV>
                      <wp:extent cx="69215" cy="220980"/>
                      <wp:effectExtent l="0" t="0" r="0" b="0"/>
                      <wp:wrapNone/>
                      <wp:docPr id="1267" name="Frame126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9">
                      <wp:simplePos x="0" y="0"/>
                      <wp:positionH relativeFrom="character">
                        <wp:align>left</wp:align>
                      </wp:positionH>
                      <wp:positionV relativeFrom="line">
                        <wp:posOffset>635</wp:posOffset>
                      </wp:positionV>
                      <wp:extent cx="98425" cy="1064895"/>
                      <wp:effectExtent l="0" t="0" r="0" b="0"/>
                      <wp:wrapNone/>
                      <wp:docPr id="1268" name="Frame1268"/>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Refining WYN.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0">
                      <wp:simplePos x="0" y="0"/>
                      <wp:positionH relativeFrom="character">
                        <wp:align>left</wp:align>
                      </wp:positionH>
                      <wp:positionV relativeFrom="line">
                        <wp:posOffset>635</wp:posOffset>
                      </wp:positionV>
                      <wp:extent cx="69215" cy="220980"/>
                      <wp:effectExtent l="0" t="0" r="0" b="0"/>
                      <wp:wrapNone/>
                      <wp:docPr id="1269" name="Frame126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1">
                      <wp:simplePos x="0" y="0"/>
                      <wp:positionH relativeFrom="character">
                        <wp:align>left</wp:align>
                      </wp:positionH>
                      <wp:positionV relativeFrom="line">
                        <wp:posOffset>635</wp:posOffset>
                      </wp:positionV>
                      <wp:extent cx="98425" cy="1064895"/>
                      <wp:effectExtent l="0" t="0" r="0" b="0"/>
                      <wp:wrapNone/>
                      <wp:docPr id="1270" name="Frame1270"/>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Supply &amp; Trading,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2">
                      <wp:simplePos x="0" y="0"/>
                      <wp:positionH relativeFrom="character">
                        <wp:align>left</wp:align>
                      </wp:positionH>
                      <wp:positionV relativeFrom="line">
                        <wp:posOffset>635</wp:posOffset>
                      </wp:positionV>
                      <wp:extent cx="69215" cy="220980"/>
                      <wp:effectExtent l="0" t="0" r="0" b="0"/>
                      <wp:wrapNone/>
                      <wp:docPr id="1271" name="Frame127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3">
                      <wp:simplePos x="0" y="0"/>
                      <wp:positionH relativeFrom="character">
                        <wp:align>left</wp:align>
                      </wp:positionH>
                      <wp:positionV relativeFrom="line">
                        <wp:posOffset>635</wp:posOffset>
                      </wp:positionV>
                      <wp:extent cx="98425" cy="1064895"/>
                      <wp:effectExtent l="0" t="0" r="0" b="0"/>
                      <wp:wrapNone/>
                      <wp:docPr id="1272" name="Frame1272"/>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Renewables WYN,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4">
                      <wp:simplePos x="0" y="0"/>
                      <wp:positionH relativeFrom="character">
                        <wp:align>left</wp:align>
                      </wp:positionH>
                      <wp:positionV relativeFrom="line">
                        <wp:posOffset>635</wp:posOffset>
                      </wp:positionV>
                      <wp:extent cx="69215" cy="220980"/>
                      <wp:effectExtent l="0" t="0" r="0" b="0"/>
                      <wp:wrapNone/>
                      <wp:docPr id="1273" name="Frame127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5">
                      <wp:simplePos x="0" y="0"/>
                      <wp:positionH relativeFrom="character">
                        <wp:align>left</wp:align>
                      </wp:positionH>
                      <wp:positionV relativeFrom="line">
                        <wp:posOffset>635</wp:posOffset>
                      </wp:positionV>
                      <wp:extent cx="98425" cy="1064895"/>
                      <wp:effectExtent l="0" t="0" r="0" b="0"/>
                      <wp:wrapNone/>
                      <wp:docPr id="1274" name="Frame1274"/>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Renewables,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6">
                      <wp:simplePos x="0" y="0"/>
                      <wp:positionH relativeFrom="character">
                        <wp:align>left</wp:align>
                      </wp:positionH>
                      <wp:positionV relativeFrom="line">
                        <wp:posOffset>635</wp:posOffset>
                      </wp:positionV>
                      <wp:extent cx="69215" cy="220980"/>
                      <wp:effectExtent l="0" t="0" r="0" b="0"/>
                      <wp:wrapNone/>
                      <wp:docPr id="1275" name="Frame127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7">
                      <wp:simplePos x="0" y="0"/>
                      <wp:positionH relativeFrom="character">
                        <wp:align>left</wp:align>
                      </wp:positionH>
                      <wp:positionV relativeFrom="line">
                        <wp:posOffset>635</wp:posOffset>
                      </wp:positionV>
                      <wp:extent cx="98425" cy="1064895"/>
                      <wp:effectExtent l="0" t="0" r="0" b="0"/>
                      <wp:wrapNone/>
                      <wp:docPr id="1276" name="Frame1276"/>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CHC,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8">
                      <wp:simplePos x="0" y="0"/>
                      <wp:positionH relativeFrom="character">
                        <wp:align>left</wp:align>
                      </wp:positionH>
                      <wp:positionV relativeFrom="line">
                        <wp:posOffset>635</wp:posOffset>
                      </wp:positionV>
                      <wp:extent cx="69215" cy="220980"/>
                      <wp:effectExtent l="0" t="0" r="0" b="0"/>
                      <wp:wrapNone/>
                      <wp:docPr id="1277" name="Frame127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9">
                      <wp:simplePos x="0" y="0"/>
                      <wp:positionH relativeFrom="character">
                        <wp:align>left</wp:align>
                      </wp:positionH>
                      <wp:positionV relativeFrom="line">
                        <wp:posOffset>635</wp:posOffset>
                      </wp:positionV>
                      <wp:extent cx="98425" cy="1064895"/>
                      <wp:effectExtent l="0" t="0" r="0" b="0"/>
                      <wp:wrapNone/>
                      <wp:docPr id="1278" name="Frame1278"/>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CVR FHC, LP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0">
                      <wp:simplePos x="0" y="0"/>
                      <wp:positionH relativeFrom="character">
                        <wp:align>left</wp:align>
                      </wp:positionH>
                      <wp:positionV relativeFrom="line">
                        <wp:posOffset>635</wp:posOffset>
                      </wp:positionV>
                      <wp:extent cx="69215" cy="220980"/>
                      <wp:effectExtent l="0" t="0" r="0" b="0"/>
                      <wp:wrapNone/>
                      <wp:docPr id="1279" name="Frame127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1">
                      <wp:simplePos x="0" y="0"/>
                      <wp:positionH relativeFrom="character">
                        <wp:align>left</wp:align>
                      </wp:positionH>
                      <wp:positionV relativeFrom="line">
                        <wp:posOffset>635</wp:posOffset>
                      </wp:positionV>
                      <wp:extent cx="98425" cy="883920"/>
                      <wp:effectExtent l="0" t="0" r="0" b="0"/>
                      <wp:wrapNone/>
                      <wp:docPr id="1280" name="Frame1280"/>
                      <a:graphic xmlns:a="http://schemas.openxmlformats.org/drawingml/2006/main">
                        <a:graphicData uri="http://schemas.microsoft.com/office/word/2010/wordprocessingShape">
                          <wps:wsp>
                            <wps:cNvSpPr txBox="1"/>
                            <wps:spPr>
                              <a:xfrm>
                                <a:off x="0" y="0"/>
                                <a:ext cx="98425" cy="88392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6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Companies,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2">
                      <wp:simplePos x="0" y="0"/>
                      <wp:positionH relativeFrom="character">
                        <wp:align>left</wp:align>
                      </wp:positionH>
                      <wp:positionV relativeFrom="line">
                        <wp:posOffset>635</wp:posOffset>
                      </wp:positionV>
                      <wp:extent cx="69215" cy="220980"/>
                      <wp:effectExtent l="0" t="0" r="0" b="0"/>
                      <wp:wrapNone/>
                      <wp:docPr id="1281" name="Frame128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3">
                      <wp:simplePos x="0" y="0"/>
                      <wp:positionH relativeFrom="character">
                        <wp:align>left</wp:align>
                      </wp:positionH>
                      <wp:positionV relativeFrom="line">
                        <wp:posOffset>635</wp:posOffset>
                      </wp:positionV>
                      <wp:extent cx="98425" cy="672465"/>
                      <wp:effectExtent l="0" t="0" r="0" b="0"/>
                      <wp:wrapNone/>
                      <wp:docPr id="1282" name="Frame1282"/>
                      <a:graphic xmlns:a="http://schemas.openxmlformats.org/drawingml/2006/main">
                        <a:graphicData uri="http://schemas.microsoft.com/office/word/2010/wordprocessingShape">
                          <wps:wsp>
                            <wps:cNvSpPr txBox="1"/>
                            <wps:spPr>
                              <a:xfrm>
                                <a:off x="0" y="0"/>
                                <a:ext cx="98425" cy="67246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WSC Corp.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4">
                      <wp:simplePos x="0" y="0"/>
                      <wp:positionH relativeFrom="character">
                        <wp:align>left</wp:align>
                      </wp:positionH>
                      <wp:positionV relativeFrom="line">
                        <wp:posOffset>635</wp:posOffset>
                      </wp:positionV>
                      <wp:extent cx="69215" cy="220980"/>
                      <wp:effectExtent l="0" t="0" r="0" b="0"/>
                      <wp:wrapNone/>
                      <wp:docPr id="1283" name="Frame128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5">
                      <wp:simplePos x="0" y="0"/>
                      <wp:positionH relativeFrom="character">
                        <wp:align>left</wp:align>
                      </wp:positionH>
                      <wp:positionV relativeFrom="line">
                        <wp:posOffset>635</wp:posOffset>
                      </wp:positionV>
                      <wp:extent cx="98425" cy="461010"/>
                      <wp:effectExtent l="0" t="0" r="0" b="0"/>
                      <wp:wrapNone/>
                      <wp:docPr id="1284" name="Frame1284"/>
                      <a:graphic xmlns:a="http://schemas.openxmlformats.org/drawingml/2006/main">
                        <a:graphicData uri="http://schemas.microsoft.com/office/word/2010/wordprocessingShape">
                          <wps:wsp>
                            <wps:cNvSpPr txBox="1"/>
                            <wps:spPr>
                              <a:xfrm>
                                <a:off x="0" y="0"/>
                                <a:ext cx="98425" cy="46101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36.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Films,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6">
                      <wp:simplePos x="0" y="0"/>
                      <wp:positionH relativeFrom="character">
                        <wp:align>left</wp:align>
                      </wp:positionH>
                      <wp:positionV relativeFrom="line">
                        <wp:posOffset>635</wp:posOffset>
                      </wp:positionV>
                      <wp:extent cx="69215" cy="220980"/>
                      <wp:effectExtent l="0" t="0" r="0" b="0"/>
                      <wp:wrapNone/>
                      <wp:docPr id="1285" name="Frame128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7">
                      <wp:simplePos x="0" y="0"/>
                      <wp:positionH relativeFrom="character">
                        <wp:align>left</wp:align>
                      </wp:positionH>
                      <wp:positionV relativeFrom="line">
                        <wp:posOffset>635</wp:posOffset>
                      </wp:positionV>
                      <wp:extent cx="98425" cy="249555"/>
                      <wp:effectExtent l="0" t="0" r="0" b="0"/>
                      <wp:wrapNone/>
                      <wp:docPr id="1286" name="Frame1286"/>
                      <a:graphic xmlns:a="http://schemas.openxmlformats.org/drawingml/2006/main">
                        <a:graphicData uri="http://schemas.microsoft.com/office/word/2010/wordprocessingShape">
                          <wps:wsp>
                            <wps:cNvSpPr txBox="1"/>
                            <wps:spPr>
                              <a:xfrm>
                                <a:off x="0" y="0"/>
                                <a:ext cx="98425" cy="24955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9.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del Norte, S.A. de C.V.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8">
                      <wp:simplePos x="0" y="0"/>
                      <wp:positionH relativeFrom="character">
                        <wp:align>left</wp:align>
                      </wp:positionH>
                      <wp:positionV relativeFrom="line">
                        <wp:posOffset>635</wp:posOffset>
                      </wp:positionV>
                      <wp:extent cx="69215" cy="220980"/>
                      <wp:effectExtent l="0" t="0" r="0" b="0"/>
                      <wp:wrapNone/>
                      <wp:docPr id="1287" name="Frame128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9">
                      <wp:simplePos x="0" y="0"/>
                      <wp:positionH relativeFrom="character">
                        <wp:align>left</wp:align>
                      </wp:positionH>
                      <wp:positionV relativeFrom="line">
                        <wp:posOffset>635</wp:posOffset>
                      </wp:positionV>
                      <wp:extent cx="98425" cy="774065"/>
                      <wp:effectExtent l="0" t="0" r="0" b="0"/>
                      <wp:wrapNone/>
                      <wp:docPr id="1288" name="Frame1288"/>
                      <a:graphic xmlns:a="http://schemas.openxmlformats.org/drawingml/2006/main">
                        <a:graphicData uri="http://schemas.microsoft.com/office/word/2010/wordprocessingShape">
                          <wps:wsp>
                            <wps:cNvSpPr txBox="1"/>
                            <wps:spPr>
                              <a:xfrm>
                                <a:off x="0" y="0"/>
                                <a:ext cx="98425" cy="77406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60.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Servicos Viskase del Norte, S.A. de C.V.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0">
                      <wp:simplePos x="0" y="0"/>
                      <wp:positionH relativeFrom="character">
                        <wp:align>left</wp:align>
                      </wp:positionH>
                      <wp:positionV relativeFrom="line">
                        <wp:posOffset>635</wp:posOffset>
                      </wp:positionV>
                      <wp:extent cx="69215" cy="220980"/>
                      <wp:effectExtent l="0" t="0" r="0" b="0"/>
                      <wp:wrapNone/>
                      <wp:docPr id="1289" name="Frame128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1">
                      <wp:simplePos x="0" y="0"/>
                      <wp:positionH relativeFrom="character">
                        <wp:align>left</wp:align>
                      </wp:positionH>
                      <wp:positionV relativeFrom="line">
                        <wp:posOffset>635</wp:posOffset>
                      </wp:positionV>
                      <wp:extent cx="98425" cy="774065"/>
                      <wp:effectExtent l="0" t="0" r="0" b="0"/>
                      <wp:wrapNone/>
                      <wp:docPr id="1290" name="Frame1290"/>
                      <a:graphic xmlns:a="http://schemas.openxmlformats.org/drawingml/2006/main">
                        <a:graphicData uri="http://schemas.microsoft.com/office/word/2010/wordprocessingShape">
                          <wps:wsp>
                            <wps:cNvSpPr txBox="1"/>
                            <wps:spPr>
                              <a:xfrm>
                                <a:off x="0" y="0"/>
                                <a:ext cx="98425" cy="77406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60.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Mexico</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S.A.S.</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2">
                      <wp:simplePos x="0" y="0"/>
                      <wp:positionH relativeFrom="character">
                        <wp:align>left</wp:align>
                      </wp:positionH>
                      <wp:positionV relativeFrom="line">
                        <wp:posOffset>635</wp:posOffset>
                      </wp:positionV>
                      <wp:extent cx="69215" cy="220980"/>
                      <wp:effectExtent l="0" t="0" r="0" b="0"/>
                      <wp:wrapNone/>
                      <wp:docPr id="1291" name="Frame129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3">
                      <wp:simplePos x="0" y="0"/>
                      <wp:positionH relativeFrom="character">
                        <wp:align>left</wp:align>
                      </wp:positionH>
                      <wp:positionV relativeFrom="line">
                        <wp:posOffset>635</wp:posOffset>
                      </wp:positionV>
                      <wp:extent cx="98425" cy="919480"/>
                      <wp:effectExtent l="0" t="0" r="0" b="0"/>
                      <wp:wrapNone/>
                      <wp:docPr id="1292" name="Frame1292"/>
                      <a:graphic xmlns:a="http://schemas.openxmlformats.org/drawingml/2006/main">
                        <a:graphicData uri="http://schemas.microsoft.com/office/word/2010/wordprocessingShape">
                          <wps:wsp>
                            <wps:cNvSpPr txBox="1"/>
                            <wps:spPr>
                              <a:xfrm>
                                <a:off x="0" y="0"/>
                                <a:ext cx="98425" cy="91948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France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France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SpA</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4">
                      <wp:simplePos x="0" y="0"/>
                      <wp:positionH relativeFrom="character">
                        <wp:align>left</wp:align>
                      </wp:positionH>
                      <wp:positionV relativeFrom="line">
                        <wp:posOffset>635</wp:posOffset>
                      </wp:positionV>
                      <wp:extent cx="69215" cy="220980"/>
                      <wp:effectExtent l="0" t="0" r="0" b="0"/>
                      <wp:wrapNone/>
                      <wp:docPr id="1293" name="Frame129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5">
                      <wp:simplePos x="0" y="0"/>
                      <wp:positionH relativeFrom="character">
                        <wp:align>left</wp:align>
                      </wp:positionH>
                      <wp:positionV relativeFrom="line">
                        <wp:posOffset>635</wp:posOffset>
                      </wp:positionV>
                      <wp:extent cx="98425" cy="483235"/>
                      <wp:effectExtent l="0" t="0" r="0" b="0"/>
                      <wp:wrapNone/>
                      <wp:docPr id="1294" name="Frame1294"/>
                      <a:graphic xmlns:a="http://schemas.openxmlformats.org/drawingml/2006/main">
                        <a:graphicData uri="http://schemas.microsoft.com/office/word/2010/wordprocessingShape">
                          <wps:wsp>
                            <wps:cNvSpPr txBox="1"/>
                            <wps:spPr>
                              <a:xfrm>
                                <a:off x="0" y="0"/>
                                <a:ext cx="98425" cy="48323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Italy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38.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Italy</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Gmbh</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6">
                      <wp:simplePos x="0" y="0"/>
                      <wp:positionH relativeFrom="character">
                        <wp:align>left</wp:align>
                      </wp:positionH>
                      <wp:positionV relativeFrom="line">
                        <wp:posOffset>635</wp:posOffset>
                      </wp:positionV>
                      <wp:extent cx="69215" cy="220980"/>
                      <wp:effectExtent l="0" t="0" r="0" b="0"/>
                      <wp:wrapNone/>
                      <wp:docPr id="1295" name="Frame129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7">
                      <wp:simplePos x="0" y="0"/>
                      <wp:positionH relativeFrom="character">
                        <wp:align>left</wp:align>
                      </wp:positionH>
                      <wp:positionV relativeFrom="line">
                        <wp:posOffset>635</wp:posOffset>
                      </wp:positionV>
                      <wp:extent cx="98425" cy="1064895"/>
                      <wp:effectExtent l="0" t="0" r="0" b="0"/>
                      <wp:wrapNone/>
                      <wp:docPr id="1296" name="Frame1296"/>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Germany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Germany</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Polska SP.ZO.O</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8">
                      <wp:simplePos x="0" y="0"/>
                      <wp:positionH relativeFrom="character">
                        <wp:align>left</wp:align>
                      </wp:positionH>
                      <wp:positionV relativeFrom="line">
                        <wp:posOffset>635</wp:posOffset>
                      </wp:positionV>
                      <wp:extent cx="69215" cy="220980"/>
                      <wp:effectExtent l="0" t="0" r="0" b="0"/>
                      <wp:wrapNone/>
                      <wp:docPr id="1297" name="Frame129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9">
                      <wp:simplePos x="0" y="0"/>
                      <wp:positionH relativeFrom="character">
                        <wp:align>left</wp:align>
                      </wp:positionH>
                      <wp:positionV relativeFrom="line">
                        <wp:posOffset>635</wp:posOffset>
                      </wp:positionV>
                      <wp:extent cx="98425" cy="774065"/>
                      <wp:effectExtent l="0" t="0" r="0" b="0"/>
                      <wp:wrapNone/>
                      <wp:docPr id="1298" name="Frame1298"/>
                      <a:graphic xmlns:a="http://schemas.openxmlformats.org/drawingml/2006/main">
                        <a:graphicData uri="http://schemas.microsoft.com/office/word/2010/wordprocessingShape">
                          <wps:wsp>
                            <wps:cNvSpPr txBox="1"/>
                            <wps:spPr>
                              <a:xfrm>
                                <a:off x="0" y="0"/>
                                <a:ext cx="98425" cy="77406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Poland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60.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Poland</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Spain SL</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0">
                      <wp:simplePos x="0" y="0"/>
                      <wp:positionH relativeFrom="character">
                        <wp:align>left</wp:align>
                      </wp:positionH>
                      <wp:positionV relativeFrom="line">
                        <wp:posOffset>635</wp:posOffset>
                      </wp:positionV>
                      <wp:extent cx="69215" cy="220980"/>
                      <wp:effectExtent l="0" t="0" r="0" b="0"/>
                      <wp:wrapNone/>
                      <wp:docPr id="1299" name="Frame129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1">
                      <wp:simplePos x="0" y="0"/>
                      <wp:positionH relativeFrom="character">
                        <wp:align>left</wp:align>
                      </wp:positionH>
                      <wp:positionV relativeFrom="line">
                        <wp:posOffset>635</wp:posOffset>
                      </wp:positionV>
                      <wp:extent cx="98425" cy="628650"/>
                      <wp:effectExtent l="0" t="0" r="0" b="0"/>
                      <wp:wrapNone/>
                      <wp:docPr id="1300" name="Frame1300"/>
                      <a:graphic xmlns:a="http://schemas.openxmlformats.org/drawingml/2006/main">
                        <a:graphicData uri="http://schemas.microsoft.com/office/word/2010/wordprocessingShape">
                          <wps:wsp>
                            <wps:cNvSpPr txBox="1"/>
                            <wps:spPr>
                              <a:xfrm>
                                <a:off x="0" y="0"/>
                                <a:ext cx="98425" cy="62865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Spain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4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Spain</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Brasil Embalagens Ltda</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2">
                      <wp:simplePos x="0" y="0"/>
                      <wp:positionH relativeFrom="character">
                        <wp:align>left</wp:align>
                      </wp:positionH>
                      <wp:positionV relativeFrom="line">
                        <wp:posOffset>635</wp:posOffset>
                      </wp:positionV>
                      <wp:extent cx="69215" cy="220980"/>
                      <wp:effectExtent l="0" t="0" r="0" b="0"/>
                      <wp:wrapNone/>
                      <wp:docPr id="1301" name="Frame130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3">
                      <wp:simplePos x="0" y="0"/>
                      <wp:positionH relativeFrom="character">
                        <wp:align>left</wp:align>
                      </wp:positionH>
                      <wp:positionV relativeFrom="line">
                        <wp:posOffset>635</wp:posOffset>
                      </wp:positionV>
                      <wp:extent cx="98425" cy="774065"/>
                      <wp:effectExtent l="0" t="0" r="0" b="0"/>
                      <wp:wrapNone/>
                      <wp:docPr id="1302" name="Frame1302"/>
                      <a:graphic xmlns:a="http://schemas.openxmlformats.org/drawingml/2006/main">
                        <a:graphicData uri="http://schemas.microsoft.com/office/word/2010/wordprocessingShape">
                          <wps:wsp>
                            <wps:cNvSpPr txBox="1"/>
                            <wps:spPr>
                              <a:xfrm>
                                <a:off x="0" y="0"/>
                                <a:ext cx="98425" cy="77406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Brazil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60.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Brazil</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Asia Pacific Corp</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4">
                      <wp:simplePos x="0" y="0"/>
                      <wp:positionH relativeFrom="character">
                        <wp:align>left</wp:align>
                      </wp:positionH>
                      <wp:positionV relativeFrom="line">
                        <wp:posOffset>635</wp:posOffset>
                      </wp:positionV>
                      <wp:extent cx="69215" cy="220980"/>
                      <wp:effectExtent l="0" t="0" r="0" b="0"/>
                      <wp:wrapNone/>
                      <wp:docPr id="1303" name="Frame130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5">
                      <wp:simplePos x="0" y="0"/>
                      <wp:positionH relativeFrom="character">
                        <wp:align>left</wp:align>
                      </wp:positionH>
                      <wp:positionV relativeFrom="line">
                        <wp:posOffset>635</wp:posOffset>
                      </wp:positionV>
                      <wp:extent cx="98425" cy="1501140"/>
                      <wp:effectExtent l="0" t="0" r="0" b="0"/>
                      <wp:wrapNone/>
                      <wp:docPr id="1304" name="Frame1304"/>
                      <a:graphic xmlns:a="http://schemas.openxmlformats.org/drawingml/2006/main">
                        <a:graphicData uri="http://schemas.microsoft.com/office/word/2010/wordprocessingShape">
                          <wps:wsp>
                            <wps:cNvSpPr txBox="1"/>
                            <wps:spPr>
                              <a:xfrm>
                                <a:off x="0" y="0"/>
                                <a:ext cx="98425" cy="150114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Philippines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18.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Philippines</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Sales Philippines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6">
                      <wp:simplePos x="0" y="0"/>
                      <wp:positionH relativeFrom="character">
                        <wp:align>left</wp:align>
                      </wp:positionH>
                      <wp:positionV relativeFrom="line">
                        <wp:posOffset>635</wp:posOffset>
                      </wp:positionV>
                      <wp:extent cx="69215" cy="220980"/>
                      <wp:effectExtent l="0" t="0" r="0" b="0"/>
                      <wp:wrapNone/>
                      <wp:docPr id="1305" name="Frame130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7">
                      <wp:simplePos x="0" y="0"/>
                      <wp:positionH relativeFrom="character">
                        <wp:align>left</wp:align>
                      </wp:positionH>
                      <wp:positionV relativeFrom="line">
                        <wp:posOffset>635</wp:posOffset>
                      </wp:positionV>
                      <wp:extent cx="98425" cy="1501140"/>
                      <wp:effectExtent l="0" t="0" r="0" b="0"/>
                      <wp:wrapNone/>
                      <wp:docPr id="1306" name="Frame1306"/>
                      <a:graphic xmlns:a="http://schemas.openxmlformats.org/drawingml/2006/main">
                        <a:graphicData uri="http://schemas.microsoft.com/office/word/2010/wordprocessingShape">
                          <wps:wsp>
                            <wps:cNvSpPr txBox="1"/>
                            <wps:spPr>
                              <a:xfrm>
                                <a:off x="0" y="0"/>
                                <a:ext cx="98425" cy="150114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Philippines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18.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Philippines</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Viskase Holdings,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8">
                      <wp:simplePos x="0" y="0"/>
                      <wp:positionH relativeFrom="character">
                        <wp:align>left</wp:align>
                      </wp:positionH>
                      <wp:positionV relativeFrom="line">
                        <wp:posOffset>635</wp:posOffset>
                      </wp:positionV>
                      <wp:extent cx="69215" cy="220980"/>
                      <wp:effectExtent l="0" t="0" r="0" b="0"/>
                      <wp:wrapNone/>
                      <wp:docPr id="1307" name="Frame130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9">
                      <wp:simplePos x="0" y="0"/>
                      <wp:positionH relativeFrom="character">
                        <wp:align>left</wp:align>
                      </wp:positionH>
                      <wp:positionV relativeFrom="line">
                        <wp:posOffset>635</wp:posOffset>
                      </wp:positionV>
                      <wp:extent cx="98425" cy="1064895"/>
                      <wp:effectExtent l="0" t="0" r="0" b="0"/>
                      <wp:wrapNone/>
                      <wp:docPr id="1308" name="Frame1308"/>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Walsroder Casings GmbH</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0">
                      <wp:simplePos x="0" y="0"/>
                      <wp:positionH relativeFrom="character">
                        <wp:align>left</wp:align>
                      </wp:positionH>
                      <wp:positionV relativeFrom="line">
                        <wp:posOffset>635</wp:posOffset>
                      </wp:positionV>
                      <wp:extent cx="69215" cy="220980"/>
                      <wp:effectExtent l="0" t="0" r="0" b="0"/>
                      <wp:wrapNone/>
                      <wp:docPr id="1309" name="Frame130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1">
                      <wp:simplePos x="0" y="0"/>
                      <wp:positionH relativeFrom="character">
                        <wp:align>left</wp:align>
                      </wp:positionH>
                      <wp:positionV relativeFrom="line">
                        <wp:posOffset>635</wp:posOffset>
                      </wp:positionV>
                      <wp:extent cx="98425" cy="1064895"/>
                      <wp:effectExtent l="0" t="0" r="0" b="0"/>
                      <wp:wrapNone/>
                      <wp:docPr id="1310" name="Frame1310"/>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Germany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Germany</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CT Casings Beteiligungs GmbH</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2">
                      <wp:simplePos x="0" y="0"/>
                      <wp:positionH relativeFrom="character">
                        <wp:align>left</wp:align>
                      </wp:positionH>
                      <wp:positionV relativeFrom="line">
                        <wp:posOffset>635</wp:posOffset>
                      </wp:positionV>
                      <wp:extent cx="69215" cy="220980"/>
                      <wp:effectExtent l="0" t="0" r="0" b="0"/>
                      <wp:wrapNone/>
                      <wp:docPr id="1311" name="Frame131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3">
                      <wp:simplePos x="0" y="0"/>
                      <wp:positionH relativeFrom="character">
                        <wp:align>left</wp:align>
                      </wp:positionH>
                      <wp:positionV relativeFrom="line">
                        <wp:posOffset>635</wp:posOffset>
                      </wp:positionV>
                      <wp:extent cx="98425" cy="1064895"/>
                      <wp:effectExtent l="0" t="0" r="0" b="0"/>
                      <wp:wrapNone/>
                      <wp:docPr id="1312" name="Frame1312"/>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Germany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Germany</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4">
                      <wp:simplePos x="0" y="0"/>
                      <wp:positionH relativeFrom="character">
                        <wp:align>left</wp:align>
                      </wp:positionH>
                      <wp:positionV relativeFrom="line">
                        <wp:posOffset>635</wp:posOffset>
                      </wp:positionV>
                      <wp:extent cx="69215" cy="220980"/>
                      <wp:effectExtent l="0" t="0" r="0" b="0"/>
                      <wp:wrapNone/>
                      <wp:docPr id="1313" name="Frame131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5">
                      <wp:simplePos x="0" y="0"/>
                      <wp:positionH relativeFrom="character">
                        <wp:align>left</wp:align>
                      </wp:positionH>
                      <wp:positionV relativeFrom="line">
                        <wp:posOffset>635</wp:posOffset>
                      </wp:positionV>
                      <wp:extent cx="98425" cy="1064895"/>
                      <wp:effectExtent l="0" t="0" r="0" b="0"/>
                      <wp:wrapNone/>
                      <wp:docPr id="1314" name="Frame1314"/>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Netherlands Holding,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6">
                      <wp:simplePos x="0" y="0"/>
                      <wp:positionH relativeFrom="character">
                        <wp:align>left</wp:align>
                      </wp:positionH>
                      <wp:positionV relativeFrom="line">
                        <wp:posOffset>635</wp:posOffset>
                      </wp:positionV>
                      <wp:extent cx="69215" cy="220980"/>
                      <wp:effectExtent l="0" t="0" r="0" b="0"/>
                      <wp:wrapNone/>
                      <wp:docPr id="1315" name="Frame131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7">
                      <wp:simplePos x="0" y="0"/>
                      <wp:positionH relativeFrom="character">
                        <wp:align>left</wp:align>
                      </wp:positionH>
                      <wp:positionV relativeFrom="line">
                        <wp:posOffset>635</wp:posOffset>
                      </wp:positionV>
                      <wp:extent cx="98425" cy="1064895"/>
                      <wp:effectExtent l="0" t="0" r="0" b="0"/>
                      <wp:wrapNone/>
                      <wp:docPr id="1316" name="Frame1316"/>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(Netherlands) Coopertief</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8">
                      <wp:simplePos x="0" y="0"/>
                      <wp:positionH relativeFrom="character">
                        <wp:align>left</wp:align>
                      </wp:positionH>
                      <wp:positionV relativeFrom="line">
                        <wp:posOffset>635</wp:posOffset>
                      </wp:positionV>
                      <wp:extent cx="69215" cy="220980"/>
                      <wp:effectExtent l="0" t="0" r="0" b="0"/>
                      <wp:wrapNone/>
                      <wp:docPr id="1317" name="Frame131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9">
                      <wp:simplePos x="0" y="0"/>
                      <wp:positionH relativeFrom="character">
                        <wp:align>left</wp:align>
                      </wp:positionH>
                      <wp:positionV relativeFrom="line">
                        <wp:posOffset>635</wp:posOffset>
                      </wp:positionV>
                      <wp:extent cx="98425" cy="1355725"/>
                      <wp:effectExtent l="0" t="0" r="0" b="0"/>
                      <wp:wrapNone/>
                      <wp:docPr id="1318" name="Frame1318"/>
                      <a:graphic xmlns:a="http://schemas.openxmlformats.org/drawingml/2006/main">
                        <a:graphicData uri="http://schemas.microsoft.com/office/word/2010/wordprocessingShape">
                          <wps:wsp>
                            <wps:cNvSpPr txBox="1"/>
                            <wps:spPr>
                              <a:xfrm>
                                <a:off x="0" y="0"/>
                                <a:ext cx="98425" cy="135572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Netherlands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06.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Netherlands</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Asia Ltd.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0">
                      <wp:simplePos x="0" y="0"/>
                      <wp:positionH relativeFrom="character">
                        <wp:align>left</wp:align>
                      </wp:positionH>
                      <wp:positionV relativeFrom="line">
                        <wp:posOffset>635</wp:posOffset>
                      </wp:positionV>
                      <wp:extent cx="69215" cy="220980"/>
                      <wp:effectExtent l="0" t="0" r="0" b="0"/>
                      <wp:wrapNone/>
                      <wp:docPr id="1319" name="Frame131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1">
                      <wp:simplePos x="0" y="0"/>
                      <wp:positionH relativeFrom="character">
                        <wp:align>left</wp:align>
                      </wp:positionH>
                      <wp:positionV relativeFrom="line">
                        <wp:posOffset>635</wp:posOffset>
                      </wp:positionV>
                      <wp:extent cx="98425" cy="2228215"/>
                      <wp:effectExtent l="0" t="0" r="0" b="0"/>
                      <wp:wrapNone/>
                      <wp:docPr id="1320" name="Frame1320"/>
                      <a:graphic xmlns:a="http://schemas.openxmlformats.org/drawingml/2006/main">
                        <a:graphicData uri="http://schemas.microsoft.com/office/word/2010/wordprocessingShape">
                          <wps:wsp>
                            <wps:cNvSpPr txBox="1"/>
                            <wps:spPr>
                              <a:xfrm>
                                <a:off x="0" y="0"/>
                                <a:ext cx="98425" cy="222821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British Virgin Islands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75.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British Virgin Islands</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Pakistan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2">
                      <wp:simplePos x="0" y="0"/>
                      <wp:positionH relativeFrom="character">
                        <wp:align>left</wp:align>
                      </wp:positionH>
                      <wp:positionV relativeFrom="line">
                        <wp:posOffset>635</wp:posOffset>
                      </wp:positionV>
                      <wp:extent cx="69215" cy="220980"/>
                      <wp:effectExtent l="0" t="0" r="0" b="0"/>
                      <wp:wrapNone/>
                      <wp:docPr id="1321" name="Frame132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3">
                      <wp:simplePos x="0" y="0"/>
                      <wp:positionH relativeFrom="character">
                        <wp:align>left</wp:align>
                      </wp:positionH>
                      <wp:positionV relativeFrom="line">
                        <wp:posOffset>635</wp:posOffset>
                      </wp:positionV>
                      <wp:extent cx="98425" cy="1064895"/>
                      <wp:effectExtent l="0" t="0" r="0" b="0"/>
                      <wp:wrapNone/>
                      <wp:docPr id="1322" name="Frame1322"/>
                      <a:graphic xmlns:a="http://schemas.openxmlformats.org/drawingml/2006/main">
                        <a:graphicData uri="http://schemas.microsoft.com/office/word/2010/wordprocessingShape">
                          <wps:wsp>
                            <wps:cNvSpPr txBox="1"/>
                            <wps:spPr>
                              <a:xfrm>
                                <a:off x="0" y="0"/>
                                <a:ext cx="98425"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17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IP,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4">
                      <wp:simplePos x="0" y="0"/>
                      <wp:positionH relativeFrom="character">
                        <wp:align>left</wp:align>
                      </wp:positionH>
                      <wp:positionV relativeFrom="line">
                        <wp:posOffset>635</wp:posOffset>
                      </wp:positionV>
                      <wp:extent cx="69215" cy="220980"/>
                      <wp:effectExtent l="0" t="0" r="0" b="0"/>
                      <wp:wrapNone/>
                      <wp:docPr id="1323" name="Frame132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25">
                      <wp:simplePos x="0" y="0"/>
                      <wp:positionH relativeFrom="character">
                        <wp:align>left</wp:align>
                      </wp:positionH>
                      <wp:positionV relativeFrom="line">
                        <wp:posOffset>635</wp:posOffset>
                      </wp:positionV>
                      <wp:extent cx="98425" cy="919480"/>
                      <wp:effectExtent l="0" t="0" r="0" b="0"/>
                      <wp:wrapNone/>
                      <wp:docPr id="1324" name="Frame1324"/>
                      <a:graphic xmlns:a="http://schemas.openxmlformats.org/drawingml/2006/main">
                        <a:graphicData uri="http://schemas.microsoft.com/office/word/2010/wordprocessingShape">
                          <wps:wsp>
                            <wps:cNvSpPr txBox="1"/>
                            <wps:spPr>
                              <a:xfrm>
                                <a:off x="0" y="0"/>
                                <a:ext cx="98425" cy="91948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Nevada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7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Nevada</w:t>
                            </w:r>
                          </w:p>
                        </w:txbxContent>
                      </v:textbox>
                      <w10:wrap type="none"/>
                    </v:rect>
                  </w:pict>
                </mc:Fallback>
              </mc:AlternateContent>
            </w:r>
          </w:p>
        </w:tc>
      </w:tr>
    </w:tbl>
    <w:p>
      <w:pPr>
        <w:pStyle w:val="TextBody"/>
        <w:bidi w:val="0"/>
        <w:spacing w:lineRule="auto" w:line="29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696" w:type="dxa"/>
        <w:jc w:val="center"/>
        <w:tblInd w:w="0" w:type="dxa"/>
        <w:tblLayout w:type="fixed"/>
        <w:tblCellMar>
          <w:top w:w="0" w:type="dxa"/>
          <w:left w:w="0" w:type="dxa"/>
          <w:bottom w:w="0" w:type="dxa"/>
          <w:right w:w="0" w:type="dxa"/>
        </w:tblCellMar>
      </w:tblPr>
      <w:tblGrid>
        <w:gridCol w:w="4696"/>
        <w:gridCol w:w="109"/>
        <w:gridCol w:w="1891"/>
      </w:tblGrid>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Pakistan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6">
                      <wp:simplePos x="0" y="0"/>
                      <wp:positionH relativeFrom="character">
                        <wp:align>left</wp:align>
                      </wp:positionH>
                      <wp:positionV relativeFrom="line">
                        <wp:posOffset>635</wp:posOffset>
                      </wp:positionV>
                      <wp:extent cx="69215" cy="220980"/>
                      <wp:effectExtent l="0" t="0" r="0" b="0"/>
                      <wp:wrapNone/>
                      <wp:docPr id="1325" name="Frame132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7">
                      <wp:simplePos x="0" y="0"/>
                      <wp:positionH relativeFrom="character">
                        <wp:align>left</wp:align>
                      </wp:positionH>
                      <wp:positionV relativeFrom="line">
                        <wp:posOffset>635</wp:posOffset>
                      </wp:positionV>
                      <wp:extent cx="1201420" cy="192405"/>
                      <wp:effectExtent l="0" t="0" r="0" b="0"/>
                      <wp:wrapNone/>
                      <wp:docPr id="1326" name="Frame1326"/>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Trademarks,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8">
                      <wp:simplePos x="0" y="0"/>
                      <wp:positionH relativeFrom="character">
                        <wp:align>left</wp:align>
                      </wp:positionH>
                      <wp:positionV relativeFrom="line">
                        <wp:posOffset>635</wp:posOffset>
                      </wp:positionV>
                      <wp:extent cx="69215" cy="220980"/>
                      <wp:effectExtent l="0" t="0" r="0" b="0"/>
                      <wp:wrapNone/>
                      <wp:docPr id="1327" name="Frame132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9">
                      <wp:simplePos x="0" y="0"/>
                      <wp:positionH relativeFrom="character">
                        <wp:align>left</wp:align>
                      </wp:positionH>
                      <wp:positionV relativeFrom="line">
                        <wp:posOffset>635</wp:posOffset>
                      </wp:positionV>
                      <wp:extent cx="1201420" cy="192405"/>
                      <wp:effectExtent l="0" t="0" r="0" b="0"/>
                      <wp:wrapNone/>
                      <wp:docPr id="1328" name="Frame1328"/>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Property Holdings I,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0">
                      <wp:simplePos x="0" y="0"/>
                      <wp:positionH relativeFrom="character">
                        <wp:align>left</wp:align>
                      </wp:positionH>
                      <wp:positionV relativeFrom="line">
                        <wp:posOffset>635</wp:posOffset>
                      </wp:positionV>
                      <wp:extent cx="69215" cy="220980"/>
                      <wp:effectExtent l="0" t="0" r="0" b="0"/>
                      <wp:wrapNone/>
                      <wp:docPr id="1329" name="Frame132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1">
                      <wp:simplePos x="0" y="0"/>
                      <wp:positionH relativeFrom="character">
                        <wp:align>left</wp:align>
                      </wp:positionH>
                      <wp:positionV relativeFrom="line">
                        <wp:posOffset>635</wp:posOffset>
                      </wp:positionV>
                      <wp:extent cx="1201420" cy="192405"/>
                      <wp:effectExtent l="0" t="0" r="0" b="0"/>
                      <wp:wrapNone/>
                      <wp:docPr id="1330" name="Frame1330"/>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Property Holdings II,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2">
                      <wp:simplePos x="0" y="0"/>
                      <wp:positionH relativeFrom="character">
                        <wp:align>left</wp:align>
                      </wp:positionH>
                      <wp:positionV relativeFrom="line">
                        <wp:posOffset>635</wp:posOffset>
                      </wp:positionV>
                      <wp:extent cx="69215" cy="220980"/>
                      <wp:effectExtent l="0" t="0" r="0" b="0"/>
                      <wp:wrapNone/>
                      <wp:docPr id="1331" name="Frame133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3">
                      <wp:simplePos x="0" y="0"/>
                      <wp:positionH relativeFrom="character">
                        <wp:align>left</wp:align>
                      </wp:positionH>
                      <wp:positionV relativeFrom="line">
                        <wp:posOffset>635</wp:posOffset>
                      </wp:positionV>
                      <wp:extent cx="1201420" cy="192405"/>
                      <wp:effectExtent l="0" t="0" r="0" b="0"/>
                      <wp:wrapNone/>
                      <wp:docPr id="1332" name="Frame1332"/>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Stores,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4">
                      <wp:simplePos x="0" y="0"/>
                      <wp:positionH relativeFrom="character">
                        <wp:align>left</wp:align>
                      </wp:positionH>
                      <wp:positionV relativeFrom="line">
                        <wp:posOffset>635</wp:posOffset>
                      </wp:positionV>
                      <wp:extent cx="69215" cy="220980"/>
                      <wp:effectExtent l="0" t="0" r="0" b="0"/>
                      <wp:wrapNone/>
                      <wp:docPr id="1333" name="Frame133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5">
                      <wp:simplePos x="0" y="0"/>
                      <wp:positionH relativeFrom="character">
                        <wp:align>left</wp:align>
                      </wp:positionH>
                      <wp:positionV relativeFrom="line">
                        <wp:posOffset>635</wp:posOffset>
                      </wp:positionV>
                      <wp:extent cx="1201420" cy="192405"/>
                      <wp:effectExtent l="0" t="0" r="0" b="0"/>
                      <wp:wrapNone/>
                      <wp:docPr id="1334" name="Frame1334"/>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Sales,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6">
                      <wp:simplePos x="0" y="0"/>
                      <wp:positionH relativeFrom="character">
                        <wp:align>left</wp:align>
                      </wp:positionH>
                      <wp:positionV relativeFrom="line">
                        <wp:posOffset>635</wp:posOffset>
                      </wp:positionV>
                      <wp:extent cx="69215" cy="220980"/>
                      <wp:effectExtent l="0" t="0" r="0" b="0"/>
                      <wp:wrapNone/>
                      <wp:docPr id="1335" name="Frame133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7">
                      <wp:simplePos x="0" y="0"/>
                      <wp:positionH relativeFrom="character">
                        <wp:align>left</wp:align>
                      </wp:positionH>
                      <wp:positionV relativeFrom="line">
                        <wp:posOffset>635</wp:posOffset>
                      </wp:positionV>
                      <wp:extent cx="1201420" cy="192405"/>
                      <wp:effectExtent l="0" t="0" r="0" b="0"/>
                      <wp:wrapNone/>
                      <wp:docPr id="1336" name="Frame1336"/>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WPH - Nostalgia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8">
                      <wp:simplePos x="0" y="0"/>
                      <wp:positionH relativeFrom="character">
                        <wp:align>left</wp:align>
                      </wp:positionH>
                      <wp:positionV relativeFrom="line">
                        <wp:posOffset>635</wp:posOffset>
                      </wp:positionV>
                      <wp:extent cx="69215" cy="220980"/>
                      <wp:effectExtent l="0" t="0" r="0" b="0"/>
                      <wp:wrapNone/>
                      <wp:docPr id="1337" name="Frame133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9">
                      <wp:simplePos x="0" y="0"/>
                      <wp:positionH relativeFrom="character">
                        <wp:align>left</wp:align>
                      </wp:positionH>
                      <wp:positionV relativeFrom="line">
                        <wp:posOffset>635</wp:posOffset>
                      </wp:positionV>
                      <wp:extent cx="1201420" cy="192405"/>
                      <wp:effectExtent l="0" t="0" r="0" b="0"/>
                      <wp:wrapNone/>
                      <wp:docPr id="1338" name="Frame1338"/>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Lanier/Carter,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0">
                      <wp:simplePos x="0" y="0"/>
                      <wp:positionH relativeFrom="character">
                        <wp:align>left</wp:align>
                      </wp:positionH>
                      <wp:positionV relativeFrom="line">
                        <wp:posOffset>635</wp:posOffset>
                      </wp:positionV>
                      <wp:extent cx="69215" cy="220980"/>
                      <wp:effectExtent l="0" t="0" r="0" b="0"/>
                      <wp:wrapNone/>
                      <wp:docPr id="1339" name="Frame133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1">
                      <wp:simplePos x="0" y="0"/>
                      <wp:positionH relativeFrom="character">
                        <wp:align>left</wp:align>
                      </wp:positionH>
                      <wp:positionV relativeFrom="line">
                        <wp:posOffset>635</wp:posOffset>
                      </wp:positionV>
                      <wp:extent cx="1201420" cy="192405"/>
                      <wp:effectExtent l="0" t="0" r="0" b="0"/>
                      <wp:wrapNone/>
                      <wp:docPr id="1340" name="Frame1340"/>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Lumberton,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2">
                      <wp:simplePos x="0" y="0"/>
                      <wp:positionH relativeFrom="character">
                        <wp:align>left</wp:align>
                      </wp:positionH>
                      <wp:positionV relativeFrom="line">
                        <wp:posOffset>635</wp:posOffset>
                      </wp:positionV>
                      <wp:extent cx="69215" cy="220980"/>
                      <wp:effectExtent l="0" t="0" r="0" b="0"/>
                      <wp:wrapNone/>
                      <wp:docPr id="1341" name="Frame134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3">
                      <wp:simplePos x="0" y="0"/>
                      <wp:positionH relativeFrom="character">
                        <wp:align>left</wp:align>
                      </wp:positionH>
                      <wp:positionV relativeFrom="line">
                        <wp:posOffset>635</wp:posOffset>
                      </wp:positionV>
                      <wp:extent cx="1201420" cy="192405"/>
                      <wp:effectExtent l="0" t="0" r="0" b="0"/>
                      <wp:wrapNone/>
                      <wp:docPr id="1342" name="Frame1342"/>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Wagram,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4">
                      <wp:simplePos x="0" y="0"/>
                      <wp:positionH relativeFrom="character">
                        <wp:align>left</wp:align>
                      </wp:positionH>
                      <wp:positionV relativeFrom="line">
                        <wp:posOffset>635</wp:posOffset>
                      </wp:positionV>
                      <wp:extent cx="69215" cy="220980"/>
                      <wp:effectExtent l="0" t="0" r="0" b="0"/>
                      <wp:wrapNone/>
                      <wp:docPr id="1343" name="Frame134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5">
                      <wp:simplePos x="0" y="0"/>
                      <wp:positionH relativeFrom="character">
                        <wp:align>left</wp:align>
                      </wp:positionH>
                      <wp:positionV relativeFrom="line">
                        <wp:posOffset>635</wp:posOffset>
                      </wp:positionV>
                      <wp:extent cx="1201420" cy="192405"/>
                      <wp:effectExtent l="0" t="0" r="0" b="0"/>
                      <wp:wrapNone/>
                      <wp:docPr id="1344" name="Frame1344"/>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Clemson,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6">
                      <wp:simplePos x="0" y="0"/>
                      <wp:positionH relativeFrom="character">
                        <wp:align>left</wp:align>
                      </wp:positionH>
                      <wp:positionV relativeFrom="line">
                        <wp:posOffset>635</wp:posOffset>
                      </wp:positionV>
                      <wp:extent cx="69215" cy="220980"/>
                      <wp:effectExtent l="0" t="0" r="0" b="0"/>
                      <wp:wrapNone/>
                      <wp:docPr id="1345" name="Frame134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7">
                      <wp:simplePos x="0" y="0"/>
                      <wp:positionH relativeFrom="character">
                        <wp:align>left</wp:align>
                      </wp:positionH>
                      <wp:positionV relativeFrom="line">
                        <wp:posOffset>635</wp:posOffset>
                      </wp:positionV>
                      <wp:extent cx="1201420" cy="192405"/>
                      <wp:effectExtent l="0" t="0" r="0" b="0"/>
                      <wp:wrapNone/>
                      <wp:docPr id="1346" name="Frame1346"/>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Wagram Facility,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8">
                      <wp:simplePos x="0" y="0"/>
                      <wp:positionH relativeFrom="character">
                        <wp:align>left</wp:align>
                      </wp:positionH>
                      <wp:positionV relativeFrom="line">
                        <wp:posOffset>635</wp:posOffset>
                      </wp:positionV>
                      <wp:extent cx="69215" cy="220980"/>
                      <wp:effectExtent l="0" t="0" r="0" b="0"/>
                      <wp:wrapNone/>
                      <wp:docPr id="1347" name="Frame134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9">
                      <wp:simplePos x="0" y="0"/>
                      <wp:positionH relativeFrom="character">
                        <wp:align>left</wp:align>
                      </wp:positionH>
                      <wp:positionV relativeFrom="line">
                        <wp:posOffset>635</wp:posOffset>
                      </wp:positionV>
                      <wp:extent cx="1201420" cy="192405"/>
                      <wp:effectExtent l="0" t="0" r="0" b="0"/>
                      <wp:wrapNone/>
                      <wp:docPr id="1348" name="Frame1348"/>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(Netherlands) B.V.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0">
                      <wp:simplePos x="0" y="0"/>
                      <wp:positionH relativeFrom="character">
                        <wp:align>left</wp:align>
                      </wp:positionH>
                      <wp:positionV relativeFrom="line">
                        <wp:posOffset>635</wp:posOffset>
                      </wp:positionV>
                      <wp:extent cx="69215" cy="220980"/>
                      <wp:effectExtent l="0" t="0" r="0" b="0"/>
                      <wp:wrapNone/>
                      <wp:docPr id="1349" name="Frame134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1">
                      <wp:simplePos x="0" y="0"/>
                      <wp:positionH relativeFrom="character">
                        <wp:align>left</wp:align>
                      </wp:positionH>
                      <wp:positionV relativeFrom="line">
                        <wp:posOffset>635</wp:posOffset>
                      </wp:positionV>
                      <wp:extent cx="1201420" cy="192405"/>
                      <wp:effectExtent l="0" t="0" r="0" b="0"/>
                      <wp:wrapNone/>
                      <wp:docPr id="1350" name="Frame1350"/>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British Virgin Islands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British Virgin Islands</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(Bahrain) W.L.L.</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2">
                      <wp:simplePos x="0" y="0"/>
                      <wp:positionH relativeFrom="character">
                        <wp:align>left</wp:align>
                      </wp:positionH>
                      <wp:positionV relativeFrom="line">
                        <wp:posOffset>635</wp:posOffset>
                      </wp:positionV>
                      <wp:extent cx="69215" cy="220980"/>
                      <wp:effectExtent l="0" t="0" r="0" b="0"/>
                      <wp:wrapNone/>
                      <wp:docPr id="1351" name="Frame135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3">
                      <wp:simplePos x="0" y="0"/>
                      <wp:positionH relativeFrom="character">
                        <wp:align>left</wp:align>
                      </wp:positionH>
                      <wp:positionV relativeFrom="line">
                        <wp:posOffset>635</wp:posOffset>
                      </wp:positionV>
                      <wp:extent cx="1201420" cy="192405"/>
                      <wp:effectExtent l="0" t="0" r="0" b="0"/>
                      <wp:wrapNone/>
                      <wp:docPr id="1352" name="Frame1352"/>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Bahrain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Bahrain</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(Shanghai) Inc.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4">
                      <wp:simplePos x="0" y="0"/>
                      <wp:positionH relativeFrom="character">
                        <wp:align>left</wp:align>
                      </wp:positionH>
                      <wp:positionV relativeFrom="line">
                        <wp:posOffset>635</wp:posOffset>
                      </wp:positionV>
                      <wp:extent cx="69215" cy="220980"/>
                      <wp:effectExtent l="0" t="0" r="0" b="0"/>
                      <wp:wrapNone/>
                      <wp:docPr id="1353" name="Frame135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5">
                      <wp:simplePos x="0" y="0"/>
                      <wp:positionH relativeFrom="character">
                        <wp:align>left</wp:align>
                      </wp:positionH>
                      <wp:positionV relativeFrom="line">
                        <wp:posOffset>635</wp:posOffset>
                      </wp:positionV>
                      <wp:extent cx="1201420" cy="192405"/>
                      <wp:effectExtent l="0" t="0" r="0" b="0"/>
                      <wp:wrapNone/>
                      <wp:docPr id="1354" name="Frame1354"/>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China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China</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Home Luxury Linens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6">
                      <wp:simplePos x="0" y="0"/>
                      <wp:positionH relativeFrom="character">
                        <wp:align>left</wp:align>
                      </wp:positionH>
                      <wp:positionV relativeFrom="line">
                        <wp:posOffset>635</wp:posOffset>
                      </wp:positionV>
                      <wp:extent cx="69215" cy="220980"/>
                      <wp:effectExtent l="0" t="0" r="0" b="0"/>
                      <wp:wrapNone/>
                      <wp:docPr id="1355" name="Frame135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7">
                      <wp:simplePos x="0" y="0"/>
                      <wp:positionH relativeFrom="character">
                        <wp:align>left</wp:align>
                      </wp:positionH>
                      <wp:positionV relativeFrom="line">
                        <wp:posOffset>635</wp:posOffset>
                      </wp:positionV>
                      <wp:extent cx="1201420" cy="192405"/>
                      <wp:effectExtent l="0" t="0" r="0" b="0"/>
                      <wp:wrapNone/>
                      <wp:docPr id="1356" name="Frame1356"/>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Alamance,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8">
                      <wp:simplePos x="0" y="0"/>
                      <wp:positionH relativeFrom="character">
                        <wp:align>left</wp:align>
                      </wp:positionH>
                      <wp:positionV relativeFrom="line">
                        <wp:posOffset>635</wp:posOffset>
                      </wp:positionV>
                      <wp:extent cx="69215" cy="220980"/>
                      <wp:effectExtent l="0" t="0" r="0" b="0"/>
                      <wp:wrapNone/>
                      <wp:docPr id="1357" name="Frame135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9">
                      <wp:simplePos x="0" y="0"/>
                      <wp:positionH relativeFrom="character">
                        <wp:align>left</wp:align>
                      </wp:positionH>
                      <wp:positionV relativeFrom="line">
                        <wp:posOffset>635</wp:posOffset>
                      </wp:positionV>
                      <wp:extent cx="1201420" cy="192405"/>
                      <wp:effectExtent l="0" t="0" r="0" b="0"/>
                      <wp:wrapNone/>
                      <wp:docPr id="1358" name="Frame1358"/>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Drakes,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0">
                      <wp:simplePos x="0" y="0"/>
                      <wp:positionH relativeFrom="character">
                        <wp:align>left</wp:align>
                      </wp:positionH>
                      <wp:positionV relativeFrom="line">
                        <wp:posOffset>635</wp:posOffset>
                      </wp:positionV>
                      <wp:extent cx="69215" cy="220980"/>
                      <wp:effectExtent l="0" t="0" r="0" b="0"/>
                      <wp:wrapNone/>
                      <wp:docPr id="1359" name="Frame135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1">
                      <wp:simplePos x="0" y="0"/>
                      <wp:positionH relativeFrom="character">
                        <wp:align>left</wp:align>
                      </wp:positionH>
                      <wp:positionV relativeFrom="line">
                        <wp:posOffset>635</wp:posOffset>
                      </wp:positionV>
                      <wp:extent cx="1201420" cy="192405"/>
                      <wp:effectExtent l="0" t="0" r="0" b="0"/>
                      <wp:wrapNone/>
                      <wp:docPr id="1360" name="Frame1360"/>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Fairfax Mill,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2">
                      <wp:simplePos x="0" y="0"/>
                      <wp:positionH relativeFrom="character">
                        <wp:align>left</wp:align>
                      </wp:positionH>
                      <wp:positionV relativeFrom="line">
                        <wp:posOffset>635</wp:posOffset>
                      </wp:positionV>
                      <wp:extent cx="69215" cy="220980"/>
                      <wp:effectExtent l="0" t="0" r="0" b="0"/>
                      <wp:wrapNone/>
                      <wp:docPr id="1361" name="Frame136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3">
                      <wp:simplePos x="0" y="0"/>
                      <wp:positionH relativeFrom="character">
                        <wp:align>left</wp:align>
                      </wp:positionH>
                      <wp:positionV relativeFrom="line">
                        <wp:posOffset>635</wp:posOffset>
                      </wp:positionV>
                      <wp:extent cx="1201420" cy="192405"/>
                      <wp:effectExtent l="0" t="0" r="0" b="0"/>
                      <wp:wrapNone/>
                      <wp:docPr id="1362" name="Frame1362"/>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Fairfax Operations,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4">
                      <wp:simplePos x="0" y="0"/>
                      <wp:positionH relativeFrom="character">
                        <wp:align>left</wp:align>
                      </wp:positionH>
                      <wp:positionV relativeFrom="line">
                        <wp:posOffset>635</wp:posOffset>
                      </wp:positionV>
                      <wp:extent cx="69215" cy="220980"/>
                      <wp:effectExtent l="0" t="0" r="0" b="0"/>
                      <wp:wrapNone/>
                      <wp:docPr id="1363" name="Frame136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5">
                      <wp:simplePos x="0" y="0"/>
                      <wp:positionH relativeFrom="character">
                        <wp:align>left</wp:align>
                      </wp:positionH>
                      <wp:positionV relativeFrom="line">
                        <wp:posOffset>635</wp:posOffset>
                      </wp:positionV>
                      <wp:extent cx="1201420" cy="192405"/>
                      <wp:effectExtent l="0" t="0" r="0" b="0"/>
                      <wp:wrapNone/>
                      <wp:docPr id="1364" name="Frame1364"/>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Graphics,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6">
                      <wp:simplePos x="0" y="0"/>
                      <wp:positionH relativeFrom="character">
                        <wp:align>left</wp:align>
                      </wp:positionH>
                      <wp:positionV relativeFrom="line">
                        <wp:posOffset>635</wp:posOffset>
                      </wp:positionV>
                      <wp:extent cx="69215" cy="220980"/>
                      <wp:effectExtent l="0" t="0" r="0" b="0"/>
                      <wp:wrapNone/>
                      <wp:docPr id="1365" name="Frame136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7">
                      <wp:simplePos x="0" y="0"/>
                      <wp:positionH relativeFrom="character">
                        <wp:align>left</wp:align>
                      </wp:positionH>
                      <wp:positionV relativeFrom="line">
                        <wp:posOffset>635</wp:posOffset>
                      </wp:positionV>
                      <wp:extent cx="1201420" cy="192405"/>
                      <wp:effectExtent l="0" t="0" r="0" b="0"/>
                      <wp:wrapNone/>
                      <wp:docPr id="1366" name="Frame1366"/>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Lanett,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8">
                      <wp:simplePos x="0" y="0"/>
                      <wp:positionH relativeFrom="character">
                        <wp:align>left</wp:align>
                      </wp:positionH>
                      <wp:positionV relativeFrom="line">
                        <wp:posOffset>635</wp:posOffset>
                      </wp:positionV>
                      <wp:extent cx="69215" cy="220980"/>
                      <wp:effectExtent l="0" t="0" r="0" b="0"/>
                      <wp:wrapNone/>
                      <wp:docPr id="1367" name="Frame136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9">
                      <wp:simplePos x="0" y="0"/>
                      <wp:positionH relativeFrom="character">
                        <wp:align>left</wp:align>
                      </wp:positionH>
                      <wp:positionV relativeFrom="line">
                        <wp:posOffset>635</wp:posOffset>
                      </wp:positionV>
                      <wp:extent cx="1201420" cy="192405"/>
                      <wp:effectExtent l="0" t="0" r="0" b="0"/>
                      <wp:wrapNone/>
                      <wp:docPr id="1368" name="Frame1368"/>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Opelika,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0">
                      <wp:simplePos x="0" y="0"/>
                      <wp:positionH relativeFrom="character">
                        <wp:align>left</wp:align>
                      </wp:positionH>
                      <wp:positionV relativeFrom="line">
                        <wp:posOffset>635</wp:posOffset>
                      </wp:positionV>
                      <wp:extent cx="69215" cy="220980"/>
                      <wp:effectExtent l="0" t="0" r="0" b="0"/>
                      <wp:wrapNone/>
                      <wp:docPr id="1369" name="Frame136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1">
                      <wp:simplePos x="0" y="0"/>
                      <wp:positionH relativeFrom="character">
                        <wp:align>left</wp:align>
                      </wp:positionH>
                      <wp:positionV relativeFrom="line">
                        <wp:posOffset>635</wp:posOffset>
                      </wp:positionV>
                      <wp:extent cx="1201420" cy="192405"/>
                      <wp:effectExtent l="0" t="0" r="0" b="0"/>
                      <wp:wrapNone/>
                      <wp:docPr id="1370" name="Frame1370"/>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Greenville,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2">
                      <wp:simplePos x="0" y="0"/>
                      <wp:positionH relativeFrom="character">
                        <wp:align>left</wp:align>
                      </wp:positionH>
                      <wp:positionV relativeFrom="line">
                        <wp:posOffset>635</wp:posOffset>
                      </wp:positionV>
                      <wp:extent cx="69215" cy="220980"/>
                      <wp:effectExtent l="0" t="0" r="0" b="0"/>
                      <wp:wrapNone/>
                      <wp:docPr id="1371" name="Frame137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3">
                      <wp:simplePos x="0" y="0"/>
                      <wp:positionH relativeFrom="character">
                        <wp:align>left</wp:align>
                      </wp:positionH>
                      <wp:positionV relativeFrom="line">
                        <wp:posOffset>635</wp:posOffset>
                      </wp:positionV>
                      <wp:extent cx="1201420" cy="192405"/>
                      <wp:effectExtent l="0" t="0" r="0" b="0"/>
                      <wp:wrapNone/>
                      <wp:docPr id="1372" name="Frame1372"/>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LMP,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4">
                      <wp:simplePos x="0" y="0"/>
                      <wp:positionH relativeFrom="character">
                        <wp:align>left</wp:align>
                      </wp:positionH>
                      <wp:positionV relativeFrom="line">
                        <wp:posOffset>635</wp:posOffset>
                      </wp:positionV>
                      <wp:extent cx="69215" cy="220980"/>
                      <wp:effectExtent l="0" t="0" r="0" b="0"/>
                      <wp:wrapNone/>
                      <wp:docPr id="1373" name="Frame137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5">
                      <wp:simplePos x="0" y="0"/>
                      <wp:positionH relativeFrom="character">
                        <wp:align>left</wp:align>
                      </wp:positionH>
                      <wp:positionV relativeFrom="line">
                        <wp:posOffset>635</wp:posOffset>
                      </wp:positionV>
                      <wp:extent cx="1201420" cy="192405"/>
                      <wp:effectExtent l="0" t="0" r="0" b="0"/>
                      <wp:wrapNone/>
                      <wp:docPr id="1374" name="Frame1374"/>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Opelika Lots,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6">
                      <wp:simplePos x="0" y="0"/>
                      <wp:positionH relativeFrom="character">
                        <wp:align>left</wp:align>
                      </wp:positionH>
                      <wp:positionV relativeFrom="line">
                        <wp:posOffset>635</wp:posOffset>
                      </wp:positionV>
                      <wp:extent cx="69215" cy="220980"/>
                      <wp:effectExtent l="0" t="0" r="0" b="0"/>
                      <wp:wrapNone/>
                      <wp:docPr id="1375" name="Frame137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7">
                      <wp:simplePos x="0" y="0"/>
                      <wp:positionH relativeFrom="character">
                        <wp:align>left</wp:align>
                      </wp:positionH>
                      <wp:positionV relativeFrom="line">
                        <wp:posOffset>635</wp:posOffset>
                      </wp:positionV>
                      <wp:extent cx="1201420" cy="192405"/>
                      <wp:effectExtent l="0" t="0" r="0" b="0"/>
                      <wp:wrapNone/>
                      <wp:docPr id="1376" name="Frame1376"/>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Lakeview,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8">
                      <wp:simplePos x="0" y="0"/>
                      <wp:positionH relativeFrom="character">
                        <wp:align>left</wp:align>
                      </wp:positionH>
                      <wp:positionV relativeFrom="line">
                        <wp:posOffset>635</wp:posOffset>
                      </wp:positionV>
                      <wp:extent cx="69215" cy="220980"/>
                      <wp:effectExtent l="0" t="0" r="0" b="0"/>
                      <wp:wrapNone/>
                      <wp:docPr id="1377" name="Frame137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9">
                      <wp:simplePos x="0" y="0"/>
                      <wp:positionH relativeFrom="character">
                        <wp:align>left</wp:align>
                      </wp:positionH>
                      <wp:positionV relativeFrom="line">
                        <wp:posOffset>635</wp:posOffset>
                      </wp:positionV>
                      <wp:extent cx="1201420" cy="192405"/>
                      <wp:effectExtent l="0" t="0" r="0" b="0"/>
                      <wp:wrapNone/>
                      <wp:docPr id="1378" name="Frame1378"/>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WP Properties Transportation Center,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0">
                      <wp:simplePos x="0" y="0"/>
                      <wp:positionH relativeFrom="character">
                        <wp:align>left</wp:align>
                      </wp:positionH>
                      <wp:positionV relativeFrom="line">
                        <wp:posOffset>635</wp:posOffset>
                      </wp:positionV>
                      <wp:extent cx="69215" cy="220980"/>
                      <wp:effectExtent l="0" t="0" r="0" b="0"/>
                      <wp:wrapNone/>
                      <wp:docPr id="1379" name="Frame137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1">
                      <wp:simplePos x="0" y="0"/>
                      <wp:positionH relativeFrom="character">
                        <wp:align>left</wp:align>
                      </wp:positionH>
                      <wp:positionV relativeFrom="line">
                        <wp:posOffset>635</wp:posOffset>
                      </wp:positionV>
                      <wp:extent cx="1201420" cy="192405"/>
                      <wp:effectExtent l="0" t="0" r="0" b="0"/>
                      <wp:wrapNone/>
                      <wp:docPr id="1380" name="Frame1380"/>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WestPoint VSS Holding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2">
                      <wp:simplePos x="0" y="0"/>
                      <wp:positionH relativeFrom="character">
                        <wp:align>left</wp:align>
                      </wp:positionH>
                      <wp:positionV relativeFrom="line">
                        <wp:posOffset>635</wp:posOffset>
                      </wp:positionV>
                      <wp:extent cx="69215" cy="220980"/>
                      <wp:effectExtent l="0" t="0" r="0" b="0"/>
                      <wp:wrapNone/>
                      <wp:docPr id="1381" name="Frame138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3">
                      <wp:simplePos x="0" y="0"/>
                      <wp:positionH relativeFrom="character">
                        <wp:align>left</wp:align>
                      </wp:positionH>
                      <wp:positionV relativeFrom="line">
                        <wp:posOffset>635</wp:posOffset>
                      </wp:positionV>
                      <wp:extent cx="1201420" cy="192405"/>
                      <wp:effectExtent l="0" t="0" r="0" b="0"/>
                      <wp:wrapNone/>
                      <wp:docPr id="1382" name="Frame1382"/>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Linens Global Limited Private Limited Company</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4">
                      <wp:simplePos x="0" y="0"/>
                      <wp:positionH relativeFrom="character">
                        <wp:align>left</wp:align>
                      </wp:positionH>
                      <wp:positionV relativeFrom="line">
                        <wp:posOffset>635</wp:posOffset>
                      </wp:positionV>
                      <wp:extent cx="69215" cy="220980"/>
                      <wp:effectExtent l="0" t="0" r="0" b="0"/>
                      <wp:wrapNone/>
                      <wp:docPr id="1383" name="Frame138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United Kingdom</w: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Linens Group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5">
                      <wp:simplePos x="0" y="0"/>
                      <wp:positionH relativeFrom="character">
                        <wp:align>left</wp:align>
                      </wp:positionH>
                      <wp:positionV relativeFrom="line">
                        <wp:posOffset>635</wp:posOffset>
                      </wp:positionV>
                      <wp:extent cx="69215" cy="220980"/>
                      <wp:effectExtent l="0" t="0" r="0" b="0"/>
                      <wp:wrapNone/>
                      <wp:docPr id="1384" name="Frame138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United Kingdom</w: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Support Services Asia Private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6">
                      <wp:simplePos x="0" y="0"/>
                      <wp:positionH relativeFrom="character">
                        <wp:align>left</wp:align>
                      </wp:positionH>
                      <wp:positionV relativeFrom="line">
                        <wp:posOffset>635</wp:posOffset>
                      </wp:positionV>
                      <wp:extent cx="69215" cy="220980"/>
                      <wp:effectExtent l="0" t="0" r="0" b="0"/>
                      <wp:wrapNone/>
                      <wp:docPr id="1385" name="Frame138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Support Services Limited Mauritius</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7">
                      <wp:simplePos x="0" y="0"/>
                      <wp:positionH relativeFrom="character">
                        <wp:align>left</wp:align>
                      </wp:positionH>
                      <wp:positionV relativeFrom="line">
                        <wp:posOffset>635</wp:posOffset>
                      </wp:positionV>
                      <wp:extent cx="69215" cy="220980"/>
                      <wp:effectExtent l="0" t="0" r="0" b="0"/>
                      <wp:wrapNone/>
                      <wp:docPr id="1386" name="Frame138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Mauritius</w: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Support Services Pakistan (Private) Ltd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8">
                      <wp:simplePos x="0" y="0"/>
                      <wp:positionH relativeFrom="character">
                        <wp:align>left</wp:align>
                      </wp:positionH>
                      <wp:positionV relativeFrom="line">
                        <wp:posOffset>635</wp:posOffset>
                      </wp:positionV>
                      <wp:extent cx="69215" cy="220980"/>
                      <wp:effectExtent l="0" t="0" r="0" b="0"/>
                      <wp:wrapNone/>
                      <wp:docPr id="1387" name="Frame138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Pakistan</w: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VSS Sourcing (India) Private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9">
                      <wp:simplePos x="0" y="0"/>
                      <wp:positionH relativeFrom="character">
                        <wp:align>left</wp:align>
                      </wp:positionH>
                      <wp:positionV relativeFrom="line">
                        <wp:posOffset>635</wp:posOffset>
                      </wp:positionV>
                      <wp:extent cx="69215" cy="220980"/>
                      <wp:effectExtent l="0" t="0" r="0" b="0"/>
                      <wp:wrapNone/>
                      <wp:docPr id="1388" name="Frame138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Support Services (Ningbo)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0">
                      <wp:simplePos x="0" y="0"/>
                      <wp:positionH relativeFrom="character">
                        <wp:align>left</wp:align>
                      </wp:positionH>
                      <wp:positionV relativeFrom="line">
                        <wp:posOffset>635</wp:posOffset>
                      </wp:positionV>
                      <wp:extent cx="69215" cy="220980"/>
                      <wp:effectExtent l="0" t="0" r="0" b="0"/>
                      <wp:wrapNone/>
                      <wp:docPr id="1389" name="Frame138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Support Gulf FZE</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1">
                      <wp:simplePos x="0" y="0"/>
                      <wp:positionH relativeFrom="character">
                        <wp:align>left</wp:align>
                      </wp:positionH>
                      <wp:positionV relativeFrom="line">
                        <wp:posOffset>635</wp:posOffset>
                      </wp:positionV>
                      <wp:extent cx="69215" cy="220980"/>
                      <wp:effectExtent l="0" t="0" r="0" b="0"/>
                      <wp:wrapNone/>
                      <wp:docPr id="1390" name="Frame139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United Arab Emirates</w: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Support Services Europe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2">
                      <wp:simplePos x="0" y="0"/>
                      <wp:positionH relativeFrom="character">
                        <wp:align>left</wp:align>
                      </wp:positionH>
                      <wp:positionV relativeFrom="line">
                        <wp:posOffset>635</wp:posOffset>
                      </wp:positionV>
                      <wp:extent cx="69215" cy="220980"/>
                      <wp:effectExtent l="0" t="0" r="0" b="0"/>
                      <wp:wrapNone/>
                      <wp:docPr id="1391" name="Frame139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Republic of Ireland</w: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Linens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3">
                      <wp:simplePos x="0" y="0"/>
                      <wp:positionH relativeFrom="character">
                        <wp:align>left</wp:align>
                      </wp:positionH>
                      <wp:positionV relativeFrom="line">
                        <wp:posOffset>635</wp:posOffset>
                      </wp:positionV>
                      <wp:extent cx="69215" cy="220980"/>
                      <wp:effectExtent l="0" t="0" r="0" b="0"/>
                      <wp:wrapNone/>
                      <wp:docPr id="1392" name="Frame139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United Kingdom</w: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Lissadell Liddell Ireland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4">
                      <wp:simplePos x="0" y="0"/>
                      <wp:positionH relativeFrom="character">
                        <wp:align>left</wp:align>
                      </wp:positionH>
                      <wp:positionV relativeFrom="line">
                        <wp:posOffset>635</wp:posOffset>
                      </wp:positionV>
                      <wp:extent cx="69215" cy="220980"/>
                      <wp:effectExtent l="0" t="0" r="0" b="0"/>
                      <wp:wrapNone/>
                      <wp:docPr id="1393" name="Frame1393"/>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Republic of Ireland</w: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Linens B.V.</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5">
                      <wp:simplePos x="0" y="0"/>
                      <wp:positionH relativeFrom="character">
                        <wp:align>left</wp:align>
                      </wp:positionH>
                      <wp:positionV relativeFrom="line">
                        <wp:posOffset>635</wp:posOffset>
                      </wp:positionV>
                      <wp:extent cx="69215" cy="220980"/>
                      <wp:effectExtent l="0" t="0" r="0" b="0"/>
                      <wp:wrapNone/>
                      <wp:docPr id="1394" name="Frame1394"/>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Netherlands</w: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L Whitaker Services Private Limited Company</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6">
                      <wp:simplePos x="0" y="0"/>
                      <wp:positionH relativeFrom="character">
                        <wp:align>left</wp:align>
                      </wp:positionH>
                      <wp:positionV relativeFrom="line">
                        <wp:posOffset>635</wp:posOffset>
                      </wp:positionV>
                      <wp:extent cx="69215" cy="220980"/>
                      <wp:effectExtent l="0" t="0" r="0" b="0"/>
                      <wp:wrapNone/>
                      <wp:docPr id="1395" name="Frame139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United Kingdom</w: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HLL Linens Private Limited Company</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7">
                      <wp:simplePos x="0" y="0"/>
                      <wp:positionH relativeFrom="character">
                        <wp:align>left</wp:align>
                      </wp:positionH>
                      <wp:positionV relativeFrom="line">
                        <wp:posOffset>635</wp:posOffset>
                      </wp:positionV>
                      <wp:extent cx="69215" cy="220980"/>
                      <wp:effectExtent l="0" t="0" r="0" b="0"/>
                      <wp:wrapNone/>
                      <wp:docPr id="1396" name="Frame1396"/>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United Kingdom</w: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Support Trading LLC</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8">
                      <wp:simplePos x="0" y="0"/>
                      <wp:positionH relativeFrom="character">
                        <wp:align>left</wp:align>
                      </wp:positionH>
                      <wp:positionV relativeFrom="line">
                        <wp:posOffset>635</wp:posOffset>
                      </wp:positionV>
                      <wp:extent cx="69215" cy="220980"/>
                      <wp:effectExtent l="0" t="0" r="0" b="0"/>
                      <wp:wrapNone/>
                      <wp:docPr id="1397" name="Frame1397"/>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United Arab Emirates</w: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VSS Support Global Private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9">
                      <wp:simplePos x="0" y="0"/>
                      <wp:positionH relativeFrom="character">
                        <wp:align>left</wp:align>
                      </wp:positionH>
                      <wp:positionV relativeFrom="line">
                        <wp:posOffset>635</wp:posOffset>
                      </wp:positionV>
                      <wp:extent cx="69215" cy="220980"/>
                      <wp:effectExtent l="0" t="0" r="0" b="0"/>
                      <wp:wrapNone/>
                      <wp:docPr id="1398" name="Frame139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India</w: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Vision Support Services (Shanghai)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0">
                      <wp:simplePos x="0" y="0"/>
                      <wp:positionH relativeFrom="character">
                        <wp:align>left</wp:align>
                      </wp:positionH>
                      <wp:positionV relativeFrom="line">
                        <wp:posOffset>635</wp:posOffset>
                      </wp:positionV>
                      <wp:extent cx="69215" cy="220980"/>
                      <wp:effectExtent l="0" t="0" r="0" b="0"/>
                      <wp:wrapNone/>
                      <wp:docPr id="1399" name="Frame1399"/>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China</w:t>
            </w:r>
          </w:p>
        </w:tc>
      </w:tr>
      <w:tr>
        <w:trPr/>
        <w:tc>
          <w:tcPr>
            <w:tcW w:w="4696"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Swiscot Textiles Limited</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1">
                      <wp:simplePos x="0" y="0"/>
                      <wp:positionH relativeFrom="character">
                        <wp:align>left</wp:align>
                      </wp:positionH>
                      <wp:positionV relativeFrom="line">
                        <wp:posOffset>635</wp:posOffset>
                      </wp:positionV>
                      <wp:extent cx="69215" cy="220980"/>
                      <wp:effectExtent l="0" t="0" r="0" b="0"/>
                      <wp:wrapNone/>
                      <wp:docPr id="1400" name="Frame1400"/>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United Kingdom</w:t>
            </w:r>
          </w:p>
        </w:tc>
      </w:tr>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2">
                      <wp:simplePos x="0" y="0"/>
                      <wp:positionH relativeFrom="character">
                        <wp:align>left</wp:align>
                      </wp:positionH>
                      <wp:positionV relativeFrom="line">
                        <wp:posOffset>635</wp:posOffset>
                      </wp:positionV>
                      <wp:extent cx="2981960" cy="192405"/>
                      <wp:effectExtent l="0" t="0" r="0" b="0"/>
                      <wp:wrapNone/>
                      <wp:docPr id="1401" name="Frame1401"/>
                      <a:graphic xmlns:a="http://schemas.openxmlformats.org/drawingml/2006/main">
                        <a:graphicData uri="http://schemas.microsoft.com/office/word/2010/wordprocessingShape">
                          <wps:wsp>
                            <wps:cNvSpPr txBox="1"/>
                            <wps:spPr>
                              <a:xfrm>
                                <a:off x="0" y="0"/>
                                <a:ext cx="2981960" cy="19240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VIVUS LLC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VIVUS LLC</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3">
                      <wp:simplePos x="0" y="0"/>
                      <wp:positionH relativeFrom="character">
                        <wp:align>left</wp:align>
                      </wp:positionH>
                      <wp:positionV relativeFrom="line">
                        <wp:posOffset>635</wp:posOffset>
                      </wp:positionV>
                      <wp:extent cx="69215" cy="220980"/>
                      <wp:effectExtent l="0" t="0" r="0" b="0"/>
                      <wp:wrapNone/>
                      <wp:docPr id="1402" name="Frame1402"/>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04">
                      <wp:simplePos x="0" y="0"/>
                      <wp:positionH relativeFrom="character">
                        <wp:align>left</wp:align>
                      </wp:positionH>
                      <wp:positionV relativeFrom="line">
                        <wp:posOffset>635</wp:posOffset>
                      </wp:positionV>
                      <wp:extent cx="1201420" cy="192405"/>
                      <wp:effectExtent l="0" t="0" r="0" b="0"/>
                      <wp:wrapNone/>
                      <wp:docPr id="1403" name="Frame1403"/>
                      <a:graphic xmlns:a="http://schemas.openxmlformats.org/drawingml/2006/main">
                        <a:graphicData uri="http://schemas.microsoft.com/office/word/2010/wordprocessingShape">
                          <wps:wsp>
                            <wps:cNvSpPr txBox="1"/>
                            <wps:spPr>
                              <a:xfrm>
                                <a:off x="0" y="0"/>
                                <a:ext cx="1201420" cy="19240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6pt;height:15.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bl>
    <w:p>
      <w:pPr>
        <w:pStyle w:val="TextBody"/>
        <w:bidi w:val="0"/>
        <w:spacing w:lineRule="auto" w:line="29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87" w:type="dxa"/>
        <w:jc w:val="center"/>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5">
                      <wp:simplePos x="0" y="0"/>
                      <wp:positionH relativeFrom="character">
                        <wp:align>left</wp:align>
                      </wp:positionH>
                      <wp:positionV relativeFrom="line">
                        <wp:posOffset>635</wp:posOffset>
                      </wp:positionV>
                      <wp:extent cx="78740" cy="3682365"/>
                      <wp:effectExtent l="0" t="0" r="0" b="0"/>
                      <wp:wrapNone/>
                      <wp:docPr id="1404" name="Frame1404"/>
                      <a:graphic xmlns:a="http://schemas.openxmlformats.org/drawingml/2006/main">
                        <a:graphicData uri="http://schemas.microsoft.com/office/word/2010/wordprocessingShape">
                          <wps:wsp>
                            <wps:cNvSpPr txBox="1"/>
                            <wps:spPr>
                              <a:xfrm>
                                <a:off x="0" y="0"/>
                                <a:ext cx="78740" cy="368236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Vivus Pharmaceuticals Limited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8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Vivus Pharmaceuticals Limited</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6">
                      <wp:simplePos x="0" y="0"/>
                      <wp:positionH relativeFrom="character">
                        <wp:align>left</wp:align>
                      </wp:positionH>
                      <wp:positionV relativeFrom="line">
                        <wp:posOffset>635</wp:posOffset>
                      </wp:positionV>
                      <wp:extent cx="69215" cy="220980"/>
                      <wp:effectExtent l="0" t="0" r="0" b="0"/>
                      <wp:wrapNone/>
                      <wp:docPr id="1405" name="Frame1405"/>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7">
                      <wp:simplePos x="0" y="0"/>
                      <wp:positionH relativeFrom="character">
                        <wp:align>left</wp:align>
                      </wp:positionH>
                      <wp:positionV relativeFrom="line">
                        <wp:posOffset>635</wp:posOffset>
                      </wp:positionV>
                      <wp:extent cx="97790" cy="919480"/>
                      <wp:effectExtent l="0" t="0" r="0" b="0"/>
                      <wp:wrapNone/>
                      <wp:docPr id="1406" name="Frame1406"/>
                      <a:graphic xmlns:a="http://schemas.openxmlformats.org/drawingml/2006/main">
                        <a:graphicData uri="http://schemas.microsoft.com/office/word/2010/wordprocessingShape">
                          <wps:wsp>
                            <wps:cNvSpPr txBox="1"/>
                            <wps:spPr>
                              <a:xfrm>
                                <a:off x="0" y="0"/>
                                <a:ext cx="97790" cy="919480"/>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Canada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7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Canada</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8">
                      <wp:simplePos x="0" y="0"/>
                      <wp:positionH relativeFrom="character">
                        <wp:align>left</wp:align>
                      </wp:positionH>
                      <wp:positionV relativeFrom="line">
                        <wp:posOffset>635</wp:posOffset>
                      </wp:positionV>
                      <wp:extent cx="78740" cy="1064895"/>
                      <wp:effectExtent l="0" t="0" r="0" b="0"/>
                      <wp:wrapNone/>
                      <wp:docPr id="1407" name="Frame1407"/>
                      <a:graphic xmlns:a="http://schemas.openxmlformats.org/drawingml/2006/main">
                        <a:graphicData uri="http://schemas.microsoft.com/office/word/2010/wordprocessingShape">
                          <wps:wsp>
                            <wps:cNvSpPr txBox="1"/>
                            <wps:spPr>
                              <a:xfrm>
                                <a:off x="0" y="0"/>
                                <a:ext cx="78740" cy="106489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VIVUS BV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VIVUS BV</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9">
                      <wp:simplePos x="0" y="0"/>
                      <wp:positionH relativeFrom="character">
                        <wp:align>left</wp:align>
                      </wp:positionH>
                      <wp:positionV relativeFrom="line">
                        <wp:posOffset>635</wp:posOffset>
                      </wp:positionV>
                      <wp:extent cx="69215" cy="220980"/>
                      <wp:effectExtent l="0" t="0" r="0" b="0"/>
                      <wp:wrapNone/>
                      <wp:docPr id="1408" name="Frame1408"/>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0">
                      <wp:simplePos x="0" y="0"/>
                      <wp:positionH relativeFrom="character">
                        <wp:align>left</wp:align>
                      </wp:positionH>
                      <wp:positionV relativeFrom="line">
                        <wp:posOffset>635</wp:posOffset>
                      </wp:positionV>
                      <wp:extent cx="97790" cy="1355725"/>
                      <wp:effectExtent l="0" t="0" r="0" b="0"/>
                      <wp:wrapNone/>
                      <wp:docPr id="1409" name="Frame1409"/>
                      <a:graphic xmlns:a="http://schemas.openxmlformats.org/drawingml/2006/main">
                        <a:graphicData uri="http://schemas.microsoft.com/office/word/2010/wordprocessingShape">
                          <wps:wsp>
                            <wps:cNvSpPr txBox="1"/>
                            <wps:spPr>
                              <a:xfrm>
                                <a:off x="0" y="0"/>
                                <a:ext cx="97790" cy="135572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Netherlands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06.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Netherlands</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1">
                      <wp:simplePos x="0" y="0"/>
                      <wp:positionH relativeFrom="character">
                        <wp:align>left</wp:align>
                      </wp:positionH>
                      <wp:positionV relativeFrom="line">
                        <wp:posOffset>635</wp:posOffset>
                      </wp:positionV>
                      <wp:extent cx="78740" cy="2373630"/>
                      <wp:effectExtent l="0" t="0" r="0" b="0"/>
                      <wp:wrapNone/>
                      <wp:docPr id="1410" name="Frame1410"/>
                      <a:graphic xmlns:a="http://schemas.openxmlformats.org/drawingml/2006/main">
                        <a:graphicData uri="http://schemas.microsoft.com/office/word/2010/wordprocessingShape">
                          <wps:wsp>
                            <wps:cNvSpPr txBox="1"/>
                            <wps:spPr>
                              <a:xfrm>
                                <a:off x="0" y="0"/>
                                <a:ext cx="78740" cy="2373630"/>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Vivus Digital Health</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86.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Vivus Digital Health</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2">
                      <wp:simplePos x="0" y="0"/>
                      <wp:positionH relativeFrom="character">
                        <wp:align>left</wp:align>
                      </wp:positionH>
                      <wp:positionV relativeFrom="line">
                        <wp:posOffset>635</wp:posOffset>
                      </wp:positionV>
                      <wp:extent cx="69215" cy="220980"/>
                      <wp:effectExtent l="0" t="0" r="0" b="0"/>
                      <wp:wrapNone/>
                      <wp:docPr id="1411" name="Frame1411"/>
                      <a:graphic xmlns:a="http://schemas.openxmlformats.org/drawingml/2006/main">
                        <a:graphicData uri="http://schemas.microsoft.com/office/word/2010/wordprocessingShape">
                          <wps:wsp>
                            <wps:cNvSpPr txBox="1"/>
                            <wps:spPr>
                              <a:xfrm>
                                <a:off x="0" y="0"/>
                                <a:ext cx="69215" cy="220980"/>
                              </a:xfrm>
                              <a:prstGeom prst="rect"/>
                              <a:solidFill>
                                <a:srgbClr val="FFFFFF"/>
                              </a:solidFill>
                            </wps:spPr>
                            <wps:txbx>
                              <w:txbxContent>
                                <w:p>
                                  <w:pPr>
                                    <w:pStyle w:val="TableContents"/>
                                    <w:bidi w:val="0"/>
                                    <w:spacing w:lineRule="auto" w:line="237" w:before="75"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13">
                      <wp:simplePos x="0" y="0"/>
                      <wp:positionH relativeFrom="character">
                        <wp:align>left</wp:align>
                      </wp:positionH>
                      <wp:positionV relativeFrom="line">
                        <wp:posOffset>635</wp:posOffset>
                      </wp:positionV>
                      <wp:extent cx="97790" cy="1064895"/>
                      <wp:effectExtent l="0" t="0" r="0" b="0"/>
                      <wp:wrapNone/>
                      <wp:docPr id="1412" name="Frame1412"/>
                      <a:graphic xmlns:a="http://schemas.openxmlformats.org/drawingml/2006/main">
                        <a:graphicData uri="http://schemas.microsoft.com/office/word/2010/wordprocessingShape">
                          <wps:wsp>
                            <wps:cNvSpPr txBox="1"/>
                            <wps:spPr>
                              <a:xfrm>
                                <a:off x="0" y="0"/>
                                <a:ext cx="97790" cy="1064895"/>
                              </a:xfrm>
                              <a:prstGeom prst="rect"/>
                              <a:solidFill>
                                <a:srgbClr val="FFFFFF"/>
                              </a:solidFill>
                            </wps:spPr>
                            <wps:txb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8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center"/>
                              <w:rPr>
                                <w:rFonts w:ascii="Times New Roman;Times;serif" w:hAnsi="Times New Roman;Times;serif"/>
                                <w:sz w:val="20"/>
                              </w:rPr>
                            </w:pPr>
                            <w:r>
                              <w:rPr>
                                <w:rFonts w:ascii="Times New Roman;Times;serif" w:hAnsi="Times New Roman;Times;serif"/>
                                <w:sz w:val="20"/>
                              </w:rPr>
                              <w:t>Delaware</w:t>
                            </w:r>
                          </w:p>
                        </w:txbxContent>
                      </v:textbox>
                      <w10:wrap type="none"/>
                    </v:rect>
                  </w:pict>
                </mc:Fallback>
              </mc:AlternateContent>
            </w:r>
          </w:p>
        </w:tc>
      </w:tr>
    </w:tbl>
    <w:p>
      <w:pPr>
        <w:pStyle w:val="TextBody"/>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Vivus Development LLC Delaware</w:t>
      </w:r>
    </w:p>
    <w:p>
      <w:pPr>
        <w:pStyle w:val="TextBody"/>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Vivus AG</w:t>
      </w:r>
      <w:r>
        <w:rPr>
          <w:rFonts w:ascii="Times New Roman;Times;serif" w:hAnsi="Times New Roman;Times;serif"/>
          <w:sz w:val="20"/>
        </w:rPr>
        <w:t xml:space="preserve"> Delaware</w:t>
      </w:r>
    </w:p>
    <w:p>
      <w:pPr>
        <w:pStyle w:val="TextBody"/>
        <w:bidi w:val="0"/>
        <w:spacing w:lineRule="auto" w:line="29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92" w:before="0" w:after="0"/>
        <w:ind w:left="0" w:right="0" w:hanging="0"/>
        <w:jc w:val="right"/>
        <w:rPr>
          <w:rFonts w:ascii="Times New Roman;Times;serif" w:hAnsi="Times New Roman;Times;serif"/>
          <w:b/>
          <w:sz w:val="20"/>
        </w:rPr>
      </w:pPr>
      <w:bookmarkStart w:id="2618" w:name="Section1"/>
      <w:bookmarkStart w:id="2619" w:name="tmb-20251231xex22d1.htm"/>
      <w:bookmarkStart w:id="2620" w:name="kstmb20251231xex22d1"/>
      <w:bookmarkEnd w:id="2618"/>
      <w:bookmarkEnd w:id="2619"/>
      <w:bookmarkEnd w:id="2620"/>
      <w:r>
        <w:rPr>
          <w:rFonts w:ascii="Times New Roman;Times;serif" w:hAnsi="Times New Roman;Times;serif"/>
          <w:b/>
          <w:sz w:val="20"/>
        </w:rPr>
        <w:t>EXHIBIT 22.1</w:t>
      </w:r>
      <w:r>
        <w:br w:type="page"/>
      </w:r>
    </w:p>
    <w:p>
      <w:pPr>
        <w:pStyle w:val="TextBody"/>
        <w:bidi w:val="0"/>
        <w:spacing w:lineRule="auto" w:line="307" w:before="0" w:after="160"/>
        <w:ind w:left="0" w:right="0" w:hanging="0"/>
        <w:jc w:val="right"/>
        <w:rPr/>
      </w:pPr>
      <w:r>
        <w:rPr/>
        <w:t>​</w:t>
      </w:r>
    </w:p>
    <w:p>
      <w:pPr>
        <w:pStyle w:val="TextBody"/>
        <w:bidi w:val="0"/>
        <w:spacing w:lineRule="auto" w:line="307" w:before="0" w:after="160"/>
        <w:ind w:left="0" w:right="0" w:hanging="0"/>
        <w:jc w:val="right"/>
        <w:rPr/>
      </w:pPr>
      <w:r>
        <w:rPr/>
        <w:t>​</w:t>
      </w:r>
    </w:p>
    <w:p>
      <w:pPr>
        <w:pStyle w:val="TextBody"/>
        <w:bidi w:val="0"/>
        <w:spacing w:lineRule="auto" w:line="292" w:before="0" w:after="0"/>
        <w:ind w:left="0" w:right="0" w:hanging="0"/>
        <w:jc w:val="center"/>
        <w:rPr>
          <w:rFonts w:ascii="Times New Roman;Times;serif" w:hAnsi="Times New Roman;Times;serif"/>
          <w:b/>
          <w:sz w:val="20"/>
        </w:rPr>
      </w:pPr>
      <w:r>
        <w:rPr>
          <w:rFonts w:ascii="Times New Roman;Times;serif" w:hAnsi="Times New Roman;Times;serif"/>
          <w:b/>
          <w:sz w:val="20"/>
        </w:rPr>
        <w:t>SUBSIDIARY GUARANTOR</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 xml:space="preserve">Each of the senior notes listed below have been issued by Icahn Enterprises L.P. (“Icahn Enterprises”) and Icahn Enterprises Finance Corp. (“Icahn Enterprises Finance”), as co-issuers, and are guaranteed by Icahn Enterprises Holdings L.P. (“Icahn Enterprises Holdings”). </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 xml:space="preserve">Icahn Enterprises has a 99% limited partner interest in Icahn Enterprises Holdings, which owns substantially all the assets and liabilities of, and conducts substantially all the operations of, Icahn Enterprises. Icahn Enterprises Finance is a wholly owned finance subsidiary of Icahn Enterprises. </w:t>
      </w:r>
    </w:p>
    <w:tbl>
      <w:tblPr>
        <w:tblW w:w="2776" w:type="dxa"/>
        <w:jc w:val="left"/>
        <w:tblInd w:w="0" w:type="dxa"/>
        <w:tblLayout w:type="fixed"/>
        <w:tblCellMar>
          <w:top w:w="0" w:type="dxa"/>
          <w:left w:w="0" w:type="dxa"/>
          <w:bottom w:w="0" w:type="dxa"/>
          <w:right w:w="0" w:type="dxa"/>
        </w:tblCellMar>
      </w:tblPr>
      <w:tblGrid>
        <w:gridCol w:w="2776"/>
      </w:tblGrid>
      <w:tr>
        <w:trPr/>
        <w:tc>
          <w:tcPr>
            <w:tcW w:w="2776" w:type="dxa"/>
            <w:tcBorders/>
            <w:vAlign w:val="center"/>
          </w:tcPr>
          <w:p>
            <w:pPr>
              <w:pStyle w:val="TableContents"/>
              <w:bidi w:val="0"/>
              <w:spacing w:lineRule="auto" w:line="285" w:before="0" w:after="0"/>
              <w:ind w:left="0" w:right="0" w:hanging="0"/>
              <w:jc w:val="left"/>
              <w:rPr/>
            </w:pPr>
            <w:r>
              <w:rPr/>
              <w:t>​</w:t>
            </w:r>
          </w:p>
        </w:tc>
      </w:tr>
      <w:tr>
        <w:trPr/>
        <w:tc>
          <w:tcPr>
            <w:tcW w:w="27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6.250% senior notes due 2026</w:t>
            </w:r>
          </w:p>
        </w:tc>
      </w:tr>
      <w:tr>
        <w:trPr/>
        <w:tc>
          <w:tcPr>
            <w:tcW w:w="27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5.250% senior notes due 2027</w:t>
            </w:r>
          </w:p>
        </w:tc>
      </w:tr>
      <w:tr>
        <w:trPr/>
        <w:tc>
          <w:tcPr>
            <w:tcW w:w="27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4.375% senior notes due 2029</w:t>
            </w:r>
          </w:p>
        </w:tc>
      </w:tr>
      <w:tr>
        <w:trPr/>
        <w:tc>
          <w:tcPr>
            <w:tcW w:w="27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9.750% senior notes due 2029</w:t>
            </w:r>
          </w:p>
        </w:tc>
      </w:tr>
      <w:tr>
        <w:trPr/>
        <w:tc>
          <w:tcPr>
            <w:tcW w:w="27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10.000% senior notes due 2029 </w:t>
            </w:r>
          </w:p>
        </w:tc>
      </w:tr>
      <w:tr>
        <w:trPr/>
        <w:tc>
          <w:tcPr>
            <w:tcW w:w="27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9.000% senior notes due 2030</w:t>
            </w:r>
          </w:p>
        </w:tc>
      </w:tr>
      <w:tr>
        <w:trPr/>
        <w:tc>
          <w:tcPr>
            <w:tcW w:w="277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95" w:before="0" w:after="0"/>
        <w:ind w:left="0" w:right="0" w:hanging="0"/>
        <w:jc w:val="left"/>
        <w:rPr/>
      </w:pPr>
      <w:bookmarkStart w:id="2621" w:name="tmb-20251231xex23d1.htm"/>
      <w:bookmarkStart w:id="2622" w:name="kstmb20251231xex23d1"/>
      <w:bookmarkEnd w:id="2621"/>
      <w:bookmarkEnd w:id="2622"/>
      <w:r>
        <w:rPr/>
        <w:t>​</w:t>
      </w:r>
      <w:r>
        <w:br w:type="page"/>
      </w:r>
    </w:p>
    <w:p>
      <w:pPr>
        <w:pStyle w:val="TextBody"/>
        <w:bidi w:val="0"/>
        <w:spacing w:lineRule="auto" w:line="295" w:before="0" w:after="0"/>
        <w:ind w:left="0" w:right="0" w:hanging="0"/>
        <w:jc w:val="right"/>
        <w:rPr>
          <w:rFonts w:ascii="Times New Roman;Times;serif" w:hAnsi="Times New Roman;Times;serif"/>
          <w:b/>
          <w:sz w:val="20"/>
        </w:rPr>
      </w:pPr>
      <w:r>
        <w:rPr>
          <w:rFonts w:ascii="Times New Roman;Times;serif" w:hAnsi="Times New Roman;Times;serif"/>
          <w:b/>
          <w:sz w:val="20"/>
        </w:rPr>
        <w:t>EXHIBIT 23.1</w:t>
      </w:r>
      <w:bookmarkStart w:id="2623" w:name="Section11"/>
      <w:bookmarkEnd w:id="2623"/>
    </w:p>
    <w:p>
      <w:pPr>
        <w:pStyle w:val="TextBody"/>
        <w:bidi w:val="0"/>
        <w:spacing w:lineRule="auto" w:line="295" w:before="0" w:after="0"/>
        <w:ind w:left="0" w:right="0" w:hanging="0"/>
        <w:jc w:val="right"/>
        <w:rPr/>
      </w:pPr>
      <w:r>
        <w:rPr/>
        <w:t>​</w:t>
      </w:r>
    </w:p>
    <w:p>
      <w:pPr>
        <w:pStyle w:val="TextBody"/>
        <w:bidi w:val="0"/>
        <w:spacing w:lineRule="auto" w:line="295" w:before="0" w:after="0"/>
        <w:ind w:left="0" w:right="0" w:hanging="0"/>
        <w:jc w:val="right"/>
        <w:rPr/>
      </w:pPr>
      <w:r>
        <w:rPr/>
        <w:t>​</w:t>
      </w:r>
    </w:p>
    <w:p>
      <w:pPr>
        <w:pStyle w:val="TextBody"/>
        <w:bidi w:val="0"/>
        <w:spacing w:lineRule="auto" w:line="295"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lineRule="auto" w:line="295" w:before="0" w:after="0"/>
        <w:ind w:left="0" w:right="0" w:hanging="0"/>
        <w:jc w:val="right"/>
        <w:rPr/>
      </w:pPr>
      <w:r>
        <w:rPr/>
        <w:t>​</w:t>
      </w:r>
    </w:p>
    <w:p>
      <w:pPr>
        <w:pStyle w:val="TextBody"/>
        <w:bidi w:val="0"/>
        <w:spacing w:lineRule="auto" w:line="268" w:before="0" w:after="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have issued our reports dated February 25, 2026, with respect to the consolidated financial statements and internal control over financial reporting of Icahn Enterprises L.P. and subsidiaries included in the Annual Report of Icahn Enterprises L.P. on Form 10-K for the year ended December 31, 2025. We consent to the incorporation by reference of said reports in the Registration Statements of Icahn Enterprises L.P. and subsidiaries on Form S-3 (File No. 333-289228) and on Form S-8 (File No. 333-216934).</w:t>
      </w:r>
    </w:p>
    <w:p>
      <w:pPr>
        <w:pStyle w:val="TextBody"/>
        <w:bidi w:val="0"/>
        <w:spacing w:lineRule="auto" w:line="295" w:before="0" w:after="0"/>
        <w:ind w:left="0" w:right="0" w:hanging="0"/>
        <w:jc w:val="left"/>
        <w:rPr/>
      </w:pPr>
      <w:r>
        <w:rPr/>
        <w:t>​</w:t>
      </w:r>
    </w:p>
    <w:p>
      <w:pPr>
        <w:pStyle w:val="TextBody"/>
        <w:bidi w:val="0"/>
        <w:spacing w:lineRule="auto" w:line="295" w:before="0" w:after="0"/>
        <w:ind w:left="0" w:right="0" w:hanging="0"/>
        <w:jc w:val="left"/>
        <w:rPr>
          <w:rFonts w:ascii="Times New Roman;Times;serif" w:hAnsi="Times New Roman;Times;serif"/>
          <w:sz w:val="20"/>
        </w:rPr>
      </w:pPr>
      <w:r>
        <w:rPr>
          <w:rFonts w:ascii="Times New Roman;Times;serif" w:hAnsi="Times New Roman;Times;serif"/>
          <w:sz w:val="20"/>
        </w:rPr>
        <w:t>/s/GRANT THORNTON LLP</w:t>
      </w:r>
    </w:p>
    <w:p>
      <w:pPr>
        <w:pStyle w:val="TextBody"/>
        <w:bidi w:val="0"/>
        <w:spacing w:lineRule="auto" w:line="295" w:before="0" w:after="0"/>
        <w:ind w:left="0" w:right="0" w:hanging="0"/>
        <w:jc w:val="left"/>
        <w:rPr/>
      </w:pPr>
      <w:r>
        <w:rPr/>
        <w:t>​</w:t>
      </w:r>
    </w:p>
    <w:p>
      <w:pPr>
        <w:pStyle w:val="TextBody"/>
        <w:bidi w:val="0"/>
        <w:spacing w:lineRule="auto" w:line="295" w:before="0" w:after="0"/>
        <w:ind w:left="0" w:right="0" w:hanging="0"/>
        <w:jc w:val="left"/>
        <w:rPr>
          <w:rFonts w:ascii="Times New Roman;Times;serif" w:hAnsi="Times New Roman;Times;serif"/>
          <w:sz w:val="20"/>
        </w:rPr>
      </w:pPr>
      <w:r>
        <w:rPr>
          <w:rFonts w:ascii="Times New Roman;Times;serif" w:hAnsi="Times New Roman;Times;serif"/>
          <w:sz w:val="20"/>
        </w:rPr>
        <w:t>Fort Lauderdale, Florida</w:t>
      </w:r>
    </w:p>
    <w:p>
      <w:pPr>
        <w:pStyle w:val="TextBody"/>
        <w:bidi w:val="0"/>
        <w:spacing w:lineRule="auto" w:line="295" w:before="0" w:after="0"/>
        <w:ind w:left="0" w:right="0" w:hanging="0"/>
        <w:jc w:val="left"/>
        <w:rPr>
          <w:rFonts w:ascii="Times New Roman;Times;serif" w:hAnsi="Times New Roman;Times;serif"/>
          <w:sz w:val="20"/>
        </w:rPr>
      </w:pPr>
      <w:r>
        <w:rPr>
          <w:rFonts w:ascii="Times New Roman;Times;serif" w:hAnsi="Times New Roman;Times;serif"/>
          <w:sz w:val="20"/>
        </w:rPr>
        <w:t xml:space="preserve">February 25, 2026 </w:t>
      </w:r>
    </w:p>
    <w:p>
      <w:pPr>
        <w:pStyle w:val="TextBody"/>
        <w:bidi w:val="0"/>
        <w:spacing w:lineRule="auto" w:line="29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624" w:name="Section12"/>
      <w:bookmarkStart w:id="2625" w:name="tmb-20251231xex31d1.htm"/>
      <w:bookmarkStart w:id="2626" w:name="kstmb20251231xex31d1"/>
      <w:bookmarkEnd w:id="2624"/>
      <w:bookmarkEnd w:id="2625"/>
      <w:bookmarkEnd w:id="2626"/>
      <w:r>
        <w:rPr>
          <w:rFonts w:ascii="Times New Roman;Times;serif" w:hAnsi="Times New Roman;Times;serif"/>
          <w:b/>
          <w:sz w:val="20"/>
        </w:rPr>
        <w:t>EXHIBIT 31.1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302(a) of the Sarbanes Oxley Act of 2002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 13a-14(a)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Andrew Teno,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annual report on Form 10-K of Icahn Enterprises L.P. for the year ended December 31, 2025;</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360"/>
        <w:jc w:val="left"/>
        <w:rPr/>
      </w:pPr>
      <w:r>
        <w:rPr/>
        <w:t>  </w:t>
      </w:r>
    </w:p>
    <w:tbl>
      <w:tblPr>
        <w:tblW w:w="169" w:type="dxa"/>
        <w:jc w:val="righ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4">
                      <wp:simplePos x="0" y="0"/>
                      <wp:positionH relativeFrom="character">
                        <wp:align>left</wp:align>
                      </wp:positionH>
                      <wp:positionV relativeFrom="line">
                        <wp:posOffset>635</wp:posOffset>
                      </wp:positionV>
                      <wp:extent cx="107315" cy="175260"/>
                      <wp:effectExtent l="0" t="0" r="0" b="0"/>
                      <wp:wrapNone/>
                      <wp:docPr id="1413" name="Frame1413"/>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5">
                      <wp:simplePos x="0" y="0"/>
                      <wp:positionH relativeFrom="character">
                        <wp:align>left</wp:align>
                      </wp:positionH>
                      <wp:positionV relativeFrom="line">
                        <wp:posOffset>635</wp:posOffset>
                      </wp:positionV>
                      <wp:extent cx="107315" cy="1646555"/>
                      <wp:effectExtent l="0" t="0" r="0" b="0"/>
                      <wp:wrapNone/>
                      <wp:docPr id="1414" name="Frame1414"/>
                      <a:graphic xmlns:a="http://schemas.openxmlformats.org/drawingml/2006/main">
                        <a:graphicData uri="http://schemas.microsoft.com/office/word/2010/wordprocessingShape">
                          <wps:wsp>
                            <wps:cNvSpPr txBox="1"/>
                            <wps:spPr>
                              <a:xfrm>
                                <a:off x="0" y="0"/>
                                <a:ext cx="107315" cy="164655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29.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/s/Andrew Teno</w:t>
                            </w:r>
                          </w:p>
                        </w:txbxContent>
                      </v:textbox>
                      <w10:wrap type="none"/>
                    </v:rect>
                  </w:pict>
                </mc:Fallback>
              </mc:AlternateContent>
            </w:r>
          </w:p>
        </w:tc>
      </w:tr>
      <w:tr>
        <w:trPr/>
        <w:tc>
          <w:tcPr>
            <w:tcW w:w="169" w:type="dxa"/>
            <w:tcBorders>
              <w:top w:val="single" w:sz="16"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6">
                      <wp:simplePos x="0" y="0"/>
                      <wp:positionH relativeFrom="character">
                        <wp:align>left</wp:align>
                      </wp:positionH>
                      <wp:positionV relativeFrom="line">
                        <wp:posOffset>635</wp:posOffset>
                      </wp:positionV>
                      <wp:extent cx="107315" cy="1330325"/>
                      <wp:effectExtent l="0" t="0" r="0" b="0"/>
                      <wp:wrapNone/>
                      <wp:docPr id="1415" name="Frame1415"/>
                      <a:graphic xmlns:a="http://schemas.openxmlformats.org/drawingml/2006/main">
                        <a:graphicData uri="http://schemas.microsoft.com/office/word/2010/wordprocessingShape">
                          <wps:wsp>
                            <wps:cNvSpPr txBox="1"/>
                            <wps:spPr>
                              <a:xfrm>
                                <a:off x="0" y="0"/>
                                <a:ext cx="107315" cy="133032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04.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v:textbox>
                      <w10:wrap type="none"/>
                    </v:rect>
                  </w:pict>
                </mc:Fallback>
              </mc:AlternateContent>
            </w:r>
          </w:p>
        </w:tc>
      </w:tr>
      <w:tr>
        <w:trPr/>
        <w:tc>
          <w:tcPr>
            <w:tcW w:w="169"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17">
                      <wp:simplePos x="0" y="0"/>
                      <wp:positionH relativeFrom="character">
                        <wp:align>left</wp:align>
                      </wp:positionH>
                      <wp:positionV relativeFrom="line">
                        <wp:posOffset>635</wp:posOffset>
                      </wp:positionV>
                      <wp:extent cx="107315" cy="1685925"/>
                      <wp:effectExtent l="0" t="0" r="0" b="0"/>
                      <wp:wrapNone/>
                      <wp:docPr id="1416" name="Frame1416"/>
                      <a:graphic xmlns:a="http://schemas.openxmlformats.org/drawingml/2006/main">
                        <a:graphicData uri="http://schemas.microsoft.com/office/word/2010/wordprocessingShape">
                          <wps:wsp>
                            <wps:cNvSpPr txBox="1"/>
                            <wps:spPr>
                              <a:xfrm>
                                <a:off x="0" y="0"/>
                                <a:ext cx="107315" cy="168592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President and Chief Executive Officer of Icahn Enterprises G.P. Inc., the general partner of Icahn Enterprises L.P.</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2.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President and Chief Executive Officer of Icahn Enterprises G.P. Inc., the general partner of Icahn Enterprises L.P.</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February 25, 2026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627" w:name="Section13"/>
      <w:bookmarkStart w:id="2628" w:name="tmb-20251231xex31d2.htm"/>
      <w:bookmarkStart w:id="2629" w:name="kstmb20251231xex31d2"/>
      <w:bookmarkEnd w:id="2627"/>
      <w:bookmarkEnd w:id="2628"/>
      <w:bookmarkEnd w:id="2629"/>
      <w:r>
        <w:rPr>
          <w:rFonts w:ascii="Times New Roman;Times;serif" w:hAnsi="Times New Roman;Times;serif"/>
          <w:b/>
          <w:sz w:val="20"/>
        </w:rPr>
        <w:t>EXHIBIT 31.2</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302(a) of the Sarbanes Oxley Act of 2002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 13a-14(a)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Ted Papapostolou,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annual report on Form 10-K of Icahn Enterprises L.P. for the year ended December 31, 2025;</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left"/>
        <w:rPr/>
      </w:pPr>
      <w:r>
        <w:rPr/>
        <w:t>​</w:t>
      </w:r>
    </w:p>
    <w:p>
      <w:pPr>
        <w:pStyle w:val="TextBody"/>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360" w:right="0" w:firstLine="360"/>
        <w:jc w:val="left"/>
        <w:rPr/>
      </w:pPr>
      <w:r>
        <w:rPr/>
        <w:t>​</w:t>
      </w:r>
    </w:p>
    <w:p>
      <w:pPr>
        <w:pStyle w:val="TextBody"/>
        <w:bidi w:val="0"/>
        <w:spacing w:before="0" w:after="0"/>
        <w:ind w:left="360" w:right="0" w:firstLine="360"/>
        <w:jc w:val="left"/>
        <w:rPr/>
      </w:pPr>
      <w:r>
        <w:rPr/>
        <w:t>​</w:t>
      </w:r>
    </w:p>
    <w:p>
      <w:pPr>
        <w:pStyle w:val="TextBody"/>
        <w:bidi w:val="0"/>
        <w:spacing w:before="0" w:after="0"/>
        <w:ind w:left="0" w:right="0" w:firstLine="360"/>
        <w:jc w:val="left"/>
        <w:rPr/>
      </w:pPr>
      <w:r>
        <w:rPr/>
        <w:t>  </w:t>
      </w:r>
    </w:p>
    <w:tbl>
      <w:tblPr>
        <w:tblW w:w="8011" w:type="dxa"/>
        <w:jc w:val="right"/>
        <w:tblInd w:w="0" w:type="dxa"/>
        <w:tblLayout w:type="fixed"/>
        <w:tblCellMar>
          <w:top w:w="0" w:type="dxa"/>
          <w:left w:w="0" w:type="dxa"/>
          <w:bottom w:w="0" w:type="dxa"/>
          <w:right w:w="0" w:type="dxa"/>
        </w:tblCellMar>
      </w:tblPr>
      <w:tblGrid>
        <w:gridCol w:w="8011"/>
      </w:tblGrid>
      <w:tr>
        <w:trPr/>
        <w:tc>
          <w:tcPr>
            <w:tcW w:w="8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8">
                      <wp:simplePos x="0" y="0"/>
                      <wp:positionH relativeFrom="character">
                        <wp:align>left</wp:align>
                      </wp:positionH>
                      <wp:positionV relativeFrom="line">
                        <wp:posOffset>635</wp:posOffset>
                      </wp:positionV>
                      <wp:extent cx="5086985" cy="175260"/>
                      <wp:effectExtent l="0" t="0" r="0" b="0"/>
                      <wp:wrapNone/>
                      <wp:docPr id="1417" name="Frame1417"/>
                      <a:graphic xmlns:a="http://schemas.openxmlformats.org/drawingml/2006/main">
                        <a:graphicData uri="http://schemas.microsoft.com/office/word/2010/wordprocessingShape">
                          <wps:wsp>
                            <wps:cNvSpPr txBox="1"/>
                            <wps:spPr>
                              <a:xfrm>
                                <a:off x="0" y="0"/>
                                <a:ext cx="508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011" w:type="dxa"/>
            <w:tcBorders/>
            <w:vAlign w:val="center"/>
          </w:tcPr>
          <w:p>
            <w:pPr>
              <w:pStyle w:val="TableContents"/>
              <w:bidi w:val="0"/>
              <w:spacing w:before="0" w:after="0"/>
              <w:ind w:left="0" w:right="0" w:hanging="0"/>
              <w:jc w:val="left"/>
              <w:rPr/>
            </w:pPr>
            <w:r>
              <w:rPr/>
              <w:t>​</w:t>
            </w:r>
          </w:p>
        </w:tc>
      </w:tr>
      <w:tr>
        <w:trPr/>
        <w:tc>
          <w:tcPr>
            <w:tcW w:w="80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/s/Ted Papapostolou</w:t>
            </w:r>
          </w:p>
        </w:tc>
      </w:tr>
      <w:tr>
        <w:trPr/>
        <w:tc>
          <w:tcPr>
            <w:tcW w:w="8011" w:type="dxa"/>
            <w:tcBorders>
              <w:top w:val="single" w:sz="18" w:space="0" w:color="000000"/>
            </w:tcBorders>
            <w:tcMar>
              <w:top w:w="28" w:type="dxa"/>
            </w:tcMar>
            <w:vAlign w:val="center"/>
          </w:tcPr>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c>
      </w:tr>
      <w:tr>
        <w:trPr/>
        <w:tc>
          <w:tcPr>
            <w:tcW w:w="8011" w:type="dxa"/>
            <w:tcBorders/>
            <w:vAlign w:val="center"/>
          </w:tcPr>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Chief Financial Officer of Icahn Enterprises G.P. Inc., the general partner of Icahn Enterprises L.P.</w:t>
            </w:r>
          </w:p>
          <w:p>
            <w:pPr>
              <w:pStyle w:val="TableContents"/>
              <w:bidi w:val="0"/>
              <w:spacing w:lineRule="auto" w:line="237" w:before="75" w:after="3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February 25, 2026 </w:t>
      </w:r>
    </w:p>
    <w:p>
      <w:pPr>
        <w:pStyle w:val="HorizontalLine"/>
        <w:pBdr>
          <w:bottom w:val="double" w:sz="2" w:space="0" w:color="808080"/>
        </w:pBdr>
        <w:bidi w:val="0"/>
        <w:spacing w:before="0" w:after="283"/>
        <w:jc w:val="left"/>
        <w:rPr/>
      </w:pPr>
      <w:r>
        <w:rPr/>
      </w:r>
    </w:p>
    <w:p>
      <w:pPr>
        <w:pStyle w:val="TextBody"/>
        <w:bidi w:val="0"/>
        <w:spacing w:before="0" w:after="0"/>
        <w:ind w:left="0" w:right="0" w:firstLine="360"/>
        <w:jc w:val="right"/>
        <w:rPr>
          <w:rFonts w:ascii="Times New Roman;Times;serif" w:hAnsi="Times New Roman;Times;serif"/>
          <w:b/>
          <w:sz w:val="20"/>
        </w:rPr>
      </w:pPr>
      <w:bookmarkStart w:id="2630" w:name="Section14"/>
      <w:bookmarkStart w:id="2631" w:name="tmb-20251231xex32d1.htm"/>
      <w:bookmarkStart w:id="2632" w:name="kstmb20251231xex32d1"/>
      <w:bookmarkEnd w:id="2630"/>
      <w:bookmarkEnd w:id="2631"/>
      <w:bookmarkEnd w:id="2632"/>
      <w:r>
        <w:rPr>
          <w:rFonts w:ascii="Times New Roman;Times;serif" w:hAnsi="Times New Roman;Times;serif"/>
          <w:b/>
          <w:sz w:val="20"/>
        </w:rPr>
        <w:t>EXHIBIT 32.1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 Oxley Act of 2002 (18 U.S.C. 1350)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13a-14(b) of the Securities Exchange Act of 1934</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annual report on Form 10-K of Icahn Enterprises L.P., for the year ended December 31, 2025, the undersigned certify that, to the best of his knowledge, based upon a review of the Icahn Enterprises L.P. annual report on Form 10-K for the year ended December 31, 2025:</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registrant.</w:t>
      </w:r>
    </w:p>
    <w:p>
      <w:pPr>
        <w:pStyle w:val="TextBody"/>
        <w:bidi w:val="0"/>
        <w:spacing w:before="0" w:after="0"/>
        <w:ind w:left="0" w:right="0" w:hanging="0"/>
        <w:jc w:val="left"/>
        <w:rPr/>
      </w:pPr>
      <w:r>
        <w:rPr/>
        <w:t> </w:t>
      </w:r>
    </w:p>
    <w:tbl>
      <w:tblPr>
        <w:tblW w:w="169" w:type="dxa"/>
        <w:jc w:val="righ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9">
                      <wp:simplePos x="0" y="0"/>
                      <wp:positionH relativeFrom="character">
                        <wp:align>left</wp:align>
                      </wp:positionH>
                      <wp:positionV relativeFrom="line">
                        <wp:posOffset>635</wp:posOffset>
                      </wp:positionV>
                      <wp:extent cx="107315" cy="175260"/>
                      <wp:effectExtent l="0" t="0" r="0" b="0"/>
                      <wp:wrapNone/>
                      <wp:docPr id="1418" name="Frame1418"/>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0">
                      <wp:simplePos x="0" y="0"/>
                      <wp:positionH relativeFrom="character">
                        <wp:align>left</wp:align>
                      </wp:positionH>
                      <wp:positionV relativeFrom="line">
                        <wp:posOffset>635</wp:posOffset>
                      </wp:positionV>
                      <wp:extent cx="107315" cy="1646555"/>
                      <wp:effectExtent l="0" t="0" r="0" b="0"/>
                      <wp:wrapNone/>
                      <wp:docPr id="1419" name="Frame1419"/>
                      <a:graphic xmlns:a="http://schemas.openxmlformats.org/drawingml/2006/main">
                        <a:graphicData uri="http://schemas.microsoft.com/office/word/2010/wordprocessingShape">
                          <wps:wsp>
                            <wps:cNvSpPr txBox="1"/>
                            <wps:spPr>
                              <a:xfrm>
                                <a:off x="0" y="0"/>
                                <a:ext cx="107315" cy="164655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29.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/s/Andrew Teno</w:t>
                            </w:r>
                          </w:p>
                        </w:txbxContent>
                      </v:textbox>
                      <w10:wrap type="none"/>
                    </v:rect>
                  </w:pict>
                </mc:Fallback>
              </mc:AlternateContent>
            </w:r>
          </w:p>
        </w:tc>
      </w:tr>
      <w:tr>
        <w:trPr/>
        <w:tc>
          <w:tcPr>
            <w:tcW w:w="169" w:type="dxa"/>
            <w:tcBorders>
              <w:top w:val="single" w:sz="16"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1">
                      <wp:simplePos x="0" y="0"/>
                      <wp:positionH relativeFrom="character">
                        <wp:align>left</wp:align>
                      </wp:positionH>
                      <wp:positionV relativeFrom="line">
                        <wp:posOffset>635</wp:posOffset>
                      </wp:positionV>
                      <wp:extent cx="107315" cy="1330325"/>
                      <wp:effectExtent l="0" t="0" r="0" b="0"/>
                      <wp:wrapNone/>
                      <wp:docPr id="1420" name="Frame1420"/>
                      <a:graphic xmlns:a="http://schemas.openxmlformats.org/drawingml/2006/main">
                        <a:graphicData uri="http://schemas.microsoft.com/office/word/2010/wordprocessingShape">
                          <wps:wsp>
                            <wps:cNvSpPr txBox="1"/>
                            <wps:spPr>
                              <a:xfrm>
                                <a:off x="0" y="0"/>
                                <a:ext cx="107315" cy="133032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04.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Andrew Teno</w:t>
                            </w:r>
                          </w:p>
                        </w:txbxContent>
                      </v:textbox>
                      <w10:wrap type="none"/>
                    </v:rect>
                  </w:pict>
                </mc:Fallback>
              </mc:AlternateContent>
            </w:r>
          </w:p>
        </w:tc>
      </w:tr>
      <w:tr>
        <w:trPr/>
        <w:tc>
          <w:tcPr>
            <w:tcW w:w="169"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22">
                      <wp:simplePos x="0" y="0"/>
                      <wp:positionH relativeFrom="character">
                        <wp:align>left</wp:align>
                      </wp:positionH>
                      <wp:positionV relativeFrom="line">
                        <wp:posOffset>635</wp:posOffset>
                      </wp:positionV>
                      <wp:extent cx="107315" cy="6783705"/>
                      <wp:effectExtent l="0" t="0" r="0" b="0"/>
                      <wp:wrapNone/>
                      <wp:docPr id="1421" name="Frame1421"/>
                      <a:graphic xmlns:a="http://schemas.openxmlformats.org/drawingml/2006/main">
                        <a:graphicData uri="http://schemas.microsoft.com/office/word/2010/wordprocessingShape">
                          <wps:wsp>
                            <wps:cNvSpPr txBox="1"/>
                            <wps:spPr>
                              <a:xfrm>
                                <a:off x="0" y="0"/>
                                <a:ext cx="107315" cy="678370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President and Chief Executive Officer of Icahn Enterprises G.P. Inc., the general partner of Icahn Enterprises L.P.</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534.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President and Chief Executive Officer of Icahn Enterprises G.P. Inc., the general partner of Icahn Enterprises L.P.</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25, 2026</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169" w:type="dxa"/>
        <w:jc w:val="righ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3">
                      <wp:simplePos x="0" y="0"/>
                      <wp:positionH relativeFrom="character">
                        <wp:align>left</wp:align>
                      </wp:positionH>
                      <wp:positionV relativeFrom="line">
                        <wp:posOffset>635</wp:posOffset>
                      </wp:positionV>
                      <wp:extent cx="107315" cy="175260"/>
                      <wp:effectExtent l="0" t="0" r="0" b="0"/>
                      <wp:wrapNone/>
                      <wp:docPr id="1422" name="Frame1422"/>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4">
                      <wp:simplePos x="0" y="0"/>
                      <wp:positionH relativeFrom="character">
                        <wp:align>left</wp:align>
                      </wp:positionH>
                      <wp:positionV relativeFrom="line">
                        <wp:posOffset>635</wp:posOffset>
                      </wp:positionV>
                      <wp:extent cx="107315" cy="2228215"/>
                      <wp:effectExtent l="0" t="0" r="0" b="0"/>
                      <wp:wrapNone/>
                      <wp:docPr id="1423" name="Frame1423"/>
                      <a:graphic xmlns:a="http://schemas.openxmlformats.org/drawingml/2006/main">
                        <a:graphicData uri="http://schemas.microsoft.com/office/word/2010/wordprocessingShape">
                          <wps:wsp>
                            <wps:cNvSpPr txBox="1"/>
                            <wps:spPr>
                              <a:xfrm>
                                <a:off x="0" y="0"/>
                                <a:ext cx="107315" cy="2228215"/>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/s/Ted Papapostolou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75.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/s/Ted Papapostolou</w:t>
                            </w:r>
                          </w:p>
                        </w:txbxContent>
                      </v:textbox>
                      <w10:wrap type="none"/>
                    </v:rect>
                  </w:pict>
                </mc:Fallback>
              </mc:AlternateContent>
            </w:r>
          </w:p>
        </w:tc>
      </w:tr>
      <w:tr>
        <w:trPr/>
        <w:tc>
          <w:tcPr>
            <w:tcW w:w="169" w:type="dxa"/>
            <w:tcBorders>
              <w:top w:val="single" w:sz="16"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5">
                      <wp:simplePos x="0" y="0"/>
                      <wp:positionH relativeFrom="character">
                        <wp:align>left</wp:align>
                      </wp:positionH>
                      <wp:positionV relativeFrom="line">
                        <wp:posOffset>635</wp:posOffset>
                      </wp:positionV>
                      <wp:extent cx="107315" cy="1911985"/>
                      <wp:effectExtent l="0" t="0" r="0" b="0"/>
                      <wp:wrapNone/>
                      <wp:docPr id="1424" name="Frame1424"/>
                      <a:graphic xmlns:a="http://schemas.openxmlformats.org/drawingml/2006/main">
                        <a:graphicData uri="http://schemas.microsoft.com/office/word/2010/wordprocessingShape">
                          <wps:wsp>
                            <wps:cNvSpPr txBox="1"/>
                            <wps:spPr>
                              <a:xfrm>
                                <a:off x="0" y="0"/>
                                <a:ext cx="107315" cy="1911985"/>
                              </a:xfrm>
                              <a:prstGeom prst="rect"/>
                              <a:solidFill>
                                <a:srgbClr val="FFFFFF"/>
                              </a:solidFill>
                            </wps:spPr>
                            <wps:txb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50.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35" w:after="30"/>
                              <w:ind w:left="0" w:right="0" w:hanging="0"/>
                              <w:jc w:val="left"/>
                              <w:rPr>
                                <w:rFonts w:ascii="Times New Roman;Times;serif" w:hAnsi="Times New Roman;Times;serif"/>
                                <w:sz w:val="20"/>
                              </w:rPr>
                            </w:pPr>
                            <w:r>
                              <w:rPr>
                                <w:rFonts w:ascii="Times New Roman;Times;serif" w:hAnsi="Times New Roman;Times;serif"/>
                                <w:sz w:val="20"/>
                              </w:rPr>
                              <w:t>Ted Papapostolou</w:t>
                            </w:r>
                          </w:p>
                        </w:txbxContent>
                      </v:textbox>
                      <w10:wrap type="none"/>
                    </v:rect>
                  </w:pict>
                </mc:Fallback>
              </mc:AlternateContent>
            </w:r>
          </w:p>
        </w:tc>
      </w:tr>
      <w:tr>
        <w:trPr/>
        <w:tc>
          <w:tcPr>
            <w:tcW w:w="169"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26">
                      <wp:simplePos x="0" y="0"/>
                      <wp:positionH relativeFrom="character">
                        <wp:align>left</wp:align>
                      </wp:positionH>
                      <wp:positionV relativeFrom="line">
                        <wp:posOffset>635</wp:posOffset>
                      </wp:positionV>
                      <wp:extent cx="107315" cy="5232400"/>
                      <wp:effectExtent l="0" t="0" r="0" b="0"/>
                      <wp:wrapNone/>
                      <wp:docPr id="1425" name="Frame1425"/>
                      <a:graphic xmlns:a="http://schemas.openxmlformats.org/drawingml/2006/main">
                        <a:graphicData uri="http://schemas.microsoft.com/office/word/2010/wordprocessingShape">
                          <wps:wsp>
                            <wps:cNvSpPr txBox="1"/>
                            <wps:spPr>
                              <a:xfrm>
                                <a:off x="0" y="0"/>
                                <a:ext cx="107315" cy="5232400"/>
                              </a:xfrm>
                              <a:prstGeom prst="rect"/>
                              <a:solidFill>
                                <a:srgbClr val="FFFFFF"/>
                              </a:solidFill>
                            </wps:spPr>
                            <wps:txb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Chief Financial Officer of Icahn Enterprises G.P. Inc., the general partner of Icahn Enterprises L.P.</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41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37" w:before="75" w:after="30"/>
                              <w:ind w:left="0" w:right="0" w:hanging="0"/>
                              <w:jc w:val="left"/>
                              <w:rPr>
                                <w:rFonts w:ascii="Times New Roman;Times;serif" w:hAnsi="Times New Roman;Times;serif"/>
                                <w:sz w:val="20"/>
                              </w:rPr>
                            </w:pPr>
                            <w:r>
                              <w:rPr>
                                <w:rFonts w:ascii="Times New Roman;Times;serif" w:hAnsi="Times New Roman;Times;serif"/>
                                <w:sz w:val="20"/>
                              </w:rPr>
                              <w:t>Chief Financial Officer of Icahn Enterprises G.P. Inc., the general partner of Icahn Enterprises L.P.</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25,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
    <w:charset w:val="01"/>
    <w:family w:val="auto"/>
    <w:pitch w:val="default"/>
  </w:font>
  <w:font w:name="TimesNRMTPro">
    <w:charset w:val="01"/>
    <w:family w:val="auto"/>
    <w:pitch w:val="default"/>
  </w:font>
  <w:font w:name="TimesNewRoman-Italic">
    <w:charset w:val="01"/>
    <w:family w:val="auto"/>
    <w:pitch w:val="default"/>
  </w:font>
  <w:font w:name="TimesNewRomanPSMT">
    <w:charset w:val="01"/>
    <w:family w:val="auto"/>
    <w:pitch w:val="default"/>
  </w:font>
  <w:font w:name="Times">
    <w:altName w:val="Times New Roman"/>
    <w:charset w:val="01"/>
    <w:family w:val="auto"/>
    <w:pitch w:val="default"/>
  </w:font>
  <w:font w:name="Helvetica">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813762/000155837025001612/tmb-20241231x10k.htm" TargetMode="External"/><Relationship Id="rId3" Type="http://schemas.openxmlformats.org/officeDocument/2006/relationships/hyperlink" Target="https://www.sec.gov/ix?doc=/Archives/edgar/data/813762/000155837025001612/tmb-20241231x10k.htm" TargetMode="External"/><Relationship Id="rId4" Type="http://schemas.openxmlformats.org/officeDocument/2006/relationships/hyperlink" Target="https://www.sec.gov/Archives/edgar/data/813762/000110465916143329/a16-17984_1ex2d1.htm" TargetMode="External"/><Relationship Id="rId5" Type="http://schemas.openxmlformats.org/officeDocument/2006/relationships/hyperlink" Target="https://www.sec.gov/Archives/edgar/data/813762/000114420416140174/v449727_ex2-1.htm" TargetMode="External"/><Relationship Id="rId6" Type="http://schemas.openxmlformats.org/officeDocument/2006/relationships/hyperlink" Target="https://www.sec.gov/Archives/edgar/data/813762/000119312518112277/d554615dex21.htm" TargetMode="External"/><Relationship Id="rId7" Type="http://schemas.openxmlformats.org/officeDocument/2006/relationships/hyperlink" Target="https://www.sec.gov/Archives/edgar/data/813762/000110465918024062/a18-11003_1ex2d1.htm" TargetMode="External"/><Relationship Id="rId8" Type="http://schemas.openxmlformats.org/officeDocument/2006/relationships/hyperlink" Target="https://www.sec.gov/Archives/edgar/data/813762/000114036118040981/s002486x3_ex2-1.htm" TargetMode="External"/><Relationship Id="rId9" Type="http://schemas.openxmlformats.org/officeDocument/2006/relationships/hyperlink" Target="https://www.sec.gov/Archives/edgar/data/813762/000114420407050385/v088216_ex3-1.htm" TargetMode="External"/><Relationship Id="rId10" Type="http://schemas.openxmlformats.org/officeDocument/2006/relationships/hyperlink" Target="https://www.sec.gov/Archives/edgar/data/813762/000114420408015862/v106776_ex3-9.htm" TargetMode="External"/><Relationship Id="rId11" Type="http://schemas.openxmlformats.org/officeDocument/2006/relationships/hyperlink" Target="https://www.sec.gov/Archives/edgar/data/813762/000155837025001612/tmb-20241231xex3d3.htm" TargetMode="External"/><Relationship Id="rId12" Type="http://schemas.openxmlformats.org/officeDocument/2006/relationships/hyperlink" Target="https://www.sec.gov/Archives/edgar/data/813762/000155837025001612/tmb-20241231xex3d3.htm" TargetMode="External"/><Relationship Id="rId13" Type="http://schemas.openxmlformats.org/officeDocument/2006/relationships/hyperlink" Target="https://www.sec.gov/Archives/edgar/data/813762/000155837025001612/tmb-20241231xex3d3.htm" TargetMode="External"/><Relationship Id="rId14" Type="http://schemas.openxmlformats.org/officeDocument/2006/relationships/hyperlink" Target="https://www.sec.gov/Archives/edgar/data/813762/000155837025001612/tmb-20241231xex3d4.htm" TargetMode="External"/><Relationship Id="rId15" Type="http://schemas.openxmlformats.org/officeDocument/2006/relationships/hyperlink" Target="https://www.sec.gov/Archives/edgar/data/813762/000155837025001612/tmb-20241231xex3d4.htm" TargetMode="External"/><Relationship Id="rId16" Type="http://schemas.openxmlformats.org/officeDocument/2006/relationships/hyperlink" Target="https://www.sec.gov/Archives/edgar/data/813762/000155837025001612/tmb-20241231xex3d4.htm" TargetMode="External"/><Relationship Id="rId17" Type="http://schemas.openxmlformats.org/officeDocument/2006/relationships/hyperlink" Target="https://www.sec.gov/Archives/edgar/data/813762/000155837025001612/tmb-20241231xex3d4.htm" TargetMode="External"/><Relationship Id="rId18" Type="http://schemas.openxmlformats.org/officeDocument/2006/relationships/hyperlink" Target="https://www.sec.gov/Archives/edgar/data/813762/000155837025001612/tmb-20241231xex3d4.htm" TargetMode="External"/><Relationship Id="rId19" Type="http://schemas.openxmlformats.org/officeDocument/2006/relationships/hyperlink" Target="https://www.sec.gov/Archives/edgar/data/813762/000081376220000008/ex41123119.htm" TargetMode="External"/><Relationship Id="rId20" Type="http://schemas.openxmlformats.org/officeDocument/2006/relationships/hyperlink" Target="https://www.sec.gov/Archives/edgar/data/813762/000095012305003242/y06341exv4w4.htm" TargetMode="External"/><Relationship Id="rId21" Type="http://schemas.openxmlformats.org/officeDocument/2006/relationships/hyperlink" Target="https://www.sec.gov/Archives/edgar/data/813762/000095012305003242/y06341exv4w3.htm" TargetMode="External"/><Relationship Id="rId22" Type="http://schemas.openxmlformats.org/officeDocument/2006/relationships/hyperlink" Target="https://www.sec.gov/Archives/edgar/data/813762/000081376216000089/iep-ex41_certificatex8416.htm" TargetMode="External"/><Relationship Id="rId23" Type="http://schemas.openxmlformats.org/officeDocument/2006/relationships/hyperlink" Target="https://www.sec.gov/Archives/edgar/data/813762/0000897204-95-000016.txt" TargetMode="External"/><Relationship Id="rId24" Type="http://schemas.openxmlformats.org/officeDocument/2006/relationships/hyperlink" Target="https://www.sec.gov/Archives/edgar/data/813762/000095012305003242/y06341exv10w2.htm" TargetMode="External"/><Relationship Id="rId25" Type="http://schemas.openxmlformats.org/officeDocument/2006/relationships/hyperlink" Target="https://www.sec.gov/Archives/edgar/data/813762/000114420407041620/v083035_ex10-5.htm" TargetMode="External"/><Relationship Id="rId26" Type="http://schemas.openxmlformats.org/officeDocument/2006/relationships/hyperlink" Target="https://www.sec.gov/Archives/edgar/data/813762/000155837023013424/tmb-20230630xex4d1.htm" TargetMode="External"/><Relationship Id="rId27" Type="http://schemas.openxmlformats.org/officeDocument/2006/relationships/hyperlink" Target="https://www.sec.gov/Archives/edgar/data/813762/000114420419025269/tv521264_ex4-1.htm" TargetMode="External"/><Relationship Id="rId28" Type="http://schemas.openxmlformats.org/officeDocument/2006/relationships/hyperlink" Target="https://www.sec.gov/Archives/edgar/data/813762/000110465919072211/tm1925028d1_ex4-1.htm" TargetMode="External"/><Relationship Id="rId29" Type="http://schemas.openxmlformats.org/officeDocument/2006/relationships/hyperlink" Target="https://www.sec.gov/Archives/edgar/data/813762/000110465921005325/tm213465d1_ex4-1.htm" TargetMode="External"/><Relationship Id="rId30" Type="http://schemas.openxmlformats.org/officeDocument/2006/relationships/hyperlink" Target="https://www.sec.gov/Archives/edgar/data/813762/000110465921005325/tm213465d1_ex4-1.htm" TargetMode="External"/><Relationship Id="rId31" Type="http://schemas.openxmlformats.org/officeDocument/2006/relationships/hyperlink" Target="https://www.sec.gov/Archives/edgar/data/813762/000110465924065621/tm2415571d1_ex4-1.htm" TargetMode="External"/><Relationship Id="rId32" Type="http://schemas.openxmlformats.org/officeDocument/2006/relationships/hyperlink" Target="https://www.sec.gov/Archives/edgar/data/813762/000110465924121171/tm2428963d1_ex4-1.htm" TargetMode="External"/><Relationship Id="rId33" Type="http://schemas.openxmlformats.org/officeDocument/2006/relationships/hyperlink" Target="https://www.sec.gov/Archives/edgar/data/813762/000110465925080340/tm2523846d1_ex4-2.htm" TargetMode="External"/><Relationship Id="rId34" Type="http://schemas.openxmlformats.org/officeDocument/2006/relationships/hyperlink" Target="https://www.sec.gov/Archives/edgar/data/813762/000119312518290879/d629636dex41.htm" TargetMode="External"/><Relationship Id="rId35" Type="http://schemas.openxmlformats.org/officeDocument/2006/relationships/hyperlink" Target="https://www.sec.gov/Archives/edgar/data/813762/0000897204-95-000029.txt" TargetMode="External"/><Relationship Id="rId36" Type="http://schemas.openxmlformats.org/officeDocument/2006/relationships/hyperlink" Target="https://www.sec.gov/Archives/edgar/data/813762/000095012306003289/y18546exv10w42.htm" TargetMode="External"/><Relationship Id="rId37" Type="http://schemas.openxmlformats.org/officeDocument/2006/relationships/hyperlink" Target="https://www.sec.gov/Archives/edgar/data/813762/000114420407041620/v083035_ex10-4.htm" TargetMode="External"/><Relationship Id="rId38" Type="http://schemas.openxmlformats.org/officeDocument/2006/relationships/hyperlink" Target="https://www.sec.gov/Archives/edgar/data/813762/000110465920111049/tm2032213d1_ex10-1.htm" TargetMode="External"/><Relationship Id="rId39" Type="http://schemas.openxmlformats.org/officeDocument/2006/relationships/hyperlink" Target="https://www.sec.gov/Archives/edgar/data/813762/000155837022007610/tmb-20220331xex10d1.htm" TargetMode="External"/><Relationship Id="rId40" Type="http://schemas.openxmlformats.org/officeDocument/2006/relationships/hyperlink" Target="https://www.sec.gov/Archives/edgar/data/813762/000110465920111049/tm2032213d1_ex10-2.htm" TargetMode="External"/><Relationship Id="rId41" Type="http://schemas.openxmlformats.org/officeDocument/2006/relationships/hyperlink" Target="https://www.sec.gov/Archives/edgar/data/813762/000110465920111049/tm2032213d1_ex10-3.htm" TargetMode="External"/><Relationship Id="rId42" Type="http://schemas.openxmlformats.org/officeDocument/2006/relationships/hyperlink" Target="https://www.sec.gov/Archives/edgar/data/813762/000114420417016517/v462430_ex99-1.htm" TargetMode="External"/><Relationship Id="rId43" Type="http://schemas.openxmlformats.org/officeDocument/2006/relationships/hyperlink" Target="https://www.sec.gov/Archives/edgar/data/0000813762/000110465921049335/tm2112709d1_ex10-1.htm" TargetMode="External"/><Relationship Id="rId44" Type="http://schemas.openxmlformats.org/officeDocument/2006/relationships/hyperlink" Target="https://www.sec.gov/Archives/edgar/data/813762/000110465924103732/tm2425070d1_ex10-1.htm" TargetMode="External"/><Relationship Id="rId45" Type="http://schemas.openxmlformats.org/officeDocument/2006/relationships/hyperlink" Target="https://www.sec.gov/Archives/edgar/data/813762/000081376212000064/iep-ex141_93012xcodeofethi.htm" TargetMode="External"/><Relationship Id="rId46" Type="http://schemas.openxmlformats.org/officeDocument/2006/relationships/hyperlink" Target="https://www.sec.gov/Archives/edgar/data/813762/000155837025001612/tmb-20241231xex19d1.htm" TargetMode="External"/><Relationship Id="rId47" Type="http://schemas.openxmlformats.org/officeDocument/2006/relationships/hyperlink" Target="https://www.sec.gov/Archives/edgar/data/813762/000155837025001612/tmb-20241231xex19d1.htm" TargetMode="External"/><Relationship Id="rId48" Type="http://schemas.openxmlformats.org/officeDocument/2006/relationships/hyperlink" Target="https://www.sec.gov/Archives/edgar/data/813762/000155837025001612/tmb-20241231xex19d1.htm" TargetMode="External"/><Relationship Id="rId49" Type="http://schemas.openxmlformats.org/officeDocument/2006/relationships/hyperlink" Target="https://www.sec.gov/Archives/edgar/data/813762/000155837024002090/tmb-20231231xex97d1.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91185</Words>
  <Characters>501028</Characters>
  <CharactersWithSpaces>596129</CharactersWithSpaces>
  <Paragraphs>16132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