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0930x10q.htm"/>
        <w:bookmarkStart w:id="1" w:name="kstmb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6"/>
        </w:rPr>
      </w:pPr>
      <w:bookmarkStart w:id="2" w:name="_fc28352e_8942_438e_947c_a87085e2e1fb"/>
      <w:bookmarkEnd w:id="2"/>
      <w:r>
        <w:rPr>
          <w:rFonts w:ascii="Times New Roman;Times;serif" w:hAnsi="Times New Roman;Times;serif"/>
          <w:b/>
          <w:sz w:val="16"/>
        </w:rPr>
        <w:t>UNITED STATES 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2025</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20"/>
        <w:ind w:left="0" w:right="0" w:hanging="360"/>
        <w:jc w:val="left"/>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Normal"/>
        <w:bidi w:val="0"/>
        <w:spacing w:before="0" w:after="0"/>
        <w:jc w:val="left"/>
        <w:rPr>
          <w:sz w:val="4"/>
          <w:szCs w:val="4"/>
        </w:rPr>
      </w:pPr>
      <w:r>
        <w:rPr>
          <w:sz w:val="4"/>
          <w:szCs w:val="4"/>
        </w:rPr>
      </w:r>
      <w:bookmarkStart w:id="3" w:name="Tc_d2XtiUy3hEG-V_E2zEQizg_1_3"/>
      <w:bookmarkStart w:id="4" w:name="Tc_MvBPE7QHgUmTM7tW_NHOaQ_1_2"/>
      <w:bookmarkStart w:id="5" w:name="Tc_FdbpF5zEUkC4qB1Xj07cJw_1_1"/>
      <w:bookmarkStart w:id="6" w:name="Tc_0vlFiZmi3U-Wd1hDB896VA_1_0"/>
      <w:bookmarkStart w:id="7" w:name="_922c7f1d_6706_4aae_983f_8e184db9bf6f"/>
      <w:bookmarkStart w:id="8" w:name="Tc_d2XtiUy3hEG-V_E2zEQizg_1_3"/>
      <w:bookmarkStart w:id="9" w:name="Tc_MvBPE7QHgUmTM7tW_NHOaQ_1_2"/>
      <w:bookmarkStart w:id="10" w:name="Tc_FdbpF5zEUkC4qB1Xj07cJw_1_1"/>
      <w:bookmarkStart w:id="11" w:name="Tc_0vlFiZmi3U-Wd1hDB896VA_1_0"/>
      <w:bookmarkStart w:id="12" w:name="_922c7f1d_6706_4aae_983f_8e184db9bf6f"/>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center"/>
              <w:rPr/>
            </w:pPr>
            <w:r>
              <w:rPr/>
              <w:t>​</w:t>
            </w:r>
          </w:p>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6248400"/>
                      <wp:effectExtent l="0" t="0" r="0" b="0"/>
                      <wp:wrapNone/>
                      <wp:docPr id="2" name="Frame2"/>
                      <a:graphic xmlns:a="http://schemas.openxmlformats.org/drawingml/2006/main">
                        <a:graphicData uri="http://schemas.microsoft.com/office/word/2010/wordprocessingShape">
                          <wps:wsp>
                            <wps:cNvSpPr txBox="1"/>
                            <wps:spPr>
                              <a:xfrm>
                                <a:off x="0" y="0"/>
                                <a:ext cx="69215" cy="62484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701040"/>
                      <wp:effectExtent l="0" t="0" r="0" b="0"/>
                      <wp:wrapNone/>
                      <wp:docPr id="5" name="Frame5"/>
                      <a:graphic xmlns:a="http://schemas.openxmlformats.org/drawingml/2006/main">
                        <a:graphicData uri="http://schemas.microsoft.com/office/word/2010/wordprocessingShape">
                          <wps:wsp>
                            <wps:cNvSpPr txBox="1"/>
                            <wps:spPr>
                              <a:xfrm>
                                <a:off x="0" y="0"/>
                                <a:ext cx="78740"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453640"/>
                      <wp:effectExtent l="0" t="0" r="0" b="0"/>
                      <wp:wrapNone/>
                      <wp:docPr id="6" name="Frame6"/>
                      <a:graphic xmlns:a="http://schemas.openxmlformats.org/drawingml/2006/main">
                        <a:graphicData uri="http://schemas.microsoft.com/office/word/2010/wordprocessingShape">
                          <wps:wsp>
                            <wps:cNvSpPr txBox="1"/>
                            <wps:spPr>
                              <a:xfrm>
                                <a:off x="0" y="0"/>
                                <a:ext cx="69215" cy="24536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93.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934720"/>
                      <wp:effectExtent l="0" t="0" r="0" b="0"/>
                      <wp:wrapNone/>
                      <wp:docPr id="7" name="Frame7"/>
                      <a:graphic xmlns:a="http://schemas.openxmlformats.org/drawingml/2006/main">
                        <a:graphicData uri="http://schemas.microsoft.com/office/word/2010/wordprocessingShape">
                          <wps:wsp>
                            <wps:cNvSpPr txBox="1"/>
                            <wps:spPr>
                              <a:xfrm>
                                <a:off x="0" y="0"/>
                                <a:ext cx="69215" cy="9347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051560"/>
                      <wp:effectExtent l="0" t="0" r="0" b="0"/>
                      <wp:wrapNone/>
                      <wp:docPr id="8" name="Frame8"/>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v:textbox>
                      <w10:wrap type="none"/>
                    </v:rect>
                  </w:pict>
                </mc:Fallback>
              </mc:AlternateContent>
            </w:r>
          </w:p>
        </w:tc>
      </w:tr>
    </w:tbl>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16690 Collins Avenue, 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Sunny Isles Beach,</w:t>
      </w:r>
      <w:r>
        <w:rPr>
          <w:rFonts w:ascii="Times New Roman;Times;serif" w:hAnsi="Times New Roman;Times;serif"/>
          <w:sz w:val="20"/>
        </w:rPr>
        <w:t xml:space="preserve"> </w:t>
      </w:r>
      <w:r>
        <w:rPr>
          <w:rFonts w:ascii="Times New Roman;Times;serif" w:hAnsi="Times New Roman;Times;serif"/>
          <w:b/>
          <w:sz w:val="16"/>
        </w:rPr>
        <w:t>FL</w:t>
      </w:r>
      <w:r>
        <w:rPr>
          <w:rFonts w:ascii="Times New Roman;Times;serif" w:hAnsi="Times New Roman;Times;serif"/>
          <w:sz w:val="20"/>
        </w:rPr>
        <w:t xml:space="preserve"> </w:t>
      </w:r>
      <w:r>
        <w:rPr>
          <w:rFonts w:ascii="Times New Roman;Times;serif" w:hAnsi="Times New Roman;Times;serif"/>
          <w:b/>
          <w:sz w:val="16"/>
        </w:rPr>
        <w:t>33160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(305) 422-4100</w:t>
      </w:r>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1wvRTgsii0mLUnw980YNiQ_3_4"/>
      <w:bookmarkStart w:id="14" w:name="Tc_mW25Q9DsHky5evea_d65OQ_2_4"/>
      <w:bookmarkStart w:id="15" w:name="Tc_bz1IUKUoPkyxIQWEZ5titQ_2_2"/>
      <w:bookmarkStart w:id="16" w:name="Tc_Q_-mOuqGX06MXxWkjUV-sg_2_0"/>
      <w:bookmarkStart w:id="17" w:name="_eedfc14a_7c61_4850_90a5_17ccc4306e98"/>
      <w:bookmarkStart w:id="18" w:name="Tc_1wvRTgsii0mLUnw980YNiQ_3_4"/>
      <w:bookmarkStart w:id="19" w:name="Tc_mW25Q9DsHky5evea_d65OQ_2_4"/>
      <w:bookmarkStart w:id="20" w:name="Tc_bz1IUKUoPkyxIQWEZ5titQ_2_2"/>
      <w:bookmarkStart w:id="21" w:name="Tc_Q_-mOuqGX06MXxWkjUV-sg_2_0"/>
      <w:bookmarkStart w:id="22" w:name="_eedfc14a_7c61_4850_90a5_17ccc4306e98"/>
      <w:bookmarkEnd w:id="18"/>
      <w:bookmarkEnd w:id="19"/>
      <w:bookmarkEnd w:id="20"/>
      <w:bookmarkEnd w:id="21"/>
      <w:bookmarkEnd w:id="22"/>
    </w:p>
    <w:tbl>
      <w:tblPr>
        <w:tblW w:w="7044" w:type="dxa"/>
        <w:jc w:val="left"/>
        <w:tblInd w:w="0" w:type="dxa"/>
        <w:tblLayout w:type="fixed"/>
        <w:tblCellMar>
          <w:top w:w="0" w:type="dxa"/>
          <w:left w:w="0" w:type="dxa"/>
          <w:bottom w:w="0" w:type="dxa"/>
          <w:right w:w="0" w:type="dxa"/>
        </w:tblCellMar>
      </w:tblPr>
      <w:tblGrid>
        <w:gridCol w:w="1471"/>
        <w:gridCol w:w="326"/>
        <w:gridCol w:w="1456"/>
        <w:gridCol w:w="326"/>
        <w:gridCol w:w="1434"/>
        <w:gridCol w:w="20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34085" cy="175260"/>
                      <wp:effectExtent l="0" t="0" r="0" b="0"/>
                      <wp:wrapNone/>
                      <wp:docPr id="13" name="Frame1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40"/>
              <w:ind w:left="0" w:right="0" w:hanging="0"/>
              <w:jc w:val="center"/>
              <w:rPr/>
            </w:pPr>
            <w:r>
              <w:rPr/>
              <w:t>    </w:t>
            </w:r>
          </w:p>
        </w:tc>
        <w:tc>
          <w:tcPr>
            <w:tcW w:w="3465" w:type="dxa"/>
            <w:gridSpan w:val="2"/>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47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4085" cy="467360"/>
                      <wp:effectExtent l="0" t="0" r="0" b="0"/>
                      <wp:wrapNone/>
                      <wp:docPr id="16" name="Frame16"/>
                      <a:graphic xmlns:a="http://schemas.openxmlformats.org/drawingml/2006/main">
                        <a:graphicData uri="http://schemas.microsoft.com/office/word/2010/wordprocessingShape">
                          <wps:wsp>
                            <wps:cNvSpPr txBox="1"/>
                            <wps:spPr>
                              <a:xfrm>
                                <a:off x="0" y="0"/>
                                <a:ext cx="93408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IEP</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3465" w:type="dxa"/>
            <w:gridSpan w:val="2"/>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8"/>
        <w:gridCol w:w="5657"/>
      </w:tblGrid>
      <w:tr>
        <w:trPr/>
        <w:tc>
          <w:tcPr>
            <w:tcW w:w="4548" w:type="dxa"/>
            <w:tcBorders/>
            <w:vAlign w:val="center"/>
          </w:tcPr>
          <w:p>
            <w:pPr>
              <w:pStyle w:val="TableContents"/>
              <w:bidi w:val="0"/>
              <w:spacing w:before="0" w:after="0"/>
              <w:ind w:left="0" w:right="0" w:hanging="0"/>
              <w:jc w:val="left"/>
              <w:rPr/>
            </w:pPr>
            <w:r>
              <w:rPr/>
              <w:t>​</w:t>
            </w:r>
          </w:p>
        </w:tc>
        <w:tc>
          <w:tcPr>
            <w:tcW w:w="5657"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vAlign w:val="center"/>
          </w:tcPr>
          <w:p>
            <w:pPr>
              <w:pStyle w:val="TableContents"/>
              <w:bidi w:val="0"/>
              <w:spacing w:before="0" w:after="240"/>
              <w:ind w:left="0" w:right="0" w:hanging="0"/>
              <w:jc w:val="left"/>
              <w:rPr/>
            </w:pPr>
            <w:r>
              <w:rPr/>
              <w:t>​</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Normal"/>
        <w:bidi w:val="0"/>
        <w:spacing w:before="0" w:after="0"/>
        <w:jc w:val="left"/>
        <w:rPr>
          <w:sz w:val="4"/>
          <w:szCs w:val="4"/>
        </w:rPr>
      </w:pPr>
      <w:r>
        <w:rPr>
          <w:sz w:val="4"/>
          <w:szCs w:val="4"/>
        </w:rPr>
      </w:r>
      <w:bookmarkStart w:id="23" w:name="Tc_mtLJnGNb5ECJKTCXLE6veg_2_3"/>
      <w:bookmarkStart w:id="24" w:name="Tc_LV6oALxK-0SHAMHUZ8JS6Q_2_1"/>
      <w:bookmarkStart w:id="25" w:name="Tc_iz0hRgBzWUalJUkcy1Y-Dg_2_0"/>
      <w:bookmarkStart w:id="26" w:name="Tc_F5Ew_rWA7EOlNHvE-Xa9OA_1_6"/>
      <w:bookmarkStart w:id="27" w:name="Tc_ufzJbvSZEkWTaDKZQUDzDQ_1_4"/>
      <w:bookmarkStart w:id="28" w:name="Tc_ZuuqUDDjVE-4dMsoQIy3eg_1_3"/>
      <w:bookmarkStart w:id="29" w:name="Tc_JAA1w3ldKkir1XcNrCZbmg_1_1"/>
      <w:bookmarkStart w:id="30" w:name="_97d883bf_e378_41a2_a9f4_b544bd24efa6"/>
      <w:bookmarkStart w:id="31" w:name="Tc_mtLJnGNb5ECJKTCXLE6veg_2_3"/>
      <w:bookmarkStart w:id="32" w:name="Tc_LV6oALxK-0SHAMHUZ8JS6Q_2_1"/>
      <w:bookmarkStart w:id="33" w:name="Tc_iz0hRgBzWUalJUkcy1Y-Dg_2_0"/>
      <w:bookmarkStart w:id="34" w:name="Tc_F5Ew_rWA7EOlNHvE-Xa9OA_1_6"/>
      <w:bookmarkStart w:id="35" w:name="Tc_ufzJbvSZEkWTaDKZQUDzDQ_1_4"/>
      <w:bookmarkStart w:id="36" w:name="Tc_ZuuqUDDjVE-4dMsoQIy3eg_1_3"/>
      <w:bookmarkStart w:id="37" w:name="Tc_JAA1w3ldKkir1XcNrCZbmg_1_1"/>
      <w:bookmarkStart w:id="38" w:name="_97d883bf_e378_41a2_a9f4_b544bd24efa6"/>
      <w:bookmarkEnd w:id="31"/>
      <w:bookmarkEnd w:id="32"/>
      <w:bookmarkEnd w:id="33"/>
      <w:bookmarkEnd w:id="34"/>
      <w:bookmarkEnd w:id="35"/>
      <w:bookmarkEnd w:id="36"/>
      <w:bookmarkEnd w:id="37"/>
      <w:bookmarkEnd w:id="38"/>
    </w:p>
    <w:tbl>
      <w:tblPr>
        <w:tblW w:w="8039" w:type="dxa"/>
        <w:jc w:val="left"/>
        <w:tblInd w:w="0" w:type="dxa"/>
        <w:tblLayout w:type="fixed"/>
        <w:tblCellMar>
          <w:top w:w="0" w:type="dxa"/>
          <w:left w:w="0" w:type="dxa"/>
          <w:bottom w:w="0" w:type="dxa"/>
          <w:right w:w="0" w:type="dxa"/>
        </w:tblCellMar>
      </w:tblPr>
      <w:tblGrid>
        <w:gridCol w:w="2011"/>
        <w:gridCol w:w="316"/>
        <w:gridCol w:w="109"/>
        <w:gridCol w:w="2431"/>
        <w:gridCol w:w="316"/>
        <w:gridCol w:w="109"/>
        <w:gridCol w:w="2386"/>
        <w:gridCol w:w="361"/>
      </w:tblGrid>
      <w:tr>
        <w:trPr/>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120"/>
              <w:ind w:left="0" w:right="0" w:hanging="0"/>
              <w:jc w:val="left"/>
              <w:rPr/>
            </w:pPr>
            <w:r>
              <w:rPr/>
              <w:t>☐</w:t>
            </w:r>
          </w:p>
        </w:tc>
      </w:tr>
      <w:tr>
        <w:trPr/>
        <w:tc>
          <w:tcPr>
            <w:tcW w:w="201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 shell company (as defined in Rule 12b-2 of the Exchange Act). Yes ☐ No ⌧ </w:t>
      </w:r>
    </w:p>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November 4, 2025, there were 600,208,517 of Icahn Enterprises’ depositary units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9" w:name="_29bbae6e_0906_495a_b59c_538c0a908ae0"/>
      <w:bookmarkEnd w:id="39"/>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 No</w:t>
            </w:r>
            <w:r>
              <w:rPr>
                <w:rFonts w:ascii="Times New Roman;Times;serif" w:hAnsi="Times New Roman;Times;serif"/>
                <w:sz w:val="16"/>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orwardLookingStatements">
              <w:r>
                <w:rPr>
                  <w:rStyle w:val="InternetLink"/>
                  <w:rFonts w:ascii="Times New Roman;Times;serif" w:hAnsi="Times New Roman;Times;serif"/>
                  <w:b w:val="false"/>
                  <w:i w:val="false"/>
                  <w:caps w:val="false"/>
                  <w:smallCaps w:val="false"/>
                  <w:sz w:val="20"/>
                </w:rPr>
                <w:t>Forward-Looking Statements</w:t>
              </w:r>
            </w:hyperlink>
          </w:p>
        </w:tc>
        <w:tc>
          <w:tcPr>
            <w:tcW w:w="8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Financial Statements (Unaudited)</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7366"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Unregistered Sales of Equity Securities and Use or Proceeds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ForwardLookingStatements"/>
      <w:bookmarkStart w:id="42" w:name="_f113a252_e6c3_4739_a6d2_def491907f2b"/>
      <w:bookmarkEnd w:id="41"/>
      <w:bookmarkEnd w:id="42"/>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market conditions,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conflict in the Middle East, including economic volatility and the impacts of export controls and other economic sanctions; risks related to our investment activities, including the nature of the investments made by the private funds in which we invest, including the impact of the use of leverage through options, short sales, swaps, forwards and other derivative instruments; risk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w:t>
      </w:r>
      <w:r>
        <w:rPr>
          <w:rFonts w:ascii="Times New Roman;Times;serif" w:hAnsi="Times New Roman;Times;serif"/>
          <w:sz w:val="20"/>
          <w:shd w:fill="FFFFFF" w:val="clear"/>
        </w:rPr>
        <w:t>olatile commodity pricing and higher industry utilization and oversupply</w:t>
      </w:r>
      <w:r>
        <w:rPr>
          <w:rFonts w:ascii="Times New Roman;Times;serif" w:hAnsi="Times New Roman;Times;serif"/>
          <w:sz w:val="20"/>
        </w:rPr>
        <w:t xml:space="preserve"> risks relating to potential strategic transactions involving our Energy segment, and the impact of tariffs; risks related to our automotive activities and exposure to adverse conditions in the automotive industry, including as a result of the Chapter 11 filing of our automotive parts subsidiary or impairments; risks related to our food packaging activities, including the ability of our food packaging segment to meet its capital requirements,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and the management of properties formerly managed by our automotive services business; and risks related to our home fashion operations, including changes in the availability and price of raw materials, manufacturing disruptions, and changes in transportation costs and delivery times; and political and regulatory uncertainty, including changing economic policy and the imposition of tariffs. These risks and uncertainties also include the risks and uncertainties described in our Annual Report on Form 10-K for the year ended December 31, 2024. Additionally, there may be other factors not presently known to us or which we currently consider to be immaterial that may cause our actual results to differ materially from the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82b47b12_e019_404c_b1a3_e8d0350a86bd"/>
      <w:bookmarkEnd w:id="43"/>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4" w:name="Item1FinancialStatements_797771"/>
      <w:bookmarkEnd w:id="44"/>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Normal"/>
        <w:bidi w:val="0"/>
        <w:spacing w:before="0" w:after="0"/>
        <w:jc w:val="left"/>
        <w:rPr>
          <w:sz w:val="4"/>
          <w:szCs w:val="4"/>
        </w:rPr>
      </w:pPr>
      <w:r>
        <w:rPr>
          <w:sz w:val="4"/>
          <w:szCs w:val="4"/>
        </w:rPr>
      </w:r>
      <w:bookmarkStart w:id="45" w:name="Tc_I05ZgNCtw02dtcpFPfauYQ_38_5"/>
      <w:bookmarkStart w:id="46" w:name="Tc_dxk30vawUUeHF8CD0TcKBQ_38_2"/>
      <w:bookmarkStart w:id="47" w:name="Tc_mO9Y1ErFH0-wUsqwFCE4NQ_38_0"/>
      <w:bookmarkStart w:id="48" w:name="Tc_grXQwCNe1EOskL5cQL3iaQ_37_0"/>
      <w:bookmarkStart w:id="49" w:name="Tc_xNx9nBWJLkiWw9yygiN52A_36_0"/>
      <w:bookmarkStart w:id="50" w:name="Tc_cq3gLaWczEqAeXPYEdUdgA_35_0"/>
      <w:bookmarkStart w:id="51" w:name="Tc_zWcb1AwjlUa_3hnvnZrr0A_34_0"/>
      <w:bookmarkStart w:id="52" w:name="Tc_6Midoe1QLkumQrUroRfcoA_33_0"/>
      <w:bookmarkStart w:id="53" w:name="Tc_UYpwWh6blkahuwadBwJBNw_32_0"/>
      <w:bookmarkStart w:id="54" w:name="Tc_qhLQQ3rA5kem-Nu4ZozImQ_30_0"/>
      <w:bookmarkStart w:id="55" w:name="Tc_TnMOlzO7g0eFf78hdzbKZw_28_0"/>
      <w:bookmarkStart w:id="56" w:name="Tc_FU3iyvucIUqxtH_ESsuZKQ_27_0"/>
      <w:bookmarkStart w:id="57" w:name="Tc_OL-2G0hOC0GpZ4eUIVukVg_26_0"/>
      <w:bookmarkStart w:id="58" w:name="Tc_GXPW-fUat0mawIjKrWyfug_25_0"/>
      <w:bookmarkStart w:id="59" w:name="Tc_9U9EjPzDyEyn0tjLfiCrfA_24_0"/>
      <w:bookmarkStart w:id="60" w:name="Tc_9Fdp5JQFoE6cOyJVtz10dw_23_0"/>
      <w:bookmarkStart w:id="61" w:name="Tc_HM4H6IRFUkudLMxp4XzVmg_22_0"/>
      <w:bookmarkStart w:id="62" w:name="Tc_lo6jzMvAfUazvsDDGDvIBA_21_5"/>
      <w:bookmarkStart w:id="63" w:name="Tc_8l-skrehB06hfQVGXw2gWQ_21_2"/>
      <w:bookmarkStart w:id="64" w:name="Tc_BmvDYmUC00CnKv-pCoTV3A_21_0"/>
      <w:bookmarkStart w:id="65" w:name="Tc_gpU6jQmGQkKBcKDtqokcIw_20_0"/>
      <w:bookmarkStart w:id="66" w:name="Tc_6_hmfcAHbkKesQ5Oh3L_WQ_19_5"/>
      <w:bookmarkStart w:id="67" w:name="Tc_-E9BNDA6JUq1KKZss5bAQw_19_2"/>
      <w:bookmarkStart w:id="68" w:name="Tc_g32QaeVFjUGSV4HAIE5B3g_19_0"/>
      <w:bookmarkStart w:id="69" w:name="Tc_gg8HoWyx_Umf3oz0fmYS3w_18_0"/>
      <w:bookmarkStart w:id="70" w:name="Tc_hmjBNCAA1USZIXMhl8eKsg_17_0"/>
      <w:bookmarkStart w:id="71" w:name="Tc_q2_v1wOy5UWLZOaiBzmxLQ_16_0"/>
      <w:bookmarkStart w:id="72" w:name="Tc_ZwXV2y0oDUKM9u-qOMNYPg_15_0"/>
      <w:bookmarkStart w:id="73" w:name="Tc_8UOpSEYbeU6_QkcXV02__g_14_0"/>
      <w:bookmarkStart w:id="74" w:name="Tc_wGBkNLerLEajon7bYeDi8Q_13_0"/>
      <w:bookmarkStart w:id="75" w:name="Tc__EaVprt1Xk2sja5eVsTehw_12_0"/>
      <w:bookmarkStart w:id="76" w:name="Tc_P2zL2xX720imRkiAzxkmxg_11_0"/>
      <w:bookmarkStart w:id="77" w:name="Tc_1_35w9goJUSTdhjKX0zwZw_10_0"/>
      <w:bookmarkStart w:id="78" w:name="Tc_9DkfCUU6c0usH12Tj051EA_9_0"/>
      <w:bookmarkStart w:id="79" w:name="Tc_ASnSvMOFzkWu4qRTn4f62A_8_0"/>
      <w:bookmarkStart w:id="80" w:name="Tc_jirFXHDc6kmIqIVHowPsIA_7_0"/>
      <w:bookmarkStart w:id="81" w:name="Tc_swkBc7Nn-02F-mde7WWkuQ_6_0"/>
      <w:bookmarkStart w:id="82" w:name="Tc_AAmvcrfy-kyk8SCOqO0tVQ_5_5"/>
      <w:bookmarkStart w:id="83" w:name="Tc_s55xHtP1LUi-ljNM_0uOKw_5_2"/>
      <w:bookmarkStart w:id="84" w:name="Tc_ETwV9svSNUCo7N44Av9XNg_5_0"/>
      <w:bookmarkStart w:id="85" w:name="Tc_tx6Ec5_rDUqSqqEuR__FSA_4_0"/>
      <w:bookmarkStart w:id="86" w:name="Tc_MISnjsGC1kOmLWf1w8v-pA_3_2"/>
      <w:bookmarkStart w:id="87" w:name="Tc_8FfxQNAiZkSS4kFsMRFEqQ_2_5"/>
      <w:bookmarkStart w:id="88" w:name="Tc_IMxEQsf9n0m8T5HGMyGaSw_2_2"/>
      <w:bookmarkStart w:id="89" w:name="Tc_QScEHCTTK0ykeyETHOlBKQ_1_5"/>
      <w:bookmarkStart w:id="90" w:name="Tc_3dQfDf35-kuu8ae34uIvwA_1_2"/>
      <w:bookmarkStart w:id="91" w:name="_5304f00a_f237_4e51_8202_dbd8aad3f3d1"/>
      <w:bookmarkStart w:id="92" w:name="Tc_I05ZgNCtw02dtcpFPfauYQ_38_5"/>
      <w:bookmarkStart w:id="93" w:name="Tc_dxk30vawUUeHF8CD0TcKBQ_38_2"/>
      <w:bookmarkStart w:id="94" w:name="Tc_mO9Y1ErFH0-wUsqwFCE4NQ_38_0"/>
      <w:bookmarkStart w:id="95" w:name="Tc_grXQwCNe1EOskL5cQL3iaQ_37_0"/>
      <w:bookmarkStart w:id="96" w:name="Tc_xNx9nBWJLkiWw9yygiN52A_36_0"/>
      <w:bookmarkStart w:id="97" w:name="Tc_cq3gLaWczEqAeXPYEdUdgA_35_0"/>
      <w:bookmarkStart w:id="98" w:name="Tc_zWcb1AwjlUa_3hnvnZrr0A_34_0"/>
      <w:bookmarkStart w:id="99" w:name="Tc_6Midoe1QLkumQrUroRfcoA_33_0"/>
      <w:bookmarkStart w:id="100" w:name="Tc_UYpwWh6blkahuwadBwJBNw_32_0"/>
      <w:bookmarkStart w:id="101" w:name="Tc_qhLQQ3rA5kem-Nu4ZozImQ_30_0"/>
      <w:bookmarkStart w:id="102" w:name="Tc_TnMOlzO7g0eFf78hdzbKZw_28_0"/>
      <w:bookmarkStart w:id="103" w:name="Tc_FU3iyvucIUqxtH_ESsuZKQ_27_0"/>
      <w:bookmarkStart w:id="104" w:name="Tc_OL-2G0hOC0GpZ4eUIVukVg_26_0"/>
      <w:bookmarkStart w:id="105" w:name="Tc_GXPW-fUat0mawIjKrWyfug_25_0"/>
      <w:bookmarkStart w:id="106" w:name="Tc_9U9EjPzDyEyn0tjLfiCrfA_24_0"/>
      <w:bookmarkStart w:id="107" w:name="Tc_9Fdp5JQFoE6cOyJVtz10dw_23_0"/>
      <w:bookmarkStart w:id="108" w:name="Tc_HM4H6IRFUkudLMxp4XzVmg_22_0"/>
      <w:bookmarkStart w:id="109" w:name="Tc_lo6jzMvAfUazvsDDGDvIBA_21_5"/>
      <w:bookmarkStart w:id="110" w:name="Tc_8l-skrehB06hfQVGXw2gWQ_21_2"/>
      <w:bookmarkStart w:id="111" w:name="Tc_BmvDYmUC00CnKv-pCoTV3A_21_0"/>
      <w:bookmarkStart w:id="112" w:name="Tc_gpU6jQmGQkKBcKDtqokcIw_20_0"/>
      <w:bookmarkStart w:id="113" w:name="Tc_6_hmfcAHbkKesQ5Oh3L_WQ_19_5"/>
      <w:bookmarkStart w:id="114" w:name="Tc_-E9BNDA6JUq1KKZss5bAQw_19_2"/>
      <w:bookmarkStart w:id="115" w:name="Tc_g32QaeVFjUGSV4HAIE5B3g_19_0"/>
      <w:bookmarkStart w:id="116" w:name="Tc_gg8HoWyx_Umf3oz0fmYS3w_18_0"/>
      <w:bookmarkStart w:id="117" w:name="Tc_hmjBNCAA1USZIXMhl8eKsg_17_0"/>
      <w:bookmarkStart w:id="118" w:name="Tc_q2_v1wOy5UWLZOaiBzmxLQ_16_0"/>
      <w:bookmarkStart w:id="119" w:name="Tc_ZwXV2y0oDUKM9u-qOMNYPg_15_0"/>
      <w:bookmarkStart w:id="120" w:name="Tc_8UOpSEYbeU6_QkcXV02__g_14_0"/>
      <w:bookmarkStart w:id="121" w:name="Tc_wGBkNLerLEajon7bYeDi8Q_13_0"/>
      <w:bookmarkStart w:id="122" w:name="Tc__EaVprt1Xk2sja5eVsTehw_12_0"/>
      <w:bookmarkStart w:id="123" w:name="Tc_P2zL2xX720imRkiAzxkmxg_11_0"/>
      <w:bookmarkStart w:id="124" w:name="Tc_1_35w9goJUSTdhjKX0zwZw_10_0"/>
      <w:bookmarkStart w:id="125" w:name="Tc_9DkfCUU6c0usH12Tj051EA_9_0"/>
      <w:bookmarkStart w:id="126" w:name="Tc_ASnSvMOFzkWu4qRTn4f62A_8_0"/>
      <w:bookmarkStart w:id="127" w:name="Tc_jirFXHDc6kmIqIVHowPsIA_7_0"/>
      <w:bookmarkStart w:id="128" w:name="Tc_swkBc7Nn-02F-mde7WWkuQ_6_0"/>
      <w:bookmarkStart w:id="129" w:name="Tc_AAmvcrfy-kyk8SCOqO0tVQ_5_5"/>
      <w:bookmarkStart w:id="130" w:name="Tc_s55xHtP1LUi-ljNM_0uOKw_5_2"/>
      <w:bookmarkStart w:id="131" w:name="Tc_ETwV9svSNUCo7N44Av9XNg_5_0"/>
      <w:bookmarkStart w:id="132" w:name="Tc_tx6Ec5_rDUqSqqEuR__FSA_4_0"/>
      <w:bookmarkStart w:id="133" w:name="Tc_MISnjsGC1kOmLWf1w8v-pA_3_2"/>
      <w:bookmarkStart w:id="134" w:name="Tc_8FfxQNAiZkSS4kFsMRFEqQ_2_5"/>
      <w:bookmarkStart w:id="135" w:name="Tc_IMxEQsf9n0m8T5HGMyGaSw_2_2"/>
      <w:bookmarkStart w:id="136" w:name="Tc_QScEHCTTK0ykeyETHOlBKQ_1_5"/>
      <w:bookmarkStart w:id="137" w:name="Tc_3dQfDf35-kuu8ae34uIvwA_1_2"/>
      <w:bookmarkStart w:id="138" w:name="_5304f00a_f237_4e51_8202_dbd8aad3f3d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954"/>
        <w:gridCol w:w="326"/>
        <w:gridCol w:w="308"/>
        <w:gridCol w:w="991"/>
        <w:gridCol w:w="326"/>
        <w:gridCol w:w="276"/>
        <w:gridCol w:w="1024"/>
      </w:tblGrid>
      <w:tr>
        <w:trPr/>
        <w:tc>
          <w:tcPr>
            <w:tcW w:w="6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415790" cy="175260"/>
                      <wp:effectExtent l="0" t="0" r="0" b="0"/>
                      <wp:wrapNone/>
                      <wp:docPr id="19" name="Frame19"/>
                      <a:graphic xmlns:a="http://schemas.openxmlformats.org/drawingml/2006/main">
                        <a:graphicData uri="http://schemas.microsoft.com/office/word/2010/wordprocessingShape">
                          <wps:wsp>
                            <wps:cNvSpPr txBox="1"/>
                            <wps:spPr>
                              <a:xfrm>
                                <a:off x="0" y="0"/>
                                <a:ext cx="441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95580" cy="175260"/>
                      <wp:effectExtent l="0" t="0" r="0" b="0"/>
                      <wp:wrapNone/>
                      <wp:docPr id="21" name="Frame21"/>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29285" cy="175260"/>
                      <wp:effectExtent l="0" t="0" r="0" b="0"/>
                      <wp:wrapNone/>
                      <wp:docPr id="22" name="Frame2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5260" cy="175260"/>
                      <wp:effectExtent l="0" t="0" r="0" b="0"/>
                      <wp:wrapNone/>
                      <wp:docPr id="24" name="Frame2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0240" cy="175260"/>
                      <wp:effectExtent l="0" t="0" r="0" b="0"/>
                      <wp:wrapNone/>
                      <wp:docPr id="25" name="Frame25"/>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3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9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92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6954"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center"/>
              <w:rPr/>
            </w:pPr>
            <w:r>
              <w:rPr/>
              <w:t>​</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2,603</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2,238</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14,826</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16,279</w:t>
            </w:r>
          </w:p>
        </w:tc>
      </w:tr>
      <w:tr>
        <w:trPr/>
        <w:tc>
          <w:tcPr>
            <w:tcW w:w="6954"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pPr>
            <w:r>
              <w:rPr/>
              <w:t>  </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6,688</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6,809</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11,658</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left"/>
              <w:rPr/>
            </w:pPr>
            <w:r>
              <w:rPr/>
              <w:t>​</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pPr>
            <w:r>
              <w:rPr/>
              <w:t>  </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left"/>
              <w:rPr/>
            </w:pPr>
            <w:r>
              <w:rPr/>
              <w:t>​</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pPr>
            <w:r>
              <w:rPr/>
              <w:t>  </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Limited partners: Depositary units: 600,208,517 units issued and outstanding at September 30, 2025 and 522,736,315 units issued and outstanding at December 31, 2024</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2,735</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6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695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14,826</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16,279</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139" w:name="_badd5ab3_c973_48d8_8923_7cdd09a1dd6f"/>
      <w:bookmarkEnd w:id="139"/>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Normal"/>
        <w:bidi w:val="0"/>
        <w:spacing w:before="0" w:after="0"/>
        <w:jc w:val="left"/>
        <w:rPr>
          <w:sz w:val="4"/>
          <w:szCs w:val="4"/>
        </w:rPr>
      </w:pPr>
      <w:r>
        <w:rPr>
          <w:sz w:val="4"/>
          <w:szCs w:val="4"/>
        </w:rPr>
      </w:r>
      <w:bookmarkStart w:id="140" w:name="Tc_WZ4RNg8PU0ip5M7RspaB6Q_34_10"/>
      <w:bookmarkStart w:id="141" w:name="Tc_UvUwRByuME-ui3kTGzN5OQ_34_7"/>
      <w:bookmarkStart w:id="142" w:name="Tc_7R_7B6s7B0KabuYqglJUig_34_4"/>
      <w:bookmarkStart w:id="143" w:name="Tc_2qVr54pVGEGlz65Rclq7pA_34_1"/>
      <w:bookmarkStart w:id="144" w:name="Tc_izPNYB-rmU-acVE7trlnfg_34_0"/>
      <w:bookmarkStart w:id="145" w:name="Tc_MbjO91yve0OMWAlQoVz6Bg_33_0"/>
      <w:bookmarkStart w:id="146" w:name="Tc_rvuaeNWzL0i7yKaFdSlRsA_32_10"/>
      <w:bookmarkStart w:id="147" w:name="Tc_5nHKB5A8SU2Kt2FWY_FaSQ_32_7"/>
      <w:bookmarkStart w:id="148" w:name="Tc_cJ-9TY-zLkmU08h6NY8RQQ_32_4"/>
      <w:bookmarkStart w:id="149" w:name="Tc_vXU8hp7YHEmVeM0WBJWbcQ_32_1"/>
      <w:bookmarkStart w:id="150" w:name="Tc_Rvm3BkOJhUqh6GwJKqPpGg_32_0"/>
      <w:bookmarkStart w:id="151" w:name="Tc_3HqLUln5A0aCUBbj1ULVyA_30_10"/>
      <w:bookmarkStart w:id="152" w:name="Tc_fVXC7N4vDEaXV5sCosU7Yg_30_7"/>
      <w:bookmarkStart w:id="153" w:name="Tc_6z9-O9OWQEKXjB8tEbeeLQ_30_4"/>
      <w:bookmarkStart w:id="154" w:name="Tc_umzRoKb9kE2gBZ016L7WBA_30_1"/>
      <w:bookmarkStart w:id="155" w:name="Tc__YNOGd8_VUGtb8G2rXexnA_29_5"/>
      <w:bookmarkStart w:id="156" w:name="Tc_Q4ANfTU2XEyph_medEJwEQ_29_0"/>
      <w:bookmarkStart w:id="157" w:name="Tc_PHit6frnbkOvBObXq5Pdaw_28_10"/>
      <w:bookmarkStart w:id="158" w:name="Tc_XovQ2a5iT06QZdbxoS3Hmg_28_7"/>
      <w:bookmarkStart w:id="159" w:name="Tc_9TZCbRRkNEOa5iMeZ7zeCg_28_4"/>
      <w:bookmarkStart w:id="160" w:name="Tc_W0-9dnFm8UOudM7Y6Bl7sw_28_1"/>
      <w:bookmarkStart w:id="161" w:name="Tc__WjfY234X0iYHycleoICaw_28_0"/>
      <w:bookmarkStart w:id="162" w:name="Tc_jf9XGZ0me0OwZODRDB-c_Q_27_0"/>
      <w:bookmarkStart w:id="163" w:name="Tc_W5dzV6YyvkWQtro3BXw74A_25_10"/>
      <w:bookmarkStart w:id="164" w:name="Tc_oH-iJx8OAkyd3jHXgcGXSA_25_7"/>
      <w:bookmarkStart w:id="165" w:name="Tc_Z6bjWH__Ek2PW87fEYYzBA_25_4"/>
      <w:bookmarkStart w:id="166" w:name="Tc_TjP1n9-qek6kUWvHjOs_7g_25_1"/>
      <w:bookmarkStart w:id="167" w:name="Tc_rlAub-YzJUSaCUXSRpOaZw_25_0"/>
      <w:bookmarkStart w:id="168" w:name="Tc_xdyiixp1EkyrfSTzHUAeMQ_24_0"/>
      <w:bookmarkStart w:id="169" w:name="Tc_psPOsMQLuUKvAhw967QJ6w_23_0"/>
      <w:bookmarkStart w:id="170" w:name="Tc_T2naDAX_L0u0TXZUUqVySA_22_0"/>
      <w:bookmarkStart w:id="171" w:name="Tc_DXybjnkpLUGmMCEmU-I91g_21_0"/>
      <w:bookmarkStart w:id="172" w:name="Tc_7g1PP4_TMUi0I9upkVYxXA_19_0"/>
      <w:bookmarkStart w:id="173" w:name="Tc_TCIal5MCYU-FWbwwa1_JYw_18_5"/>
      <w:bookmarkStart w:id="174" w:name="Tc_oRWZxCLph0OEKktLwQc0PQ_18_0"/>
      <w:bookmarkStart w:id="175" w:name="Tc_RRaO6pjStEOlY3mVfkzYlA_17_11"/>
      <w:bookmarkStart w:id="176" w:name="Tc_IZ9ioGDJpUeWMG-C9YIM_Q_17_5"/>
      <w:bookmarkStart w:id="177" w:name="Tc_LTLip2tzF0i1ARQFwLvqag_17_2"/>
      <w:bookmarkStart w:id="178" w:name="Tc_xBYdN5tYhkGkpz-IwG42Wg_17_0"/>
      <w:bookmarkStart w:id="179" w:name="Tc_WwWTjU9lAEuk0FQEQeuPHg_16_0"/>
      <w:bookmarkStart w:id="180" w:name="Tc_hTmx5kL-d0OzI5l4jGEQgw_15_0"/>
      <w:bookmarkStart w:id="181" w:name="Tc_JmiwXRTJQkOPxznOm9uiFA_14_0"/>
      <w:bookmarkStart w:id="182" w:name="Tc_kld9o-kfi0ufnk0jptmDuA_13_0"/>
      <w:bookmarkStart w:id="183" w:name="Tc_85bY9-TQVkiqaYklfyIUDA_12_0"/>
      <w:bookmarkStart w:id="184" w:name="Tc_QNCOd1m0Qk6RB-iMxLRrJA_10_0"/>
      <w:bookmarkStart w:id="185" w:name="Tc_9Ns7Gq35ZUm0zLNWmgIX4A_9_0"/>
      <w:bookmarkStart w:id="186" w:name="Tc_KzQuZvOEtkmlI-wO8QBz-g_8_0"/>
      <w:bookmarkStart w:id="187" w:name="Tc_NIoiRHe7WUmj5jFzMat4pA_7_0"/>
      <w:bookmarkStart w:id="188" w:name="Tc_gLHtDk6KVUaY_KfBwK6atQ_6_0"/>
      <w:bookmarkStart w:id="189" w:name="Tc_1mv_6Eq29EOeaoYeN0GmoQ_5_10"/>
      <w:bookmarkStart w:id="190" w:name="Tc_MOim_zINbEi_DrBpvNn-0g_5_7"/>
      <w:bookmarkStart w:id="191" w:name="Tc_urft83tIi0yIzrZK66pacw_5_4"/>
      <w:bookmarkStart w:id="192" w:name="Tc_V_HaJftFN0KRBomeL8QWCg_5_1"/>
      <w:bookmarkStart w:id="193" w:name="Tc_KIH6ozmQEUCD4eOkpyFZpQ_5_0"/>
      <w:bookmarkStart w:id="194" w:name="Tc_utaGcFJCZEKh4sAY2_28PQ_4_0"/>
      <w:bookmarkStart w:id="195" w:name="Tc_slu5U6eei06rvRq-JSFdug_3_1"/>
      <w:bookmarkStart w:id="196" w:name="Tc_0KIWWarVlUOeQX879jRNWQ_2_10"/>
      <w:bookmarkStart w:id="197" w:name="Tc_vOqSRuXvXEiXoGbd4AfBwA_2_7"/>
      <w:bookmarkStart w:id="198" w:name="Tc_hmKbeTk9vkq95yKGMrfAcw_2_4"/>
      <w:bookmarkStart w:id="199" w:name="Tc_QM40F1hnb0W2mcd3ApGtFg_2_1"/>
      <w:bookmarkStart w:id="200" w:name="Tc_kKQajH6WhUyoLhaUrNwjeg_1_7"/>
      <w:bookmarkStart w:id="201" w:name="Tc_KtYxkZKB00O_kJ1ByCtweA_1_1"/>
      <w:bookmarkStart w:id="202" w:name="_8cb9a04f_bb4a_4c58_baa0_5ebbcdfe7792"/>
      <w:bookmarkStart w:id="203" w:name="_0a94f6b2_fdb8_40c1_84c9_30649cc2b4f6"/>
      <w:bookmarkStart w:id="204" w:name="Tc_WZ4RNg8PU0ip5M7RspaB6Q_34_10"/>
      <w:bookmarkStart w:id="205" w:name="Tc_UvUwRByuME-ui3kTGzN5OQ_34_7"/>
      <w:bookmarkStart w:id="206" w:name="Tc_7R_7B6s7B0KabuYqglJUig_34_4"/>
      <w:bookmarkStart w:id="207" w:name="Tc_2qVr54pVGEGlz65Rclq7pA_34_1"/>
      <w:bookmarkStart w:id="208" w:name="Tc_izPNYB-rmU-acVE7trlnfg_34_0"/>
      <w:bookmarkStart w:id="209" w:name="Tc_MbjO91yve0OMWAlQoVz6Bg_33_0"/>
      <w:bookmarkStart w:id="210" w:name="Tc_rvuaeNWzL0i7yKaFdSlRsA_32_10"/>
      <w:bookmarkStart w:id="211" w:name="Tc_5nHKB5A8SU2Kt2FWY_FaSQ_32_7"/>
      <w:bookmarkStart w:id="212" w:name="Tc_cJ-9TY-zLkmU08h6NY8RQQ_32_4"/>
      <w:bookmarkStart w:id="213" w:name="Tc_vXU8hp7YHEmVeM0WBJWbcQ_32_1"/>
      <w:bookmarkStart w:id="214" w:name="Tc_Rvm3BkOJhUqh6GwJKqPpGg_32_0"/>
      <w:bookmarkStart w:id="215" w:name="Tc_3HqLUln5A0aCUBbj1ULVyA_30_10"/>
      <w:bookmarkStart w:id="216" w:name="Tc_fVXC7N4vDEaXV5sCosU7Yg_30_7"/>
      <w:bookmarkStart w:id="217" w:name="Tc_6z9-O9OWQEKXjB8tEbeeLQ_30_4"/>
      <w:bookmarkStart w:id="218" w:name="Tc_umzRoKb9kE2gBZ016L7WBA_30_1"/>
      <w:bookmarkStart w:id="219" w:name="Tc__YNOGd8_VUGtb8G2rXexnA_29_5"/>
      <w:bookmarkStart w:id="220" w:name="Tc_Q4ANfTU2XEyph_medEJwEQ_29_0"/>
      <w:bookmarkStart w:id="221" w:name="Tc_PHit6frnbkOvBObXq5Pdaw_28_10"/>
      <w:bookmarkStart w:id="222" w:name="Tc_XovQ2a5iT06QZdbxoS3Hmg_28_7"/>
      <w:bookmarkStart w:id="223" w:name="Tc_9TZCbRRkNEOa5iMeZ7zeCg_28_4"/>
      <w:bookmarkStart w:id="224" w:name="Tc_W0-9dnFm8UOudM7Y6Bl7sw_28_1"/>
      <w:bookmarkStart w:id="225" w:name="Tc__WjfY234X0iYHycleoICaw_28_0"/>
      <w:bookmarkStart w:id="226" w:name="Tc_jf9XGZ0me0OwZODRDB-c_Q_27_0"/>
      <w:bookmarkStart w:id="227" w:name="Tc_W5dzV6YyvkWQtro3BXw74A_25_10"/>
      <w:bookmarkStart w:id="228" w:name="Tc_oH-iJx8OAkyd3jHXgcGXSA_25_7"/>
      <w:bookmarkStart w:id="229" w:name="Tc_Z6bjWH__Ek2PW87fEYYzBA_25_4"/>
      <w:bookmarkStart w:id="230" w:name="Tc_TjP1n9-qek6kUWvHjOs_7g_25_1"/>
      <w:bookmarkStart w:id="231" w:name="Tc_rlAub-YzJUSaCUXSRpOaZw_25_0"/>
      <w:bookmarkStart w:id="232" w:name="Tc_xdyiixp1EkyrfSTzHUAeMQ_24_0"/>
      <w:bookmarkStart w:id="233" w:name="Tc_psPOsMQLuUKvAhw967QJ6w_23_0"/>
      <w:bookmarkStart w:id="234" w:name="Tc_T2naDAX_L0u0TXZUUqVySA_22_0"/>
      <w:bookmarkStart w:id="235" w:name="Tc_DXybjnkpLUGmMCEmU-I91g_21_0"/>
      <w:bookmarkStart w:id="236" w:name="Tc_7g1PP4_TMUi0I9upkVYxXA_19_0"/>
      <w:bookmarkStart w:id="237" w:name="Tc_TCIal5MCYU-FWbwwa1_JYw_18_5"/>
      <w:bookmarkStart w:id="238" w:name="Tc_oRWZxCLph0OEKktLwQc0PQ_18_0"/>
      <w:bookmarkStart w:id="239" w:name="Tc_RRaO6pjStEOlY3mVfkzYlA_17_11"/>
      <w:bookmarkStart w:id="240" w:name="Tc_IZ9ioGDJpUeWMG-C9YIM_Q_17_5"/>
      <w:bookmarkStart w:id="241" w:name="Tc_LTLip2tzF0i1ARQFwLvqag_17_2"/>
      <w:bookmarkStart w:id="242" w:name="Tc_xBYdN5tYhkGkpz-IwG42Wg_17_0"/>
      <w:bookmarkStart w:id="243" w:name="Tc_WwWTjU9lAEuk0FQEQeuPHg_16_0"/>
      <w:bookmarkStart w:id="244" w:name="Tc_hTmx5kL-d0OzI5l4jGEQgw_15_0"/>
      <w:bookmarkStart w:id="245" w:name="Tc_JmiwXRTJQkOPxznOm9uiFA_14_0"/>
      <w:bookmarkStart w:id="246" w:name="Tc_kld9o-kfi0ufnk0jptmDuA_13_0"/>
      <w:bookmarkStart w:id="247" w:name="Tc_85bY9-TQVkiqaYklfyIUDA_12_0"/>
      <w:bookmarkStart w:id="248" w:name="Tc_QNCOd1m0Qk6RB-iMxLRrJA_10_0"/>
      <w:bookmarkStart w:id="249" w:name="Tc_9Ns7Gq35ZUm0zLNWmgIX4A_9_0"/>
      <w:bookmarkStart w:id="250" w:name="Tc_KzQuZvOEtkmlI-wO8QBz-g_8_0"/>
      <w:bookmarkStart w:id="251" w:name="Tc_NIoiRHe7WUmj5jFzMat4pA_7_0"/>
      <w:bookmarkStart w:id="252" w:name="Tc_gLHtDk6KVUaY_KfBwK6atQ_6_0"/>
      <w:bookmarkStart w:id="253" w:name="Tc_1mv_6Eq29EOeaoYeN0GmoQ_5_10"/>
      <w:bookmarkStart w:id="254" w:name="Tc_MOim_zINbEi_DrBpvNn-0g_5_7"/>
      <w:bookmarkStart w:id="255" w:name="Tc_urft83tIi0yIzrZK66pacw_5_4"/>
      <w:bookmarkStart w:id="256" w:name="Tc_V_HaJftFN0KRBomeL8QWCg_5_1"/>
      <w:bookmarkStart w:id="257" w:name="Tc_KIH6ozmQEUCD4eOkpyFZpQ_5_0"/>
      <w:bookmarkStart w:id="258" w:name="Tc_utaGcFJCZEKh4sAY2_28PQ_4_0"/>
      <w:bookmarkStart w:id="259" w:name="Tc_slu5U6eei06rvRq-JSFdug_3_1"/>
      <w:bookmarkStart w:id="260" w:name="Tc_0KIWWarVlUOeQX879jRNWQ_2_10"/>
      <w:bookmarkStart w:id="261" w:name="Tc_vOqSRuXvXEiXoGbd4AfBwA_2_7"/>
      <w:bookmarkStart w:id="262" w:name="Tc_hmKbeTk9vkq95yKGMrfAcw_2_4"/>
      <w:bookmarkStart w:id="263" w:name="Tc_QM40F1hnb0W2mcd3ApGtFg_2_1"/>
      <w:bookmarkStart w:id="264" w:name="Tc_kKQajH6WhUyoLhaUrNwjeg_1_7"/>
      <w:bookmarkStart w:id="265" w:name="Tc_KtYxkZKB00O_kJ1ByCtweA_1_1"/>
      <w:bookmarkStart w:id="266" w:name="_8cb9a04f_bb4a_4c58_baa0_5ebbcdfe7792"/>
      <w:bookmarkStart w:id="267" w:name="_0a94f6b2_fdb8_40c1_84c9_30649cc2b4f6"/>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W w:w="10205" w:type="dxa"/>
        <w:jc w:val="left"/>
        <w:tblInd w:w="0" w:type="dxa"/>
        <w:tblLayout w:type="fixed"/>
        <w:tblCellMar>
          <w:top w:w="0" w:type="dxa"/>
          <w:left w:w="0" w:type="dxa"/>
          <w:bottom w:w="0" w:type="dxa"/>
          <w:right w:w="0" w:type="dxa"/>
        </w:tblCellMar>
      </w:tblPr>
      <w:tblGrid>
        <w:gridCol w:w="4252"/>
        <w:gridCol w:w="316"/>
        <w:gridCol w:w="856"/>
        <w:gridCol w:w="489"/>
        <w:gridCol w:w="316"/>
        <w:gridCol w:w="856"/>
        <w:gridCol w:w="326"/>
        <w:gridCol w:w="300"/>
        <w:gridCol w:w="830"/>
        <w:gridCol w:w="464"/>
        <w:gridCol w:w="300"/>
        <w:gridCol w:w="900"/>
      </w:tblGrid>
      <w:tr>
        <w:trPr/>
        <w:tc>
          <w:tcPr>
            <w:tcW w:w="4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00020" cy="175260"/>
                      <wp:effectExtent l="0" t="0" r="0" b="0"/>
                      <wp:wrapNone/>
                      <wp:docPr id="26" name="Frame26"/>
                      <a:graphic xmlns:a="http://schemas.openxmlformats.org/drawingml/2006/main">
                        <a:graphicData uri="http://schemas.microsoft.com/office/word/2010/wordprocessingShape">
                          <wps:wsp>
                            <wps:cNvSpPr txBox="1"/>
                            <wps:spPr>
                              <a:xfrm>
                                <a:off x="0" y="0"/>
                                <a:ext cx="270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7" name="Frame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43560" cy="175260"/>
                      <wp:effectExtent l="0" t="0" r="0" b="0"/>
                      <wp:wrapNone/>
                      <wp:docPr id="28" name="Frame2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0515" cy="175260"/>
                      <wp:effectExtent l="0" t="0" r="0" b="0"/>
                      <wp:wrapNone/>
                      <wp:docPr id="29" name="Frame2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0660" cy="175260"/>
                      <wp:effectExtent l="0" t="0" r="0" b="0"/>
                      <wp:wrapNone/>
                      <wp:docPr id="30" name="Frame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43560" cy="175260"/>
                      <wp:effectExtent l="0" t="0" r="0" b="0"/>
                      <wp:wrapNone/>
                      <wp:docPr id="31" name="Frame3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90500" cy="175260"/>
                      <wp:effectExtent l="0" t="0" r="0" b="0"/>
                      <wp:wrapNone/>
                      <wp:docPr id="33" name="Frame3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7050" cy="175260"/>
                      <wp:effectExtent l="0" t="0" r="0" b="0"/>
                      <wp:wrapNone/>
                      <wp:docPr id="34" name="Frame34"/>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4640" cy="175260"/>
                      <wp:effectExtent l="0" t="0" r="0" b="0"/>
                      <wp:wrapNone/>
                      <wp:docPr id="35" name="Frame35"/>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90500" cy="175260"/>
                      <wp:effectExtent l="0" t="0" r="0" b="0"/>
                      <wp:wrapNone/>
                      <wp:docPr id="36" name="Frame3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1500" cy="175260"/>
                      <wp:effectExtent l="0" t="0" r="0" b="0"/>
                      <wp:wrapNone/>
                      <wp:docPr id="37" name="Frame3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52" w:type="dxa"/>
            <w:tcBorders/>
            <w:vAlign w:val="center"/>
          </w:tcPr>
          <w:p>
            <w:pPr>
              <w:pStyle w:val="TableContents"/>
              <w:bidi w:val="0"/>
              <w:spacing w:before="0" w:after="0"/>
              <w:ind w:left="0" w:right="0" w:hanging="0"/>
              <w:jc w:val="left"/>
              <w:rPr/>
            </w:pPr>
            <w:r>
              <w:rPr/>
              <w:t>​</w:t>
            </w:r>
          </w:p>
        </w:tc>
        <w:tc>
          <w:tcPr>
            <w:tcW w:w="28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center"/>
              <w:rPr/>
            </w:pPr>
            <w:r>
              <w:rPr/>
              <w:t>​</w:t>
            </w:r>
          </w:p>
        </w:tc>
        <w:tc>
          <w:tcPr>
            <w:tcW w:w="27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252"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9"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64" w:type="dxa"/>
            <w:tcBorders/>
            <w:vAlign w:val="center"/>
          </w:tcPr>
          <w:p>
            <w:pPr>
              <w:pStyle w:val="TableContents"/>
              <w:bidi w:val="0"/>
              <w:spacing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252" w:type="dxa"/>
            <w:tcBorders/>
            <w:vAlign w:val="center"/>
          </w:tcPr>
          <w:p>
            <w:pPr>
              <w:pStyle w:val="TableContents"/>
              <w:bidi w:val="0"/>
              <w:spacing w:before="0" w:after="0"/>
              <w:ind w:left="0" w:right="0" w:hanging="0"/>
              <w:jc w:val="center"/>
              <w:rPr/>
            </w:pPr>
            <w:r>
              <w:rPr/>
              <w:t>​</w:t>
            </w:r>
          </w:p>
        </w:tc>
        <w:tc>
          <w:tcPr>
            <w:tcW w:w="5953"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1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489"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830"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900" w:type="dxa"/>
            <w:tcBorders/>
            <w:shd w:fill="CCEEFF" w:val="clear"/>
            <w:vAlign w:val="center"/>
          </w:tcPr>
          <w:p>
            <w:pPr>
              <w:pStyle w:val="TableContents"/>
              <w:bidi w:val="0"/>
              <w:spacing w:before="0" w:after="0"/>
              <w:ind w:left="0" w:right="0" w:hanging="0"/>
              <w:jc w:val="center"/>
              <w:rPr/>
            </w:pPr>
            <w:r>
              <w:rPr/>
              <w:t>​</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6,855</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from investment activities</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net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252"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489"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6,961</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7,462</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89"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252"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7,323</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expense</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(loss) attributable to non-controlling interests</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489"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252"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 allocated to:</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89"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252"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25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48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464"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income (loss) per LP unit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r>
      <w:tr>
        <w:trPr/>
        <w:tc>
          <w:tcPr>
            <w:tcW w:w="4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89"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4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489"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8" w:name="_69cf411c_1145_45f7_a62c_c80b556b80d4"/>
      <w:bookmarkEnd w:id="268"/>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 (UNAUDITED)</w:t>
      </w:r>
    </w:p>
    <w:p>
      <w:pPr>
        <w:pStyle w:val="Normal"/>
        <w:bidi w:val="0"/>
        <w:spacing w:before="0" w:after="0"/>
        <w:jc w:val="left"/>
        <w:rPr>
          <w:sz w:val="4"/>
          <w:szCs w:val="4"/>
        </w:rPr>
      </w:pPr>
      <w:r>
        <w:rPr>
          <w:sz w:val="4"/>
          <w:szCs w:val="4"/>
        </w:rPr>
      </w:r>
      <w:bookmarkStart w:id="269" w:name="Tc_PRBsVj63j0y0UEI4oJC3Zw_16_11"/>
      <w:bookmarkStart w:id="270" w:name="Tc_5tgP8YZMnU2a3RFqcHHP_g_16_8"/>
      <w:bookmarkStart w:id="271" w:name="Tc_2q8_dpudi0KiTZKvLbVeZg_16_5"/>
      <w:bookmarkStart w:id="272" w:name="Tc_BTOIL_GWIU65Jq2Bnbv3aQ_16_2"/>
      <w:bookmarkStart w:id="273" w:name="Tc_ovB3INoKvkygO2JKFtlAiA_15_0"/>
      <w:bookmarkStart w:id="274" w:name="Tc_TEatX9CkhEKz2vX_jQaJIQ_14_11"/>
      <w:bookmarkStart w:id="275" w:name="Tc_3xp1ju-iY0OGd89FucX_AQ_14_8"/>
      <w:bookmarkStart w:id="276" w:name="Tc_gl4wpwKxwkSch_8w2-0SnQ_14_5"/>
      <w:bookmarkStart w:id="277" w:name="Tc_oFNr2ixHwEuErfb4hMHvtA_14_2"/>
      <w:bookmarkStart w:id="278" w:name="Tc_UwO6pFN-zkmCBzP6rdSnyw_14_0"/>
      <w:bookmarkStart w:id="279" w:name="Tc_XWiFO30r10qaWZIbdj3h6g_13_0"/>
      <w:bookmarkStart w:id="280" w:name="Tc_M3JtvgU9AUmBUrsr74FXog_11_11"/>
      <w:bookmarkStart w:id="281" w:name="Tc_m73N7fuJ8Ei_XD3IgPWuhA_11_8"/>
      <w:bookmarkStart w:id="282" w:name="Tc_EbCos4q8Y0eKwW_CkF-Tbw_11_5"/>
      <w:bookmarkStart w:id="283" w:name="Tc_ZK02QJO7dk6HKc0GantIOQ_11_2"/>
      <w:bookmarkStart w:id="284" w:name="Tc_RablkZAtCU-Wm_rJyB35Jg_11_0"/>
      <w:bookmarkStart w:id="285" w:name="Tc_M1vGYqbOdE2Q8bVF_UHWkg_10_0"/>
      <w:bookmarkStart w:id="286" w:name="Tc_Uc4FT-ybpUa6VcIAIheX5g_9_0"/>
      <w:bookmarkStart w:id="287" w:name="Tc_AeVl_8JYCECcfnIZ5RaqtA_8_12"/>
      <w:bookmarkStart w:id="288" w:name="Tc_cjh06uvPI06tK1JUc6XCIw_8_0"/>
      <w:bookmarkStart w:id="289" w:name="Tc_ACOcSIMayUaA4zsElb_r4A_7_12"/>
      <w:bookmarkStart w:id="290" w:name="Tc_09S8bT3rFEmuMAJLfyqXPA_7_0"/>
      <w:bookmarkStart w:id="291" w:name="Tc_JRay0nTZ10K4olI49xyN5Q_6_12"/>
      <w:bookmarkStart w:id="292" w:name="Tc_0rj5LLY1MUmoOtw4eCOMRQ_6_6"/>
      <w:bookmarkStart w:id="293" w:name="Tc_ZXZ7pehAt0iT4Froe0-KUA_6_0"/>
      <w:bookmarkStart w:id="294" w:name="Tc_H6cG9RoLr0KsZKgDVGpLiw_5_0"/>
      <w:bookmarkStart w:id="295" w:name="Tc_R56j6sLdNUatOzT6SI2-4A_4_11"/>
      <w:bookmarkStart w:id="296" w:name="Tc_vJGxwZFrvkaoZp6UmQ7yUg_4_8"/>
      <w:bookmarkStart w:id="297" w:name="Tc_N-Cu5GojtkysuMpwmoUhbg_4_5"/>
      <w:bookmarkStart w:id="298" w:name="Tc_UaIchSn2G0y9PBweExitDA_4_2"/>
      <w:bookmarkStart w:id="299" w:name="Tc_GDqXM51t0EycyH7IbEo6BQ_4_0"/>
      <w:bookmarkStart w:id="300" w:name="Tc_re-PQs3wFECQZBu_eunDyQ_3_2"/>
      <w:bookmarkStart w:id="301" w:name="Tc_IbgITXihKkmC9VssMe45dA_2_11"/>
      <w:bookmarkStart w:id="302" w:name="Tc_lpWRmn1TjUCwzqKlSfW0cw_2_8"/>
      <w:bookmarkStart w:id="303" w:name="Tc_FZWKwjiAoEqK-x3M0X5Ovg_2_5"/>
      <w:bookmarkStart w:id="304" w:name="Tc_2Boo3Yd1ZkWdFfuRhKp-LQ_2_2"/>
      <w:bookmarkStart w:id="305" w:name="Tc_5yvbbGQqY0-NequHJ_jFDw_1_8"/>
      <w:bookmarkStart w:id="306" w:name="Tc_JDYQA9kUq0GIiqI6mYfu8Q_1_2"/>
      <w:bookmarkStart w:id="307" w:name="_290f304c_84d7_4043_96e6_161dd4d1b226"/>
      <w:bookmarkStart w:id="308" w:name="Tc_PRBsVj63j0y0UEI4oJC3Zw_16_11"/>
      <w:bookmarkStart w:id="309" w:name="Tc_5tgP8YZMnU2a3RFqcHHP_g_16_8"/>
      <w:bookmarkStart w:id="310" w:name="Tc_2q8_dpudi0KiTZKvLbVeZg_16_5"/>
      <w:bookmarkStart w:id="311" w:name="Tc_BTOIL_GWIU65Jq2Bnbv3aQ_16_2"/>
      <w:bookmarkStart w:id="312" w:name="Tc_ovB3INoKvkygO2JKFtlAiA_15_0"/>
      <w:bookmarkStart w:id="313" w:name="Tc_TEatX9CkhEKz2vX_jQaJIQ_14_11"/>
      <w:bookmarkStart w:id="314" w:name="Tc_3xp1ju-iY0OGd89FucX_AQ_14_8"/>
      <w:bookmarkStart w:id="315" w:name="Tc_gl4wpwKxwkSch_8w2-0SnQ_14_5"/>
      <w:bookmarkStart w:id="316" w:name="Tc_oFNr2ixHwEuErfb4hMHvtA_14_2"/>
      <w:bookmarkStart w:id="317" w:name="Tc_UwO6pFN-zkmCBzP6rdSnyw_14_0"/>
      <w:bookmarkStart w:id="318" w:name="Tc_XWiFO30r10qaWZIbdj3h6g_13_0"/>
      <w:bookmarkStart w:id="319" w:name="Tc_M3JtvgU9AUmBUrsr74FXog_11_11"/>
      <w:bookmarkStart w:id="320" w:name="Tc_m73N7fuJ8Ei_XD3IgPWuhA_11_8"/>
      <w:bookmarkStart w:id="321" w:name="Tc_EbCos4q8Y0eKwW_CkF-Tbw_11_5"/>
      <w:bookmarkStart w:id="322" w:name="Tc_ZK02QJO7dk6HKc0GantIOQ_11_2"/>
      <w:bookmarkStart w:id="323" w:name="Tc_RablkZAtCU-Wm_rJyB35Jg_11_0"/>
      <w:bookmarkStart w:id="324" w:name="Tc_M1vGYqbOdE2Q8bVF_UHWkg_10_0"/>
      <w:bookmarkStart w:id="325" w:name="Tc_Uc4FT-ybpUa6VcIAIheX5g_9_0"/>
      <w:bookmarkStart w:id="326" w:name="Tc_AeVl_8JYCECcfnIZ5RaqtA_8_12"/>
      <w:bookmarkStart w:id="327" w:name="Tc_cjh06uvPI06tK1JUc6XCIw_8_0"/>
      <w:bookmarkStart w:id="328" w:name="Tc_ACOcSIMayUaA4zsElb_r4A_7_12"/>
      <w:bookmarkStart w:id="329" w:name="Tc_09S8bT3rFEmuMAJLfyqXPA_7_0"/>
      <w:bookmarkStart w:id="330" w:name="Tc_JRay0nTZ10K4olI49xyN5Q_6_12"/>
      <w:bookmarkStart w:id="331" w:name="Tc_0rj5LLY1MUmoOtw4eCOMRQ_6_6"/>
      <w:bookmarkStart w:id="332" w:name="Tc_ZXZ7pehAt0iT4Froe0-KUA_6_0"/>
      <w:bookmarkStart w:id="333" w:name="Tc_H6cG9RoLr0KsZKgDVGpLiw_5_0"/>
      <w:bookmarkStart w:id="334" w:name="Tc_R56j6sLdNUatOzT6SI2-4A_4_11"/>
      <w:bookmarkStart w:id="335" w:name="Tc_vJGxwZFrvkaoZp6UmQ7yUg_4_8"/>
      <w:bookmarkStart w:id="336" w:name="Tc_N-Cu5GojtkysuMpwmoUhbg_4_5"/>
      <w:bookmarkStart w:id="337" w:name="Tc_UaIchSn2G0y9PBweExitDA_4_2"/>
      <w:bookmarkStart w:id="338" w:name="Tc_GDqXM51t0EycyH7IbEo6BQ_4_0"/>
      <w:bookmarkStart w:id="339" w:name="Tc_re-PQs3wFECQZBu_eunDyQ_3_2"/>
      <w:bookmarkStart w:id="340" w:name="Tc_IbgITXihKkmC9VssMe45dA_2_11"/>
      <w:bookmarkStart w:id="341" w:name="Tc_lpWRmn1TjUCwzqKlSfW0cw_2_8"/>
      <w:bookmarkStart w:id="342" w:name="Tc_FZWKwjiAoEqK-x3M0X5Ovg_2_5"/>
      <w:bookmarkStart w:id="343" w:name="Tc_2Boo3Yd1ZkWdFfuRhKp-LQ_2_2"/>
      <w:bookmarkStart w:id="344" w:name="Tc_5yvbbGQqY0-NequHJ_jFDw_1_8"/>
      <w:bookmarkStart w:id="345" w:name="Tc_JDYQA9kUq0GIiqI6mYfu8Q_1_2"/>
      <w:bookmarkStart w:id="346" w:name="_290f304c_84d7_4043_96e6_161dd4d1b226"/>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tbl>
      <w:tblPr>
        <w:tblW w:w="10205" w:type="dxa"/>
        <w:jc w:val="left"/>
        <w:tblInd w:w="0" w:type="dxa"/>
        <w:tblLayout w:type="fixed"/>
        <w:tblCellMar>
          <w:top w:w="0" w:type="dxa"/>
          <w:left w:w="0" w:type="dxa"/>
          <w:bottom w:w="0" w:type="dxa"/>
          <w:right w:w="0" w:type="dxa"/>
        </w:tblCellMar>
      </w:tblPr>
      <w:tblGrid>
        <w:gridCol w:w="4423"/>
        <w:gridCol w:w="326"/>
        <w:gridCol w:w="353"/>
        <w:gridCol w:w="706"/>
        <w:gridCol w:w="547"/>
        <w:gridCol w:w="353"/>
        <w:gridCol w:w="581"/>
        <w:gridCol w:w="326"/>
        <w:gridCol w:w="295"/>
        <w:gridCol w:w="736"/>
        <w:gridCol w:w="457"/>
        <w:gridCol w:w="295"/>
        <w:gridCol w:w="807"/>
      </w:tblGrid>
      <w:tr>
        <w:trPr/>
        <w:tc>
          <w:tcPr>
            <w:tcW w:w="4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808605" cy="175260"/>
                      <wp:effectExtent l="0" t="0" r="0" b="0"/>
                      <wp:wrapNone/>
                      <wp:docPr id="38" name="Frame38"/>
                      <a:graphic xmlns:a="http://schemas.openxmlformats.org/drawingml/2006/main">
                        <a:graphicData uri="http://schemas.microsoft.com/office/word/2010/wordprocessingShape">
                          <wps:wsp>
                            <wps:cNvSpPr txBox="1"/>
                            <wps:spPr>
                              <a:xfrm>
                                <a:off x="0" y="0"/>
                                <a:ext cx="280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4155" cy="175260"/>
                      <wp:effectExtent l="0" t="0" r="0" b="0"/>
                      <wp:wrapNone/>
                      <wp:docPr id="40" name="Frame4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48310" cy="175260"/>
                      <wp:effectExtent l="0" t="0" r="0" b="0"/>
                      <wp:wrapNone/>
                      <wp:docPr id="41" name="Frame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47345" cy="175260"/>
                      <wp:effectExtent l="0" t="0" r="0" b="0"/>
                      <wp:wrapNone/>
                      <wp:docPr id="42" name="Frame42"/>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4155" cy="175260"/>
                      <wp:effectExtent l="0" t="0" r="0" b="0"/>
                      <wp:wrapNone/>
                      <wp:docPr id="43" name="Frame4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68935" cy="175260"/>
                      <wp:effectExtent l="0" t="0" r="0" b="0"/>
                      <wp:wrapNone/>
                      <wp:docPr id="44" name="Frame44"/>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7325" cy="175260"/>
                      <wp:effectExtent l="0" t="0" r="0" b="0"/>
                      <wp:wrapNone/>
                      <wp:docPr id="46" name="Frame4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67360" cy="175260"/>
                      <wp:effectExtent l="0" t="0" r="0" b="0"/>
                      <wp:wrapNone/>
                      <wp:docPr id="47" name="Frame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90195" cy="175260"/>
                      <wp:effectExtent l="0" t="0" r="0" b="0"/>
                      <wp:wrapNone/>
                      <wp:docPr id="48" name="Frame4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7325" cy="175260"/>
                      <wp:effectExtent l="0" t="0" r="0" b="0"/>
                      <wp:wrapNone/>
                      <wp:docPr id="49" name="Frame4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12445" cy="175260"/>
                      <wp:effectExtent l="0" t="0" r="0" b="0"/>
                      <wp:wrapNone/>
                      <wp:docPr id="50" name="Frame50"/>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47" w:type="dxa"/>
            <w:tcBorders/>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7" w:type="dxa"/>
            <w:tcBorders/>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gain, net of tax:</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w:t>
            </w:r>
          </w:p>
        </w:tc>
      </w:tr>
      <w:tr>
        <w:trPr/>
        <w:tc>
          <w:tcPr>
            <w:tcW w:w="4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47"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57"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547"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457"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4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Icahn Enterprises</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547"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457"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4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Icahn Enterprises allocated to:</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547"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w:t>
            </w:r>
          </w:p>
        </w:tc>
      </w:tr>
      <w:tr>
        <w:trPr/>
        <w:tc>
          <w:tcPr>
            <w:tcW w:w="4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7"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7"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4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547"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457"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7" w:name="_6d5c51c4_0821_4101_b1b0_bc1f1ab29780"/>
      <w:bookmarkEnd w:id="347"/>
      <w:r>
        <w:rPr>
          <w:rFonts w:ascii="Times New Roman;Times;serif" w:hAnsi="Times New Roman;Times;serif"/>
          <w:b/>
          <w:sz w:val="20"/>
        </w:rPr>
        <w:t>ICAHN ENTERPRISES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8" w:name="Tc_cEDOawtR_US4frHjFGeVbw_31_14"/>
      <w:bookmarkStart w:id="349" w:name="Tc_a6Q1J7f7RE-gCgp3t5sx5A_31_11"/>
      <w:bookmarkStart w:id="350" w:name="Tc_QpgPbTsb60eQQ1xz4Ksz1w_31_8"/>
      <w:bookmarkStart w:id="351" w:name="Tc_LaqfQGmho0GxolTWRIzebA_31_5"/>
      <w:bookmarkStart w:id="352" w:name="Tc_OZcVvV7HVk6e93-dN1JesA_31_2"/>
      <w:bookmarkStart w:id="353" w:name="Tc_b0hi4Ex5q0OmxR7HZlnJGA_31_0"/>
      <w:bookmarkStart w:id="354" w:name="Tc_3zDJ8rUrAk-pTPOOa_9YUw_30_0"/>
      <w:bookmarkStart w:id="355" w:name="Tc_HXz-ApCgikKLzh2jTPiMMw_29_9"/>
      <w:bookmarkStart w:id="356" w:name="Tc_88KjEdb3a0OK2BUDo44iLg_29_6"/>
      <w:bookmarkStart w:id="357" w:name="Tc_VSWtb8wneEiCbhXyAow5DQ_29_3"/>
      <w:bookmarkStart w:id="358" w:name="Tc_0C-yNjIgNES207lGO0UhYw_29_0"/>
      <w:bookmarkStart w:id="359" w:name="Tc_w_16A2lLOkm8cm-36DkdEg_28_9"/>
      <w:bookmarkStart w:id="360" w:name="Tc_Br9Ou5ggEU27FkGfACUJmA_28_6"/>
      <w:bookmarkStart w:id="361" w:name="Tc_W5DgX4OHpESIR_cr5ZOivg_28_3"/>
      <w:bookmarkStart w:id="362" w:name="Tc_TyZfYAt1VEau0IzO4cXiHg_28_0"/>
      <w:bookmarkStart w:id="363" w:name="Tc_Tor5oSYCEUGAzTCrOSsU0w_27_12"/>
      <w:bookmarkStart w:id="364" w:name="Tc_SkVcMr2ZjkC1y2a6990iMg_27_3"/>
      <w:bookmarkStart w:id="365" w:name="Tc_5dXdqOqAfUuK1e1MdP_Cbg_27_0"/>
      <w:bookmarkStart w:id="366" w:name="Tc_MnPE24ze8ki-M2nfY_x8Pg_26_12"/>
      <w:bookmarkStart w:id="367" w:name="Tc_Ozon0odZjEiWmy_9MOqd9g_26_0"/>
      <w:bookmarkStart w:id="368" w:name="Tc_jN0ouQ13UkunqXJRgvUopg_25_3"/>
      <w:bookmarkStart w:id="369" w:name="Tc_IiLUYQ-93Eu_yDN8NtsnSg_25_0"/>
      <w:bookmarkStart w:id="370" w:name="Tc_QFClf27TrkWWnbj5X-Aj_Q_24_0"/>
      <w:bookmarkStart w:id="371" w:name="Tc_BZbFWXVj-k-mqRAMN2tdKA_23_0"/>
      <w:bookmarkStart w:id="372" w:name="Tc_MiUokcV98keSj0rbstlMag_22_0"/>
      <w:bookmarkStart w:id="373" w:name="Tc_mTiHD9olhE-79pcBWRVg8g_21_9"/>
      <w:bookmarkStart w:id="374" w:name="Tc_UpMaeHXlxE-9FsXhDMyoGQ_21_6"/>
      <w:bookmarkStart w:id="375" w:name="Tc_ndqDSwZfKE6Cyfs0-3ZyJA_21_3"/>
      <w:bookmarkStart w:id="376" w:name="Tc_-yIYTCqi1U2i8K9gvtfS1w_21_0"/>
      <w:bookmarkStart w:id="377" w:name="Tc_37tUHqM-Okuo2H-Z3d8FfA_20_3"/>
      <w:bookmarkStart w:id="378" w:name="Tc_edFCaEyOrUi4Xq3VQ9gOsw_20_0"/>
      <w:bookmarkStart w:id="379" w:name="Tc_PPpiYLHAN0qCTB5J_o6omA_19_9"/>
      <w:bookmarkStart w:id="380" w:name="Tc_ieuxnOUoiE-99XSBqNMdmQ_19_6"/>
      <w:bookmarkStart w:id="381" w:name="Tc_Inp4tHlcNEOPhepObmbLnw_19_3"/>
      <w:bookmarkStart w:id="382" w:name="Tc_eLUN17TebkWDYlJaEGVBFA_19_0"/>
      <w:bookmarkStart w:id="383" w:name="Tc_6OUmse0fk0OKx_9aknc1fA_18_12"/>
      <w:bookmarkStart w:id="384" w:name="Tc_sbPnou85sEaIwz6gV6qEIA_18_3"/>
      <w:bookmarkStart w:id="385" w:name="Tc_Q7OPED5qnUu9Q3UJrNVqag_18_0"/>
      <w:bookmarkStart w:id="386" w:name="Tc_6f58W2qPzkKVWLKD3eSEtw_17_12"/>
      <w:bookmarkStart w:id="387" w:name="Tc_4TeOnzVN1ke53k2dk7Vzsg_17_0"/>
      <w:bookmarkStart w:id="388" w:name="Tc_P3T2UQSMCE-s1gTrrzGuMw_16_12"/>
      <w:bookmarkStart w:id="389" w:name="Tc_F2WtDIyatkePGVidm9_dig_16_0"/>
      <w:bookmarkStart w:id="390" w:name="Tc_MpfqSGn5IkWedlOM-xR7cQ_15_3"/>
      <w:bookmarkStart w:id="391" w:name="Tc_2-hmLP-qEEunDgcj_Rv9rQ_15_0"/>
      <w:bookmarkStart w:id="392" w:name="Tc_wkNK-Tt6XkqmJ_vIxrwzXw_14_0"/>
      <w:bookmarkStart w:id="393" w:name="Tc_V_ORz2QhhUOpWNLtJEfaCw_13_14"/>
      <w:bookmarkStart w:id="394" w:name="Tc_4ti51MIRi029ErO6gelMWw_13_11"/>
      <w:bookmarkStart w:id="395" w:name="Tc_IXJUz4Vd6kul30hzB5NHnw_13_8"/>
      <w:bookmarkStart w:id="396" w:name="Tc_AroGx9yBQkiSYmHGvzmPTw_13_5"/>
      <w:bookmarkStart w:id="397" w:name="Tc_EKucis2fZUyVXmdHmCfomg_13_2"/>
      <w:bookmarkStart w:id="398" w:name="Tc_S7Rcsr5L7kqne4tKeVasPQ_13_0"/>
      <w:bookmarkStart w:id="399" w:name="Tc_ncii0fp5mEaNt0Ou_R5zbg_12_12"/>
      <w:bookmarkStart w:id="400" w:name="Tc_ApcL3jVVC0WYH-fncJn2pw_12_3"/>
      <w:bookmarkStart w:id="401" w:name="Tc_cvIw1dC2n0muCQZKmcRqRw_12_0"/>
      <w:bookmarkStart w:id="402" w:name="Tc_N1iBx9UUCEOEeRKKfh647w_11_9"/>
      <w:bookmarkStart w:id="403" w:name="Tc_jQpUeWRUgE6rbEHUy9v7_w_11_6"/>
      <w:bookmarkStart w:id="404" w:name="Tc_ONWHxqFVqUS9d632vn0lTQ_11_3"/>
      <w:bookmarkStart w:id="405" w:name="Tc_TKTvhjKRqEGW89yVEiBR3A_11_0"/>
      <w:bookmarkStart w:id="406" w:name="Tc_cuSSXiJ-0k6oQG4Lk5cDkw_10_3"/>
      <w:bookmarkStart w:id="407" w:name="Tc_TLXwOatyLEu-KxspQRiSAA_10_0"/>
      <w:bookmarkStart w:id="408" w:name="Tc_oZ5hbkJPtUy84XqbdRM9Rg_9_12"/>
      <w:bookmarkStart w:id="409" w:name="Tc_6VPRH4-LqEqaX2VSJyTEqw_9_0"/>
      <w:bookmarkStart w:id="410" w:name="Tc_K-EEXORBt0uVEL6G4wzGfw_8_12"/>
      <w:bookmarkStart w:id="411" w:name="Tc_VOCfi1-QIUGGRYXWVQ-BDw_8_3"/>
      <w:bookmarkStart w:id="412" w:name="Tc_uRiEjFZbAUG3Atuvcg8bGA_8_0"/>
      <w:bookmarkStart w:id="413" w:name="Tc_3rz9wB9nZ0iV4t5HGarvIQ_7_0"/>
      <w:bookmarkStart w:id="414" w:name="Tc_Npo79glqn06dpqTl-hVlSw_6_14"/>
      <w:bookmarkStart w:id="415" w:name="Tc_E8l2GmJJfkKnbsdhMlYL0Q_6_11"/>
      <w:bookmarkStart w:id="416" w:name="Tc_ZE7ww8zo8k67_C5jm6EZ8g_6_8"/>
      <w:bookmarkStart w:id="417" w:name="Tc_pHI4gpfxHkuU1gVez6ifgQ_6_5"/>
      <w:bookmarkStart w:id="418" w:name="Tc_g4tEUdpdCEudCB7oHdcnnQ_6_2"/>
      <w:bookmarkStart w:id="419" w:name="Tc_b9DBn6oZF0a8dbtpg6uHZg_6_0"/>
      <w:bookmarkStart w:id="420" w:name="Tc_8QyXDtfnP023PvMS1TdKEw_5_2"/>
      <w:bookmarkStart w:id="421" w:name="Tc_MWk0aIiY20eoaCVA-_TwCg_4_14"/>
      <w:bookmarkStart w:id="422" w:name="Tc_9shhE6nSXk60xfTEIz3uLw_4_11"/>
      <w:bookmarkStart w:id="423" w:name="Tc_lNNBaFIrQUKJWIJMRYBJVg_4_8"/>
      <w:bookmarkStart w:id="424" w:name="Tc_sNviaZbUf0arJroEx67pCA_4_5"/>
      <w:bookmarkStart w:id="425" w:name="Tc_5Bg6Kr-jGUSlAulQPGFEEA_4_2"/>
      <w:bookmarkStart w:id="426" w:name="Tc_dVrRdEPvd02ihcR1peeO3g_3_11"/>
      <w:bookmarkStart w:id="427" w:name="Tc_kwx-6-HbeUufx2Vvcf6b4A_3_8"/>
      <w:bookmarkStart w:id="428" w:name="Tc_9BtBZ1to8E-ymT0WYWKRgQ_3_5"/>
      <w:bookmarkStart w:id="429" w:name="Tc_uhn2vkhGBkmmOaiKPXVJmw_3_2"/>
      <w:bookmarkStart w:id="430" w:name="Tc_fIS3ZtvUxU6pTn-j83k_EQ_2_11"/>
      <w:bookmarkStart w:id="431" w:name="Tc_1W1jciF5b0mlGkRl2fRdig_2_5"/>
      <w:bookmarkStart w:id="432" w:name="Tc_h3NL7YdpgkipllK_5Irm5A_2_2"/>
      <w:bookmarkStart w:id="433" w:name="Tc_EHRSYCAJkkqEAV44W3IpZA_1_2"/>
      <w:bookmarkStart w:id="434" w:name="_0d68d69b_4082_4d89_b3df_1e4dd203158d"/>
      <w:bookmarkStart w:id="435" w:name="Tc_cEDOawtR_US4frHjFGeVbw_31_14"/>
      <w:bookmarkStart w:id="436" w:name="Tc_a6Q1J7f7RE-gCgp3t5sx5A_31_11"/>
      <w:bookmarkStart w:id="437" w:name="Tc_QpgPbTsb60eQQ1xz4Ksz1w_31_8"/>
      <w:bookmarkStart w:id="438" w:name="Tc_LaqfQGmho0GxolTWRIzebA_31_5"/>
      <w:bookmarkStart w:id="439" w:name="Tc_OZcVvV7HVk6e93-dN1JesA_31_2"/>
      <w:bookmarkStart w:id="440" w:name="Tc_b0hi4Ex5q0OmxR7HZlnJGA_31_0"/>
      <w:bookmarkStart w:id="441" w:name="Tc_3zDJ8rUrAk-pTPOOa_9YUw_30_0"/>
      <w:bookmarkStart w:id="442" w:name="Tc_HXz-ApCgikKLzh2jTPiMMw_29_9"/>
      <w:bookmarkStart w:id="443" w:name="Tc_88KjEdb3a0OK2BUDo44iLg_29_6"/>
      <w:bookmarkStart w:id="444" w:name="Tc_VSWtb8wneEiCbhXyAow5DQ_29_3"/>
      <w:bookmarkStart w:id="445" w:name="Tc_0C-yNjIgNES207lGO0UhYw_29_0"/>
      <w:bookmarkStart w:id="446" w:name="Tc_w_16A2lLOkm8cm-36DkdEg_28_9"/>
      <w:bookmarkStart w:id="447" w:name="Tc_Br9Ou5ggEU27FkGfACUJmA_28_6"/>
      <w:bookmarkStart w:id="448" w:name="Tc_W5DgX4OHpESIR_cr5ZOivg_28_3"/>
      <w:bookmarkStart w:id="449" w:name="Tc_TyZfYAt1VEau0IzO4cXiHg_28_0"/>
      <w:bookmarkStart w:id="450" w:name="Tc_Tor5oSYCEUGAzTCrOSsU0w_27_12"/>
      <w:bookmarkStart w:id="451" w:name="Tc_SkVcMr2ZjkC1y2a6990iMg_27_3"/>
      <w:bookmarkStart w:id="452" w:name="Tc_5dXdqOqAfUuK1e1MdP_Cbg_27_0"/>
      <w:bookmarkStart w:id="453" w:name="Tc_MnPE24ze8ki-M2nfY_x8Pg_26_12"/>
      <w:bookmarkStart w:id="454" w:name="Tc_Ozon0odZjEiWmy_9MOqd9g_26_0"/>
      <w:bookmarkStart w:id="455" w:name="Tc_jN0ouQ13UkunqXJRgvUopg_25_3"/>
      <w:bookmarkStart w:id="456" w:name="Tc_IiLUYQ-93Eu_yDN8NtsnSg_25_0"/>
      <w:bookmarkStart w:id="457" w:name="Tc_QFClf27TrkWWnbj5X-Aj_Q_24_0"/>
      <w:bookmarkStart w:id="458" w:name="Tc_BZbFWXVj-k-mqRAMN2tdKA_23_0"/>
      <w:bookmarkStart w:id="459" w:name="Tc_MiUokcV98keSj0rbstlMag_22_0"/>
      <w:bookmarkStart w:id="460" w:name="Tc_mTiHD9olhE-79pcBWRVg8g_21_9"/>
      <w:bookmarkStart w:id="461" w:name="Tc_UpMaeHXlxE-9FsXhDMyoGQ_21_6"/>
      <w:bookmarkStart w:id="462" w:name="Tc_ndqDSwZfKE6Cyfs0-3ZyJA_21_3"/>
      <w:bookmarkStart w:id="463" w:name="Tc_-yIYTCqi1U2i8K9gvtfS1w_21_0"/>
      <w:bookmarkStart w:id="464" w:name="Tc_37tUHqM-Okuo2H-Z3d8FfA_20_3"/>
      <w:bookmarkStart w:id="465" w:name="Tc_edFCaEyOrUi4Xq3VQ9gOsw_20_0"/>
      <w:bookmarkStart w:id="466" w:name="Tc_PPpiYLHAN0qCTB5J_o6omA_19_9"/>
      <w:bookmarkStart w:id="467" w:name="Tc_ieuxnOUoiE-99XSBqNMdmQ_19_6"/>
      <w:bookmarkStart w:id="468" w:name="Tc_Inp4tHlcNEOPhepObmbLnw_19_3"/>
      <w:bookmarkStart w:id="469" w:name="Tc_eLUN17TebkWDYlJaEGVBFA_19_0"/>
      <w:bookmarkStart w:id="470" w:name="Tc_6OUmse0fk0OKx_9aknc1fA_18_12"/>
      <w:bookmarkStart w:id="471" w:name="Tc_sbPnou85sEaIwz6gV6qEIA_18_3"/>
      <w:bookmarkStart w:id="472" w:name="Tc_Q7OPED5qnUu9Q3UJrNVqag_18_0"/>
      <w:bookmarkStart w:id="473" w:name="Tc_6f58W2qPzkKVWLKD3eSEtw_17_12"/>
      <w:bookmarkStart w:id="474" w:name="Tc_4TeOnzVN1ke53k2dk7Vzsg_17_0"/>
      <w:bookmarkStart w:id="475" w:name="Tc_P3T2UQSMCE-s1gTrrzGuMw_16_12"/>
      <w:bookmarkStart w:id="476" w:name="Tc_F2WtDIyatkePGVidm9_dig_16_0"/>
      <w:bookmarkStart w:id="477" w:name="Tc_MpfqSGn5IkWedlOM-xR7cQ_15_3"/>
      <w:bookmarkStart w:id="478" w:name="Tc_2-hmLP-qEEunDgcj_Rv9rQ_15_0"/>
      <w:bookmarkStart w:id="479" w:name="Tc_wkNK-Tt6XkqmJ_vIxrwzXw_14_0"/>
      <w:bookmarkStart w:id="480" w:name="Tc_V_ORz2QhhUOpWNLtJEfaCw_13_14"/>
      <w:bookmarkStart w:id="481" w:name="Tc_4ti51MIRi029ErO6gelMWw_13_11"/>
      <w:bookmarkStart w:id="482" w:name="Tc_IXJUz4Vd6kul30hzB5NHnw_13_8"/>
      <w:bookmarkStart w:id="483" w:name="Tc_AroGx9yBQkiSYmHGvzmPTw_13_5"/>
      <w:bookmarkStart w:id="484" w:name="Tc_EKucis2fZUyVXmdHmCfomg_13_2"/>
      <w:bookmarkStart w:id="485" w:name="Tc_S7Rcsr5L7kqne4tKeVasPQ_13_0"/>
      <w:bookmarkStart w:id="486" w:name="Tc_ncii0fp5mEaNt0Ou_R5zbg_12_12"/>
      <w:bookmarkStart w:id="487" w:name="Tc_ApcL3jVVC0WYH-fncJn2pw_12_3"/>
      <w:bookmarkStart w:id="488" w:name="Tc_cvIw1dC2n0muCQZKmcRqRw_12_0"/>
      <w:bookmarkStart w:id="489" w:name="Tc_N1iBx9UUCEOEeRKKfh647w_11_9"/>
      <w:bookmarkStart w:id="490" w:name="Tc_jQpUeWRUgE6rbEHUy9v7_w_11_6"/>
      <w:bookmarkStart w:id="491" w:name="Tc_ONWHxqFVqUS9d632vn0lTQ_11_3"/>
      <w:bookmarkStart w:id="492" w:name="Tc_TKTvhjKRqEGW89yVEiBR3A_11_0"/>
      <w:bookmarkStart w:id="493" w:name="Tc_cuSSXiJ-0k6oQG4Lk5cDkw_10_3"/>
      <w:bookmarkStart w:id="494" w:name="Tc_TLXwOatyLEu-KxspQRiSAA_10_0"/>
      <w:bookmarkStart w:id="495" w:name="Tc_oZ5hbkJPtUy84XqbdRM9Rg_9_12"/>
      <w:bookmarkStart w:id="496" w:name="Tc_6VPRH4-LqEqaX2VSJyTEqw_9_0"/>
      <w:bookmarkStart w:id="497" w:name="Tc_K-EEXORBt0uVEL6G4wzGfw_8_12"/>
      <w:bookmarkStart w:id="498" w:name="Tc_VOCfi1-QIUGGRYXWVQ-BDw_8_3"/>
      <w:bookmarkStart w:id="499" w:name="Tc_uRiEjFZbAUG3Atuvcg8bGA_8_0"/>
      <w:bookmarkStart w:id="500" w:name="Tc_3rz9wB9nZ0iV4t5HGarvIQ_7_0"/>
      <w:bookmarkStart w:id="501" w:name="Tc_Npo79glqn06dpqTl-hVlSw_6_14"/>
      <w:bookmarkStart w:id="502" w:name="Tc_E8l2GmJJfkKnbsdhMlYL0Q_6_11"/>
      <w:bookmarkStart w:id="503" w:name="Tc_ZE7ww8zo8k67_C5jm6EZ8g_6_8"/>
      <w:bookmarkStart w:id="504" w:name="Tc_pHI4gpfxHkuU1gVez6ifgQ_6_5"/>
      <w:bookmarkStart w:id="505" w:name="Tc_g4tEUdpdCEudCB7oHdcnnQ_6_2"/>
      <w:bookmarkStart w:id="506" w:name="Tc_b9DBn6oZF0a8dbtpg6uHZg_6_0"/>
      <w:bookmarkStart w:id="507" w:name="Tc_8QyXDtfnP023PvMS1TdKEw_5_2"/>
      <w:bookmarkStart w:id="508" w:name="Tc_MWk0aIiY20eoaCVA-_TwCg_4_14"/>
      <w:bookmarkStart w:id="509" w:name="Tc_9shhE6nSXk60xfTEIz3uLw_4_11"/>
      <w:bookmarkStart w:id="510" w:name="Tc_lNNBaFIrQUKJWIJMRYBJVg_4_8"/>
      <w:bookmarkStart w:id="511" w:name="Tc_sNviaZbUf0arJroEx67pCA_4_5"/>
      <w:bookmarkStart w:id="512" w:name="Tc_5Bg6Kr-jGUSlAulQPGFEEA_4_2"/>
      <w:bookmarkStart w:id="513" w:name="Tc_dVrRdEPvd02ihcR1peeO3g_3_11"/>
      <w:bookmarkStart w:id="514" w:name="Tc_kwx-6-HbeUufx2Vvcf6b4A_3_8"/>
      <w:bookmarkStart w:id="515" w:name="Tc_9BtBZ1to8E-ymT0WYWKRgQ_3_5"/>
      <w:bookmarkStart w:id="516" w:name="Tc_uhn2vkhGBkmmOaiKPXVJmw_3_2"/>
      <w:bookmarkStart w:id="517" w:name="Tc_fIS3ZtvUxU6pTn-j83k_EQ_2_11"/>
      <w:bookmarkStart w:id="518" w:name="Tc_1W1jciF5b0mlGkRl2fRdig_2_5"/>
      <w:bookmarkStart w:id="519" w:name="Tc_h3NL7YdpgkipllK_5Irm5A_2_2"/>
      <w:bookmarkStart w:id="520" w:name="Tc_EHRSYCAJkkqEAV44W3IpZA_1_2"/>
      <w:bookmarkStart w:id="521" w:name="_0d68d69b_4082_4d89_b3df_1e4dd203158d"/>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95"/>
        <w:gridCol w:w="801"/>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30705" cy="175260"/>
                      <wp:effectExtent l="0" t="0" r="0" b="0"/>
                      <wp:wrapNone/>
                      <wp:docPr id="51" name="Frame51"/>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3990" cy="175260"/>
                      <wp:effectExtent l="0" t="0" r="0" b="0"/>
                      <wp:wrapNone/>
                      <wp:docPr id="53" name="Frame5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98145" cy="175260"/>
                      <wp:effectExtent l="0" t="0" r="0" b="0"/>
                      <wp:wrapNone/>
                      <wp:docPr id="54" name="Frame5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9555" cy="175260"/>
                      <wp:effectExtent l="0" t="0" r="0" b="0"/>
                      <wp:wrapNone/>
                      <wp:docPr id="55" name="Frame5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1290" cy="175260"/>
                      <wp:effectExtent l="0" t="0" r="0" b="0"/>
                      <wp:wrapNone/>
                      <wp:docPr id="56" name="Frame5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7515" cy="175260"/>
                      <wp:effectExtent l="0" t="0" r="0" b="0"/>
                      <wp:wrapNone/>
                      <wp:docPr id="57" name="Frame5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49555" cy="175260"/>
                      <wp:effectExtent l="0" t="0" r="0" b="0"/>
                      <wp:wrapNone/>
                      <wp:docPr id="58" name="Frame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4950" cy="175260"/>
                      <wp:effectExtent l="0" t="0" r="0" b="0"/>
                      <wp:wrapNone/>
                      <wp:docPr id="59" name="Frame5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4525" cy="175260"/>
                      <wp:effectExtent l="0" t="0" r="0" b="0"/>
                      <wp:wrapNone/>
                      <wp:docPr id="60" name="Frame60"/>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7325" cy="175260"/>
                      <wp:effectExtent l="0" t="0" r="0" b="0"/>
                      <wp:wrapNone/>
                      <wp:docPr id="62" name="Frame6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8635" cy="175260"/>
                      <wp:effectExtent l="0" t="0" r="0" b="0"/>
                      <wp:wrapNone/>
                      <wp:docPr id="63" name="Frame6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5420" cy="175260"/>
                      <wp:effectExtent l="0" t="0" r="0" b="0"/>
                      <wp:wrapNone/>
                      <wp:docPr id="65" name="Frame6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7535" cy="175260"/>
                      <wp:effectExtent l="0" t="0" r="0" b="0"/>
                      <wp:wrapNone/>
                      <wp:docPr id="66" name="Frame6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2025</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1,774</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(790)</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2,533</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1,743</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3,423</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2025</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(785)</w:t>
            </w:r>
          </w:p>
        </w:tc>
        <w:tc>
          <w:tcPr>
            <w:tcW w:w="393"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2,735</w:t>
            </w:r>
          </w:p>
        </w:tc>
        <w:tc>
          <w:tcPr>
            <w:tcW w:w="393"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1,469</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22" w:name="Tc_HJHWy6RefUKxGsINjGiyWA_30_14"/>
      <w:bookmarkStart w:id="523" w:name="Tc_o3WdYBFMjUyPodLiof4gYA_30_11"/>
      <w:bookmarkStart w:id="524" w:name="Tc_trJ_6ZM8Uk29-64A4do1FA_30_8"/>
      <w:bookmarkStart w:id="525" w:name="Tc_dq-nyFEOqUKoof22ZBNLkA_30_5"/>
      <w:bookmarkStart w:id="526" w:name="Tc_67Mo-rEYBECBgLhjfFXxIg_30_2"/>
      <w:bookmarkStart w:id="527" w:name="Tc_a7zRPgVZKUaJ4kl-q1mNnA_30_0"/>
      <w:bookmarkStart w:id="528" w:name="Tc_ErYMIrMMDECsqgnPYb4fgw_29_9"/>
      <w:bookmarkStart w:id="529" w:name="Tc_VroLa9Zia0qNCWRIV8yiiA_29_6"/>
      <w:bookmarkStart w:id="530" w:name="Tc_Kq5ynlfEkEyniTJeiqFjKg_29_3"/>
      <w:bookmarkStart w:id="531" w:name="Tc_UueSXNwUsU61k199EOzCbA_29_0"/>
      <w:bookmarkStart w:id="532" w:name="Tc_n--SvU04mUyXYmpN2Mjhog_28_9"/>
      <w:bookmarkStart w:id="533" w:name="Tc__TwHtsNYz0WbF8V82Q5Omg_28_6"/>
      <w:bookmarkStart w:id="534" w:name="Tc_K5oc4ejeakiWcf7x5p-gtA_28_3"/>
      <w:bookmarkStart w:id="535" w:name="Tc_3NqRKL0HLk6arGlrEOePQw_28_0"/>
      <w:bookmarkStart w:id="536" w:name="Tc_5Ri2yFUlUkG38xecH1qg8A_27_12"/>
      <w:bookmarkStart w:id="537" w:name="Tc_f8I3Sckr9kmcEzojL28PNA_27_3"/>
      <w:bookmarkStart w:id="538" w:name="Tc_hlFdtvqrwES1areTLOlWBg_27_0"/>
      <w:bookmarkStart w:id="539" w:name="Tc_A4lI3OY44Eqikb2oD01LAg_26_12"/>
      <w:bookmarkStart w:id="540" w:name="Tc_8oFOBKBcfUmpCHSYhYlmkg_26_0"/>
      <w:bookmarkStart w:id="541" w:name="Tc_fvHonOTyf0ydKfb0PQcE7g_25_3"/>
      <w:bookmarkStart w:id="542" w:name="Tc_a7Qj89cvckSvuxnbprjwtg_25_0"/>
      <w:bookmarkStart w:id="543" w:name="Tc_5I-ahW5mbE20sU8yh_UNcg_24_3"/>
      <w:bookmarkStart w:id="544" w:name="Tc_fcX4C3FiZU-3utaaLe9CQg_24_0"/>
      <w:bookmarkStart w:id="545" w:name="Tc_JC80ch1ruE6ndAmBQC83tQ_23_0"/>
      <w:bookmarkStart w:id="546" w:name="Tc_-2Z_3mOmkkCZmN-clEcY1A_22_12"/>
      <w:bookmarkStart w:id="547" w:name="Tc_ra1u3eLBfku1y15KmwD2NA_22_6"/>
      <w:bookmarkStart w:id="548" w:name="Tc_6iI_akiVrUu6fUG6ym_4rQ_22_0"/>
      <w:bookmarkStart w:id="549" w:name="Tc_EuHLS4sxoEW6MC8kZYANDQ_21_9"/>
      <w:bookmarkStart w:id="550" w:name="Tc_5DckW3vTXECgqDeTlu4IeA_21_6"/>
      <w:bookmarkStart w:id="551" w:name="Tc_U-eCkvIvS0GHj4oNU7795Q_21_3"/>
      <w:bookmarkStart w:id="552" w:name="Tc_h2rictGF8k6EhdFwoxHK-g_21_0"/>
      <w:bookmarkStart w:id="553" w:name="Tc_qYZR7CnTckOaSq7x8_MifQ_20_9"/>
      <w:bookmarkStart w:id="554" w:name="Tc_Cb8WoEpAs0e5pOqcH19jdQ_20_6"/>
      <w:bookmarkStart w:id="555" w:name="Tc_Z-xYK7PM-ESiCTN3nFB58A_20_3"/>
      <w:bookmarkStart w:id="556" w:name="Tc_WunAui7cdkq0Q0hoOjfztA_20_0"/>
      <w:bookmarkStart w:id="557" w:name="Tc_CO5PK14K3E-wcfX4xTGfHw_19_12"/>
      <w:bookmarkStart w:id="558" w:name="Tc_BsmtMxHTvU6kpIW8ujOyUw_19_0"/>
      <w:bookmarkStart w:id="559" w:name="Tc_Rb6sumnX5UqyvsIxLVQKJA_18_12"/>
      <w:bookmarkStart w:id="560" w:name="Tc_8xp4pK3j3ki9Z-DILMqaTQ_18_0"/>
      <w:bookmarkStart w:id="561" w:name="Tc_S8u77iyncEyvi_IDw9nuyw_17_12"/>
      <w:bookmarkStart w:id="562" w:name="Tc_oA9-XQMTT06RGvhO6JepLw_17_0"/>
      <w:bookmarkStart w:id="563" w:name="Tc_USUVxqxLc0-btbiwZsIk9w_16_3"/>
      <w:bookmarkStart w:id="564" w:name="Tc_1jTKK6XUK0yTROufeDuWKA_16_0"/>
      <w:bookmarkStart w:id="565" w:name="Tc_56Ie6_jO4k-86JjCeq-eAA_15_0"/>
      <w:bookmarkStart w:id="566" w:name="Tc_g6G-int1f0q9B8ZbyRqa3g_14_14"/>
      <w:bookmarkStart w:id="567" w:name="Tc_gQbc9Wdo5U2qA1a41WbXpg_14_11"/>
      <w:bookmarkStart w:id="568" w:name="Tc_GJWpuo4MdkS_WSA2_cxFbw_14_8"/>
      <w:bookmarkStart w:id="569" w:name="Tc_lC9AqS0RTkOlIBtpu5XiZw_14_5"/>
      <w:bookmarkStart w:id="570" w:name="Tc_zbEMTzhARUKkqI-rDhx9nw_14_2"/>
      <w:bookmarkStart w:id="571" w:name="Tc_-nTME_zagEGug4wARyZBRA_14_0"/>
      <w:bookmarkStart w:id="572" w:name="Tc_UhW5kru7Xk6zDGCfbeQ8yg_13_12"/>
      <w:bookmarkStart w:id="573" w:name="Tc_l3zcjo943kenxjFkFZYOpw_13_6"/>
      <w:bookmarkStart w:id="574" w:name="Tc_C9njageT20yPFFGSw6VEYg_13_0"/>
      <w:bookmarkStart w:id="575" w:name="Tc_FAW7q7ZmjE6rfTZFauS1Jw_12_9"/>
      <w:bookmarkStart w:id="576" w:name="Tc_HhXKlsku-k-xpOSWk3Klug_12_6"/>
      <w:bookmarkStart w:id="577" w:name="Tc_8J9or-AqZUu_2FS6eFE49g_12_3"/>
      <w:bookmarkStart w:id="578" w:name="Tc_8c3jXKUtUUSCx-pEq4pDYw_12_0"/>
      <w:bookmarkStart w:id="579" w:name="Tc_XHhVzx10x0SYYEWS4C48bw_11_9"/>
      <w:bookmarkStart w:id="580" w:name="Tc_n-LhUrpJek-sLqcvGIvcEw_11_6"/>
      <w:bookmarkStart w:id="581" w:name="Tc_LJKmxR3ZoE2i4jIJ_dAdfg_11_3"/>
      <w:bookmarkStart w:id="582" w:name="Tc_gOz6NYiDQU2S9EU9b-tAvg_11_0"/>
      <w:bookmarkStart w:id="583" w:name="Tc_o_AO63lYrk-TMXQAsqWuMg_10_12"/>
      <w:bookmarkStart w:id="584" w:name="Tc_ouzl4xKezkufirTYuzD4LQ_10_0"/>
      <w:bookmarkStart w:id="585" w:name="Tc_C8dXgkV4d0G3GZgsa22zbA_9_12"/>
      <w:bookmarkStart w:id="586" w:name="Tc_Oid0bNIGVkmUuKRG8eoK7Q_9_0"/>
      <w:bookmarkStart w:id="587" w:name="Tc__pJSavvdl0qZ5PLdg36MxA_8_12"/>
      <w:bookmarkStart w:id="588" w:name="Tc_FReL3_j2YUaWlcyrcWOwyA_8_3"/>
      <w:bookmarkStart w:id="589" w:name="Tc_o14ea4U7n0uu1Pym0l8KZA_8_0"/>
      <w:bookmarkStart w:id="590" w:name="Tc_R17q8YtIjE29odShceN-tA_7_0"/>
      <w:bookmarkStart w:id="591" w:name="Tc_CrY9TAB-m0iRQyhE4nRqjQ_6_14"/>
      <w:bookmarkStart w:id="592" w:name="Tc_6RgLAG65RUqZiFj-IoQWTQ_6_11"/>
      <w:bookmarkStart w:id="593" w:name="Tc_t21zs_SGSEuxFfU2LdXztQ_6_8"/>
      <w:bookmarkStart w:id="594" w:name="Tc_quHp2IWXl0maSYILW08gAg_6_5"/>
      <w:bookmarkStart w:id="595" w:name="Tc_6t0OJ2b9CEibA4vBAw4vXQ_6_2"/>
      <w:bookmarkStart w:id="596" w:name="Tc_zauNXqu1oEKb4DrqmzCZxQ_6_0"/>
      <w:bookmarkStart w:id="597" w:name="Tc_0xHmJf27akSxthvwUG_3Fw_5_2"/>
      <w:bookmarkStart w:id="598" w:name="Tc_LPy5TE8cJ0OXdSuo73z_Ow_4_14"/>
      <w:bookmarkStart w:id="599" w:name="Tc_qaevZ9BcUEytUy1QEInExg_4_11"/>
      <w:bookmarkStart w:id="600" w:name="Tc_psgro6kK80SQs0wXmS239w_4_8"/>
      <w:bookmarkStart w:id="601" w:name="Tc_78h3VefNmEiGeI5eKO4BKA_4_5"/>
      <w:bookmarkStart w:id="602" w:name="Tc_rAA9oeu9n0-fCsSRzdoFMQ_4_2"/>
      <w:bookmarkStart w:id="603" w:name="Tc_2uwawxsAmU-Tz7K-w2MvBg_3_11"/>
      <w:bookmarkStart w:id="604" w:name="Tc_u8RSE2C9hUOjRYnOEwuXJQ_3_8"/>
      <w:bookmarkStart w:id="605" w:name="Tc_V-qLsIFevEGzewIhI67rEQ_3_5"/>
      <w:bookmarkStart w:id="606" w:name="Tc_02ZXT9jDAUeE0k6WxRyywA_3_2"/>
      <w:bookmarkStart w:id="607" w:name="Tc_1q9cbYcQ0E6WHRKRPf7biw_2_11"/>
      <w:bookmarkStart w:id="608" w:name="Tc_bpLchYdD3kensFk3-9WXsQ_2_5"/>
      <w:bookmarkStart w:id="609" w:name="Tc_4gwL-zSW302BIMfxdgo57w_2_2"/>
      <w:bookmarkStart w:id="610" w:name="Tc_nVE7CjllnUWmDNx1DPfV-w_1_2"/>
      <w:bookmarkStart w:id="611" w:name="_18907d99_d2bc_44f1_82a6_95f9293ff80f"/>
      <w:bookmarkStart w:id="612" w:name="Tc_HJHWy6RefUKxGsINjGiyWA_30_14"/>
      <w:bookmarkStart w:id="613" w:name="Tc_o3WdYBFMjUyPodLiof4gYA_30_11"/>
      <w:bookmarkStart w:id="614" w:name="Tc_trJ_6ZM8Uk29-64A4do1FA_30_8"/>
      <w:bookmarkStart w:id="615" w:name="Tc_dq-nyFEOqUKoof22ZBNLkA_30_5"/>
      <w:bookmarkStart w:id="616" w:name="Tc_67Mo-rEYBECBgLhjfFXxIg_30_2"/>
      <w:bookmarkStart w:id="617" w:name="Tc_a7zRPgVZKUaJ4kl-q1mNnA_30_0"/>
      <w:bookmarkStart w:id="618" w:name="Tc_ErYMIrMMDECsqgnPYb4fgw_29_9"/>
      <w:bookmarkStart w:id="619" w:name="Tc_VroLa9Zia0qNCWRIV8yiiA_29_6"/>
      <w:bookmarkStart w:id="620" w:name="Tc_Kq5ynlfEkEyniTJeiqFjKg_29_3"/>
      <w:bookmarkStart w:id="621" w:name="Tc_UueSXNwUsU61k199EOzCbA_29_0"/>
      <w:bookmarkStart w:id="622" w:name="Tc_n--SvU04mUyXYmpN2Mjhog_28_9"/>
      <w:bookmarkStart w:id="623" w:name="Tc__TwHtsNYz0WbF8V82Q5Omg_28_6"/>
      <w:bookmarkStart w:id="624" w:name="Tc_K5oc4ejeakiWcf7x5p-gtA_28_3"/>
      <w:bookmarkStart w:id="625" w:name="Tc_3NqRKL0HLk6arGlrEOePQw_28_0"/>
      <w:bookmarkStart w:id="626" w:name="Tc_5Ri2yFUlUkG38xecH1qg8A_27_12"/>
      <w:bookmarkStart w:id="627" w:name="Tc_f8I3Sckr9kmcEzojL28PNA_27_3"/>
      <w:bookmarkStart w:id="628" w:name="Tc_hlFdtvqrwES1areTLOlWBg_27_0"/>
      <w:bookmarkStart w:id="629" w:name="Tc_A4lI3OY44Eqikb2oD01LAg_26_12"/>
      <w:bookmarkStart w:id="630" w:name="Tc_8oFOBKBcfUmpCHSYhYlmkg_26_0"/>
      <w:bookmarkStart w:id="631" w:name="Tc_fvHonOTyf0ydKfb0PQcE7g_25_3"/>
      <w:bookmarkStart w:id="632" w:name="Tc_a7Qj89cvckSvuxnbprjwtg_25_0"/>
      <w:bookmarkStart w:id="633" w:name="Tc_5I-ahW5mbE20sU8yh_UNcg_24_3"/>
      <w:bookmarkStart w:id="634" w:name="Tc_fcX4C3FiZU-3utaaLe9CQg_24_0"/>
      <w:bookmarkStart w:id="635" w:name="Tc_JC80ch1ruE6ndAmBQC83tQ_23_0"/>
      <w:bookmarkStart w:id="636" w:name="Tc_-2Z_3mOmkkCZmN-clEcY1A_22_12"/>
      <w:bookmarkStart w:id="637" w:name="Tc_ra1u3eLBfku1y15KmwD2NA_22_6"/>
      <w:bookmarkStart w:id="638" w:name="Tc_6iI_akiVrUu6fUG6ym_4rQ_22_0"/>
      <w:bookmarkStart w:id="639" w:name="Tc_EuHLS4sxoEW6MC8kZYANDQ_21_9"/>
      <w:bookmarkStart w:id="640" w:name="Tc_5DckW3vTXECgqDeTlu4IeA_21_6"/>
      <w:bookmarkStart w:id="641" w:name="Tc_U-eCkvIvS0GHj4oNU7795Q_21_3"/>
      <w:bookmarkStart w:id="642" w:name="Tc_h2rictGF8k6EhdFwoxHK-g_21_0"/>
      <w:bookmarkStart w:id="643" w:name="Tc_qYZR7CnTckOaSq7x8_MifQ_20_9"/>
      <w:bookmarkStart w:id="644" w:name="Tc_Cb8WoEpAs0e5pOqcH19jdQ_20_6"/>
      <w:bookmarkStart w:id="645" w:name="Tc_Z-xYK7PM-ESiCTN3nFB58A_20_3"/>
      <w:bookmarkStart w:id="646" w:name="Tc_WunAui7cdkq0Q0hoOjfztA_20_0"/>
      <w:bookmarkStart w:id="647" w:name="Tc_CO5PK14K3E-wcfX4xTGfHw_19_12"/>
      <w:bookmarkStart w:id="648" w:name="Tc_BsmtMxHTvU6kpIW8ujOyUw_19_0"/>
      <w:bookmarkStart w:id="649" w:name="Tc_Rb6sumnX5UqyvsIxLVQKJA_18_12"/>
      <w:bookmarkStart w:id="650" w:name="Tc_8xp4pK3j3ki9Z-DILMqaTQ_18_0"/>
      <w:bookmarkStart w:id="651" w:name="Tc_S8u77iyncEyvi_IDw9nuyw_17_12"/>
      <w:bookmarkStart w:id="652" w:name="Tc_oA9-XQMTT06RGvhO6JepLw_17_0"/>
      <w:bookmarkStart w:id="653" w:name="Tc_USUVxqxLc0-btbiwZsIk9w_16_3"/>
      <w:bookmarkStart w:id="654" w:name="Tc_1jTKK6XUK0yTROufeDuWKA_16_0"/>
      <w:bookmarkStart w:id="655" w:name="Tc_56Ie6_jO4k-86JjCeq-eAA_15_0"/>
      <w:bookmarkStart w:id="656" w:name="Tc_g6G-int1f0q9B8ZbyRqa3g_14_14"/>
      <w:bookmarkStart w:id="657" w:name="Tc_gQbc9Wdo5U2qA1a41WbXpg_14_11"/>
      <w:bookmarkStart w:id="658" w:name="Tc_GJWpuo4MdkS_WSA2_cxFbw_14_8"/>
      <w:bookmarkStart w:id="659" w:name="Tc_lC9AqS0RTkOlIBtpu5XiZw_14_5"/>
      <w:bookmarkStart w:id="660" w:name="Tc_zbEMTzhARUKkqI-rDhx9nw_14_2"/>
      <w:bookmarkStart w:id="661" w:name="Tc_-nTME_zagEGug4wARyZBRA_14_0"/>
      <w:bookmarkStart w:id="662" w:name="Tc_UhW5kru7Xk6zDGCfbeQ8yg_13_12"/>
      <w:bookmarkStart w:id="663" w:name="Tc_l3zcjo943kenxjFkFZYOpw_13_6"/>
      <w:bookmarkStart w:id="664" w:name="Tc_C9njageT20yPFFGSw6VEYg_13_0"/>
      <w:bookmarkStart w:id="665" w:name="Tc_FAW7q7ZmjE6rfTZFauS1Jw_12_9"/>
      <w:bookmarkStart w:id="666" w:name="Tc_HhXKlsku-k-xpOSWk3Klug_12_6"/>
      <w:bookmarkStart w:id="667" w:name="Tc_8J9or-AqZUu_2FS6eFE49g_12_3"/>
      <w:bookmarkStart w:id="668" w:name="Tc_8c3jXKUtUUSCx-pEq4pDYw_12_0"/>
      <w:bookmarkStart w:id="669" w:name="Tc_XHhVzx10x0SYYEWS4C48bw_11_9"/>
      <w:bookmarkStart w:id="670" w:name="Tc_n-LhUrpJek-sLqcvGIvcEw_11_6"/>
      <w:bookmarkStart w:id="671" w:name="Tc_LJKmxR3ZoE2i4jIJ_dAdfg_11_3"/>
      <w:bookmarkStart w:id="672" w:name="Tc_gOz6NYiDQU2S9EU9b-tAvg_11_0"/>
      <w:bookmarkStart w:id="673" w:name="Tc_o_AO63lYrk-TMXQAsqWuMg_10_12"/>
      <w:bookmarkStart w:id="674" w:name="Tc_ouzl4xKezkufirTYuzD4LQ_10_0"/>
      <w:bookmarkStart w:id="675" w:name="Tc_C8dXgkV4d0G3GZgsa22zbA_9_12"/>
      <w:bookmarkStart w:id="676" w:name="Tc_Oid0bNIGVkmUuKRG8eoK7Q_9_0"/>
      <w:bookmarkStart w:id="677" w:name="Tc__pJSavvdl0qZ5PLdg36MxA_8_12"/>
      <w:bookmarkStart w:id="678" w:name="Tc_FReL3_j2YUaWlcyrcWOwyA_8_3"/>
      <w:bookmarkStart w:id="679" w:name="Tc_o14ea4U7n0uu1Pym0l8KZA_8_0"/>
      <w:bookmarkStart w:id="680" w:name="Tc_R17q8YtIjE29odShceN-tA_7_0"/>
      <w:bookmarkStart w:id="681" w:name="Tc_CrY9TAB-m0iRQyhE4nRqjQ_6_14"/>
      <w:bookmarkStart w:id="682" w:name="Tc_6RgLAG65RUqZiFj-IoQWTQ_6_11"/>
      <w:bookmarkStart w:id="683" w:name="Tc_t21zs_SGSEuxFfU2LdXztQ_6_8"/>
      <w:bookmarkStart w:id="684" w:name="Tc_quHp2IWXl0maSYILW08gAg_6_5"/>
      <w:bookmarkStart w:id="685" w:name="Tc_6t0OJ2b9CEibA4vBAw4vXQ_6_2"/>
      <w:bookmarkStart w:id="686" w:name="Tc_zauNXqu1oEKb4DrqmzCZxQ_6_0"/>
      <w:bookmarkStart w:id="687" w:name="Tc_0xHmJf27akSxthvwUG_3Fw_5_2"/>
      <w:bookmarkStart w:id="688" w:name="Tc_LPy5TE8cJ0OXdSuo73z_Ow_4_14"/>
      <w:bookmarkStart w:id="689" w:name="Tc_qaevZ9BcUEytUy1QEInExg_4_11"/>
      <w:bookmarkStart w:id="690" w:name="Tc_psgro6kK80SQs0wXmS239w_4_8"/>
      <w:bookmarkStart w:id="691" w:name="Tc_78h3VefNmEiGeI5eKO4BKA_4_5"/>
      <w:bookmarkStart w:id="692" w:name="Tc_rAA9oeu9n0-fCsSRzdoFMQ_4_2"/>
      <w:bookmarkStart w:id="693" w:name="Tc_2uwawxsAmU-Tz7K-w2MvBg_3_11"/>
      <w:bookmarkStart w:id="694" w:name="Tc_u8RSE2C9hUOjRYnOEwuXJQ_3_8"/>
      <w:bookmarkStart w:id="695" w:name="Tc_V-qLsIFevEGzewIhI67rEQ_3_5"/>
      <w:bookmarkStart w:id="696" w:name="Tc_02ZXT9jDAUeE0k6WxRyywA_3_2"/>
      <w:bookmarkStart w:id="697" w:name="Tc_1q9cbYcQ0E6WHRKRPf7biw_2_11"/>
      <w:bookmarkStart w:id="698" w:name="Tc_bpLchYdD3kensFk3-9WXsQ_2_5"/>
      <w:bookmarkStart w:id="699" w:name="Tc_4gwL-zSW302BIMfxdgo57w_2_2"/>
      <w:bookmarkStart w:id="700" w:name="Tc_nVE7CjllnUWmDNx1DPfV-w_1_2"/>
      <w:bookmarkStart w:id="701" w:name="_18907d99_d2bc_44f1_82a6_95f9293ff80f"/>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95"/>
        <w:gridCol w:w="801"/>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30705" cy="175260"/>
                      <wp:effectExtent l="0" t="0" r="0" b="0"/>
                      <wp:wrapNone/>
                      <wp:docPr id="67" name="Frame67"/>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73990" cy="175260"/>
                      <wp:effectExtent l="0" t="0" r="0" b="0"/>
                      <wp:wrapNone/>
                      <wp:docPr id="69" name="Frame6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98145" cy="175260"/>
                      <wp:effectExtent l="0" t="0" r="0" b="0"/>
                      <wp:wrapNone/>
                      <wp:docPr id="70" name="Frame7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9555" cy="175260"/>
                      <wp:effectExtent l="0" t="0" r="0" b="0"/>
                      <wp:wrapNone/>
                      <wp:docPr id="71" name="Frame7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290" cy="175260"/>
                      <wp:effectExtent l="0" t="0" r="0" b="0"/>
                      <wp:wrapNone/>
                      <wp:docPr id="72" name="Frame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7515" cy="175260"/>
                      <wp:effectExtent l="0" t="0" r="0" b="0"/>
                      <wp:wrapNone/>
                      <wp:docPr id="73" name="Frame7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9555" cy="175260"/>
                      <wp:effectExtent l="0" t="0" r="0" b="0"/>
                      <wp:wrapNone/>
                      <wp:docPr id="74" name="Frame7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34950" cy="175260"/>
                      <wp:effectExtent l="0" t="0" r="0" b="0"/>
                      <wp:wrapNone/>
                      <wp:docPr id="75" name="Frame7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4525" cy="175260"/>
                      <wp:effectExtent l="0" t="0" r="0" b="0"/>
                      <wp:wrapNone/>
                      <wp:docPr id="76" name="Frame76"/>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7325" cy="175260"/>
                      <wp:effectExtent l="0" t="0" r="0" b="0"/>
                      <wp:wrapNone/>
                      <wp:docPr id="78" name="Frame7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8635" cy="175260"/>
                      <wp:effectExtent l="0" t="0" r="0" b="0"/>
                      <wp:wrapNone/>
                      <wp:docPr id="79" name="Frame7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5420" cy="175260"/>
                      <wp:effectExtent l="0" t="0" r="0" b="0"/>
                      <wp:wrapNone/>
                      <wp:docPr id="81" name="Frame8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7535" cy="175260"/>
                      <wp:effectExtent l="0" t="0" r="0" b="0"/>
                      <wp:wrapNone/>
                      <wp:docPr id="82" name="Frame8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2,844</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3,497</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2,659</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(772)</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3,417</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2,182</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702" w:name="_3fedd565_edd0_4969_a227_93cf272dd1d5"/>
      <w:bookmarkEnd w:id="702"/>
      <w:r>
        <w:rPr>
          <w:rFonts w:ascii="Times New Roman;Times;serif" w:hAnsi="Times New Roman;Times;serif"/>
          <w:b/>
          <w:sz w:val="20"/>
        </w:rPr>
        <w:t>ICAHN ENTERPRISES L.P.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Normal"/>
        <w:bidi w:val="0"/>
        <w:spacing w:before="0" w:after="0"/>
        <w:jc w:val="left"/>
        <w:rPr>
          <w:sz w:val="4"/>
          <w:szCs w:val="4"/>
        </w:rPr>
      </w:pPr>
      <w:r>
        <w:rPr>
          <w:sz w:val="4"/>
          <w:szCs w:val="4"/>
        </w:rPr>
      </w:r>
      <w:bookmarkStart w:id="703" w:name="Tc_evtmUnwEP0yU5NQerTEqIw_47_5"/>
      <w:bookmarkStart w:id="704" w:name="Tc_Nmc1m4EC4EaqwqbU4VFpMw_47_2"/>
      <w:bookmarkStart w:id="705" w:name="Tc_UzLAFDe_-EiyU9kAa5ZzQQ_47_0"/>
      <w:bookmarkStart w:id="706" w:name="Tc_KfjAXVY-Nkq6FGDZWWmbEg_46_0"/>
      <w:bookmarkStart w:id="707" w:name="Tc_19ArD3RTLkua4ZhRnXt6Kg_45_0"/>
      <w:bookmarkStart w:id="708" w:name="Tc_5_9_UPNqsEqT5ZyNePoSLA_44_0"/>
      <w:bookmarkStart w:id="709" w:name="Tc_1O3vzoY6bEOhJQD2jsSKsg_43_0"/>
      <w:bookmarkStart w:id="710" w:name="Tc_DrzkxaurPkyAQC4vmdJ5JQ_42_0"/>
      <w:bookmarkStart w:id="711" w:name="Tc_SLG8efBRQECuHbvrXBkwXQ_41_0"/>
      <w:bookmarkStart w:id="712" w:name="Tc_8X8aaRKxJkit21EY_XfODQ_40_0"/>
      <w:bookmarkStart w:id="713" w:name="Tc_35Pmws5KwU-I_-JjLE8rcQ_39_0"/>
      <w:bookmarkStart w:id="714" w:name="Tc_uLB8M6eZLkSijwuEKgDkNw_38_0"/>
      <w:bookmarkStart w:id="715" w:name="Tc_eGD9xrkmBk2yAX2cvkf_rQ_37_0"/>
      <w:bookmarkStart w:id="716" w:name="Tc_rQdgTV83I0-CvZX0_-H37Q_36_0"/>
      <w:bookmarkStart w:id="717" w:name="Tc_Ets1y-196EGuyAECpC7fOA_35_0"/>
      <w:bookmarkStart w:id="718" w:name="Tc_sV9sOuL_bka1fo-4Fv8cAQ_34_0"/>
      <w:bookmarkStart w:id="719" w:name="Tc_YWL0cy5eH0-pEbG_ACKg7w_33_0"/>
      <w:bookmarkStart w:id="720" w:name="Tc_BOMJpvNZ0E27iSwSKdpQ5g_32_0"/>
      <w:bookmarkStart w:id="721" w:name="Tc_kJ3Jlh762kiaj-uHnpU3tQ_31_3"/>
      <w:bookmarkStart w:id="722" w:name="Tc_eH1GAxglnUq6yIWk06y8zg_31_0"/>
      <w:bookmarkStart w:id="723" w:name="Tc_G-ljJLKWMUKbNwbzU1Uy5g_30_0"/>
      <w:bookmarkStart w:id="724" w:name="Tc_1c-wSbF-zkOo9u87NVPQeA_29_0"/>
      <w:bookmarkStart w:id="725" w:name="Tc_Zuzz43wUlkC52q9IZZir5w_28_0"/>
      <w:bookmarkStart w:id="726" w:name="Tc_ZPd0mSroSUOOnZH7fWHyiw_27_6"/>
      <w:bookmarkStart w:id="727" w:name="Tc_hj3LR0gCoUaiymPthpmQ5Q_27_0"/>
      <w:bookmarkStart w:id="728" w:name="Tc_FBWTbwpKM0CNCpt8t4WetQ_26_3"/>
      <w:bookmarkStart w:id="729" w:name="Tc_iMEFJbm6BE6hqTKvVJhkNQ_26_0"/>
      <w:bookmarkStart w:id="730" w:name="Tc_vA-BSibQqEqUp7-z9Z17Vw_25_0"/>
      <w:bookmarkStart w:id="731" w:name="Tc_ffz-6B1_i0ut7UPd4ZzaXA_24_3"/>
      <w:bookmarkStart w:id="732" w:name="Tc_MPpNV5FKbUK6DkBb9Vjvpg_24_0"/>
      <w:bookmarkStart w:id="733" w:name="Tc_iJatf8lJAkOiajVJUxI1vg_23_0"/>
      <w:bookmarkStart w:id="734" w:name="Tc_t4BltwhEY0yjfSIjaPgitA_22_0"/>
      <w:bookmarkStart w:id="735" w:name="Tc_BMUGl4r_M0mZTDL7M_pCmQ_21_0"/>
      <w:bookmarkStart w:id="736" w:name="Tc_prEIUB5NDUWJQ-h3RzvYVQ_20_0"/>
      <w:bookmarkStart w:id="737" w:name="Tc_cImpihctHUeIiWH88JNklg_19_0"/>
      <w:bookmarkStart w:id="738" w:name="Tc_SpKdf9rnnUuoT7rCr-_qdg_18_0"/>
      <w:bookmarkStart w:id="739" w:name="Tc_KMXHPgYaJUaGTVmf2ZEPmg_17_0"/>
      <w:bookmarkStart w:id="740" w:name="Tc_U3b_QVO26EinEc2ZYMjkWA_16_6"/>
      <w:bookmarkStart w:id="741" w:name="Tc_XjPi6YgfjkGnKSKunpPIFg_16_0"/>
      <w:bookmarkStart w:id="742" w:name="Tc_WAW6F92fj0WiKDZ4O4f5-Q_15_0"/>
      <w:bookmarkStart w:id="743" w:name="Tc_IpWuZeDOCkiFjyN3Sx7ePw_14_0"/>
      <w:bookmarkStart w:id="744" w:name="Tc_Cx12p3kyUUeSdl4cfh1R1A_13_0"/>
      <w:bookmarkStart w:id="745" w:name="Tc_GhjW7UgwrUan3C4Dr6bxQQ_12_0"/>
      <w:bookmarkStart w:id="746" w:name="Tc_i0TReZmPQEGXrA_7aDxY3g_11_0"/>
      <w:bookmarkStart w:id="747" w:name="Tc_e3cStKwYi0Cwpx18zo5-2g_10_0"/>
      <w:bookmarkStart w:id="748" w:name="Tc_3r_38cY5MUOXBnJ8GahUYQ_9_0"/>
      <w:bookmarkStart w:id="749" w:name="Tc_ZOAWAcVazkanQ2WRaCNBig_8_0"/>
      <w:bookmarkStart w:id="750" w:name="Tc_bO5dwKLItkSs3NG4gFyR0w_7_0"/>
      <w:bookmarkStart w:id="751" w:name="Tc_e37bdn2fAUScx6wHg9BKkw_6_0"/>
      <w:bookmarkStart w:id="752" w:name="Tc_KIFuCr-dJkmx6_d6qND_jA_5_5"/>
      <w:bookmarkStart w:id="753" w:name="Tc_t_bl6Qmm90-IVjzPqc0zPA_5_2"/>
      <w:bookmarkStart w:id="754" w:name="Tc__YFJcW03pEmQoD9Yj-f99w_5_0"/>
      <w:bookmarkStart w:id="755" w:name="Tc_BR3NRYAnr0qJl4CDUniWHw_4_0"/>
      <w:bookmarkStart w:id="756" w:name="Tc_TOpYaNLXyk-VYj-bh5cmZw_3_2"/>
      <w:bookmarkStart w:id="757" w:name="Tc_cFU2bKrdXU6Hq-hvq2EwOw_2_5"/>
      <w:bookmarkStart w:id="758" w:name="Tc_p7pNqbg-cUy9CyL9ogAAig_2_2"/>
      <w:bookmarkStart w:id="759" w:name="Tc_pmu1iDaMg02pzm9XHXsJTw_1_2"/>
      <w:bookmarkStart w:id="760" w:name="_9265a6c3_978c_4ae6_ab20_bb34282ec892"/>
      <w:bookmarkStart w:id="761" w:name="Tc_evtmUnwEP0yU5NQerTEqIw_47_5"/>
      <w:bookmarkStart w:id="762" w:name="Tc_Nmc1m4EC4EaqwqbU4VFpMw_47_2"/>
      <w:bookmarkStart w:id="763" w:name="Tc_UzLAFDe_-EiyU9kAa5ZzQQ_47_0"/>
      <w:bookmarkStart w:id="764" w:name="Tc_KfjAXVY-Nkq6FGDZWWmbEg_46_0"/>
      <w:bookmarkStart w:id="765" w:name="Tc_19ArD3RTLkua4ZhRnXt6Kg_45_0"/>
      <w:bookmarkStart w:id="766" w:name="Tc_5_9_UPNqsEqT5ZyNePoSLA_44_0"/>
      <w:bookmarkStart w:id="767" w:name="Tc_1O3vzoY6bEOhJQD2jsSKsg_43_0"/>
      <w:bookmarkStart w:id="768" w:name="Tc_DrzkxaurPkyAQC4vmdJ5JQ_42_0"/>
      <w:bookmarkStart w:id="769" w:name="Tc_SLG8efBRQECuHbvrXBkwXQ_41_0"/>
      <w:bookmarkStart w:id="770" w:name="Tc_8X8aaRKxJkit21EY_XfODQ_40_0"/>
      <w:bookmarkStart w:id="771" w:name="Tc_35Pmws5KwU-I_-JjLE8rcQ_39_0"/>
      <w:bookmarkStart w:id="772" w:name="Tc_uLB8M6eZLkSijwuEKgDkNw_38_0"/>
      <w:bookmarkStart w:id="773" w:name="Tc_eGD9xrkmBk2yAX2cvkf_rQ_37_0"/>
      <w:bookmarkStart w:id="774" w:name="Tc_rQdgTV83I0-CvZX0_-H37Q_36_0"/>
      <w:bookmarkStart w:id="775" w:name="Tc_Ets1y-196EGuyAECpC7fOA_35_0"/>
      <w:bookmarkStart w:id="776" w:name="Tc_sV9sOuL_bka1fo-4Fv8cAQ_34_0"/>
      <w:bookmarkStart w:id="777" w:name="Tc_YWL0cy5eH0-pEbG_ACKg7w_33_0"/>
      <w:bookmarkStart w:id="778" w:name="Tc_BOMJpvNZ0E27iSwSKdpQ5g_32_0"/>
      <w:bookmarkStart w:id="779" w:name="Tc_kJ3Jlh762kiaj-uHnpU3tQ_31_3"/>
      <w:bookmarkStart w:id="780" w:name="Tc_eH1GAxglnUq6yIWk06y8zg_31_0"/>
      <w:bookmarkStart w:id="781" w:name="Tc_G-ljJLKWMUKbNwbzU1Uy5g_30_0"/>
      <w:bookmarkStart w:id="782" w:name="Tc_1c-wSbF-zkOo9u87NVPQeA_29_0"/>
      <w:bookmarkStart w:id="783" w:name="Tc_Zuzz43wUlkC52q9IZZir5w_28_0"/>
      <w:bookmarkStart w:id="784" w:name="Tc_ZPd0mSroSUOOnZH7fWHyiw_27_6"/>
      <w:bookmarkStart w:id="785" w:name="Tc_hj3LR0gCoUaiymPthpmQ5Q_27_0"/>
      <w:bookmarkStart w:id="786" w:name="Tc_FBWTbwpKM0CNCpt8t4WetQ_26_3"/>
      <w:bookmarkStart w:id="787" w:name="Tc_iMEFJbm6BE6hqTKvVJhkNQ_26_0"/>
      <w:bookmarkStart w:id="788" w:name="Tc_vA-BSibQqEqUp7-z9Z17Vw_25_0"/>
      <w:bookmarkStart w:id="789" w:name="Tc_ffz-6B1_i0ut7UPd4ZzaXA_24_3"/>
      <w:bookmarkStart w:id="790" w:name="Tc_MPpNV5FKbUK6DkBb9Vjvpg_24_0"/>
      <w:bookmarkStart w:id="791" w:name="Tc_iJatf8lJAkOiajVJUxI1vg_23_0"/>
      <w:bookmarkStart w:id="792" w:name="Tc_t4BltwhEY0yjfSIjaPgitA_22_0"/>
      <w:bookmarkStart w:id="793" w:name="Tc_BMUGl4r_M0mZTDL7M_pCmQ_21_0"/>
      <w:bookmarkStart w:id="794" w:name="Tc_prEIUB5NDUWJQ-h3RzvYVQ_20_0"/>
      <w:bookmarkStart w:id="795" w:name="Tc_cImpihctHUeIiWH88JNklg_19_0"/>
      <w:bookmarkStart w:id="796" w:name="Tc_SpKdf9rnnUuoT7rCr-_qdg_18_0"/>
      <w:bookmarkStart w:id="797" w:name="Tc_KMXHPgYaJUaGTVmf2ZEPmg_17_0"/>
      <w:bookmarkStart w:id="798" w:name="Tc_U3b_QVO26EinEc2ZYMjkWA_16_6"/>
      <w:bookmarkStart w:id="799" w:name="Tc_XjPi6YgfjkGnKSKunpPIFg_16_0"/>
      <w:bookmarkStart w:id="800" w:name="Tc_WAW6F92fj0WiKDZ4O4f5-Q_15_0"/>
      <w:bookmarkStart w:id="801" w:name="Tc_IpWuZeDOCkiFjyN3Sx7ePw_14_0"/>
      <w:bookmarkStart w:id="802" w:name="Tc_Cx12p3kyUUeSdl4cfh1R1A_13_0"/>
      <w:bookmarkStart w:id="803" w:name="Tc_GhjW7UgwrUan3C4Dr6bxQQ_12_0"/>
      <w:bookmarkStart w:id="804" w:name="Tc_i0TReZmPQEGXrA_7aDxY3g_11_0"/>
      <w:bookmarkStart w:id="805" w:name="Tc_e3cStKwYi0Cwpx18zo5-2g_10_0"/>
      <w:bookmarkStart w:id="806" w:name="Tc_3r_38cY5MUOXBnJ8GahUYQ_9_0"/>
      <w:bookmarkStart w:id="807" w:name="Tc_ZOAWAcVazkanQ2WRaCNBig_8_0"/>
      <w:bookmarkStart w:id="808" w:name="Tc_bO5dwKLItkSs3NG4gFyR0w_7_0"/>
      <w:bookmarkStart w:id="809" w:name="Tc_e37bdn2fAUScx6wHg9BKkw_6_0"/>
      <w:bookmarkStart w:id="810" w:name="Tc_KIFuCr-dJkmx6_d6qND_jA_5_5"/>
      <w:bookmarkStart w:id="811" w:name="Tc_t_bl6Qmm90-IVjzPqc0zPA_5_2"/>
      <w:bookmarkStart w:id="812" w:name="Tc__YFJcW03pEmQoD9Yj-f99w_5_0"/>
      <w:bookmarkStart w:id="813" w:name="Tc_BR3NRYAnr0qJl4CDUniWHw_4_0"/>
      <w:bookmarkStart w:id="814" w:name="Tc_TOpYaNLXyk-VYj-bh5cmZw_3_2"/>
      <w:bookmarkStart w:id="815" w:name="Tc_cFU2bKrdXU6Hq-hvq2EwOw_2_5"/>
      <w:bookmarkStart w:id="816" w:name="Tc_p7pNqbg-cUy9CyL9ogAAig_2_2"/>
      <w:bookmarkStart w:id="817" w:name="Tc_pmu1iDaMg02pzm9XHXsJTw_1_2"/>
      <w:bookmarkStart w:id="818" w:name="_9265a6c3_978c_4ae6_ab20_bb34282ec892"/>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tbl>
      <w:tblPr>
        <w:tblW w:w="10205" w:type="dxa"/>
        <w:jc w:val="left"/>
        <w:tblInd w:w="0" w:type="dxa"/>
        <w:tblLayout w:type="fixed"/>
        <w:tblCellMar>
          <w:top w:w="0" w:type="dxa"/>
          <w:left w:w="0" w:type="dxa"/>
          <w:bottom w:w="0" w:type="dxa"/>
          <w:right w:w="0" w:type="dxa"/>
        </w:tblCellMar>
      </w:tblPr>
      <w:tblGrid>
        <w:gridCol w:w="6967"/>
        <w:gridCol w:w="326"/>
        <w:gridCol w:w="283"/>
        <w:gridCol w:w="904"/>
        <w:gridCol w:w="471"/>
        <w:gridCol w:w="283"/>
        <w:gridCol w:w="971"/>
      </w:tblGrid>
      <w:tr>
        <w:trPr/>
        <w:tc>
          <w:tcPr>
            <w:tcW w:w="6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424045" cy="175260"/>
                      <wp:effectExtent l="0" t="0" r="0" b="0"/>
                      <wp:wrapNone/>
                      <wp:docPr id="83" name="Frame83"/>
                      <a:graphic xmlns:a="http://schemas.openxmlformats.org/drawingml/2006/main">
                        <a:graphicData uri="http://schemas.microsoft.com/office/word/2010/wordprocessingShape">
                          <wps:wsp>
                            <wps:cNvSpPr txBox="1"/>
                            <wps:spPr>
                              <a:xfrm>
                                <a:off x="0" y="0"/>
                                <a:ext cx="442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705" cy="175260"/>
                      <wp:effectExtent l="0" t="0" r="0" b="0"/>
                      <wp:wrapNone/>
                      <wp:docPr id="85" name="Frame8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74040" cy="175260"/>
                      <wp:effectExtent l="0" t="0" r="0" b="0"/>
                      <wp:wrapNone/>
                      <wp:docPr id="86" name="Frame8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99085" cy="175260"/>
                      <wp:effectExtent l="0" t="0" r="0" b="0"/>
                      <wp:wrapNone/>
                      <wp:docPr id="87" name="Frame8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9705" cy="175260"/>
                      <wp:effectExtent l="0" t="0" r="0" b="0"/>
                      <wp:wrapNone/>
                      <wp:docPr id="88" name="Frame8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6585" cy="175260"/>
                      <wp:effectExtent l="0" t="0" r="0" b="0"/>
                      <wp:wrapNone/>
                      <wp:docPr id="89" name="Frame89"/>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6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71" w:type="dxa"/>
            <w:tcBorders/>
            <w:vAlign w:val="center"/>
          </w:tcPr>
          <w:p>
            <w:pPr>
              <w:pStyle w:val="TableContents"/>
              <w:bidi w:val="0"/>
              <w:spacing w:before="0" w:after="1"/>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9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912"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center"/>
              <w:rPr/>
            </w:pPr>
            <w:r>
              <w:rPr/>
              <w:t>​</w:t>
            </w:r>
          </w:p>
        </w:tc>
        <w:tc>
          <w:tcPr>
            <w:tcW w:w="904" w:type="dxa"/>
            <w:tcBorders/>
            <w:shd w:fill="CCEEFF" w:val="clear"/>
            <w:vAlign w:val="center"/>
          </w:tcPr>
          <w:p>
            <w:pPr>
              <w:pStyle w:val="TableContents"/>
              <w:bidi w:val="0"/>
              <w:spacing w:before="0" w:after="1"/>
              <w:ind w:left="0" w:right="0" w:hanging="0"/>
              <w:jc w:val="center"/>
              <w:rPr/>
            </w:pPr>
            <w:r>
              <w:rPr/>
              <w:t>​</w:t>
            </w:r>
          </w:p>
        </w:tc>
        <w:tc>
          <w:tcPr>
            <w:tcW w:w="471" w:type="dxa"/>
            <w:tcBorders/>
            <w:shd w:fill="CCEEFF" w:val="clear"/>
            <w:vAlign w:val="center"/>
          </w:tcPr>
          <w:p>
            <w:pPr>
              <w:pStyle w:val="TableContents"/>
              <w:bidi w:val="0"/>
              <w:spacing w:before="0" w:after="1"/>
              <w:ind w:left="0" w:right="0" w:hanging="0"/>
              <w:jc w:val="center"/>
              <w:rPr/>
            </w:pPr>
            <w:r>
              <w:rPr/>
              <w:t>​</w:t>
            </w:r>
          </w:p>
        </w:tc>
        <w:tc>
          <w:tcPr>
            <w:tcW w:w="283" w:type="dxa"/>
            <w:tcBorders/>
            <w:shd w:fill="CCEEFF" w:val="clear"/>
            <w:vAlign w:val="center"/>
          </w:tcPr>
          <w:p>
            <w:pPr>
              <w:pStyle w:val="TableContents"/>
              <w:bidi w:val="0"/>
              <w:spacing w:before="0" w:after="1"/>
              <w:ind w:left="0" w:right="0" w:hanging="0"/>
              <w:jc w:val="center"/>
              <w:rPr/>
            </w:pPr>
            <w:r>
              <w:rPr/>
              <w:t>​</w:t>
            </w:r>
          </w:p>
        </w:tc>
        <w:tc>
          <w:tcPr>
            <w:tcW w:w="971" w:type="dxa"/>
            <w:tcBorders/>
            <w:shd w:fill="CCEEFF" w:val="clear"/>
            <w:vAlign w:val="center"/>
          </w:tcPr>
          <w:p>
            <w:pPr>
              <w:pStyle w:val="TableContents"/>
              <w:bidi w:val="0"/>
              <w:spacing w:before="0" w:after="1"/>
              <w:ind w:left="0" w:right="0" w:hanging="0"/>
              <w:jc w:val="center"/>
              <w:rPr/>
            </w:pPr>
            <w:r>
              <w:rPr/>
              <w:t>​</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loss </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w:t>
            </w:r>
          </w:p>
        </w:tc>
        <w:tc>
          <w:tcPr>
            <w:tcW w:w="471" w:type="dxa"/>
            <w:tcBorders/>
            <w:vAlign w:val="center"/>
          </w:tcPr>
          <w:p>
            <w:pPr>
              <w:pStyle w:val="TableContents"/>
              <w:bidi w:val="0"/>
              <w:spacing w:before="0" w:after="1"/>
              <w:ind w:left="0" w:right="0" w:hanging="0"/>
              <w:jc w:val="left"/>
              <w:rPr/>
            </w:pPr>
            <w:r>
              <w:rPr/>
              <w:t>    </w:t>
            </w:r>
          </w:p>
        </w:tc>
        <w:tc>
          <w:tcPr>
            <w:tcW w:w="2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pPr>
            <w:r>
              <w:rPr/>
              <w:t>​</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from securities transactions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(1,226)</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(1,812)</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of securities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1,799</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1,260</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to cover securities sold, not yet 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securities sold, not yet purchased</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receivables and payables relating to securities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1,190</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derivative assets and liabilities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pPr>
            <w:r>
              <w:rPr/>
              <w:t>—</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other operating assets and liabilities</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471"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pPr>
            <w:r>
              <w:rPr/>
              <w:t>  </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Turnaround expenditures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disposition of businesses and assets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Return of equity method investment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pPr>
            <w:r>
              <w:rPr/>
              <w:t>—</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w:t>
            </w:r>
          </w:p>
        </w:tc>
        <w:tc>
          <w:tcPr>
            <w:tcW w:w="471"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pPr>
            <w:r>
              <w:rPr/>
              <w:t>  </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segment contributions from non-controlling interests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segment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contributions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additional interests in consolidated subsidiaries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and distributions to non-controlling interests in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Holding Company senior notes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Holding Company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Holding Company senior notes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subsidiary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subsidiary borrowings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(981)</w:t>
            </w:r>
          </w:p>
        </w:tc>
        <w:tc>
          <w:tcPr>
            <w:tcW w:w="471"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decrease in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(1,214)</w:t>
            </w:r>
          </w:p>
        </w:tc>
        <w:tc>
          <w:tcPr>
            <w:tcW w:w="47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w:t>
            </w:r>
          </w:p>
        </w:tc>
      </w:tr>
      <w:tr>
        <w:trPr/>
        <w:tc>
          <w:tcPr>
            <w:tcW w:w="6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5,239</w:t>
            </w:r>
          </w:p>
        </w:tc>
        <w:tc>
          <w:tcPr>
            <w:tcW w:w="471"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5,946</w:t>
            </w:r>
          </w:p>
        </w:tc>
      </w:tr>
      <w:tr>
        <w:trPr/>
        <w:tc>
          <w:tcPr>
            <w:tcW w:w="69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end of period</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4,025</w:t>
            </w:r>
          </w:p>
        </w:tc>
        <w:tc>
          <w:tcPr>
            <w:tcW w:w="471"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4,734</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9" w:name="a1DescriptionofBusiness_834296"/>
      <w:bookmarkEnd w:id="819"/>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or “us” herein include both Icahn Enterprises and Icahn Enterprises Holdings L.P. (“Icahn Enterprises Holdings”) and their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2025, representing an aggregate 1.99% general partner interest in Icahn Enterprises and Icahn Enterprises Holdings. Mr. Icahn and his affiliates owned approximately 86% of our outstanding depositary units as of September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Continuing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$2.4 billion and $2.7 billion as of September 30, 2025 and December 31,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the renewable fuels businesses, as well as in the nitrogen fertilizer manufacturing and distribution businesses through its holdings in CVR Partners. CVR Energy is an independent petroleum refiner and is a marketer of high value transportation fuels primarily in the form of gasoline, diesel, jet fuel and distillates. The renewables business refines feedstocks, such as soybean oil, corn oil, and other related renewable feedstocks, into renewable diesel and markets renewable products. CVR Partners produces and markets nitrogen fertilizers in the form of urea ammonium nitrate (“UAN”) and ammonia. CVR Energy held 100% of the general partner interest and approximately 37% of the outstanding common units of CVR Partners as of September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nine months ended September 30, 2025, we increased our ownership of CVR Energy by acquiring 3,726,090 shares for a total purchase price of approximately $65 million. During this period, we also increased our ownership of CVR Partners by acquiring 98,082 units for a total purchase price of approximately $7 million. As of September 30, 2025, we owned approximately 70% of the total outstanding common stock of CVR Energy and 3% of the outstanding common units of CVR Partners.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third quarter of 2025, our Energy segment decided to revert the renewable diesel unit (“RDU”) back to hydrocarbon processing service at its next scheduled catalyst change in December 2025, given unfavorable economics of the renewables business and to relieve certain logistical constraints within the refining business. CVR Energy expects to maintain the option to switch back to renewable diesel service if economically incentivized to do so.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Food Packaging segment through our majority owned subsidiary, Viskase Companies, Inc. (“Viskase”). Viskase is a producer of cellulosic, fibrous and plastic casings used to prepare and package processed meat products.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and September 2025, Viskase completed equity private placements whereby we acquired an additional 7,142,858 and 7,042,254 shares of Viskase common stock for $15 million and $5 million, respectively. As of September 30, 2025, we owned approximately 92% of the total outstanding common stock of Viskase.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Real Estate segment through various wholly owned subsidiaries. Our Real Estate segment primarily consists of investment properties which includes land, retail, office and industrial properties leased to corporate tenants, the development and sale of single-family homes, and the operations of a resort and a country club.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our Real Estate segment sold certain properties for total consideration of $247 million, including loan origination fees, resulting in a pre-tax gain on disposition of assets of $223 million. The transaction included seller financing, which is included in related party notes receivable, and a preferred equity method investment included in investments, in our condensed consolidated balance sheet as of September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and related notes should be read in conjunction with our consolidated financial statements and related notes contained in our Annual Report on Form 10-K for the year ended December 31, 2024.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established a captive insurance program to supplement the insurance coverage of the officers, directors, employees and agents of the Company, its subsidiaries and our general partner, in addition to our established commercial insurance program. We hold assets in a protected cell, which we are the primary beneficiary of, and therefore consolidate the protected cell. Our total assets related to the protected cell were $112 million and $108 million as of September 30, 2025 and December 31, 2024, respectively, and included in restricted cash in the condensed consolidated balance sheet.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Certain reclassifications from the prior year presentation have been made to conform to the current year presentation, which did not have an impact on previously reported net income and equity and are not deemed material.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long-term debt as of September 30, 2025 was approximately $6.7 billion and $6.6 billion, respectively. The carrying value and estimated fair value of our long-term debt as of December 31, 2024 was approximately $6.8 billion and $6.6 billion,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on our condensed consolidated statements of cash flows is comprised of (i) cash and cash equivalents and (ii) cash held at consolidated affiliated partnerships and restricted cash.</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$471 million and $915 million as of September 30,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restricted cash balance was approximately $1.8 billion and $1.7 billion as of September 30, 2025 and December 31, 2024, respectively. Restricted cash includes, but is not limited to, our Investment segment’s cash pledged and held for margin requirements on derivative transactions and cash held related to our captive insurance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Investments and Related Transactions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TEB LLC (“TEB”). </w:t>
      </w:r>
      <w:r>
        <w:rPr>
          <w:rFonts w:ascii="Times New Roman;Times;serif" w:hAnsi="Times New Roman;Times;serif"/>
          <w:sz w:val="20"/>
        </w:rPr>
        <w:t>In August 2025, the Company sold certain properties to TEB. TEB was formed by a third-party developer for such developer to acquire, redevelop and operate the properties sold by the Company. In connection with the sale of the properties, the Company provided certain seller financing and received cash, a preferred equity interest and a profits interest in TEB. The Company did not provide any cash capital to TEB and the Company is not obligated to invest any capital contributions to support TEB or its operations in the future. The operation of TEB’s business is the sole responsibility of the other member who serves as manager of TEB and the Company does not have control over the operations of the business. The Company has certain protective rights in connection with its preferred equity interest.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evaluated its involvement with TEB and determined that the entity meets the definition of a variable interest entity. The Company determined it is not the primary beneficiary, as certain decisions related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entity’s operations require the consent of both the Company and the other member serving as the manager. As a result, the Company does not consolidate TEB and accounts for its preferred equity investment under the equity method. As of September 30, 2025, the carrying amount of our equity method investment in TEB was $74 million and is included in investments in the condensed consolidated balance sheet. Our maximum exposure to loss in connection with our involvement in TEB is limited to the carrying value of our equity investment and related party loan receivable, which together total $198 million as of September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reviews long-lived assets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the long-lived asset is not determined to be recoverable, a fair value assessment is performed.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third quarter of 2025, our Energy segment decided to revert the RDU back to hydrocarbon processing service at the next scheduled catalyst change in December 2025. In accordance with ASC 360-10, our Energy segment evaluated the recoverability of the asset group and concluded the carrying value was recoverable. However, due to the change in planned utilization, the estimated remaining useful lives of certain assets within its renewables business were adjusted beginning September 2025. As of September 30, 2025, the carrying value of the impacted property, plant and equipment was $93 million, which will be fully depreciated through November 2025. As a result of this change in estimate, the Company recognized $31 million of accelerated deprecation during the three months ended September 30,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September 30, 2025, our Energy segment had $5 million of remaining performance obligations for contracts with an original expected duration of more than one year. Our Energy segment expects to recognize $2 million of these performance obligations as revenue by the end of </w:t>
      </w:r>
      <w:r>
        <w:rPr>
          <w:rFonts w:ascii="Times New Roman;Times;serif" w:hAnsi="Times New Roman;Times;serif"/>
          <w:b w:val="false"/>
          <w:i w:val="false"/>
          <w:caps w:val="false"/>
          <w:smallCaps w:val="false"/>
          <w:sz w:val="20"/>
        </w:rPr>
        <w:t>2025</w:t>
      </w:r>
      <w:r>
        <w:rPr>
          <w:rFonts w:ascii="Times New Roman;Times;serif" w:hAnsi="Times New Roman;Times;serif"/>
          <w:sz w:val="20"/>
        </w:rPr>
        <w:t xml:space="preserve">, $3 million during </w:t>
      </w:r>
      <w:r>
        <w:rPr>
          <w:rFonts w:ascii="Times New Roman;Times;serif" w:hAnsi="Times New Roman;Times;serif"/>
          <w:b w:val="false"/>
          <w:i w:val="false"/>
          <w:caps w:val="false"/>
          <w:smallCaps w:val="false"/>
          <w:sz w:val="20"/>
        </w:rPr>
        <w:t>2026</w:t>
      </w:r>
      <w:r>
        <w:rPr>
          <w:rFonts w:ascii="Times New Roman;Times;serif" w:hAnsi="Times New Roman;Times;serif"/>
          <w:sz w:val="20"/>
        </w:rPr>
        <w:t>, and the remaining balance in 2027.</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deferred revenue includes agreements entered into with third-party investors that has allowed our Energy segment to monetize certain tax credits available under Section 45Q of the Internal Revenue Code (the “45Q Transaction”). Our Energy segment had deferred revenue of $58 million and $78 million as of September 30, 2025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December 31, 2024, respectively. For the nine months ended September 30, 2025 and 2024, our Energy segment recognized revenue of $49 million and $14 million, respectively, with respect to deferred revenue outstanding as of the beginning of each respective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had deferred revenue with respect to extended warranty plans of $29 million and $37 million as of September 30, 2025 and December 31, 2024, respectively, which are included in accrued expenses and other liabilities on the condensed consolidated balance sheets. For each of the nine months ended September 30, 2025 and 2024, our Automotive segment recorded deferred revenue of $17 million outstanding as of the beginning of each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4th, 2025, the One Big Beautiful Bill Act (“OBBB”) was enacted, making significant amendments to federal tax law and permanently extending several provisions of the 2017 Tax Cuts and Jobs Act.  The Company does not anticipate any material impacts to its income tax balances as a result of OBBB, but will continue to monitor legislative developments and evaluate any potential future impacts of the new law on its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requires enhanced income tax disclosures that reflect how operations and related tax risks, as well as how tax planning and operational opportunities, affect the tax rate and prospects for future cash flows. This standard is effective for the Company’s annual reporting period beginning January 1, 2025, with early adoption permitted. We are currently assessing the impact of adopting this standard on our consolidated financial statements. </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20"/>
        </w:rPr>
        <w:t>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18"/>
        </w:rPr>
        <w:t xml:space="preserve"> </w:t>
      </w:r>
      <w:r>
        <w:rPr>
          <w:rFonts w:ascii="Times New Roman;Times;serif" w:hAnsi="Times New Roman;Times;serif"/>
          <w:sz w:val="20"/>
        </w:rPr>
        <w:t>and in January 2025, the FASB issued ASU 2025-01</w:t>
      </w:r>
      <w:r>
        <w:rPr>
          <w:rFonts w:ascii="Times New Roman;Times;serif" w:hAnsi="Times New Roman;Times;serif"/>
          <w:i/>
          <w:sz w:val="20"/>
        </w:rPr>
        <w:t xml:space="preserve">, Income Statement - Reporting Comprehensive Income - Expense Disaggregation Disclosures (Subtopic 220-40): Clarifying the Effective Date. </w:t>
      </w:r>
      <w:r>
        <w:rPr>
          <w:rFonts w:ascii="Times New Roman;Times;serif" w:hAnsi="Times New Roman;Times;serif"/>
          <w:sz w:val="20"/>
        </w:rPr>
        <w:t>The ASU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as clarified by ASU 2025-01,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xml:space="preserve">, which amends certain aspects of the accounting for and disclosure of software costs under ASC 350-40, including the elimination of accounting consideration of software project development stages and enhancement to the guidance around the ‘probable-to-complete’ threshold. This standard is effective for the Company’s annual and interim reporting periods beginning January 1, 2028, with early adoption permitted. We are currently assessing the impact of adopting this standard on our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September 30, 2025 and December 31, 2024, the total fair market value of investments in the Investment Funds made by Mr. Icahn and his affiliates (excluding us and Brett Icahn) was approximately $0.8 billion and $1.5 billion, respectively, representing approximately 25% and 35% of the Investment Funds’ assets under management as of each respective date. Mr. Icahn and his affiliates (excluding us and Brett Icahn) redeemed $300 million and $508 million from his personal interests in the Investment Funds during the three and nine months ended September 30, 2025, and redeemed $250 million from the Investment Funds during the three and nine months ended September 30,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nine months ended September 30, 2025 and 2024, $11 million and $14 million, respectively, was allocated to the Investment Funds based on this expense-sharing arrangement.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August 2025, the Company sold certain properties to TEB LLC (“TEB”). TEB was formed by a third-party developer for such developer to acquire, redevelop and operate the properties sold by the Company. In connection with the sale of the properties, the Company provided certain seller financing and received cash, a preferred equity interest and a profits interest in TEB. The Company did not provide any cash capital to TEB and the Company is not obligated to invest any capital contributions to support TEB or its operations in the future. The operation of TEB’s business is the sole responsibility of the other member who serves as manager of TEB and the Company does not have control over the operations of the business. The Company has certain protective rights in connection with its preferred equity interest. The Company does not consolidate TEB and accounts for its preferred equity investment under the equity method. Entities that are recognized under the equity method of accounting are deemed to be related parties.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sale, the Company entered into a loan agreement with TEB totaling $124 million, representing the seller-financed debt portion of the transaction.</w:t>
      </w:r>
    </w:p>
    <w:p>
      <w:pPr>
        <w:pStyle w:val="TextBody"/>
        <w:bidi w:val="0"/>
        <w:spacing w:before="0" w:after="0"/>
        <w:ind w:left="0" w:right="0" w:firstLine="36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$18 million during the nine months ended September 30, 2025, and had $4 million net redemptions in the nine months ended September 30, 2024. As of September 30, 2025 and December 31, 2024 Brett Icahn had investments in the Investment Funds with a total fair market value of $4 million and $17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0" w:name="Tc_G3PLTK5wNU-WIK-IWwAmvw_29_5"/>
      <w:bookmarkStart w:id="821" w:name="Tc_0u84ktlfd0S5IFIPZSBm_g_29_2"/>
      <w:bookmarkStart w:id="822" w:name="Tc_kSwSLCNmO0SlTsyTcqBWug_28_3"/>
      <w:bookmarkStart w:id="823" w:name="Tc_CROEmo_DgkymhpyW7Z072w_28_0"/>
      <w:bookmarkStart w:id="824" w:name="Tc_4ApHqQdiAUatd5515fpORg_27_0"/>
      <w:bookmarkStart w:id="825" w:name="Tc_PY3AK9jyukSCFispSuLI8A_25_0"/>
      <w:bookmarkStart w:id="826" w:name="Tc_DzYJqcAZ8EG8qq7TBhUgZw_24_3"/>
      <w:bookmarkStart w:id="827" w:name="Tc_XtxB0G8LZE-TIfMmfYALRw_24_0"/>
      <w:bookmarkStart w:id="828" w:name="Tc_dxGjZlGtjke1x6VVrqIkWw_23_0"/>
      <w:bookmarkStart w:id="829" w:name="Tc_tbnK5GUYiEmnl_8eMM_n9Q_22_5"/>
      <w:bookmarkStart w:id="830" w:name="Tc__LoTwLNHlEq-xQvN35SaAg_22_2"/>
      <w:bookmarkStart w:id="831" w:name="Tc_v0akKbjQSUSLgL5t5jQz0Q_22_0"/>
      <w:bookmarkStart w:id="832" w:name="Tc_M5msVx4vzkCkVVghUTLZEA_21_0"/>
      <w:bookmarkStart w:id="833" w:name="Tc_y_xUz1xFZU2JT2GD8zjejg_20_0"/>
      <w:bookmarkStart w:id="834" w:name="Tc_tv6Fnb5QJUy2sUsOv_2Keg_19_0"/>
      <w:bookmarkStart w:id="835" w:name="Tc_cDJRUqz890y30ytF1P13Jw_18_5"/>
      <w:bookmarkStart w:id="836" w:name="Tc_ruHQorXoEkO1w1SzXXaZgg_18_2"/>
      <w:bookmarkStart w:id="837" w:name="Tc_fhDw89cJkE-oCr7Vim13Pg_17_3"/>
      <w:bookmarkStart w:id="838" w:name="Tc_OmZUItYm2k-g790iiy0F6g_16_3"/>
      <w:bookmarkStart w:id="839" w:name="Tc_c8VPHfafyU2oTzQhrxz26w_16_0"/>
      <w:bookmarkStart w:id="840" w:name="Tc_2ajjL4yrzkuH-2ZbDM3e7g_15_0"/>
      <w:bookmarkStart w:id="841" w:name="Tc_uvGokefu8key3F7LvOBxXg_13_0"/>
      <w:bookmarkStart w:id="842" w:name="Tc_Q3ERlYtUm0eBK9bnAAuvPg_12_0"/>
      <w:bookmarkStart w:id="843" w:name="Tc_sRq2e0ldTEC5vCMJZB62og_11_0"/>
      <w:bookmarkStart w:id="844" w:name="Tc_vm9hVFHwU0GClKissOfD7g_10_0"/>
      <w:bookmarkStart w:id="845" w:name="Tc_vrgE2S4OUEiXtG7I7Tw1xw_9_0"/>
      <w:bookmarkStart w:id="846" w:name="Tc_OrswYcnJBEO3d6aPG-GCEQ_8_0"/>
      <w:bookmarkStart w:id="847" w:name="Tc_tfUclPO9Ake9a-FYw7KQJw_7_5"/>
      <w:bookmarkStart w:id="848" w:name="Tc_zS5Sa9I3P0qJGvb9RrIDbw_7_2"/>
      <w:bookmarkStart w:id="849" w:name="Tc_QuYx3cqZtkWoIXSd3iDoTA_7_0"/>
      <w:bookmarkStart w:id="850" w:name="Tc_HzXfkZJ7206XvSWxlvEfvw_6_0"/>
      <w:bookmarkStart w:id="851" w:name="Tc_8S-A-JDD7kGA6kqzcfIWEg_5_0"/>
      <w:bookmarkStart w:id="852" w:name="Tc_w4NN4hzVHUqfNp6VAw-_0g_4_0"/>
      <w:bookmarkStart w:id="853" w:name="Tc_oGNc8rRwYU2E6gQQdSbTtQ_3_2"/>
      <w:bookmarkStart w:id="854" w:name="Tc_AuaIZ-5HuUi_6gM3Ji4KHg_2_5"/>
      <w:bookmarkStart w:id="855" w:name="Tc_Fg2mhKsnI02X6OdlP_HySA_2_2"/>
      <w:bookmarkStart w:id="856" w:name="Tc_Bv__H6DjEUW3BJbMkaGjOQ_1_5"/>
      <w:bookmarkStart w:id="857" w:name="Tc_Vd9U3t9eIU-jRMJX71AAmA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b/>
          <w:sz w:val="20"/>
        </w:rPr>
        <w:t>4.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tbl>
      <w:tblPr>
        <w:tblW w:w="7298" w:type="dxa"/>
        <w:jc w:val="left"/>
        <w:tblInd w:w="0" w:type="dxa"/>
        <w:tblLayout w:type="fixed"/>
        <w:tblCellMar>
          <w:top w:w="0" w:type="dxa"/>
          <w:left w:w="0" w:type="dxa"/>
          <w:bottom w:w="0" w:type="dxa"/>
          <w:right w:w="0" w:type="dxa"/>
        </w:tblCellMar>
      </w:tblPr>
      <w:tblGrid>
        <w:gridCol w:w="3946"/>
        <w:gridCol w:w="326"/>
        <w:gridCol w:w="364"/>
        <w:gridCol w:w="986"/>
        <w:gridCol w:w="326"/>
        <w:gridCol w:w="343"/>
        <w:gridCol w:w="1007"/>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05710" cy="175260"/>
                      <wp:effectExtent l="0" t="0" r="0" b="0"/>
                      <wp:wrapNone/>
                      <wp:docPr id="90" name="Frame90"/>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1140" cy="175260"/>
                      <wp:effectExtent l="0" t="0" r="0" b="0"/>
                      <wp:wrapNone/>
                      <wp:docPr id="92" name="Frame9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26110" cy="175260"/>
                      <wp:effectExtent l="0" t="0" r="0" b="0"/>
                      <wp:wrapNone/>
                      <wp:docPr id="93" name="Frame93"/>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7805" cy="175260"/>
                      <wp:effectExtent l="0" t="0" r="0" b="0"/>
                      <wp:wrapNone/>
                      <wp:docPr id="95" name="Frame9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39445" cy="175260"/>
                      <wp:effectExtent l="0" t="0" r="0" b="0"/>
                      <wp:wrapNone/>
                      <wp:docPr id="96" name="Frame96"/>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2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02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9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43" w:type="dxa"/>
            <w:tcBorders/>
            <w:shd w:fill="CCEEFF" w:val="clear"/>
            <w:vAlign w:val="center"/>
          </w:tcPr>
          <w:p>
            <w:pPr>
              <w:pStyle w:val="TableContents"/>
              <w:bidi w:val="0"/>
              <w:spacing w:before="0" w:after="1"/>
              <w:ind w:left="0" w:right="0" w:hanging="0"/>
              <w:jc w:val="center"/>
              <w:rPr/>
            </w:pPr>
            <w:r>
              <w:rPr/>
              <w:t>​</w:t>
            </w:r>
          </w:p>
        </w:tc>
        <w:tc>
          <w:tcPr>
            <w:tcW w:w="1007" w:type="dxa"/>
            <w:tcBorders/>
            <w:shd w:fill="CCEEFF" w:val="clear"/>
            <w:vAlign w:val="center"/>
          </w:tcPr>
          <w:p>
            <w:pPr>
              <w:pStyle w:val="TableContents"/>
              <w:bidi w:val="0"/>
              <w:spacing w:before="0" w:after="1"/>
              <w:ind w:left="0" w:right="0" w:hanging="0"/>
              <w:jc w:val="center"/>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 </w:t>
            </w:r>
          </w:p>
        </w:tc>
        <w:tc>
          <w:tcPr>
            <w:tcW w:w="364"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364"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39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portion of unrealized gains and (losses) that related to securities still held by our Investment segment, primarily equity securities, were $57 million and $101 million for the three months ended September 30, 2025 and 2024, respectively, and $(120) and $(229) million for the nine months ended September 30, 2025 and 2024,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Segments and Holding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858" w:name="Tc_d_gigTNUME-1CsVHhmbN3A_7_5"/>
      <w:bookmarkStart w:id="859" w:name="Tc_JJe2SRoXcUu3bzc1RHLyOg_7_2"/>
      <w:bookmarkStart w:id="860" w:name="Tc_tcVcYfu-k0mBnAPgkVGcpA_6_0"/>
      <w:bookmarkStart w:id="861" w:name="Tc_bahlNAKaf0mZSecHgnwdLA_5_0"/>
      <w:bookmarkStart w:id="862" w:name="Tc_a-F4MpdvsUiAbT5wxRWbQw_4_5"/>
      <w:bookmarkStart w:id="863" w:name="Tc_okPbHZjnv0em10v4zsL1ZA_4_2"/>
      <w:bookmarkStart w:id="864" w:name="Tc_ZYppGyaSt0Cx_Lj5Rd90Sg_4_0"/>
      <w:bookmarkStart w:id="865" w:name="Tc_BehPHHY_40-2xNRvqP-XEg_3_2"/>
      <w:bookmarkStart w:id="866" w:name="Tc_wWaQx84e20yhb1sHLJQy8w_2_5"/>
      <w:bookmarkStart w:id="867" w:name="Tc_TQm3JSlnzkaECAzmTdB7IA_2_2"/>
      <w:bookmarkStart w:id="868" w:name="Tc_dNT9epjY702Asn15zSoe7Q_1_5"/>
      <w:bookmarkStart w:id="869" w:name="Tc_md_-bVDYnE-O0sdrH0atWQ_1_2"/>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rPr>
        <w:t>The carrying value of investments held by our other segments and our Holding Company consist of the following:</w:t>
      </w:r>
    </w:p>
    <w:p>
      <w:pPr>
        <w:pStyle w:val="TextBody"/>
        <w:bidi w:val="0"/>
        <w:spacing w:before="0" w:after="0"/>
        <w:ind w:left="0" w:right="0" w:hanging="0"/>
        <w:jc w:val="left"/>
        <w:rPr/>
      </w:pPr>
      <w:r>
        <w:rPr/>
        <w:t>​</w:t>
      </w:r>
    </w:p>
    <w:tbl>
      <w:tblPr>
        <w:tblW w:w="8468" w:type="dxa"/>
        <w:jc w:val="left"/>
        <w:tblInd w:w="0" w:type="dxa"/>
        <w:tblLayout w:type="fixed"/>
        <w:tblCellMar>
          <w:top w:w="0" w:type="dxa"/>
          <w:left w:w="0" w:type="dxa"/>
          <w:bottom w:w="0" w:type="dxa"/>
          <w:right w:w="0" w:type="dxa"/>
        </w:tblCellMar>
      </w:tblPr>
      <w:tblGrid>
        <w:gridCol w:w="5116"/>
        <w:gridCol w:w="326"/>
        <w:gridCol w:w="449"/>
        <w:gridCol w:w="901"/>
        <w:gridCol w:w="326"/>
        <w:gridCol w:w="449"/>
        <w:gridCol w:w="90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248660" cy="175260"/>
                      <wp:effectExtent l="0" t="0" r="0" b="0"/>
                      <wp:wrapNone/>
                      <wp:docPr id="97" name="Frame97"/>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85115" cy="175260"/>
                      <wp:effectExtent l="0" t="0" r="0" b="0"/>
                      <wp:wrapNone/>
                      <wp:docPr id="99" name="Frame99"/>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2135" cy="175260"/>
                      <wp:effectExtent l="0" t="0" r="0" b="0"/>
                      <wp:wrapNone/>
                      <wp:docPr id="100" name="Frame1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85115" cy="175260"/>
                      <wp:effectExtent l="0" t="0" r="0" b="0"/>
                      <wp:wrapNone/>
                      <wp:docPr id="102" name="Frame102"/>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4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unrealized gains and (losses) that related to equity securities still held by our other segments and Holding Company for each of the three and nine months ended September 30,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870" w:name="Tc_bOuRC-0FLU-epaGpR7uX4w_12_23"/>
      <w:bookmarkStart w:id="871" w:name="Tc_53QTJRpY1UG_vKVO29zhOA_12_21"/>
      <w:bookmarkStart w:id="872" w:name="Tc_lMg4kQL9kEmLuoQSRCACZQ_12_20"/>
      <w:bookmarkStart w:id="873" w:name="Tc_01wqC4M0eU-fv1o9n7BhwQ_12_17"/>
      <w:bookmarkStart w:id="874" w:name="Tc_JMFoLgADjk6E53-g7a9cTw_12_14"/>
      <w:bookmarkStart w:id="875" w:name="Tc_0cvDnjB0xkK1iIYT07Nz4w_12_11"/>
      <w:bookmarkStart w:id="876" w:name="Tc_OiYdLjKKAEeCEqEiUot62g_12_9"/>
      <w:bookmarkStart w:id="877" w:name="Tc_Mln5mAFUwEK3-DE0Z8cisg_12_8"/>
      <w:bookmarkStart w:id="878" w:name="Tc_uL2wjWk7Nk64gu2OmUCZbQ_12_5"/>
      <w:bookmarkStart w:id="879" w:name="Tc_Oad3-ExYWk28ZsqUx-tcKQ_12_2"/>
      <w:bookmarkStart w:id="880" w:name="Tc_vwiVlyrYXk-KS0DonBiOYg_11_21"/>
      <w:bookmarkStart w:id="881" w:name="Tc_r5SqFpswlUGNbtQyTeHeaw_11_15"/>
      <w:bookmarkStart w:id="882" w:name="Tc_1DyARTXJrEmbMVf7g9mBmQ_11_9"/>
      <w:bookmarkStart w:id="883" w:name="Tc_9vzgxcz2pkOk_65cz9eYZQ_11_3"/>
      <w:bookmarkStart w:id="884" w:name="Tc_JdQvAv5itk6tEP6aFtMXBQ_11_0"/>
      <w:bookmarkStart w:id="885" w:name="Tc_1cH75G-cEEu_fJSC19L_-g_10_21"/>
      <w:bookmarkStart w:id="886" w:name="Tc_2IoOHc0N6kOCGmHaFeJEnQ_10_9"/>
      <w:bookmarkStart w:id="887" w:name="Tc_TAq-Htz-gUmEbGY6QG0KdQ_10_3"/>
      <w:bookmarkStart w:id="888" w:name="Tc_nJ_KBydEkEuo3_dnquhtBw_10_0"/>
      <w:bookmarkStart w:id="889" w:name="Tc_8owCOFqp7E6RqN-CshdSdw_9_23"/>
      <w:bookmarkStart w:id="890" w:name="Tc_A72q4BAFJk6I9NnieFty7A_9_21"/>
      <w:bookmarkStart w:id="891" w:name="Tc_plVG9woo906GCj7FduGJwQ_9_20"/>
      <w:bookmarkStart w:id="892" w:name="Tc_ZeuqcrDQ6EuBDBnuYJChZg_9_17"/>
      <w:bookmarkStart w:id="893" w:name="Tc_Ck6-ogiEn0-BTJveXoV6ZA_9_14"/>
      <w:bookmarkStart w:id="894" w:name="Tc_CShWDqiLLUO_epZazs9CYw_9_11"/>
      <w:bookmarkStart w:id="895" w:name="Tc_xMTAbWex4EWL1cV1qsBTgA_9_9"/>
      <w:bookmarkStart w:id="896" w:name="Tc_KlequlcsMk6N8CrpGwGlSg_9_8"/>
      <w:bookmarkStart w:id="897" w:name="Tc_eJ7F-7cbp0ufYzBm8SkocQ_9_6"/>
      <w:bookmarkStart w:id="898" w:name="Tc_Mr3Jxq1wzkKEVygI63PVeg_9_5"/>
      <w:bookmarkStart w:id="899" w:name="Tc_usHcEr4wzkeAtcWMPhPGdw_9_2"/>
      <w:bookmarkStart w:id="900" w:name="Tc_OMyfKfS5fkO6sY9EMZA6zQ_9_0"/>
      <w:bookmarkStart w:id="901" w:name="Tc_AkV2UD26jUWSJafvNyGx_A_8_0"/>
      <w:bookmarkStart w:id="902" w:name="Tc_WeYZNZoIRkOj-Bl_M8A5fw_7_23"/>
      <w:bookmarkStart w:id="903" w:name="Tc_YrfPd5POYEuF3J_X_zxd2Q_7_20"/>
      <w:bookmarkStart w:id="904" w:name="Tc_DbM_PxTGRkCi29j1MdP8wA_7_17"/>
      <w:bookmarkStart w:id="905" w:name="Tc_ytb4ol2G10iazSvQdycadg_7_14"/>
      <w:bookmarkStart w:id="906" w:name="Tc_5DSeismxe0CAmgeDJVCQxg_7_11"/>
      <w:bookmarkStart w:id="907" w:name="Tc__Bt68ViwAESD-ut2KmkiGQ_7_8"/>
      <w:bookmarkStart w:id="908" w:name="Tc_2keeiCk9tUi6QIzxLstXwA_7_5"/>
      <w:bookmarkStart w:id="909" w:name="Tc_0W80gEu210mDAC-H7RI5mg_7_2"/>
      <w:bookmarkStart w:id="910" w:name="Tc_JTu4DxvgRESgsQ1L0KvHhg_6_21"/>
      <w:bookmarkStart w:id="911" w:name="Tc_vvRZw5qGq0C5Db_r0VUiWA_6_15"/>
      <w:bookmarkStart w:id="912" w:name="Tc_RbdTzj7x50OcomTirXwWEw_6_9"/>
      <w:bookmarkStart w:id="913" w:name="Tc_-XEII8J5FEe2X-ilELto6A_6_3"/>
      <w:bookmarkStart w:id="914" w:name="Tc_iJuchIon8UeyB_DereIiOA_6_0"/>
      <w:bookmarkStart w:id="915" w:name="Tc_Yr1V50LLbUa8KHePEJPabg_5_23"/>
      <w:bookmarkStart w:id="916" w:name="Tc_SYWS8v0qsky-k6BZnlBtCg_5_20"/>
      <w:bookmarkStart w:id="917" w:name="Tc_noUjRiDzWEOm8HdFpqjRFQ_5_17"/>
      <w:bookmarkStart w:id="918" w:name="Tc_JvGnapNUQ0qMavIhUO0Tfw_5_14"/>
      <w:bookmarkStart w:id="919" w:name="Tc_3sh-OvpNF0-nWuXS7ulG7A_5_11"/>
      <w:bookmarkStart w:id="920" w:name="Tc_K5cdyRsdFEe8Qlk9DWmD1Q_5_8"/>
      <w:bookmarkStart w:id="921" w:name="Tc_YpjXwQ26QUSNUZZqZPNKfw_5_6"/>
      <w:bookmarkStart w:id="922" w:name="Tc_AgaARhrLWESacD9dQl11qA_5_5"/>
      <w:bookmarkStart w:id="923" w:name="Tc_5WBq1MIlkkyjmbPI9SzHSg_5_2"/>
      <w:bookmarkStart w:id="924" w:name="Tc_UW3JvlwBHkeRIzgnZuflVg_5_0"/>
      <w:bookmarkStart w:id="925" w:name="Tc_KNAQlodOmU2Vuq7m06XLgg_4_0"/>
      <w:bookmarkStart w:id="926" w:name="Tc_Y8T8anT8SUCHXpviKJctSw_3_2"/>
      <w:bookmarkStart w:id="927" w:name="Tc_XhchHHeIo0Wbe55tCRviYw_2_23"/>
      <w:bookmarkStart w:id="928" w:name="Tc_N9KH31UprkufZbUJvkOkpQ_2_20"/>
      <w:bookmarkStart w:id="929" w:name="Tc_fIc2a-Ebzk-U7v7P1REpHQ_2_17"/>
      <w:bookmarkStart w:id="930" w:name="Tc_0MUAwQ4f0Uuk6jWPqloKTA_2_14"/>
      <w:bookmarkStart w:id="931" w:name="Tc_3vnZOsUkoES16OMOtrTcEQ_2_11"/>
      <w:bookmarkStart w:id="932" w:name="Tc_vbYoCitMxEKeNapswJPJIQ_2_8"/>
      <w:bookmarkStart w:id="933" w:name="Tc__-Ekj-D-KEeGWl4mkBxEjw_2_5"/>
      <w:bookmarkStart w:id="934" w:name="Tc_VX5Xo5VpTUC-k1JQy-UBzA_2_2"/>
      <w:bookmarkStart w:id="935" w:name="Tc_cR7QbkefTU-lHmEs-egOzA_1_14"/>
      <w:bookmarkStart w:id="936" w:name="Tc_H9_xFDRHvEGr2tt22wtp8A_1_2"/>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i/>
          <w:sz w:val="20"/>
        </w:rPr>
        <w:t>Assets and Liabilities Measured at Fair Value on a Recurring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valuation of our assets and liabilities by the above fair value hierarchy levels measured on a recurring basis: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0"/>
        <w:gridCol w:w="326"/>
        <w:gridCol w:w="211"/>
        <w:gridCol w:w="571"/>
        <w:gridCol w:w="326"/>
        <w:gridCol w:w="211"/>
        <w:gridCol w:w="571"/>
        <w:gridCol w:w="326"/>
        <w:gridCol w:w="231"/>
        <w:gridCol w:w="383"/>
        <w:gridCol w:w="326"/>
        <w:gridCol w:w="211"/>
        <w:gridCol w:w="571"/>
        <w:gridCol w:w="326"/>
        <w:gridCol w:w="211"/>
        <w:gridCol w:w="571"/>
        <w:gridCol w:w="326"/>
        <w:gridCol w:w="211"/>
        <w:gridCol w:w="571"/>
        <w:gridCol w:w="326"/>
        <w:gridCol w:w="231"/>
        <w:gridCol w:w="383"/>
        <w:gridCol w:w="326"/>
        <w:gridCol w:w="211"/>
        <w:gridCol w:w="678"/>
      </w:tblGrid>
      <w:tr>
        <w:trPr/>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96950" cy="175260"/>
                      <wp:effectExtent l="0" t="0" r="0" b="0"/>
                      <wp:wrapNone/>
                      <wp:docPr id="104" name="Frame104"/>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2585" cy="175260"/>
                      <wp:effectExtent l="0" t="0" r="0" b="0"/>
                      <wp:wrapNone/>
                      <wp:docPr id="107"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6685" cy="175260"/>
                      <wp:effectExtent l="0" t="0" r="0" b="0"/>
                      <wp:wrapNone/>
                      <wp:docPr id="112" name="Frame11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3205" cy="175260"/>
                      <wp:effectExtent l="0" t="0" r="0" b="0"/>
                      <wp:wrapNone/>
                      <wp:docPr id="113" name="Frame11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9"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2"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6685" cy="175260"/>
                      <wp:effectExtent l="0" t="0" r="0" b="0"/>
                      <wp:wrapNone/>
                      <wp:docPr id="124" name="Frame12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3205" cy="175260"/>
                      <wp:effectExtent l="0" t="0" r="0" b="0"/>
                      <wp:wrapNone/>
                      <wp:docPr id="125" name="Frame12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0530" cy="175260"/>
                      <wp:effectExtent l="0" t="0" r="0" b="0"/>
                      <wp:wrapNone/>
                      <wp:docPr id="128" name="Frame12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3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w:t>
            </w:r>
          </w:p>
        </w:tc>
        <w:tc>
          <w:tcPr>
            <w:tcW w:w="404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09" w:type="dxa"/>
            <w:gridSpan w:val="2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(Note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 (Note 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57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(Note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 (Note 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RFS obligations (Note 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2,452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Partners performed a non-recurring fair value measurement of the equity interest received as part of the 45Q Transaction. </w:t>
      </w:r>
      <w:r>
        <w:rPr>
          <w:rFonts w:ascii="TimesNewRoman" w:hAnsi="TimesNewRoman"/>
          <w:sz w:val="20"/>
        </w:rPr>
        <w:t>Such valuation used a combination of the market approach and the discounted cash flow methodology with key inputs including the discount rate, contractual and expected future cash flows, and market multiples.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sz w:val="20"/>
        </w:rPr>
      </w:pPr>
      <w:bookmarkStart w:id="937" w:name="_255930f1_f0aa_4c93_bb4b_6a6aebf905d8"/>
      <w:bookmarkStart w:id="938" w:name="Tc_vZuqFc1E_0WKFM-BdtuLhQ_9_5"/>
      <w:bookmarkStart w:id="939" w:name="Tc_USjGNcbpWU-Mv6cP6TNoEQ_9_3"/>
      <w:bookmarkStart w:id="940" w:name="Tc_qVvpfElUAkOEbHyajIgLnQ_9_2"/>
      <w:bookmarkStart w:id="941" w:name="Tc_izt65Gb1pEGV8zzVX4PKHQ_9_0"/>
      <w:bookmarkStart w:id="942" w:name="Tc_E7BbmKrA5kOksa5bKmEyZg_8_0"/>
      <w:bookmarkStart w:id="943" w:name="Tc_YQDu_S2zVECaV03SASEwJA_7_0"/>
      <w:bookmarkStart w:id="944" w:name="Tc_m_nJBzllb0yLsL6Im-rKyg_6_12"/>
      <w:bookmarkStart w:id="945" w:name="Tc_bC5QAE8-T0awgujuDceJSA_6_3"/>
      <w:bookmarkStart w:id="946" w:name="Tc_R_syXKAG1kSZZeHGINNc3A_6_0"/>
      <w:bookmarkStart w:id="947" w:name="Tc_kdSh1Nm9lE6ppc6xwsoE3Q_5_3"/>
      <w:bookmarkStart w:id="948" w:name="Tc_iJVRrEENAEuAr1oJZA7vDQ_5_0"/>
      <w:bookmarkStart w:id="949" w:name="Tc_-0o6yAah3ESBlmjbFNqsGg_4_11"/>
      <w:bookmarkStart w:id="950" w:name="Tc_DACW-oSWZkC5qtER8l6kmw_4_8"/>
      <w:bookmarkStart w:id="951" w:name="Tc_CPXrIh_Y9kCv8Knjq6U2lg_4_5"/>
      <w:bookmarkStart w:id="952" w:name="Tc_5l02aqj1XkOkai1bDvS_ew_4_2"/>
      <w:bookmarkStart w:id="953" w:name="Tc_fYKyrsALoU-cftksP_-z4g_4_0"/>
      <w:bookmarkStart w:id="954" w:name="Tc_kKxM5Sc8sUCJ4E8JjGoncg_3_3"/>
      <w:bookmarkStart w:id="955" w:name="Tc_CX9tOINuS0Kukn79WUjpDg_2_11"/>
      <w:bookmarkStart w:id="956" w:name="Tc_j57LjEspMkyd8hejuuqssA_2_8"/>
      <w:bookmarkStart w:id="957" w:name="Tc_5rEkMeGxOkitHzQv6ETWDA_2_5"/>
      <w:bookmarkStart w:id="958" w:name="Tc_xHNVJaroBkyH4oGfJvyMiA_2_2"/>
      <w:bookmarkStart w:id="959" w:name="Tc_fn814b4TvEOb09NFFnL37g_1_8"/>
      <w:bookmarkStart w:id="960" w:name="Tc_TWS2aHRrW0Wgjm91dusuRA_1_2"/>
      <w:bookmarkStart w:id="961" w:name="_8c8df067_0f3c_4c5e_9729_644fc25c8841"/>
      <w:bookmarkStart w:id="962" w:name="Tc_ZVI7StZ2bE-2a_Uj6Ru9kw_7_9"/>
      <w:bookmarkStart w:id="963" w:name="Tc_mhgxGOX8wkSiB-Aky3DqbA_7_3"/>
      <w:bookmarkStart w:id="964" w:name="Tc_nFNu26n4q0uY-XXLYr9G3A_7_0"/>
      <w:bookmarkStart w:id="965" w:name="Tc_8888GOQRvEG459NfcnoaKg_6_3"/>
      <w:bookmarkStart w:id="966" w:name="Tc_QOQoxSQCJ0uiVf5ItlgSjg_6_0"/>
      <w:bookmarkStart w:id="967" w:name="Tc_mengTQ6IkkqVsaupa2i9hQ_5_11"/>
      <w:bookmarkStart w:id="968" w:name="Tc_rtQAxUQPg0--p3x6KnT41A_5_8"/>
      <w:bookmarkStart w:id="969" w:name="Tc_a78NIYqJ20OuytKsxh3RVQ_5_5"/>
      <w:bookmarkStart w:id="970" w:name="Tc_7hGdV_WB_kOqStrt8asfOg_5_2"/>
      <w:bookmarkStart w:id="971" w:name="Tc_DEtNZDRBLkCd8_TTy_xb2Q_5_0"/>
      <w:bookmarkStart w:id="972" w:name="Tc_ADIDnbOcNUu03C98VhNMJg_4_0"/>
      <w:bookmarkStart w:id="973" w:name="Tc_-YmidnctA0SSIhmD-FPqYg_3_3"/>
      <w:bookmarkStart w:id="974" w:name="Tc_sqPUP2gUh06nXeEiHnnfnA_2_11"/>
      <w:bookmarkStart w:id="975" w:name="Tc_h5d50LTiMEmd8QPevrC8Yg_2_8"/>
      <w:bookmarkStart w:id="976" w:name="Tc_DMz5MBhaOEGma1OCAnU9NQ_2_5"/>
      <w:bookmarkStart w:id="977" w:name="Tc_ryn1nyYIn0q89fMJxJYPCw_2_2"/>
      <w:bookmarkStart w:id="978" w:name="Tc_ykxbG6SBxEKDgP-SO3bW7A_1_8"/>
      <w:bookmarkStart w:id="979" w:name="Tc_kcHsemqZNUa7y8PlPM5tfQ_1_2"/>
      <w:bookmarkStart w:id="980" w:name="_2d2c95bb_09e0_4d23_8439_924c8d4639e1"/>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val="false"/>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w:t>
      </w:r>
      <w:r>
        <w:rPr>
          <w:rFonts w:ascii="Times New Roman;Times;serif" w:hAnsi="Times New Roman;Times;serif"/>
          <w:b/>
          <w:sz w:val="20"/>
        </w:rPr>
        <w:t xml:space="preserve"> </w:t>
      </w:r>
      <w:r>
        <w:rPr>
          <w:rFonts w:ascii="Times New Roman;Times;serif" w:hAnsi="Times New Roman;Times;serif"/>
          <w:b w:val="false"/>
          <w:sz w:val="20"/>
        </w:rPr>
        <w:t xml:space="preserve">Investment Funds’ derivative instruments with credit-risk-related contingent features in a liability position as of September 30, 2025 and December 31,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67"/>
        <w:gridCol w:w="326"/>
        <w:gridCol w:w="476"/>
        <w:gridCol w:w="1290"/>
        <w:gridCol w:w="326"/>
        <w:gridCol w:w="478"/>
        <w:gridCol w:w="1298"/>
        <w:gridCol w:w="326"/>
        <w:gridCol w:w="476"/>
        <w:gridCol w:w="1290"/>
        <w:gridCol w:w="326"/>
        <w:gridCol w:w="464"/>
        <w:gridCol w:w="1362"/>
      </w:tblGrid>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left"/>
              <w:rPr/>
            </w:pPr>
            <w:r>
              <w:rPr/>
              <w:t>​</w:t>
            </w:r>
          </w:p>
        </w:tc>
        <w:tc>
          <w:tcPr>
            <w:tcW w:w="12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1362" w:type="dxa"/>
            <w:tcBorders/>
            <w:vAlign w:val="center"/>
          </w:tcPr>
          <w:p>
            <w:pPr>
              <w:pStyle w:val="TableContents"/>
              <w:bidi w:val="0"/>
              <w:spacing w:before="0" w:after="1"/>
              <w:ind w:left="0" w:right="0" w:hanging="0"/>
              <w:jc w:val="left"/>
              <w:rPr/>
            </w:pPr>
            <w:r>
              <w:rPr/>
              <w:t>​</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left"/>
              <w:rPr/>
            </w:pPr>
            <w:r>
              <w:rPr/>
              <w:t>​</w:t>
            </w:r>
          </w:p>
        </w:tc>
        <w:tc>
          <w:tcPr>
            <w:tcW w:w="39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7636"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8" w:type="dxa"/>
            <w:tcBorders/>
            <w:vAlign w:val="center"/>
          </w:tcPr>
          <w:p>
            <w:pPr>
              <w:pStyle w:val="TableContents"/>
              <w:bidi w:val="0"/>
              <w:spacing w:before="0" w:after="1"/>
              <w:ind w:left="0" w:right="0" w:hanging="0"/>
              <w:jc w:val="center"/>
              <w:rPr/>
            </w:pPr>
            <w:r>
              <w:rPr/>
              <w:t>​</w:t>
            </w:r>
          </w:p>
        </w:tc>
        <w:tc>
          <w:tcPr>
            <w:tcW w:w="12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1362" w:type="dxa"/>
            <w:tcBorders/>
            <w:vAlign w:val="center"/>
          </w:tcPr>
          <w:p>
            <w:pPr>
              <w:pStyle w:val="TableContents"/>
              <w:bidi w:val="0"/>
              <w:spacing w:before="0" w:after="1"/>
              <w:ind w:left="0" w:right="0" w:hanging="0"/>
              <w:jc w:val="center"/>
              <w:rPr/>
            </w:pPr>
            <w:r>
              <w:rPr/>
              <w:t>​</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center"/>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w:t>
            </w:r>
          </w:p>
        </w:tc>
        <w:tc>
          <w:tcPr>
            <w:tcW w:w="326"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176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78" w:type="dxa"/>
            <w:tcBorders/>
            <w:vAlign w:val="center"/>
          </w:tcPr>
          <w:p>
            <w:pPr>
              <w:pStyle w:val="TableContents"/>
              <w:bidi w:val="0"/>
              <w:spacing w:before="0" w:after="1"/>
              <w:ind w:left="0" w:right="0" w:hanging="0"/>
              <w:jc w:val="right"/>
              <w:rPr/>
            </w:pPr>
            <w:r>
              <w:rPr/>
              <w:t>​</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right"/>
              <w:rPr/>
            </w:pPr>
            <w:r>
              <w:rPr/>
              <w:t>​</w:t>
            </w:r>
          </w:p>
        </w:tc>
        <w:tc>
          <w:tcPr>
            <w:tcW w:w="476" w:type="dxa"/>
            <w:tcBorders/>
            <w:vAlign w:val="center"/>
          </w:tcPr>
          <w:p>
            <w:pPr>
              <w:pStyle w:val="TableContents"/>
              <w:bidi w:val="0"/>
              <w:spacing w:before="0" w:after="1"/>
              <w:ind w:left="0" w:right="0" w:hanging="0"/>
              <w:jc w:val="right"/>
              <w:rPr/>
            </w:pPr>
            <w:r>
              <w:rPr/>
              <w:t>​</w:t>
            </w:r>
          </w:p>
        </w:tc>
        <w:tc>
          <w:tcPr>
            <w:tcW w:w="12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vAlign w:val="center"/>
          </w:tcPr>
          <w:p>
            <w:pPr>
              <w:pStyle w:val="TableContents"/>
              <w:bidi w:val="0"/>
              <w:spacing w:before="0" w:after="1"/>
              <w:ind w:left="0" w:right="0" w:hanging="0"/>
              <w:jc w:val="right"/>
              <w:rPr/>
            </w:pPr>
            <w:r>
              <w:rPr/>
              <w:t> </w:t>
            </w:r>
          </w:p>
        </w:tc>
        <w:tc>
          <w:tcPr>
            <w:tcW w:w="464" w:type="dxa"/>
            <w:tcBorders/>
            <w:vAlign w:val="center"/>
          </w:tcPr>
          <w:p>
            <w:pPr>
              <w:pStyle w:val="TableContents"/>
              <w:bidi w:val="0"/>
              <w:spacing w:before="0" w:after="1"/>
              <w:ind w:left="0" w:right="0" w:hanging="0"/>
              <w:jc w:val="right"/>
              <w:rPr/>
            </w:pPr>
            <w:r>
              <w:rPr/>
              <w:t>​</w:t>
            </w:r>
          </w:p>
        </w:tc>
        <w:tc>
          <w:tcPr>
            <w:tcW w:w="1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lef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right"/>
              <w:rPr/>
            </w:pPr>
            <w:r>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136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short notional amount on our credit default swap positions was approximately $179</w:t>
            </w:r>
            <w:r>
              <w:rPr>
                <w:caps w:val="false"/>
                <w:smallCaps w:val="false"/>
              </w:rPr>
              <w:t xml:space="preserve"> </w:t>
            </w:r>
            <w:r>
              <w:rPr>
                <w:rFonts w:ascii="Times New Roman;Times;serif" w:hAnsi="Times New Roman;Times;serif"/>
                <w:b w:val="false"/>
                <w:i w:val="false"/>
                <w:caps w:val="false"/>
                <w:smallCaps w:val="false"/>
                <w:sz w:val="16"/>
              </w:rPr>
              <w:t>million and $213</w:t>
            </w:r>
            <w:r>
              <w:rPr>
                <w:caps w:val="false"/>
                <w:smallCaps w:val="false"/>
              </w:rPr>
              <w:t xml:space="preserve"> </w:t>
            </w:r>
            <w:r>
              <w:rPr>
                <w:rFonts w:ascii="Times New Roman;Times;serif" w:hAnsi="Times New Roman;Times;serif"/>
                <w:b w:val="false"/>
                <w:i w:val="false"/>
                <w:caps w:val="false"/>
                <w:smallCaps w:val="false"/>
                <w:sz w:val="16"/>
              </w:rPr>
              <w:t>million at September 30, 2025 and December 31, 2024, respectively. However, because credit spreads cannot compress below zero, our downside short notional exposure to loss is approximately $29</w:t>
            </w:r>
            <w:r>
              <w:rPr>
                <w:caps w:val="false"/>
                <w:smallCaps w:val="false"/>
              </w:rPr>
              <w:t xml:space="preserve"> </w:t>
            </w:r>
            <w:r>
              <w:rPr>
                <w:rFonts w:ascii="Times New Roman;Times;serif" w:hAnsi="Times New Roman;Times;serif"/>
                <w:b w:val="false"/>
                <w:i w:val="false"/>
                <w:caps w:val="false"/>
                <w:smallCaps w:val="false"/>
                <w:sz w:val="16"/>
              </w:rPr>
              <w:t>million and $55</w:t>
            </w:r>
            <w:r>
              <w:rPr>
                <w:caps w:val="false"/>
                <w:smallCaps w:val="false"/>
              </w:rPr>
              <w:t xml:space="preserve"> </w:t>
            </w:r>
            <w:r>
              <w:rPr>
                <w:rFonts w:ascii="Times New Roman;Times;serif" w:hAnsi="Times New Roman;Times;serif"/>
                <w:b w:val="false"/>
                <w:i w:val="false"/>
                <w:caps w:val="false"/>
                <w:smallCaps w:val="false"/>
                <w:sz w:val="16"/>
              </w:rPr>
              <w:t>million as of September 30, 2025 and December 31, 2024,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57"/>
        <w:gridCol w:w="326"/>
        <w:gridCol w:w="540"/>
        <w:gridCol w:w="1231"/>
        <w:gridCol w:w="326"/>
        <w:gridCol w:w="526"/>
        <w:gridCol w:w="1200"/>
        <w:gridCol w:w="326"/>
        <w:gridCol w:w="477"/>
        <w:gridCol w:w="1294"/>
        <w:gridCol w:w="330"/>
        <w:gridCol w:w="507"/>
        <w:gridCol w:w="1265"/>
      </w:tblGrid>
      <w:tr>
        <w:trPr/>
        <w:tc>
          <w:tcPr>
            <w:tcW w:w="18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0"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265" w:type="dxa"/>
            <w:tcBorders/>
            <w:vAlign w:val="center"/>
          </w:tcPr>
          <w:p>
            <w:pPr>
              <w:pStyle w:val="TableContents"/>
              <w:bidi w:val="0"/>
              <w:spacing w:before="0" w:after="1"/>
              <w:ind w:left="0" w:right="0" w:hanging="0"/>
              <w:jc w:val="left"/>
              <w:rPr/>
            </w:pPr>
            <w:r>
              <w:rPr/>
              <w:t>​</w:t>
            </w:r>
          </w:p>
        </w:tc>
      </w:tr>
      <w:tr>
        <w:trPr/>
        <w:tc>
          <w:tcPr>
            <w:tcW w:w="18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1"/>
              <w:ind w:left="0" w:right="0" w:hanging="0"/>
              <w:jc w:val="center"/>
              <w:rPr/>
            </w:pPr>
            <w:r>
              <w:rPr/>
              <w:t>​</w:t>
            </w:r>
          </w:p>
        </w:tc>
        <w:tc>
          <w:tcPr>
            <w:tcW w:w="38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18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30" w:type="dxa"/>
            <w:tcBorders/>
            <w:vAlign w:val="center"/>
          </w:tcPr>
          <w:p>
            <w:pPr>
              <w:pStyle w:val="TableContents"/>
              <w:bidi w:val="0"/>
              <w:spacing w:before="0" w:after="1"/>
              <w:ind w:left="0" w:right="0" w:hanging="0"/>
              <w:jc w:val="left"/>
              <w:rPr/>
            </w:pPr>
            <w:r>
              <w:rPr/>
              <w:t>    </w:t>
            </w:r>
          </w:p>
        </w:tc>
        <w:tc>
          <w:tcPr>
            <w:tcW w:w="17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40" w:type="dxa"/>
            <w:tcBorders/>
            <w:vAlign w:val="center"/>
          </w:tcPr>
          <w:p>
            <w:pPr>
              <w:pStyle w:val="TableContents"/>
              <w:bidi w:val="0"/>
              <w:spacing w:before="0" w:after="1"/>
              <w:ind w:left="0" w:right="0" w:hanging="0"/>
              <w:jc w:val="center"/>
              <w:rPr/>
            </w:pPr>
            <w:r>
              <w:rPr/>
              <w:t>​</w:t>
            </w:r>
          </w:p>
        </w:tc>
        <w:tc>
          <w:tcPr>
            <w:tcW w:w="7482"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c>
          <w:tcPr>
            <w:tcW w:w="330"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18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540"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 </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3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30"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8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540"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 </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3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18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30"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85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5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c>
          <w:tcPr>
            <w:tcW w:w="330" w:type="dxa"/>
            <w:tcBorders/>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September 30, 2025 and December 31, 2024 was $1.6</w:t>
            </w:r>
            <w:r>
              <w:rPr>
                <w:caps w:val="false"/>
                <w:smallCaps w:val="false"/>
              </w:rPr>
              <w:t xml:space="preserve"> </w:t>
            </w:r>
            <w:r>
              <w:rPr>
                <w:rFonts w:ascii="Times New Roman;Times;serif" w:hAnsi="Times New Roman;Times;serif"/>
                <w:b w:val="false"/>
                <w:i w:val="false"/>
                <w:caps w:val="false"/>
                <w:smallCaps w:val="false"/>
                <w:sz w:val="16"/>
              </w:rPr>
              <w:t>billion and $1.5</w:t>
            </w:r>
            <w:r>
              <w:rPr>
                <w:caps w:val="false"/>
                <w:smallCaps w:val="false"/>
              </w:rPr>
              <w:t xml:space="preserve"> </w:t>
            </w:r>
            <w:r>
              <w:rPr>
                <w:rFonts w:ascii="Times New Roman;Times;serif" w:hAnsi="Times New Roman;Times;serif"/>
                <w:b w:val="false"/>
                <w:i w:val="false"/>
                <w:caps w:val="false"/>
                <w:smallCaps w:val="false"/>
                <w:sz w:val="16"/>
              </w:rPr>
              <w:t>billion, respectively, across all counterparties, which are included in cash held at consolidated affiliated partnerships and restricted cash in the condensed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81" w:name="Tc_7EFwC95RVkmW2y-Mprl4hg_6_12"/>
      <w:bookmarkStart w:id="982" w:name="Tc_iEMBEPXXX0yuRSzc4vdjYg_6_11"/>
      <w:bookmarkStart w:id="983" w:name="Tc_GY5oHXybNEmClYg2crXhCQ_6_8"/>
      <w:bookmarkStart w:id="984" w:name="Tc_mdXuY856KU2yMhaHKJ-0cA_6_5"/>
      <w:bookmarkStart w:id="985" w:name="Tc_fWDrmzexMUas_sSW_Sv4hA_6_2"/>
      <w:bookmarkStart w:id="986" w:name="Tc_Snctb3UCk0enYFnnnBi1QQ_6_0"/>
      <w:bookmarkStart w:id="987" w:name="Tc_AlmJ_F62NkSrOezRuE54WQ_5_0"/>
      <w:bookmarkStart w:id="988" w:name="Tc_Z2Yb9n-xfkaSFrqcpSGhdg_4_11"/>
      <w:bookmarkStart w:id="989" w:name="Tc_y4pZbV35B0qOfGxdJIN_JQ_4_8"/>
      <w:bookmarkStart w:id="990" w:name="Tc_cxdNd0-ad0OOvKnmtQ98QQ_4_5"/>
      <w:bookmarkStart w:id="991" w:name="Tc_MjGyKuKb-EeIe8aI1ck3YQ_4_2"/>
      <w:bookmarkStart w:id="992" w:name="Tc_0T0sVB_vy0ex84LHavHX0w_4_0"/>
      <w:bookmarkStart w:id="993" w:name="Tc_x3CjLFam_EKaViDhrno4KA_3_3"/>
      <w:bookmarkStart w:id="994" w:name="Tc_X36gA-XMJ0iI0PHKKJ5RRQ_2_11"/>
      <w:bookmarkStart w:id="995" w:name="Tc_pkV5vcJ6Dk2f8pYWsETanw_2_8"/>
      <w:bookmarkStart w:id="996" w:name="Tc_mCkVJAaoUE-bXNwpSp-ETQ_2_5"/>
      <w:bookmarkStart w:id="997" w:name="Tc_NQLeG0FDc0Kr_g_6y757IA_2_2"/>
      <w:bookmarkStart w:id="998" w:name="Tc_YfN7YjMybUyr54S4rC8kEg_1_8"/>
      <w:bookmarkStart w:id="999" w:name="Tc_ARn-xhrsNEq9JDJjFHLDGw_1_2"/>
      <w:bookmarkStart w:id="1000" w:name="_da7738a0_19ab_4055_8031_10dac7b5ad1a"/>
      <w:bookmarkStart w:id="1001" w:name="RANGEA3M8"/>
      <w:bookmarkStart w:id="1002" w:name="_41b32f1c_0f95_49dc_9b05_5ce6715d36fa"/>
      <w:bookmarkStart w:id="1003" w:name="Tc__oeYkbtFPUS2jdzKtZtvbg_8_11"/>
      <w:bookmarkStart w:id="1004" w:name="Tc_GTVsybSYYEiQcZOH5u0RnA_8_8"/>
      <w:bookmarkStart w:id="1005" w:name="Tc_3gO-emf12EWR0-PkfxeuUA_8_5"/>
      <w:bookmarkStart w:id="1006" w:name="Tc_cxf1nKh-bESrhWmW_f8iHA_8_2"/>
      <w:bookmarkStart w:id="1007" w:name="Tc_oF-e3xSxIUafYbzcT6SAIA_7_0"/>
      <w:bookmarkStart w:id="1008" w:name="Tc_L3SPTxwT8kimOlIKelFmAA_6_0"/>
      <w:bookmarkStart w:id="1009" w:name="Tc_4lDQBxDYJESnQNSQFgfM5w_5_11"/>
      <w:bookmarkStart w:id="1010" w:name="Tc_Gu2t_wjB0EOEChlAOy_1fg_5_8"/>
      <w:bookmarkStart w:id="1011" w:name="Tc_31RRn4RonU2o_PQiAB3R3Q_5_5"/>
      <w:bookmarkStart w:id="1012" w:name="Tc_aktRvlqtXEOyIQXVScmSLQ_5_2"/>
      <w:bookmarkStart w:id="1013" w:name="Tc_8O8BmDuPGEq-8xdxWrCvKA_5_0"/>
      <w:bookmarkStart w:id="1014" w:name="Tc_33JbHw1RCk6B-QNOELC2iA_4_2"/>
      <w:bookmarkStart w:id="1015" w:name="Tc_K-r8IXZNKEScifY8lKVAxQ_3_11"/>
      <w:bookmarkStart w:id="1016" w:name="Tc_Q3IHdNtJv0eN-1lak5WjTQ_3_8"/>
      <w:bookmarkStart w:id="1017" w:name="Tc_tNPdewk2KUuWkneQC9QGPg_3_5"/>
      <w:bookmarkStart w:id="1018" w:name="Tc_nwxG6xwLjUieyWvN0W6Ttg_3_2"/>
      <w:bookmarkStart w:id="1019" w:name="Tc_fXFHpNhxnEWIaHIGoBqd-g_2_8"/>
      <w:bookmarkStart w:id="1020" w:name="Tc_JyNYOE3UlEyn-rFcSNb4KQ_2_2"/>
      <w:bookmarkStart w:id="1021" w:name="Tc_dsaAIqBy-0eOowfeLIVunA_1_2"/>
      <w:bookmarkStart w:id="1022" w:name="_e8d26ce3_2852_4a7e_bacb_06593b606108"/>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sz w:val="20"/>
        </w:rPr>
        <w:t xml:space="preserve">The following table presents the amount of gain (loss) recognized in the condensed consolidated statements of operations for our Investment segment’s derivatives not designated as hedging instruments: </w:t>
      </w:r>
    </w:p>
    <w:p>
      <w:pPr>
        <w:pStyle w:val="TextBody"/>
        <w:bidi w:val="0"/>
        <w:spacing w:before="0" w:after="0"/>
        <w:ind w:left="0" w:right="0" w:hanging="0"/>
        <w:jc w:val="left"/>
        <w:rPr/>
      </w:pPr>
      <w:r>
        <w:rPr/>
        <w:t>​</w:t>
      </w:r>
    </w:p>
    <w:tbl>
      <w:tblPr>
        <w:tblW w:w="8779" w:type="dxa"/>
        <w:jc w:val="left"/>
        <w:tblInd w:w="0" w:type="dxa"/>
        <w:tblLayout w:type="fixed"/>
        <w:tblCellMar>
          <w:top w:w="0" w:type="dxa"/>
          <w:left w:w="0" w:type="dxa"/>
          <w:bottom w:w="0" w:type="dxa"/>
          <w:right w:w="0" w:type="dxa"/>
        </w:tblCellMar>
      </w:tblPr>
      <w:tblGrid>
        <w:gridCol w:w="1876"/>
        <w:gridCol w:w="326"/>
        <w:gridCol w:w="390"/>
        <w:gridCol w:w="1001"/>
        <w:gridCol w:w="603"/>
        <w:gridCol w:w="390"/>
        <w:gridCol w:w="779"/>
        <w:gridCol w:w="326"/>
        <w:gridCol w:w="347"/>
        <w:gridCol w:w="891"/>
        <w:gridCol w:w="537"/>
        <w:gridCol w:w="347"/>
        <w:gridCol w:w="96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91260" cy="175260"/>
                      <wp:effectExtent l="0" t="0" r="0" b="0"/>
                      <wp:wrapNone/>
                      <wp:docPr id="129" name="Frame12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7650" cy="175260"/>
                      <wp:effectExtent l="0" t="0" r="0" b="0"/>
                      <wp:wrapNone/>
                      <wp:docPr id="131" name="Frame13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35635" cy="175260"/>
                      <wp:effectExtent l="0" t="0" r="0" b="0"/>
                      <wp:wrapNone/>
                      <wp:docPr id="132" name="Frame132"/>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2905" cy="175260"/>
                      <wp:effectExtent l="0" t="0" r="0" b="0"/>
                      <wp:wrapNone/>
                      <wp:docPr id="133" name="Frame133"/>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7650" cy="175260"/>
                      <wp:effectExtent l="0" t="0" r="0" b="0"/>
                      <wp:wrapNone/>
                      <wp:docPr id="134" name="Frame134"/>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4665" cy="175260"/>
                      <wp:effectExtent l="0" t="0" r="0" b="0"/>
                      <wp:wrapNone/>
                      <wp:docPr id="135" name="Frame13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0345" cy="175260"/>
                      <wp:effectExtent l="0" t="0" r="0" b="0"/>
                      <wp:wrapNone/>
                      <wp:docPr id="137" name="Frame13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5785" cy="175260"/>
                      <wp:effectExtent l="0" t="0" r="0" b="0"/>
                      <wp:wrapNone/>
                      <wp:docPr id="138" name="Frame138"/>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40995" cy="175260"/>
                      <wp:effectExtent l="0" t="0" r="0" b="0"/>
                      <wp:wrapNone/>
                      <wp:docPr id="139" name="Frame13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0345" cy="175260"/>
                      <wp:effectExtent l="0" t="0" r="0" b="0"/>
                      <wp:wrapNone/>
                      <wp:docPr id="140" name="Frame14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13410" cy="175260"/>
                      <wp:effectExtent l="0" t="0" r="0" b="0"/>
                      <wp:wrapNone/>
                      <wp:docPr id="141" name="Frame141"/>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577"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Gain (loss) Recognized in Income </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30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3" w:type="dxa"/>
            <w:tcBorders/>
            <w:vAlign w:val="center"/>
          </w:tcPr>
          <w:p>
            <w:pPr>
              <w:pStyle w:val="TableContents"/>
              <w:bidi w:val="0"/>
              <w:spacing w:before="0" w:after="1"/>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37" w:type="dxa"/>
            <w:tcBorders/>
            <w:vAlign w:val="center"/>
          </w:tcPr>
          <w:p>
            <w:pPr>
              <w:pStyle w:val="TableContents"/>
              <w:bidi w:val="0"/>
              <w:spacing w:before="0" w:after="1"/>
              <w:ind w:left="0" w:right="0" w:hanging="0"/>
              <w:jc w:val="left"/>
              <w:rPr/>
            </w:pPr>
            <w:r>
              <w:rPr/>
              <w:t>    </w:t>
            </w:r>
          </w:p>
        </w:tc>
        <w:tc>
          <w:tcPr>
            <w:tcW w:w="13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77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577"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603"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537"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03"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537"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603" w:type="dxa"/>
            <w:tcBorders/>
            <w:shd w:fill="CCEEFF" w:val="clear"/>
            <w:vAlign w:val="center"/>
          </w:tcPr>
          <w:p>
            <w:pPr>
              <w:pStyle w:val="TableContents"/>
              <w:bidi w:val="0"/>
              <w:spacing w:before="0" w:after="1"/>
              <w:ind w:left="0" w:right="0" w:hanging="0"/>
              <w:jc w:val="left"/>
              <w:rPr/>
            </w:pPr>
            <w:r>
              <w:rPr/>
              <w:t>​</w:t>
            </w:r>
          </w:p>
        </w:tc>
        <w:tc>
          <w:tcPr>
            <w:tcW w:w="3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537"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603" w:type="dxa"/>
            <w:tcBorders/>
            <w:vAlign w:val="center"/>
          </w:tcPr>
          <w:p>
            <w:pPr>
              <w:pStyle w:val="TableContents"/>
              <w:bidi w:val="0"/>
              <w:spacing w:before="0" w:after="1"/>
              <w:ind w:left="0" w:right="0" w:hanging="0"/>
              <w:jc w:val="left"/>
              <w:rPr/>
            </w:pPr>
            <w:r>
              <w:rPr/>
              <w:t>​</w:t>
            </w:r>
          </w:p>
        </w:tc>
        <w:tc>
          <w:tcPr>
            <w:tcW w:w="3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537"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condensed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as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September 30, 2025 and December 31, 2024, CVR Energy had swap positions for crack spreads that offset to 5.2 million barrels and 0.1 million barrels at each period, respectively. As of September 30, 2025 and December 31, 2024, CVR Energy had less than 0.2 million barrels and 0.1 million barrels of futures contracts, respectively. As of September 30, 2025 and December 31, 2024, CVR Energy had forward contracts of 0.2 million barrels and less than 0.1 million barrels at each period,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fair value of our Energy segment’s derivatives and the effect of the collateral netting: </w:t>
      </w:r>
    </w:p>
    <w:tbl>
      <w:tblPr>
        <w:tblW w:w="10205" w:type="dxa"/>
        <w:jc w:val="left"/>
        <w:tblInd w:w="0" w:type="dxa"/>
        <w:tblLayout w:type="fixed"/>
        <w:tblCellMar>
          <w:top w:w="0" w:type="dxa"/>
          <w:left w:w="0" w:type="dxa"/>
          <w:bottom w:w="0" w:type="dxa"/>
          <w:right w:w="0" w:type="dxa"/>
        </w:tblCellMar>
      </w:tblPr>
      <w:tblGrid>
        <w:gridCol w:w="1834"/>
        <w:gridCol w:w="326"/>
        <w:gridCol w:w="636"/>
        <w:gridCol w:w="1135"/>
        <w:gridCol w:w="326"/>
        <w:gridCol w:w="620"/>
        <w:gridCol w:w="1106"/>
        <w:gridCol w:w="326"/>
        <w:gridCol w:w="636"/>
        <w:gridCol w:w="1135"/>
        <w:gridCol w:w="353"/>
        <w:gridCol w:w="564"/>
        <w:gridCol w:w="1208"/>
      </w:tblGrid>
      <w:tr>
        <w:trPr/>
        <w:tc>
          <w:tcPr>
            <w:tcW w:w="1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left"/>
              <w:rPr/>
            </w:pPr>
            <w:r>
              <w:rPr/>
              <w:t>​</w:t>
            </w:r>
          </w:p>
        </w:tc>
      </w:tr>
      <w:tr>
        <w:trPr/>
        <w:tc>
          <w:tcPr>
            <w:tcW w:w="1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0"/>
              <w:ind w:left="0" w:right="0" w:hanging="0"/>
              <w:jc w:val="center"/>
              <w:rPr/>
            </w:pPr>
            <w:r>
              <w:rPr/>
              <w:t>​</w:t>
            </w:r>
          </w:p>
        </w:tc>
        <w:tc>
          <w:tcPr>
            <w:tcW w:w="38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1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53" w:type="dxa"/>
            <w:tcBorders/>
            <w:vAlign w:val="center"/>
          </w:tcPr>
          <w:p>
            <w:pPr>
              <w:pStyle w:val="TableContents"/>
              <w:bidi w:val="0"/>
              <w:spacing w:before="0" w:after="0"/>
              <w:ind w:left="0" w:right="0" w:hanging="0"/>
              <w:jc w:val="left"/>
              <w:rPr/>
            </w:pPr>
            <w:r>
              <w:rPr/>
              <w:t>    </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6" w:type="dxa"/>
            <w:tcBorders/>
            <w:vAlign w:val="center"/>
          </w:tcPr>
          <w:p>
            <w:pPr>
              <w:pStyle w:val="TableContents"/>
              <w:bidi w:val="0"/>
              <w:spacing w:before="0" w:after="0"/>
              <w:ind w:left="0" w:right="0" w:hanging="0"/>
              <w:jc w:val="center"/>
              <w:rPr/>
            </w:pPr>
            <w:r>
              <w:rPr/>
              <w:t>​</w:t>
            </w:r>
          </w:p>
        </w:tc>
        <w:tc>
          <w:tcPr>
            <w:tcW w:w="7409"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53"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83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53"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83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3" w:type="dxa"/>
            <w:tcBorders/>
            <w:shd w:fill="CCEEFF" w:val="clear"/>
            <w:vAlign w:val="center"/>
          </w:tcPr>
          <w:p>
            <w:pPr>
              <w:pStyle w:val="TableContents"/>
              <w:bidi w:val="0"/>
              <w:spacing w:before="0" w:after="0"/>
              <w:ind w:left="0" w:right="0" w:hanging="0"/>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netting of derivatives primarily related to initial margin requirements of $8</w:t>
            </w:r>
            <w:r>
              <w:rPr>
                <w:caps w:val="false"/>
                <w:smallCaps w:val="false"/>
              </w:rPr>
              <w:t xml:space="preserve"> </w:t>
            </w:r>
            <w:r>
              <w:rPr>
                <w:rFonts w:ascii="Times New Roman;Times;serif" w:hAnsi="Times New Roman;Times;serif"/>
                <w:b w:val="false"/>
                <w:i w:val="false"/>
                <w:caps w:val="false"/>
                <w:smallCaps w:val="false"/>
                <w:sz w:val="16"/>
              </w:rPr>
              <w:t>million and $3</w:t>
            </w:r>
            <w:r>
              <w:rPr>
                <w:caps w:val="false"/>
                <w:smallCaps w:val="false"/>
              </w:rPr>
              <w:t xml:space="preserve"> </w:t>
            </w:r>
            <w:r>
              <w:rPr>
                <w:rFonts w:ascii="Times New Roman;Times;serif" w:hAnsi="Times New Roman;Times;serif"/>
                <w:b w:val="false"/>
                <w:i w:val="false"/>
                <w:caps w:val="false"/>
                <w:smallCaps w:val="false"/>
                <w:sz w:val="16"/>
              </w:rPr>
              <w:t>million at September 30, 2025 and December 31, 2024, respectively, which was not offset against derivatives liabilities, net in the condensed consolidated balance sheets.</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September 30, 2025, there were $6 million derivative liabilities in our Energy segment’s derivative instruments with credit-risk-related contingent features, for which no collateral has been posted.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gains recognized on derivatives for our Energy segment were $0 million and $2 million for the three months ended September 30, 2025 and 2024, respectively, and $19 million and $7 million for the nine months ended September 30, 2025 and 2024, respectively. Gains and losses recognized on derivatives for our Energy segment are included in cost of goods sold on the condensed consolidated statements of operations.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023" w:name="Tc_B08x-rsoN0mgfKdN6IpgqQ_7_5"/>
      <w:bookmarkStart w:id="1024" w:name="Tc_I-Bm78tM4UGES681EjlNKQ_7_2"/>
      <w:bookmarkStart w:id="1025" w:name="Tc_IcG-Bj7DNUGNox6OWN8hmg_6_0"/>
      <w:bookmarkStart w:id="1026" w:name="Tc_vEzr5WrPlEmKB1A1I6n_tg_5_0"/>
      <w:bookmarkStart w:id="1027" w:name="Tc_6ym5-CuAmUuL1L7SDzzVsg_4_5"/>
      <w:bookmarkStart w:id="1028" w:name="Tc_u1SsATaey0iMelPnEBLoiw_4_2"/>
      <w:bookmarkStart w:id="1029" w:name="Tc_hINc3sgutUK7dK1eq5xvwg_4_0"/>
      <w:bookmarkStart w:id="1030" w:name="Tc_mVjBcDmgW0q5fzoNPxuK9g_3_2"/>
      <w:bookmarkStart w:id="1031" w:name="Tc_MYgPtxhuqUWMode9j9_drQ_2_5"/>
      <w:bookmarkStart w:id="1032" w:name="Tc_aVLg1zZ-AUib3UAY5qZX7w_2_2"/>
      <w:bookmarkStart w:id="1033" w:name="Tc_ncrSdUiDmEa-2rwNCoJk4Q_1_5"/>
      <w:bookmarkStart w:id="1034" w:name="Tc_Xr_meHXhZEGYPLxDyaiHHg_1_2"/>
      <w:bookmarkEnd w:id="1023"/>
      <w:bookmarkEnd w:id="1024"/>
      <w:bookmarkEnd w:id="1025"/>
      <w:bookmarkEnd w:id="1026"/>
      <w:bookmarkEnd w:id="1027"/>
      <w:bookmarkEnd w:id="1028"/>
      <w:bookmarkEnd w:id="1029"/>
      <w:bookmarkEnd w:id="1030"/>
      <w:bookmarkEnd w:id="1031"/>
      <w:bookmarkEnd w:id="1032"/>
      <w:bookmarkEnd w:id="1033"/>
      <w:bookmarkEnd w:id="1034"/>
      <w:r>
        <w:rPr>
          <w:rFonts w:ascii="Times New Roman;Times;serif" w:hAnsi="Times New Roman;Times;serif"/>
          <w:b/>
          <w:sz w:val="20"/>
        </w:rPr>
        <w:t>7.  Inventories,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240"/>
        <w:ind w:left="0" w:right="0" w:firstLine="360"/>
        <w:jc w:val="left"/>
        <w:rPr/>
      </w:pPr>
      <w:r>
        <w:rPr/>
        <w:t>​</w:t>
      </w:r>
    </w:p>
    <w:tbl>
      <w:tblPr>
        <w:tblW w:w="4778" w:type="dxa"/>
        <w:jc w:val="left"/>
        <w:tblInd w:w="0" w:type="dxa"/>
        <w:tblLayout w:type="fixed"/>
        <w:tblCellMar>
          <w:top w:w="0" w:type="dxa"/>
          <w:left w:w="0" w:type="dxa"/>
          <w:bottom w:w="0" w:type="dxa"/>
          <w:right w:w="0" w:type="dxa"/>
        </w:tblCellMar>
      </w:tblPr>
      <w:tblGrid>
        <w:gridCol w:w="1426"/>
        <w:gridCol w:w="326"/>
        <w:gridCol w:w="449"/>
        <w:gridCol w:w="901"/>
        <w:gridCol w:w="326"/>
        <w:gridCol w:w="386"/>
        <w:gridCol w:w="964"/>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05510" cy="175260"/>
                      <wp:effectExtent l="0" t="0" r="0" b="0"/>
                      <wp:wrapNone/>
                      <wp:docPr id="142" name="Frame14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85115" cy="175260"/>
                      <wp:effectExtent l="0" t="0" r="0" b="0"/>
                      <wp:wrapNone/>
                      <wp:docPr id="144" name="Frame144"/>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2135" cy="175260"/>
                      <wp:effectExtent l="0" t="0" r="0" b="0"/>
                      <wp:wrapNone/>
                      <wp:docPr id="145" name="Frame14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5110" cy="175260"/>
                      <wp:effectExtent l="0" t="0" r="0" b="0"/>
                      <wp:wrapNone/>
                      <wp:docPr id="147" name="Frame1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2140" cy="175260"/>
                      <wp:effectExtent l="0" t="0" r="0" b="0"/>
                      <wp:wrapNone/>
                      <wp:docPr id="148" name="Frame14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77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2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5" w:name="Tc_J3LOBPxSc0q1IpCVDUQrGQ_13_17"/>
      <w:bookmarkStart w:id="1036" w:name="Tc_atiMpUU46UiLxsPwvKIm7A_13_8"/>
      <w:bookmarkStart w:id="1037" w:name="Tc_flbhIyEAl0mgOFYm_DWDRQ_13_0"/>
      <w:bookmarkStart w:id="1038" w:name="Tc_8e8psBASWUyJ-T6aHtDF7A_12_17"/>
      <w:bookmarkStart w:id="1039" w:name="Tc_G_mJ1A6h2EKMmupTj0bL5g_12_8"/>
      <w:bookmarkStart w:id="1040" w:name="Tc_TJizmfvRD0iiYGDrCpj92A_12_0"/>
      <w:bookmarkStart w:id="1041" w:name="Tc_C-ltVxbsvkaGpDyPjDHd7g_10_17"/>
      <w:bookmarkStart w:id="1042" w:name="Tc_-Cz4NvNww0ONtXjcnrfCMw_10_14"/>
      <w:bookmarkStart w:id="1043" w:name="Tc_nSqVl23PBka5_7TDgC4gSQ_10_11"/>
      <w:bookmarkStart w:id="1044" w:name="Tc_2cLj0ZX_MUGA7Em7yhviFw_10_8"/>
      <w:bookmarkStart w:id="1045" w:name="Tc_HAE_3ghmGUKd71fe0NWjzQ_10_5"/>
      <w:bookmarkStart w:id="1046" w:name="Tc_Q9q7BxZGVkmxoNQopJrVzQ_10_2"/>
      <w:bookmarkStart w:id="1047" w:name="Tc_meJCUekCsEG9jv9gM2n2PA_9_0"/>
      <w:bookmarkStart w:id="1048" w:name="Tc_gXl360vJ3EyG_T8BMOENdQ_8_0"/>
      <w:bookmarkStart w:id="1049" w:name="Tc_8r7aEnnPy0K0jy5_EuROaw_7_17"/>
      <w:bookmarkStart w:id="1050" w:name="Tc_u-XFyKtxck2X4U0966y3Hg_7_14"/>
      <w:bookmarkStart w:id="1051" w:name="Tc_gso7AbCnekS06ZbbwLlhlA_7_11"/>
      <w:bookmarkStart w:id="1052" w:name="Tc_yrj5V-EG60udMfFWZnUoDg_7_8"/>
      <w:bookmarkStart w:id="1053" w:name="Tc_FKPUi8JgjkuLOLGZZYDJuQ_7_5"/>
      <w:bookmarkStart w:id="1054" w:name="Tc_ERESXZ-hckqS9RGWVVm2ng_7_2"/>
      <w:bookmarkStart w:id="1055" w:name="Tc_Vo6zLBLATU6XyczTlewHCg_7_0"/>
      <w:bookmarkStart w:id="1056" w:name="Tc_rs5I1PJ4Gk2BCYP34V4SAw_6_0"/>
      <w:bookmarkStart w:id="1057" w:name="Tc_NBLXerhK4k6LP9Xua2pxRg_5_2"/>
      <w:bookmarkStart w:id="1058" w:name="Tc_dK7vy3ZWqkKFriMg5wq62w_4_17"/>
      <w:bookmarkStart w:id="1059" w:name="Tc_SaTqPLQWpUWOJMgT-mdEUg_4_14"/>
      <w:bookmarkStart w:id="1060" w:name="Tc_-cBB0HI9ZEC4wJeeflUFxg_4_11"/>
      <w:bookmarkStart w:id="1061" w:name="Tc_EHNV8-amakmY1MosmA83JQ_4_8"/>
      <w:bookmarkStart w:id="1062" w:name="Tc_R1jKJksBY0a8oU6xvN7Tiw_4_5"/>
      <w:bookmarkStart w:id="1063" w:name="Tc_PUFYjDqn3Embf7QcUIHXBw_4_2"/>
      <w:bookmarkStart w:id="1064" w:name="Tc_Vwcm4PtmyU2X9x8k6CdDYA_3_17"/>
      <w:bookmarkStart w:id="1065" w:name="Tc_2t1ATeOlfUWx_PL2QuPO2A_3_14"/>
      <w:bookmarkStart w:id="1066" w:name="Tc_TJ0Ry6FLokG3Qe-O1pjyTA_3_11"/>
      <w:bookmarkStart w:id="1067" w:name="Tc_FTnzoFyvCUiqYHDYo8tAtw_3_8"/>
      <w:bookmarkStart w:id="1068" w:name="Tc_d2urqMr680axuaYkxbK9Kw_3_5"/>
      <w:bookmarkStart w:id="1069" w:name="Tc_lTF4pzb8BEi7RQIBegDFSQ_3_2"/>
      <w:bookmarkStart w:id="1070" w:name="Tc__Q-H0qgzuEq-IKtMxXA1Cg_2_17"/>
      <w:bookmarkStart w:id="1071" w:name="Tc_k75aTYXCEEa8Evz4IcwLUQ_2_11"/>
      <w:bookmarkStart w:id="1072" w:name="Tc_COSdzX0gvkGDJB6eL5iwsw_2_8"/>
      <w:bookmarkStart w:id="1073" w:name="Tc_8VLGRAPxbEGPqa7x1wZnvg_2_2"/>
      <w:bookmarkStart w:id="1074" w:name="Tc_Ws9RTJReWkyvETAnFVLldQ_1_11"/>
      <w:bookmarkStart w:id="1075" w:name="Tc_6AUHnycHXEmWbhrrto8s6w_1_2"/>
      <w:bookmarkStart w:id="1076" w:name="Tc_OIr_WgVskU2QzBzd1MifNw_10_17"/>
      <w:bookmarkStart w:id="1077" w:name="Tc_-kAsyyDGnUWWVUXimqopqw_10_14"/>
      <w:bookmarkStart w:id="1078" w:name="Tc_vrvZVbGvQ0u4h2VtDzOZgA_10_11"/>
      <w:bookmarkStart w:id="1079" w:name="Tc_n7Iyc8hQ0kin2J7x6WxQnw_10_8"/>
      <w:bookmarkStart w:id="1080" w:name="Tc_VCLTTuhqak6euFdH8QwBew_10_5"/>
      <w:bookmarkStart w:id="1081" w:name="Tc__XRyW9gRakKhBWP0mnXELQ_10_2"/>
      <w:bookmarkStart w:id="1082" w:name="Tc_nmNEQsfICkKsE8t7KU76oQ_9_15"/>
      <w:bookmarkStart w:id="1083" w:name="Tc_9GDe5BmxEki8mPofxkcORA_9_6"/>
      <w:bookmarkStart w:id="1084" w:name="Tc_IYX5o7wQuEuSSP9APqnZ7A_9_0"/>
      <w:bookmarkStart w:id="1085" w:name="Tc_-DgfJ5IqdkOOlGz8JrFM2A_8_0"/>
      <w:bookmarkStart w:id="1086" w:name="Tc_QoNy2XuAJESYCC3g7nPJuw_7_15"/>
      <w:bookmarkStart w:id="1087" w:name="Tc_rlv6lGyC20OIyw1EcwvV4w_7_6"/>
      <w:bookmarkStart w:id="1088" w:name="Tc_pAFNJwQmM0yKPwlfJ4QkqA_7_0"/>
      <w:bookmarkStart w:id="1089" w:name="Tc_mbrxVI_ckkq4L75Hm6mWow_6_17"/>
      <w:bookmarkStart w:id="1090" w:name="Tc_CqWmz_jNaUO6MbD-I6imkw_6_14"/>
      <w:bookmarkStart w:id="1091" w:name="Tc_YbD1DuSXjU2fkgo6NcfDCw_6_11"/>
      <w:bookmarkStart w:id="1092" w:name="Tc_VeWurShSM0W2ggEK6V4bow_6_8"/>
      <w:bookmarkStart w:id="1093" w:name="Tc_y9sXqI5WQ02RdV8pmwTNEg_6_5"/>
      <w:bookmarkStart w:id="1094" w:name="Tc_07HAGmFnMkCmdXovAyd9sA_6_2"/>
      <w:bookmarkStart w:id="1095" w:name="Tc_064z2k6p0U-YFcahx0prlg_6_0"/>
      <w:bookmarkStart w:id="1096" w:name="Tc_nPZJN6wj0UyLcNdYFtIr2g_5_2"/>
      <w:bookmarkStart w:id="1097" w:name="Tc_WbqQA8VIB0Ktp6kyKT9Dfw_4_17"/>
      <w:bookmarkStart w:id="1098" w:name="Tc_2HnaomrP4kWX_iZ_pIb0YA_4_14"/>
      <w:bookmarkStart w:id="1099" w:name="Tc_cQDJZJU0G0-u4suvyWGYjg_4_11"/>
      <w:bookmarkStart w:id="1100" w:name="Tc_oMjrlBTMP0adRRU7QkN-xg_4_8"/>
      <w:bookmarkStart w:id="1101" w:name="Tc_mzduXZns6UyxfIeIZ0gZJA_4_5"/>
      <w:bookmarkStart w:id="1102" w:name="Tc_FV4jaiw7uUOZ3vY_aodbDg_4_2"/>
      <w:bookmarkStart w:id="1103" w:name="Tc_yjd7lk38Dky46oz0vrmsxg_3_17"/>
      <w:bookmarkStart w:id="1104" w:name="Tc_lNu_HNr9Q06TMxGaK0J7qA_3_14"/>
      <w:bookmarkStart w:id="1105" w:name="Tc_hiRnMQYK8ECTzJ-P1J0fOg_3_11"/>
      <w:bookmarkStart w:id="1106" w:name="Tc_QA96wi7AG0OFjHevMS4UCA_3_8"/>
      <w:bookmarkStart w:id="1107" w:name="Tc_iIYCD7mihkyGnlO1zyy3xQ_3_5"/>
      <w:bookmarkStart w:id="1108" w:name="Tc_da6FtVFgTU-BD2q7V5cBig_3_2"/>
      <w:bookmarkStart w:id="1109" w:name="Tc_Clk8zohm0UaFwEhP8CuxCQ_2_17"/>
      <w:bookmarkStart w:id="1110" w:name="Tc_3Q2yBZBMC02Q2VC5MNME6g_2_11"/>
      <w:bookmarkStart w:id="1111" w:name="Tc_ep4uTGTlTkGLKgYJxFkC5w_2_8"/>
      <w:bookmarkStart w:id="1112" w:name="Tc_hTuvLpqMjkKu7avmWsMAaw_2_2"/>
      <w:bookmarkStart w:id="1113" w:name="Tc_rMn0r3UBKkGkf3pYBnvvfg_1_11"/>
      <w:bookmarkStart w:id="1114" w:name="Tc_Xy5FQuQRUEKafCXKz317-A_1_2"/>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sz w:val="20"/>
        </w:rPr>
        <w:t>8.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9522" w:type="dxa"/>
        <w:jc w:val="left"/>
        <w:tblInd w:w="0" w:type="dxa"/>
        <w:tblLayout w:type="fixed"/>
        <w:tblCellMar>
          <w:top w:w="0" w:type="dxa"/>
          <w:left w:w="0" w:type="dxa"/>
          <w:bottom w:w="0" w:type="dxa"/>
          <w:right w:w="0" w:type="dxa"/>
        </w:tblCellMar>
      </w:tblPr>
      <w:tblGrid>
        <w:gridCol w:w="1441"/>
        <w:gridCol w:w="326"/>
        <w:gridCol w:w="314"/>
        <w:gridCol w:w="631"/>
        <w:gridCol w:w="326"/>
        <w:gridCol w:w="437"/>
        <w:gridCol w:w="779"/>
        <w:gridCol w:w="326"/>
        <w:gridCol w:w="300"/>
        <w:gridCol w:w="601"/>
        <w:gridCol w:w="326"/>
        <w:gridCol w:w="300"/>
        <w:gridCol w:w="601"/>
        <w:gridCol w:w="326"/>
        <w:gridCol w:w="437"/>
        <w:gridCol w:w="779"/>
        <w:gridCol w:w="326"/>
        <w:gridCol w:w="270"/>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15035" cy="175260"/>
                      <wp:effectExtent l="0" t="0" r="0" b="0"/>
                      <wp:wrapNone/>
                      <wp:docPr id="149" name="Frame14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9390" cy="175260"/>
                      <wp:effectExtent l="0" t="0" r="0" b="0"/>
                      <wp:wrapNone/>
                      <wp:docPr id="151" name="Frame15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00685" cy="175260"/>
                      <wp:effectExtent l="0" t="0" r="0" b="0"/>
                      <wp:wrapNone/>
                      <wp:docPr id="152" name="Frame15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77495" cy="175260"/>
                      <wp:effectExtent l="0" t="0" r="0" b="0"/>
                      <wp:wrapNone/>
                      <wp:docPr id="154" name="Frame15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4665" cy="175260"/>
                      <wp:effectExtent l="0" t="0" r="0" b="0"/>
                      <wp:wrapNone/>
                      <wp:docPr id="155" name="Frame15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0500" cy="175260"/>
                      <wp:effectExtent l="0" t="0" r="0" b="0"/>
                      <wp:wrapNone/>
                      <wp:docPr id="157" name="Frame15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81635" cy="175260"/>
                      <wp:effectExtent l="0" t="0" r="0" b="0"/>
                      <wp:wrapNone/>
                      <wp:docPr id="158" name="Frame1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0500" cy="175260"/>
                      <wp:effectExtent l="0" t="0" r="0" b="0"/>
                      <wp:wrapNone/>
                      <wp:docPr id="160" name="Frame16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81635" cy="175260"/>
                      <wp:effectExtent l="0" t="0" r="0" b="0"/>
                      <wp:wrapNone/>
                      <wp:docPr id="161" name="Frame1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77495" cy="175260"/>
                      <wp:effectExtent l="0" t="0" r="0" b="0"/>
                      <wp:wrapNone/>
                      <wp:docPr id="163" name="Frame16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4665" cy="175260"/>
                      <wp:effectExtent l="0" t="0" r="0" b="0"/>
                      <wp:wrapNone/>
                      <wp:docPr id="164" name="Frame16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1450" cy="175260"/>
                      <wp:effectExtent l="0" t="0" r="0" b="0"/>
                      <wp:wrapNone/>
                      <wp:docPr id="166" name="Frame16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52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5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Automotive</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Food Packaging</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Pharma</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6"/>
        <w:gridCol w:w="326"/>
        <w:gridCol w:w="306"/>
        <w:gridCol w:w="615"/>
        <w:gridCol w:w="326"/>
        <w:gridCol w:w="379"/>
        <w:gridCol w:w="867"/>
        <w:gridCol w:w="326"/>
        <w:gridCol w:w="300"/>
        <w:gridCol w:w="601"/>
        <w:gridCol w:w="326"/>
        <w:gridCol w:w="300"/>
        <w:gridCol w:w="601"/>
        <w:gridCol w:w="326"/>
        <w:gridCol w:w="379"/>
        <w:gridCol w:w="867"/>
        <w:gridCol w:w="326"/>
        <w:gridCol w:w="270"/>
        <w:gridCol w:w="67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24610" cy="175260"/>
                      <wp:effectExtent l="0" t="0" r="0" b="0"/>
                      <wp:wrapNone/>
                      <wp:docPr id="168" name="Frame16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4310" cy="175260"/>
                      <wp:effectExtent l="0" t="0" r="0" b="0"/>
                      <wp:wrapNone/>
                      <wp:docPr id="170" name="Frame17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0525" cy="175260"/>
                      <wp:effectExtent l="0" t="0" r="0" b="0"/>
                      <wp:wrapNone/>
                      <wp:docPr id="171" name="Frame17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0665" cy="175260"/>
                      <wp:effectExtent l="0" t="0" r="0" b="0"/>
                      <wp:wrapNone/>
                      <wp:docPr id="173" name="Frame17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50545" cy="175260"/>
                      <wp:effectExtent l="0" t="0" r="0" b="0"/>
                      <wp:wrapNone/>
                      <wp:docPr id="174" name="Frame17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0500" cy="175260"/>
                      <wp:effectExtent l="0" t="0" r="0" b="0"/>
                      <wp:wrapNone/>
                      <wp:docPr id="176" name="Frame17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81635" cy="175260"/>
                      <wp:effectExtent l="0" t="0" r="0" b="0"/>
                      <wp:wrapNone/>
                      <wp:docPr id="177" name="Frame1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0500" cy="175260"/>
                      <wp:effectExtent l="0" t="0" r="0" b="0"/>
                      <wp:wrapNone/>
                      <wp:docPr id="179" name="Frame17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81635" cy="175260"/>
                      <wp:effectExtent l="0" t="0" r="0" b="0"/>
                      <wp:wrapNone/>
                      <wp:docPr id="180" name="Frame1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0665" cy="175260"/>
                      <wp:effectExtent l="0" t="0" r="0" b="0"/>
                      <wp:wrapNone/>
                      <wp:docPr id="182" name="Frame18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50545" cy="175260"/>
                      <wp:effectExtent l="0" t="0" r="0" b="0"/>
                      <wp:wrapNone/>
                      <wp:docPr id="183" name="Frame183"/>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1450" cy="175260"/>
                      <wp:effectExtent l="0" t="0" r="0" b="0"/>
                      <wp:wrapNone/>
                      <wp:docPr id="185" name="Frame18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0530" cy="175260"/>
                      <wp:effectExtent l="0" t="0" r="0" b="0"/>
                      <wp:wrapNone/>
                      <wp:docPr id="186" name="Frame186"/>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w:t>
            </w:r>
          </w:p>
        </w:tc>
        <w:tc>
          <w:tcPr>
            <w:tcW w:w="37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93"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associated with definite-lived intangible assets was $14 million and $14 million for the three months ended September 30, 2025 and 2024, respectively, and $42 million and $43 million for the nine months ended September 30,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utilize the straight-line method of amortization, recognized over the estimated useful lives of the assets. </w:t>
      </w:r>
    </w:p>
    <w:p>
      <w:pPr>
        <w:pStyle w:val="TextBody"/>
        <w:bidi w:val="0"/>
        <w:spacing w:before="0" w:after="240"/>
        <w:ind w:left="0" w:right="0" w:hanging="0"/>
        <w:jc w:val="left"/>
        <w:rPr>
          <w:rFonts w:ascii="Times New Roman;Times;serif" w:hAnsi="Times New Roman;Times;serif"/>
          <w:b/>
          <w:sz w:val="20"/>
        </w:rPr>
      </w:pPr>
      <w:bookmarkStart w:id="1115" w:name="Tc_c3PWgn3LqEaZIkT2jSSqVg_8_5"/>
      <w:bookmarkStart w:id="1116" w:name="Tc_P0YdSm1CwUCQ1sWJUshSdg_8_2"/>
      <w:bookmarkStart w:id="1117" w:name="Tc_jPQWDvyioUumYoCp_0NS3g_7_0"/>
      <w:bookmarkStart w:id="1118" w:name="Tc_3jb5cS6THUmMLI76f9kpaA_6_8"/>
      <w:bookmarkStart w:id="1119" w:name="Tc_0N-10XEjw0C9FDriMBnBRg_6_0"/>
      <w:bookmarkStart w:id="1120" w:name="Tc_8lqNfW0hY0exh1r8Km2OcQ_5_8"/>
      <w:bookmarkStart w:id="1121" w:name="Tc_eUYvWYGeIkCRmUVQwOtkxw_5_0"/>
      <w:bookmarkStart w:id="1122" w:name="Tc_Z3GLdZVej0eRoO8kESc8cQ_4_8"/>
      <w:bookmarkStart w:id="1123" w:name="Tc_x_7kDNnqDEmjf6rqDyDYwQ_4_5"/>
      <w:bookmarkStart w:id="1124" w:name="Tc_l6kQ5B8sAE2XS1G17Y4LaA_4_2"/>
      <w:bookmarkStart w:id="1125" w:name="Tc_84sT0-SlwkOXdP3XfeAdqw_4_0"/>
      <w:bookmarkStart w:id="1126" w:name="Tc_vt-1kHYeFUiWucWL-jzcAQ_3_2"/>
      <w:bookmarkStart w:id="1127" w:name="Tc_IWArJHtx3kqK9KUURgZM0A_2_10"/>
      <w:bookmarkStart w:id="1128" w:name="Tc_KVy57b3kGkOb21GmpH2faQ_2_8"/>
      <w:bookmarkStart w:id="1129" w:name="Tc_txQc5naju0ajAw1eKjURPA_2_5"/>
      <w:bookmarkStart w:id="1130" w:name="Tc_iAdstr0fx0q_WD6k0P9b6w_2_2"/>
      <w:bookmarkStart w:id="1131" w:name="Tc_PL6CUEOzX0GcM-FPObsBMw_2_0"/>
      <w:bookmarkStart w:id="1132" w:name="Tc_llevs8dpUE6YoOrc7xO8sw_1_10"/>
      <w:bookmarkStart w:id="1133" w:name="Tc_akNzCVzB50i_PIOlSRenNA_1_5"/>
      <w:bookmarkStart w:id="1134" w:name="Tc_glBfR2HCkk-v_Q2biW7oQw_1_2"/>
      <w:bookmarkStart w:id="1135" w:name="_7a05827d_c990_4c54_b21c_3fff58b575f8"/>
      <w:bookmarkStart w:id="1136" w:name="Tc_P5cppZNDRUqAk6QuW4T2Uw_8_5"/>
      <w:bookmarkStart w:id="1137" w:name="Tc_jWz0mgeBvEeuqwAwkkmP6w_8_2"/>
      <w:bookmarkStart w:id="1138" w:name="Tc_CTCnvguGkEm2EUlRoLinXA_7_0"/>
      <w:bookmarkStart w:id="1139" w:name="Tc_wYLVf6agXUy2GULzwy3lIQ_6_8"/>
      <w:bookmarkStart w:id="1140" w:name="Tc_Y-rbm23EDEaNyjxVh_o2EQ_6_0"/>
      <w:bookmarkStart w:id="1141" w:name="Tc_08UYx6mTrkqfxQz7CoDpeA_5_8"/>
      <w:bookmarkStart w:id="1142" w:name="Tc_jqRyKJuxUEuXI7m3YHitPw_5_0"/>
      <w:bookmarkStart w:id="1143" w:name="Tc_kEbye2GSKUKLHvv2TE1F0g_4_8"/>
      <w:bookmarkStart w:id="1144" w:name="Tc_ioZ-JeAxIUuq8H8MMOMO0g_4_5"/>
      <w:bookmarkStart w:id="1145" w:name="Tc_mQebxcpuG0qgUPwajvauSA_4_2"/>
      <w:bookmarkStart w:id="1146" w:name="Tc_XYIRawEvkEOrfzKBKw2p6w_4_0"/>
      <w:bookmarkStart w:id="1147" w:name="Tc_GAc-eI8ZvUiIO3z5DUzqLg_3_2"/>
      <w:bookmarkStart w:id="1148" w:name="Tc_IQFASEbDYEmx5PRRVVP5OA_2_10"/>
      <w:bookmarkStart w:id="1149" w:name="Tc_Da3TSs3zHkK2mZq5UdQmnA_2_8"/>
      <w:bookmarkStart w:id="1150" w:name="Tc_c2YiZeWjYU6kiMcEiOL1QQ_2_5"/>
      <w:bookmarkStart w:id="1151" w:name="Tc_cCW4awy9GEClvCWn-DI4kg_2_2"/>
      <w:bookmarkStart w:id="1152" w:name="Tc_mjalE8cUaUG3CBQWPIo9zA_2_0"/>
      <w:bookmarkStart w:id="1153" w:name="Tc_p4ZpOxMYXEGHy9qv4WClEw_1_10"/>
      <w:bookmarkStart w:id="1154" w:name="Tc_EW_fARRlk0-P_jMT5KhD0w_1_5"/>
      <w:bookmarkStart w:id="1155" w:name="Tc_008UayxE3U6BEAD1KsFeuA_1_2"/>
      <w:bookmarkStart w:id="1156" w:name="_f9f3067d_6509_40d1_a7f8_3af7adcb5e00"/>
      <w:bookmarkStart w:id="1157" w:name="Tc_-ijT4wav3keOD5TgJyQT5g_8_0"/>
      <w:bookmarkStart w:id="1158" w:name="Tc_1WaSVE8USUupR71069Ho9w_5_5"/>
      <w:bookmarkStart w:id="1159" w:name="Tc_iSbM8W1qm0GFNSPWKPkeUQ_5_2"/>
      <w:bookmarkStart w:id="1160" w:name="Tc_F1Wcx9YPbEaWsusQLiNwPg_4_0"/>
      <w:bookmarkStart w:id="1161" w:name="Tc_PkuInN99hU-lF3Tcgzj8CQ_3_2"/>
      <w:bookmarkStart w:id="1162" w:name="Tc_WknDFTofpUeDTyCf3BZmUQ_2_5"/>
      <w:bookmarkStart w:id="1163" w:name="Tc_o5V4SDCtck66DkD3HKJTdg_2_2"/>
      <w:bookmarkStart w:id="1164" w:name="Tc_Hz-ObWRDtki0hcOiSdwUhQ_1_5"/>
      <w:bookmarkStart w:id="1165" w:name="Tc_HbZeD2zmFUCtijw0KEQmlA_1_2"/>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b/>
          <w:sz w:val="20"/>
        </w:rPr>
        <w:t>9.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Right-of-use assets and lease liabilities are as follows:</w:t>
      </w:r>
    </w:p>
    <w:p>
      <w:pPr>
        <w:pStyle w:val="TextBody"/>
        <w:bidi w:val="0"/>
        <w:spacing w:before="0" w:after="0"/>
        <w:ind w:left="0" w:right="0" w:hanging="0"/>
        <w:jc w:val="left"/>
        <w:rPr/>
      </w:pPr>
      <w:r>
        <w:rPr/>
        <w:t>​</w:t>
      </w:r>
    </w:p>
    <w:tbl>
      <w:tblPr>
        <w:tblW w:w="7973" w:type="dxa"/>
        <w:jc w:val="left"/>
        <w:tblInd w:w="0" w:type="dxa"/>
        <w:tblLayout w:type="fixed"/>
        <w:tblCellMar>
          <w:top w:w="0" w:type="dxa"/>
          <w:left w:w="0" w:type="dxa"/>
          <w:bottom w:w="0" w:type="dxa"/>
          <w:right w:w="0" w:type="dxa"/>
        </w:tblCellMar>
      </w:tblPr>
      <w:tblGrid>
        <w:gridCol w:w="4621"/>
        <w:gridCol w:w="326"/>
        <w:gridCol w:w="449"/>
        <w:gridCol w:w="901"/>
        <w:gridCol w:w="326"/>
        <w:gridCol w:w="421"/>
        <w:gridCol w:w="929"/>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934335" cy="175260"/>
                      <wp:effectExtent l="0" t="0" r="0" b="0"/>
                      <wp:wrapNone/>
                      <wp:docPr id="187" name="Frame187"/>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85115" cy="175260"/>
                      <wp:effectExtent l="0" t="0" r="0" b="0"/>
                      <wp:wrapNone/>
                      <wp:docPr id="189" name="Frame189"/>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72135" cy="175260"/>
                      <wp:effectExtent l="0" t="0" r="0" b="0"/>
                      <wp:wrapNone/>
                      <wp:docPr id="190" name="Frame1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7335" cy="175260"/>
                      <wp:effectExtent l="0" t="0" r="0" b="0"/>
                      <wp:wrapNone/>
                      <wp:docPr id="192" name="Frame19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89915" cy="175260"/>
                      <wp:effectExtent l="0" t="0" r="0" b="0"/>
                      <wp:wrapNone/>
                      <wp:docPr id="193" name="Frame193"/>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September 30, </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December 31, </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2025</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2024</w:t>
            </w:r>
          </w:p>
        </w:tc>
      </w:tr>
      <w:tr>
        <w:trPr/>
        <w:tc>
          <w:tcPr>
            <w:tcW w:w="79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w:hAnsi="Times"/>
                <w:sz w:val="16"/>
              </w:rPr>
            </w:pPr>
            <w:r>
              <w:rPr>
                <w:rFonts w:ascii="Times" w:hAnsi="Times"/>
                <w:sz w:val="16"/>
              </w:rPr>
              <w:t>(in millions)</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information with respect to our operating leases as of September 30, 2025 and December 31, 2024 is presented below. The lease terms and discount rates for our Energy, Automotive and Food Packaging segments represent weighted averages based on their respective lease liability balances.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479" w:type="dxa"/>
        <w:jc w:val="left"/>
        <w:tblInd w:w="0" w:type="dxa"/>
        <w:tblLayout w:type="fixed"/>
        <w:tblCellMar>
          <w:top w:w="0" w:type="dxa"/>
          <w:left w:w="0" w:type="dxa"/>
          <w:bottom w:w="0" w:type="dxa"/>
          <w:right w:w="0" w:type="dxa"/>
        </w:tblCellMar>
      </w:tblPr>
      <w:tblGrid>
        <w:gridCol w:w="3751"/>
        <w:gridCol w:w="326"/>
        <w:gridCol w:w="414"/>
        <w:gridCol w:w="831"/>
        <w:gridCol w:w="326"/>
        <w:gridCol w:w="325"/>
        <w:gridCol w:w="651"/>
        <w:gridCol w:w="326"/>
        <w:gridCol w:w="1126"/>
        <w:gridCol w:w="326"/>
        <w:gridCol w:w="886"/>
        <w:gridCol w:w="19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381885" cy="175260"/>
                      <wp:effectExtent l="0" t="0" r="0" b="0"/>
                      <wp:wrapNone/>
                      <wp:docPr id="194" name="Frame194"/>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2890" cy="175260"/>
                      <wp:effectExtent l="0" t="0" r="0" b="0"/>
                      <wp:wrapNone/>
                      <wp:docPr id="196" name="Frame19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27685" cy="175260"/>
                      <wp:effectExtent l="0" t="0" r="0" b="0"/>
                      <wp:wrapNone/>
                      <wp:docPr id="197" name="Frame19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6375" cy="175260"/>
                      <wp:effectExtent l="0" t="0" r="0" b="0"/>
                      <wp:wrapNone/>
                      <wp:docPr id="199" name="Frame19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3385" cy="175260"/>
                      <wp:effectExtent l="0" t="0" r="0" b="0"/>
                      <wp:wrapNone/>
                      <wp:docPr id="200" name="Frame20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15010" cy="175260"/>
                      <wp:effectExtent l="0" t="0" r="0" b="0"/>
                      <wp:wrapNone/>
                      <wp:docPr id="202" name="Frame20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62610" cy="175260"/>
                      <wp:effectExtent l="0" t="0" r="0" b="0"/>
                      <wp:wrapNone/>
                      <wp:docPr id="204" name="Frame2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1285" cy="175260"/>
                      <wp:effectExtent l="0" t="0" r="0" b="0"/>
                      <wp:wrapNone/>
                      <wp:docPr id="205" name="Frame20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0"/>
              <w:ind w:left="0" w:right="0" w:hanging="0"/>
              <w:jc w:val="center"/>
              <w:rPr/>
            </w:pPr>
            <w:r>
              <w:rPr/>
              <w:t> </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September 30, 2025</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0"/>
              <w:ind w:left="0" w:right="0" w:hanging="0"/>
              <w:jc w:val="center"/>
              <w:rPr/>
            </w:pPr>
            <w:r>
              <w:rPr/>
              <w:t> </w:t>
            </w:r>
          </w:p>
        </w:tc>
      </w:tr>
      <w:tr>
        <w:trPr/>
        <w:tc>
          <w:tcPr>
            <w:tcW w:w="947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91"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397" w:type="dxa"/>
        <w:jc w:val="left"/>
        <w:tblInd w:w="0" w:type="dxa"/>
        <w:tblLayout w:type="fixed"/>
        <w:tblCellMar>
          <w:top w:w="0" w:type="dxa"/>
          <w:left w:w="0" w:type="dxa"/>
          <w:bottom w:w="0" w:type="dxa"/>
          <w:right w:w="0" w:type="dxa"/>
        </w:tblCellMar>
      </w:tblPr>
      <w:tblGrid>
        <w:gridCol w:w="3706"/>
        <w:gridCol w:w="326"/>
        <w:gridCol w:w="414"/>
        <w:gridCol w:w="831"/>
        <w:gridCol w:w="326"/>
        <w:gridCol w:w="325"/>
        <w:gridCol w:w="651"/>
        <w:gridCol w:w="326"/>
        <w:gridCol w:w="1126"/>
        <w:gridCol w:w="32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353310" cy="175260"/>
                      <wp:effectExtent l="0" t="0" r="0" b="0"/>
                      <wp:wrapNone/>
                      <wp:docPr id="206" name="Frame20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62890" cy="175260"/>
                      <wp:effectExtent l="0" t="0" r="0" b="0"/>
                      <wp:wrapNone/>
                      <wp:docPr id="208" name="Frame20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27685" cy="175260"/>
                      <wp:effectExtent l="0" t="0" r="0" b="0"/>
                      <wp:wrapNone/>
                      <wp:docPr id="209" name="Frame20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6375" cy="175260"/>
                      <wp:effectExtent l="0" t="0" r="0" b="0"/>
                      <wp:wrapNone/>
                      <wp:docPr id="211" name="Frame21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3385" cy="175260"/>
                      <wp:effectExtent l="0" t="0" r="0" b="0"/>
                      <wp:wrapNone/>
                      <wp:docPr id="212" name="Frame212"/>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15010" cy="175260"/>
                      <wp:effectExtent l="0" t="0" r="0" b="0"/>
                      <wp:wrapNone/>
                      <wp:docPr id="214" name="Frame21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62610" cy="175260"/>
                      <wp:effectExtent l="0" t="0" r="0" b="0"/>
                      <wp:wrapNone/>
                      <wp:docPr id="216" name="Frame2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7790" cy="175260"/>
                      <wp:effectExtent l="0" t="0" r="0" b="0"/>
                      <wp:wrapNone/>
                      <wp:docPr id="217" name="Frame2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2024</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0"/>
              <w:ind w:left="0" w:right="0" w:hanging="0"/>
              <w:jc w:val="left"/>
              <w:rPr/>
            </w:pPr>
            <w:r>
              <w:rPr/>
              <w:t>​</w:t>
            </w:r>
          </w:p>
        </w:tc>
      </w:tr>
      <w:tr>
        <w:trPr/>
        <w:tc>
          <w:tcPr>
            <w:tcW w:w="939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66" w:name="_9fd8ba27_89ee_4d2c_a8d0_949d9b6ef070_5"/>
      <w:bookmarkStart w:id="1167" w:name="_9fd8ba27_89ee_4d2c_a8d0_949d9b6ef070_4"/>
      <w:bookmarkStart w:id="1168" w:name="_9fd8ba27_89ee_4d2c_a8d0_949d9b6ef070_3"/>
      <w:bookmarkStart w:id="1169" w:name="_9fd8ba27_89ee_4d2c_a8d0_949d9b6ef070_2"/>
      <w:bookmarkStart w:id="1170" w:name="_9fd8ba27_89ee_4d2c_a8d0_949d9b6ef070"/>
      <w:bookmarkStart w:id="1171" w:name="Narr_rKsgAR0JEEy2zHI3-PC3Zg"/>
      <w:bookmarkEnd w:id="1166"/>
      <w:bookmarkEnd w:id="1167"/>
      <w:bookmarkEnd w:id="1168"/>
      <w:bookmarkEnd w:id="1169"/>
      <w:bookmarkEnd w:id="1170"/>
      <w:bookmarkEnd w:id="1171"/>
      <w:r>
        <w:rPr>
          <w:rFonts w:ascii="Times New Roman;Times;serif" w:hAnsi="Times New Roman;Times;serif"/>
          <w:sz w:val="20"/>
        </w:rPr>
        <w:t xml:space="preserve">For the three months ended September 30, 2025 and 2024, lease cost was comprised of (i) operating lease cost of $47 million and $46 million, respectively, (ii) amortization of financing lease right-of-use assets of $3 million and $2 million, respectively, and (iii) interest expense on financing lease liabilities of less than $1 million and $2 million, respectively. For the nine months ended September 30, 2025 and 2024, lease cost was comprised of (i) operating lease cost of $136 million and $132 million, respectively, (ii) amortization of financing lease right-of-use assets of $8 million and $6 million, respectively, and (iii) interest expense on financing lease liabilities of $5 million and $5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accounted for $100 million and $106 million of total lease cost for each of the nine months ended September 30,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$8 million and $15 million for the three months ended September 30, 2025 and 2024, respectively, and $30 million and $45 million for the nine months ended September 30, 2025 and 2024, respectively. Revenues from operating leases are included in other revenue from operations in the condensed consolidated statements of operations. Our Automotive segment’s expenses from operating leases including variable lease costs were $23 million and $25 million for the three months ended September 30, 2025 and 2024, respectively, and $68 million and $72 million for the nine months ended September 30, 2025 and 2024, respectively. Expenses from operating leases are included in other expenses from operations in the condensed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Real Estate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segment leases real estate, primarily commercial properties under long-term operating leases. As of September 30, 2025 and December 31, 2024, our Real Estate segment had assets leased to others included in property, plant and equipment of $276 million and $236 million, respectively, net of accumulated depreciation. Our Real Estate segment’s revenue from operating leases were $3 million and $2 million for the three months ended September 30, 2025 and 2024, respectively, and $8 million and $7 million for the nine months ended September 30, 2025 and 2024. Revenues from operating leases are included in other revenue from operations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2" w:name="Tc_L1_2sa-ipEaQVd8JCusm0w_19_5"/>
      <w:bookmarkStart w:id="1173" w:name="Tc_6piVTjm8ekK0i2LOFp6lhg_19_2"/>
      <w:bookmarkStart w:id="1174" w:name="Tc_Gv4xiDhqIUaiso7WCDrhQg_19_0"/>
      <w:bookmarkStart w:id="1175" w:name="Tc_hMg5rfuTTkOuY-CZPXV2JA_17_0"/>
      <w:bookmarkStart w:id="1176" w:name="Tc_5m2tDSV3Lk2Z4W1tFBPW8w_16_0"/>
      <w:bookmarkStart w:id="1177" w:name="Tc_mXFIHCyN4EGs7ueqEzZ7Yw_15_0"/>
      <w:bookmarkStart w:id="1178" w:name="Tc_VXM654DSwEKegs9m_qWIjg_14_0"/>
      <w:bookmarkStart w:id="1179" w:name="Tc_D8meorlQfky5vld62j0aSA_13_0"/>
      <w:bookmarkStart w:id="1180" w:name="Tc_VheXDve0U0OnUcWyVWjHLw_12_0"/>
      <w:bookmarkStart w:id="1181" w:name="Tc_IulkjApu9EKQKqxiCeMKGg_10_0"/>
      <w:bookmarkStart w:id="1182" w:name="Tc_Nl-Rn3ctRUOSQCj1k4PUoQ_9_0"/>
      <w:bookmarkStart w:id="1183" w:name="Tc_h3UbXKbsjUC9v1_DoH-HHw_8_0"/>
      <w:bookmarkStart w:id="1184" w:name="Tc_e1ObOi3jMkyA1IDehiy4Xg_7_0"/>
      <w:bookmarkStart w:id="1185" w:name="Tc_Dm--VyLdxEuMMbzmkFiUsw_6_0"/>
      <w:bookmarkStart w:id="1186" w:name="Tc_QmJypx6Ak0OqDCIU0IDw2g_5_5"/>
      <w:bookmarkStart w:id="1187" w:name="Tc_fMTfqiaQMEWH0DA3gbYRVw_5_2"/>
      <w:bookmarkStart w:id="1188" w:name="Tc_S9mbeHq8jE2vaHyWDc9L2A_5_0"/>
      <w:bookmarkStart w:id="1189" w:name="Tc_e-4FEAclUEu1BLfKXp-S8w_4_0"/>
      <w:bookmarkStart w:id="1190" w:name="Tc_5gvfHKxphUmQwgW5JOKA3A_3_2"/>
      <w:bookmarkStart w:id="1191" w:name="Tc_s-OIale1bkOs4IgoMnFAyA_2_5"/>
      <w:bookmarkStart w:id="1192" w:name="Tc_neEDRAfRQU-UMSpL9i5tNQ_2_2"/>
      <w:bookmarkStart w:id="1193" w:name="Tc__C654yMtyEqlXJbPptEkdg_1_5"/>
      <w:bookmarkStart w:id="1194" w:name="Tc_VS-drYgczUivaOFTSxANYw_1_2"/>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Times New Roman;Times;serif" w:hAnsi="Times New Roman;Times;serif"/>
          <w:b/>
          <w:sz w:val="20"/>
        </w:rPr>
        <w:t>10.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6038" w:type="dxa"/>
        <w:jc w:val="left"/>
        <w:tblInd w:w="0" w:type="dxa"/>
        <w:tblLayout w:type="fixed"/>
        <w:tblCellMar>
          <w:top w:w="0" w:type="dxa"/>
          <w:left w:w="0" w:type="dxa"/>
          <w:bottom w:w="0" w:type="dxa"/>
          <w:right w:w="0" w:type="dxa"/>
        </w:tblCellMar>
      </w:tblPr>
      <w:tblGrid>
        <w:gridCol w:w="2686"/>
        <w:gridCol w:w="326"/>
        <w:gridCol w:w="364"/>
        <w:gridCol w:w="986"/>
        <w:gridCol w:w="326"/>
        <w:gridCol w:w="320"/>
        <w:gridCol w:w="1030"/>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705610" cy="175260"/>
                      <wp:effectExtent l="0" t="0" r="0" b="0"/>
                      <wp:wrapNone/>
                      <wp:docPr id="218" name="Frame21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31140" cy="175260"/>
                      <wp:effectExtent l="0" t="0" r="0" b="0"/>
                      <wp:wrapNone/>
                      <wp:docPr id="220" name="Frame22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26110" cy="175260"/>
                      <wp:effectExtent l="0" t="0" r="0" b="0"/>
                      <wp:wrapNone/>
                      <wp:docPr id="221" name="Frame221"/>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3200" cy="175260"/>
                      <wp:effectExtent l="0" t="0" r="0" b="0"/>
                      <wp:wrapNone/>
                      <wp:docPr id="223" name="Frame22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54050" cy="175260"/>
                      <wp:effectExtent l="0" t="0" r="0" b="0"/>
                      <wp:wrapNone/>
                      <wp:docPr id="224" name="Frame224"/>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0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6,688</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6,809</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 xml:space="preserve">Holding Company debt is </w:t>
      </w:r>
      <w:r>
        <w:rPr>
          <w:rFonts w:ascii="Times New Roman;Times;serif" w:hAnsi="Times New Roman;Times;serif"/>
          <w:sz w:val="20"/>
        </w:rPr>
        <w:t xml:space="preserve">net of unamortized discounts, premiums, debt issuance costs and notes held in treasury.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August 2025, we, together with Icahn Enterprises Finance Corp., issued an additional $500</w:t>
      </w:r>
      <w:r>
        <w:rPr>
          <w:rFonts w:ascii="Times New Roman;Times;serif" w:hAnsi="Times New Roman;Times;serif"/>
          <w:sz w:val="20"/>
        </w:rPr>
        <w:t xml:space="preserve"> </w:t>
      </w:r>
      <w:r>
        <w:rPr>
          <w:rFonts w:ascii="TimesNRMTPro" w:hAnsi="TimesNRMTPro"/>
          <w:sz w:val="20"/>
        </w:rPr>
        <w:t>million in aggregate principal amount of our existing 10.000%</w:t>
      </w:r>
      <w:r>
        <w:rPr>
          <w:rFonts w:ascii="Times New Roman;Times;serif" w:hAnsi="Times New Roman;Times;serif"/>
          <w:sz w:val="20"/>
        </w:rPr>
        <w:t xml:space="preserve"> </w:t>
      </w:r>
      <w:r>
        <w:rPr>
          <w:rFonts w:ascii="TimesNRMTPro" w:hAnsi="TimesNRMTPro"/>
          <w:sz w:val="20"/>
        </w:rPr>
        <w:t>senior secured notes due 2029. The net proceeds from the issuance, together with cash on hand, were used to partially redeem $500</w:t>
      </w:r>
      <w:r>
        <w:rPr>
          <w:rFonts w:ascii="Times New Roman;Times;serif" w:hAnsi="Times New Roman;Times;serif"/>
          <w:sz w:val="20"/>
        </w:rPr>
        <w:t xml:space="preserve"> </w:t>
      </w:r>
      <w:r>
        <w:rPr>
          <w:rFonts w:ascii="TimesNRMTPro" w:hAnsi="TimesNRMTPro"/>
          <w:sz w:val="20"/>
        </w:rPr>
        <w:t>million of the outstanding 6.250%</w:t>
      </w:r>
      <w:r>
        <w:rPr>
          <w:rFonts w:ascii="Times New Roman;Times;serif" w:hAnsi="Times New Roman;Times;serif"/>
          <w:sz w:val="20"/>
        </w:rPr>
        <w:t xml:space="preserve"> </w:t>
      </w:r>
      <w:r>
        <w:rPr>
          <w:rFonts w:ascii="TimesNRMTPro" w:hAnsi="TimesNRMTPro"/>
          <w:sz w:val="20"/>
        </w:rPr>
        <w:t>senior secured notes due 2026 on September 5, 2025.</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the nine months ended September 30, 2025, we repurchased in the open market approximately $50</w:t>
      </w:r>
      <w:r>
        <w:rPr>
          <w:rFonts w:ascii="Times New Roman;Times;serif" w:hAnsi="Times New Roman;Times;serif"/>
          <w:sz w:val="20"/>
        </w:rPr>
        <w:t xml:space="preserve"> </w:t>
      </w:r>
      <w:r>
        <w:rPr>
          <w:rFonts w:ascii="TimesNRMTPro" w:hAnsi="TimesNRMTPro"/>
          <w:sz w:val="20"/>
        </w:rPr>
        <w:t>million aggregate principal amount of our 9.000%</w:t>
      </w:r>
      <w:r>
        <w:rPr>
          <w:rFonts w:ascii="Times New Roman;Times;serif" w:hAnsi="Times New Roman;Times;serif"/>
          <w:sz w:val="20"/>
        </w:rPr>
        <w:t xml:space="preserve"> </w:t>
      </w:r>
      <w:r>
        <w:rPr>
          <w:rFonts w:ascii="TimesNRMTPro" w:hAnsi="TimesNRMTPro"/>
          <w:sz w:val="20"/>
        </w:rPr>
        <w:t>senior notes due 2030 for total cash paid of $46</w:t>
      </w:r>
      <w:r>
        <w:rPr>
          <w:rFonts w:ascii="Times New Roman;Times;serif" w:hAnsi="Times New Roman;Times;serif"/>
          <w:sz w:val="20"/>
        </w:rPr>
        <w:t xml:space="preserve"> </w:t>
      </w:r>
      <w:r>
        <w:rPr>
          <w:rFonts w:ascii="TimesNRMTPro" w:hAnsi="TimesNRMTPro"/>
          <w:sz w:val="20"/>
        </w:rPr>
        <w:t>million. The repurchased notes were extinguished but were not retired and are held in treasury. As a result of these transactions, we recognized a $3</w:t>
      </w:r>
      <w:r>
        <w:rPr>
          <w:rFonts w:ascii="Times New Roman;Times;serif" w:hAnsi="Times New Roman;Times;serif"/>
          <w:sz w:val="20"/>
        </w:rPr>
        <w:t xml:space="preserve"> </w:t>
      </w:r>
      <w:r>
        <w:rPr>
          <w:rFonts w:ascii="TimesNRMTPro" w:hAnsi="TimesNRMTPro"/>
          <w:sz w:val="20"/>
        </w:rPr>
        <w:t>million gain on extinguishment of debt for the nine months ended September 30, 2025.</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In 2025, certain of our Energy segment’s subsidiaries (the “Term Loan Borrowers”) prepaid $90 million in principal amount of the senior secured term loan facility (the “Term Loan”). As a result of these transactions, CVR Energy recognized a $2 million loss on extinguishment of debt for the nine months ended September 30, 2025.</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September 30, 2025, total availability under CVR Energy’s Amended and Restated ABL Credit Agreement (“CVR Energy ABL”) and CVR Partners’ ABL Credit Agreement (“CVR Partners ABL”) facilities aggregated to $366 million. The CVR Energy ABL had $25 million of letters of credit outstanding as of September 30, 2025. The CVR Energy ABL matures on June 30, 2027, and the CVR Partners ABL matures on September 26,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Non-Cash Charges to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amortization of deferred financing costs and debt discounts and premiums included in interest expense in the condensed consolidated statements of operations were $(1) million and less than $1 million for the three months ended September 30, 2025 and 2024, respectively, and $3 million and $2 million for the nine months ended September 30, 2025 and 2024, respectively.</w:t>
      </w:r>
    </w:p>
    <w:p>
      <w:pPr>
        <w:pStyle w:val="TextBody"/>
        <w:bidi w:val="0"/>
        <w:spacing w:before="0" w:after="240"/>
        <w:ind w:left="0" w:right="0" w:hanging="0"/>
        <w:jc w:val="left"/>
        <w:rPr>
          <w:rFonts w:ascii="Times New Roman;Times;serif" w:hAnsi="Times New Roman;Times;serif"/>
          <w:b/>
          <w:sz w:val="20"/>
        </w:rPr>
      </w:pPr>
      <w:bookmarkStart w:id="1195" w:name="Tc_GAE25jn7Nke-d6Z79AGTPA_8_0"/>
      <w:bookmarkStart w:id="1196" w:name="Tc__pppQiyMb0-1iaSlusrZUw_7_11"/>
      <w:bookmarkStart w:id="1197" w:name="Tc_0btgqayNNEqkOVHFq6yezA_7_8"/>
      <w:bookmarkStart w:id="1198" w:name="Tc_qnB_1sNE0kC7fL9fCBuVkg_7_5"/>
      <w:bookmarkStart w:id="1199" w:name="Tc__J2MbWunAka4W9ynmIttIA_7_2"/>
      <w:bookmarkStart w:id="1200" w:name="Tc_UpKWCvwHsEe1kJagRoQcBg_7_0"/>
      <w:bookmarkStart w:id="1201" w:name="Tc_vSKTKS_9g0G5LpfobpnDAw_5_11"/>
      <w:bookmarkStart w:id="1202" w:name="Tc_N4js5dKX0EevXyYf9BaAzg_5_8"/>
      <w:bookmarkStart w:id="1203" w:name="Tc_4nfIziYNxk6JzqVaNCIJDQ_5_5"/>
      <w:bookmarkStart w:id="1204" w:name="Tc_82IzWmhruEOCxOWDdOvY7w_5_2"/>
      <w:bookmarkStart w:id="1205" w:name="Tc_sePRISeAXE-v8xN8g26wfg_5_0"/>
      <w:bookmarkStart w:id="1206" w:name="Tc_hhr_zgaIHUWHlyN1svgQEA_4_11"/>
      <w:bookmarkStart w:id="1207" w:name="Tc__JgHn3g7MUepwdDFo1Hp0Q_4_8"/>
      <w:bookmarkStart w:id="1208" w:name="Tc_PZCBa1EY1U-wYvgIvqIBhQ_4_5"/>
      <w:bookmarkStart w:id="1209" w:name="Tc_sX4--7f8Y0u6fTQ1zrd3wA_4_2"/>
      <w:bookmarkStart w:id="1210" w:name="Tc_SHmdj1dS2U-X2wXyLtDAWw_4_0"/>
      <w:bookmarkStart w:id="1211" w:name="Tc_-NAhi8IsKUuw67o5fRpdcA_3_2"/>
      <w:bookmarkStart w:id="1212" w:name="Tc_Xq5v_6YRAkGCGquDuM8CjA_2_11"/>
      <w:bookmarkStart w:id="1213" w:name="Tc_qBVLIj0v0k6QpXqAEEXYbw_2_8"/>
      <w:bookmarkStart w:id="1214" w:name="Tc_EfFiJ9zIz0eI_z9CL7U_9Q_2_5"/>
      <w:bookmarkStart w:id="1215" w:name="Tc_nP-l-LpEykKs7T6BRT_vyg_2_2"/>
      <w:bookmarkStart w:id="1216" w:name="Tc_ogSjvXViT0uK41PAq49PuA_1_8"/>
      <w:bookmarkStart w:id="1217" w:name="Tc_0m4piRay30u9_aASoTaHmw_1_2"/>
      <w:bookmarkStart w:id="1218" w:name="_a03facfb_c75e_435f_958f_b94e8694d05c"/>
      <w:bookmarkStart w:id="1219" w:name="_84cd67ff_cc68_415d_ba8d_9ced38450f16"/>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b/>
          <w:sz w:val="20"/>
        </w:rPr>
        <w:t>11. Net Income (Loss)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(loss) per LP unit of Icahn Enterprises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54"/>
        <w:gridCol w:w="326"/>
        <w:gridCol w:w="304"/>
        <w:gridCol w:w="673"/>
        <w:gridCol w:w="471"/>
        <w:gridCol w:w="304"/>
        <w:gridCol w:w="673"/>
        <w:gridCol w:w="326"/>
        <w:gridCol w:w="271"/>
        <w:gridCol w:w="724"/>
        <w:gridCol w:w="419"/>
        <w:gridCol w:w="271"/>
        <w:gridCol w:w="789"/>
      </w:tblGrid>
      <w:tr>
        <w:trPr/>
        <w:tc>
          <w:tcPr>
            <w:tcW w:w="4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955290" cy="175260"/>
                      <wp:effectExtent l="0" t="0" r="0" b="0"/>
                      <wp:wrapNone/>
                      <wp:docPr id="225" name="Frame225"/>
                      <a:graphic xmlns:a="http://schemas.openxmlformats.org/drawingml/2006/main">
                        <a:graphicData uri="http://schemas.microsoft.com/office/word/2010/wordprocessingShape">
                          <wps:wsp>
                            <wps:cNvSpPr txBox="1"/>
                            <wps:spPr>
                              <a:xfrm>
                                <a:off x="0" y="0"/>
                                <a:ext cx="295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3040" cy="175260"/>
                      <wp:effectExtent l="0" t="0" r="0" b="0"/>
                      <wp:wrapNone/>
                      <wp:docPr id="227" name="Frame22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7355" cy="175260"/>
                      <wp:effectExtent l="0" t="0" r="0" b="0"/>
                      <wp:wrapNone/>
                      <wp:docPr id="228" name="Frame22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99085" cy="175260"/>
                      <wp:effectExtent l="0" t="0" r="0" b="0"/>
                      <wp:wrapNone/>
                      <wp:docPr id="229" name="Frame229"/>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3040" cy="175260"/>
                      <wp:effectExtent l="0" t="0" r="0" b="0"/>
                      <wp:wrapNone/>
                      <wp:docPr id="230" name="Frame23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7355" cy="175260"/>
                      <wp:effectExtent l="0" t="0" r="0" b="0"/>
                      <wp:wrapNone/>
                      <wp:docPr id="231" name="Frame231"/>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2085" cy="175260"/>
                      <wp:effectExtent l="0" t="0" r="0" b="0"/>
                      <wp:wrapNone/>
                      <wp:docPr id="233" name="Frame23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59740" cy="175260"/>
                      <wp:effectExtent l="0" t="0" r="0" b="0"/>
                      <wp:wrapNone/>
                      <wp:docPr id="234" name="Frame234"/>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66065" cy="175260"/>
                      <wp:effectExtent l="0" t="0" r="0" b="0"/>
                      <wp:wrapNone/>
                      <wp:docPr id="235" name="Frame235"/>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2085" cy="175260"/>
                      <wp:effectExtent l="0" t="0" r="0" b="0"/>
                      <wp:wrapNone/>
                      <wp:docPr id="236" name="Frame23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01015" cy="175260"/>
                      <wp:effectExtent l="0" t="0" r="0" b="0"/>
                      <wp:wrapNone/>
                      <wp:docPr id="237" name="Frame23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6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71"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9" w:type="dxa"/>
            <w:tcBorders/>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471"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19" w:type="dxa"/>
            <w:tcBorders/>
            <w:shd w:fill="CCEEFF" w:val="clear"/>
            <w:vAlign w:val="center"/>
          </w:tcPr>
          <w:p>
            <w:pPr>
              <w:pStyle w:val="TableContents"/>
              <w:bidi w:val="0"/>
              <w:spacing w:before="0" w:after="0"/>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 allocated to limited partners (98.01% allocation)</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71"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41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6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4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income (loss) per LP unit:</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471"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41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r>
      <w:tr>
        <w:trPr/>
        <w:tc>
          <w:tcPr>
            <w:tcW w:w="465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and diluted weighted average LP units outstanding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452</w:t>
            </w:r>
          </w:p>
        </w:tc>
      </w:tr>
    </w:tbl>
    <w:tbl>
      <w:tblPr>
        <w:tblW w:w="8901" w:type="dxa"/>
        <w:jc w:val="left"/>
        <w:tblInd w:w="0" w:type="dxa"/>
        <w:tblLayout w:type="fixed"/>
        <w:tblCellMar>
          <w:top w:w="28" w:type="dxa"/>
          <w:left w:w="28" w:type="dxa"/>
          <w:bottom w:w="28" w:type="dxa"/>
          <w:right w:w="28" w:type="dxa"/>
        </w:tblCellMar>
      </w:tblPr>
      <w:tblGrid>
        <w:gridCol w:w="124"/>
        <w:gridCol w:w="31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Excludes an immaterial amount of unvested RSU awards during the nine months ended September 30, 2025 and 2024. </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LP Unit Transactions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Unit Distributions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24, 2025, we declared a quarterly distribution in the amount of $0.50 per depositary unit in which each depositary unitholder had the option to make an election to receive either cash or additional depositary units, payable April 16, 2025. In April 2025, we distributed 23,349,786 depositary units to unitholders who did not elect to receive cash, of which 21,962,413 depositary units were distributed to Mr. Icahn and his affiliates. In connection with these distributions, aggregate cash distributions to all depositary unitholders that made a timely election to receive cash was $75 million, of which $50 million was distributed to Mr. Icahn and his affiliates in April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5, 2025, we declared a quarterly distribution in the amount of $0.50 per depositary unit in which each depositary unitholder had the option to make an election to receive either cash or additional depositary units, payable June 25, 2025. In June 2025, we distributed 23,351,314 depositary units to unitholders who did not elect to receive cash, of which 22,033,036 depositary units were distributed to Mr. Icahn and his affiliates. In connection with these distributions, aggregate cash distributions to all depositary unitholders that made a timely election to receive cash was $76 million, of which $50 million was distributed to Mr. Icahn and his affiliates in June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August 1, 2025, we declared a quarterly distribution in the amount of $0.50 per depositary unit in which each depositary unitholder had the option to make an election to receive either cash or additional depositary units, payable September 24, 2025. In September 2025, we distributed 25,614,344 depositary units to unitholders who did not elect to receive cash, of which 24,149,325 were distributed to Mr. Icahn and his affiliates. In connection with these distributions, aggregate cash distributions to all depositary unitholders that made a timely election to receive cash was $77 million, of which $50 million was distributed to Mr. Icahn and his affiliates in September 2025.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September 30, 2025, we sold 1,344,766 depositary units pursuant to the Open Market Sale Agreement entered into November 21, 2022, resulting in gross proceeds of $11 million, and during the nine months ended September 30, 2025, we sold 5,156,758 depositary units resulting in gross proceeds of $44 million. As of September 30, 2025, we continue to have effective Open Market Sale Agreements and Icahn Enterprises may sell its depositary units for up to an additional $3 million in aggregate gross sale proceeds pursuant to its Open Market Sale Agreement entered into November 21, 2022 and up to $400 million in aggregate gross sale proceeds pursuant to its Open Market Sale Agreement entered into August 26,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nine months ended September 30, 2025, the Company did not repurchase any of the Company’s depositary units under the Repurchase Program and has repurchased $50 million worth of our outstanding fixed-rate senior notes for cash paid of $46 million. The repurchased notes were extinguished but were not retired and are held in treasury. As of September 30, 2025, we were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Segment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0" w:name="Tc_cBvWOwWLkkGTXgACY2Dd8w_26_26"/>
      <w:bookmarkStart w:id="1221" w:name="Tc_0LzpXbIGkEu5zgXcFQv4CQ_26_24"/>
      <w:bookmarkStart w:id="1222" w:name="Tc_FzozBegnnki4XXoccF481w_26_23"/>
      <w:bookmarkStart w:id="1223" w:name="Tc_8E0R1-oDkE2KU17VtK81WA_26_20"/>
      <w:bookmarkStart w:id="1224" w:name="Tc_gh0YLXkNYU2nZpD4dBqeJQ_26_17"/>
      <w:bookmarkStart w:id="1225" w:name="Tc_Ru6WRvPayUin-FoHOq_aPA_26_14"/>
      <w:bookmarkStart w:id="1226" w:name="Tc___l6ULzSZkKL6euX2ezASA_26_11"/>
      <w:bookmarkStart w:id="1227" w:name="Tc_YtKNvRtDAkCCljPM9-I68w_26_8"/>
      <w:bookmarkStart w:id="1228" w:name="Tc_uU7eSs66d0yQECueSGU81g_26_5"/>
      <w:bookmarkStart w:id="1229" w:name="Tc_sk44Xpy4f02OM9XfmAeilw_26_3"/>
      <w:bookmarkStart w:id="1230" w:name="Tc_E3T3Dfi6b02IaQ0axZQdRA_26_2"/>
      <w:bookmarkStart w:id="1231" w:name="Tc_Fe1AbC-DDE-vHP-abceuDg_26_0"/>
      <w:bookmarkStart w:id="1232" w:name="Tc_QLPxFkGeQEqIogJK4s5FoA_25_26"/>
      <w:bookmarkStart w:id="1233" w:name="Tc_AvQfdyYe0kuliHQJ0gw53w_25_24"/>
      <w:bookmarkStart w:id="1234" w:name="Tc_wHRC4BUR9kO5l8_aIcKo4w_25_23"/>
      <w:bookmarkStart w:id="1235" w:name="Tc_zX36IFCR6Eufr1QF8zVYIA_25_21"/>
      <w:bookmarkStart w:id="1236" w:name="Tc_i7stB6p8jkimvmkSbu8nxQ_25_20"/>
      <w:bookmarkStart w:id="1237" w:name="Tc_1iWgGbnuwEC2Z68mxRmonw_25_17"/>
      <w:bookmarkStart w:id="1238" w:name="Tc_PbRW44rK50-7MD8YSVyLdw_25_14"/>
      <w:bookmarkStart w:id="1239" w:name="Tc_YsR_cKCBok6wbvtfUdiN6Q_25_11"/>
      <w:bookmarkStart w:id="1240" w:name="Tc_93LJcE08vEOLm6QdrvcV3w_25_8"/>
      <w:bookmarkStart w:id="1241" w:name="Tc_tBJp5qvrV0OZegVGM1hyxQ_25_5"/>
      <w:bookmarkStart w:id="1242" w:name="Tc_rZoMmA5o00C99GnrPkZSGA_25_3"/>
      <w:bookmarkStart w:id="1243" w:name="Tc_h--E2zY8E0SbC80AjvwICw_25_2"/>
      <w:bookmarkStart w:id="1244" w:name="Tc_-N9-_GNxx0a_BUEaMTw6UQ_25_0"/>
      <w:bookmarkStart w:id="1245" w:name="Tc_mD-5LcbicUGL9by7CzVjSA_24_0"/>
      <w:bookmarkStart w:id="1246" w:name="Tc_b_Duh0w7AECcBw-spiVUQg_23_26"/>
      <w:bookmarkStart w:id="1247" w:name="Tc_PtrnuQA_p0a9Cs8o9eCFZg_23_23"/>
      <w:bookmarkStart w:id="1248" w:name="Tc_UxPDTtkPl0WoomVV9Oa2MA_23_20"/>
      <w:bookmarkStart w:id="1249" w:name="Tc_KuzYkqnDPUedNHnAn2NNnQ_23_17"/>
      <w:bookmarkStart w:id="1250" w:name="Tc_nkrzFpmolkGG0sSe-XXh2g_23_14"/>
      <w:bookmarkStart w:id="1251" w:name="Tc_zNSZbBbtkE2D4e45mR7dWA_23_12"/>
      <w:bookmarkStart w:id="1252" w:name="Tc_NGCJByOFOEialgbRqjZNuQ_23_11"/>
      <w:bookmarkStart w:id="1253" w:name="Tc_ABmPyXBnp0WGLp2ugV8w4g_23_8"/>
      <w:bookmarkStart w:id="1254" w:name="Tc_2nG9TXv1kEuLlmQPgf__EQ_23_5"/>
      <w:bookmarkStart w:id="1255" w:name="Tc_DVKUjiblXEKVqWY0i8jW4w_23_2"/>
      <w:bookmarkStart w:id="1256" w:name="Tc_fYPIlr1YcUWlRO6EgsASlA_23_0"/>
      <w:bookmarkStart w:id="1257" w:name="Tc_PqJ4ZMLb2UCtF_fGcToD6w_22_24"/>
      <w:bookmarkStart w:id="1258" w:name="Tc_Pw-nyUePPUG36y0214pqlA_22_21"/>
      <w:bookmarkStart w:id="1259" w:name="Tc_3m-sIvtX0U-i1RylQFZ6WA_22_18"/>
      <w:bookmarkStart w:id="1260" w:name="Tc_HHziVo_VHk-JYaKmTUb9DA_22_15"/>
      <w:bookmarkStart w:id="1261" w:name="Tc_ddti08Sr4EWarkj7Ixxobg_22_12"/>
      <w:bookmarkStart w:id="1262" w:name="Tc_mWobuSov8k2R8V7RUStQSA_22_9"/>
      <w:bookmarkStart w:id="1263" w:name="Tc_cV51zeS1fE64ozA46xIJng_22_0"/>
      <w:bookmarkStart w:id="1264" w:name="Tc_vHrW12X4wUiTO4U5ljmvow_21_12"/>
      <w:bookmarkStart w:id="1265" w:name="Tc_OJv7437CKkOjzB39Aq3IyA_21_0"/>
      <w:bookmarkStart w:id="1266" w:name="Tc_BtKinhn2tk6hnT65U8KF_A_20_21"/>
      <w:bookmarkStart w:id="1267" w:name="Tc_J8QcwVn1K0eTrsdTIwwkvg_20_18"/>
      <w:bookmarkStart w:id="1268" w:name="Tc_EY2jVDWkbEun0J2Ofkhyug_20_15"/>
      <w:bookmarkStart w:id="1269" w:name="Tc_ABam0o5lD0uudpnkAIrs_Q_20_12"/>
      <w:bookmarkStart w:id="1270" w:name="Tc_PcTRVqoG9E6eIO8P_F3eXw_20_3"/>
      <w:bookmarkStart w:id="1271" w:name="Tc_22t05k6HFEWwHMPqZSeoeQ_20_0"/>
      <w:bookmarkStart w:id="1272" w:name="Tc_YdpgEFuEJUq42hPyIfnIhg_19_12"/>
      <w:bookmarkStart w:id="1273" w:name="Tc_779amDBy_E-hTtmg_uBUCA_19_0"/>
      <w:bookmarkStart w:id="1274" w:name="Tc_KOVcjDQmoE-bNqC3ofGgjg_17_21"/>
      <w:bookmarkStart w:id="1275" w:name="Tc_gB9grxuiQEq7vAKRrOdVOg_17_15"/>
      <w:bookmarkStart w:id="1276" w:name="Tc_qVNftaovGUilJ0Y-hg-6cQ_17_0"/>
      <w:bookmarkStart w:id="1277" w:name="Tc_NIfi0oBE_UmjXDMKnH290Q_16_0"/>
      <w:bookmarkStart w:id="1278" w:name="Tc_X6WsYkk6AkKQplb9nqlfXA_15_24"/>
      <w:bookmarkStart w:id="1279" w:name="Tc_KTdCy12m302hHvMXLd_VtQ_15_21"/>
      <w:bookmarkStart w:id="1280" w:name="Tc_AUH60lHXQk20teAYfp3Trg_15_18"/>
      <w:bookmarkStart w:id="1281" w:name="Tc_6l0nzShrekGHrxEuNkBB_g_15_15"/>
      <w:bookmarkStart w:id="1282" w:name="Tc_VLzZ43pqy0mP8lunsodSUw_15_12"/>
      <w:bookmarkStart w:id="1283" w:name="Tc_9UOIuIvPgkGbjh3FXxB-uw_15_9"/>
      <w:bookmarkStart w:id="1284" w:name="Tc_OWUxyrV_a0GbiwiEy9pMcA_15_6"/>
      <w:bookmarkStart w:id="1285" w:name="Tc_CIRpL-NS5EeJJyB9cO8WlA_15_0"/>
      <w:bookmarkStart w:id="1286" w:name="Tc_CBxIGxC3BUCxC8m30pkmBg_14_24"/>
      <w:bookmarkStart w:id="1287" w:name="Tc_mUCm0QPyw0-gze2TKSb4Yw_14_21"/>
      <w:bookmarkStart w:id="1288" w:name="Tc_BOu4DwEsskqZuje3ShR04g_14_18"/>
      <w:bookmarkStart w:id="1289" w:name="Tc_Dkg_xIa-WkChwSfVvnaEcg_14_12"/>
      <w:bookmarkStart w:id="1290" w:name="Tc_yddUZEv5P0OGIEfAbgvJTQ_14_6"/>
      <w:bookmarkStart w:id="1291" w:name="Tc_6lYQFXt4oEq659guHeA55w_14_3"/>
      <w:bookmarkStart w:id="1292" w:name="Tc_jVI7W61j3Eapvcv-EdjVQg_14_0"/>
      <w:bookmarkStart w:id="1293" w:name="Tc_c9Jbgzd-D0iuK_wKPsk5WQ_13_24"/>
      <w:bookmarkStart w:id="1294" w:name="Tc_8XayTT36JkmALvJtN7SmRg_13_3"/>
      <w:bookmarkStart w:id="1295" w:name="Tc_MmWajPglc0aS_X7gb3RUsQ_13_0"/>
      <w:bookmarkStart w:id="1296" w:name="Tc_BNq56Wf5r0aPDg4d7ubHAw_12_0"/>
      <w:bookmarkStart w:id="1297" w:name="Tc_9uANwsSJikWWDA7hXaKtug_10_15"/>
      <w:bookmarkStart w:id="1298" w:name="Tc_1ZzprerYH022nQL-F4CtHg_10_9"/>
      <w:bookmarkStart w:id="1299" w:name="Tc_DXRgoFrku0SJ5SLmZAaA6Q_10_3"/>
      <w:bookmarkStart w:id="1300" w:name="Tc_ZIajMPAyMEGpVMpMu4Z-cA_10_0"/>
      <w:bookmarkStart w:id="1301" w:name="Tc_fYntd5qqXUi6IYI74RZ6Ww_9_24"/>
      <w:bookmarkStart w:id="1302" w:name="Tc_NNdFA6EJvEKzo-WpMmMHEA_9_21"/>
      <w:bookmarkStart w:id="1303" w:name="Tc_ZH4z1sqUQU2Mkzf9yjqgvQ_9_18"/>
      <w:bookmarkStart w:id="1304" w:name="Tc_IqgyO5eBZE27-i4RqbH9Fw_9_15"/>
      <w:bookmarkStart w:id="1305" w:name="Tc_ymcixfdBW0ScRqnQaXU4Hw_9_12"/>
      <w:bookmarkStart w:id="1306" w:name="Tc_ZWphXEfcDkWr1KlzFlCkvg_9_6"/>
      <w:bookmarkStart w:id="1307" w:name="Tc_B6ldMMG-hkGs9F361j9efg_9_3"/>
      <w:bookmarkStart w:id="1308" w:name="Tc_29hoD7RzTkawZ-TU41R5aQ_9_0"/>
      <w:bookmarkStart w:id="1309" w:name="Tc_whJ0PYXb8k-7RWJpEX3R7g_8_21"/>
      <w:bookmarkStart w:id="1310" w:name="Tc_cMdgKRZ2E0qwKzirDEY9iA_8_18"/>
      <w:bookmarkStart w:id="1311" w:name="Tc_XhH4f_iDxUawpms1W9yhAw_8_12"/>
      <w:bookmarkStart w:id="1312" w:name="Tc_GkIN9IWf6Uueig9uWDSyOw_8_0"/>
      <w:bookmarkStart w:id="1313" w:name="Tc_EgRxyVBoUEq6u50IPnOgDw_7_24"/>
      <w:bookmarkStart w:id="1314" w:name="Tc_Xy9GnNZGbEeD_Aq3c6uwJA_7_21"/>
      <w:bookmarkStart w:id="1315" w:name="Tc_lfAXPjURJkm_CCOBj1kRXg_7_18"/>
      <w:bookmarkStart w:id="1316" w:name="Tc_EsAajY0rB0e6rBiHVPxNWg_7_15"/>
      <w:bookmarkStart w:id="1317" w:name="Tc_HduV1evBTEmRWPLdolg9ig_7_12"/>
      <w:bookmarkStart w:id="1318" w:name="Tc_y8hAXo9kNE-RJz9_7x59_w_7_9"/>
      <w:bookmarkStart w:id="1319" w:name="Tc_6tq-HRonpU-qAvLc2RNTqg_7_6"/>
      <w:bookmarkStart w:id="1320" w:name="Tc__n_4fG1lukK5TqIcMuAI5Q_7_0"/>
      <w:bookmarkStart w:id="1321" w:name="Tc_-VUkI44hGUGs1JTDivtzvQ_6_24"/>
      <w:bookmarkStart w:id="1322" w:name="Tc_864BVqjkCkWqd_fnSKv2LQ_6_18"/>
      <w:bookmarkStart w:id="1323" w:name="Tc_WpA0I5YxWUW-twXN2DZUqg_6_12"/>
      <w:bookmarkStart w:id="1324" w:name="Tc_yh_aqezBSUu1Wq76LkL6kg_6_6"/>
      <w:bookmarkStart w:id="1325" w:name="Tc_b3yMdonMO0ihbpUGKwEevw_6_3"/>
      <w:bookmarkStart w:id="1326" w:name="Tc_3HFKkg1_EUyCkm01xctSKA_6_0"/>
      <w:bookmarkStart w:id="1327" w:name="Tc_KVL1VjAr5UOo44gufOx7wQ_5_26"/>
      <w:bookmarkStart w:id="1328" w:name="Tc_ajDqEVIEgUKiPTxnyCrEWg_5_24"/>
      <w:bookmarkStart w:id="1329" w:name="Tc_zZJU6qmo3E6uoIsYk_4kbA_5_23"/>
      <w:bookmarkStart w:id="1330" w:name="Tc_hq0d2Drt8E-Q4lttdJf77A_5_20"/>
      <w:bookmarkStart w:id="1331" w:name="Tc_CTOhB8bCm0KEgCRrHWfUjw_5_17"/>
      <w:bookmarkStart w:id="1332" w:name="Tc__-NvVfrRHkKmlTN7wUJytg_5_14"/>
      <w:bookmarkStart w:id="1333" w:name="Tc_wM-Cs5dnTUOYPKL9uDhVcA_5_11"/>
      <w:bookmarkStart w:id="1334" w:name="Tc_lKpUZfwyE0eS2Tpj1yVKWA_5_8"/>
      <w:bookmarkStart w:id="1335" w:name="Tc_WDqrms-YukeA6B1dOyqZkQ_5_5"/>
      <w:bookmarkStart w:id="1336" w:name="Tc_htGOIRrtf0-D0kdKDX4T4Q_5_3"/>
      <w:bookmarkStart w:id="1337" w:name="Tc_ncD0t2iOoES60mIjNTUnag_5_2"/>
      <w:bookmarkStart w:id="1338" w:name="Tc_WVN23QeKgUGvj8SbPUK0PA_5_0"/>
      <w:bookmarkStart w:id="1339" w:name="Tc__pLUgx2QQUu5NJYPn7PMTA_4_0"/>
      <w:bookmarkStart w:id="1340" w:name="Tc_ZTLiTwr4bk2Q7NuY1ZR35w_3_2"/>
      <w:bookmarkStart w:id="1341" w:name="Tc_A8GIGwfAaESNQiKf-tz5GQ_2_26"/>
      <w:bookmarkStart w:id="1342" w:name="Tc_jYzM6ylT20CaEJuJR4cfNw_2_23"/>
      <w:bookmarkStart w:id="1343" w:name="Tc_B4Kj0bCqzEGsscQtGhCJ9g_2_20"/>
      <w:bookmarkStart w:id="1344" w:name="Tc_e_j1xToRYE6DRdmFfkNPYQ_2_17"/>
      <w:bookmarkStart w:id="1345" w:name="Tc_f2dYh6AcOke1R6TCGRqc6Q_2_14"/>
      <w:bookmarkStart w:id="1346" w:name="Tc_Wggmvtcv3UKIW63W6YDByA_2_11"/>
      <w:bookmarkStart w:id="1347" w:name="Tc_cwA2fQdXYky6fm_C-w2TLA_2_8"/>
      <w:bookmarkStart w:id="1348" w:name="Tc_xa7G69WvTkCLHXqm0dD_ow_2_5"/>
      <w:bookmarkStart w:id="1349" w:name="Tc_FWP_rkeuKkWF8jUTlAsiUw_2_2"/>
      <w:bookmarkStart w:id="1350" w:name="Tc_MoSx5oaZlkukLdky-_O9ug_1_2"/>
      <w:bookmarkStart w:id="1351" w:name="_10686c91_9fce_4551_aa14_88579185a64e"/>
      <w:bookmarkStart w:id="1352" w:name="Tc_oEamM9_SqUOyQ8RYps4nSQ_27_26"/>
      <w:bookmarkStart w:id="1353" w:name="Tc_UqhpFu2k00WbiwNrZC-Ibg_27_24"/>
      <w:bookmarkStart w:id="1354" w:name="Tc_TSv9Ge5puEeSKFigsEfw_Q_27_23"/>
      <w:bookmarkStart w:id="1355" w:name="Tc_s4gIhTtkOEiFvKO-vsBp_Q_27_20"/>
      <w:bookmarkStart w:id="1356" w:name="Tc_z81lWk1yR0yQlSbZDCNCAg_27_17"/>
      <w:bookmarkStart w:id="1357" w:name="Tc_iNlUFGK7mUOdKV6ipmSLyA_27_15"/>
      <w:bookmarkStart w:id="1358" w:name="Tc_38UYhK_DK0uD8EyZbfvgow_27_14"/>
      <w:bookmarkStart w:id="1359" w:name="Tc_-elLt8SBr0CFmWWlLneh3g_27_11"/>
      <w:bookmarkStart w:id="1360" w:name="Tc_xyVZHSP3OES3WGWkgnN9pw_27_8"/>
      <w:bookmarkStart w:id="1361" w:name="Tc_0yVYZULuAEOV_suPGbxCWw_27_5"/>
      <w:bookmarkStart w:id="1362" w:name="Tc_r7PWlgHrBECotq4SJsnMuA_27_3"/>
      <w:bookmarkStart w:id="1363" w:name="Tc_7uXfrb83jkm17nHmDy72zQ_27_2"/>
      <w:bookmarkStart w:id="1364" w:name="Tc_Jg2equoiGk6eS_sWc3XanA_27_0"/>
      <w:bookmarkStart w:id="1365" w:name="Tc_x_zOBRpXqkiPiGJi9B5UYw_26_26"/>
      <w:bookmarkStart w:id="1366" w:name="Tc_YZ1cjXxSlE-VsdxhaovCPA_26_24"/>
      <w:bookmarkStart w:id="1367" w:name="Tc_U9ejpgyXikW6KAVgxIvjcw_26_23"/>
      <w:bookmarkStart w:id="1368" w:name="Tc_CQFc_tpKUUOcEvxAdEyMtQ_26_21"/>
      <w:bookmarkStart w:id="1369" w:name="Tc_4BN9CCqMKEKCLEfd4QRMhQ_26_20"/>
      <w:bookmarkStart w:id="1370" w:name="Tc_1mj6ZZ3oUUiNwRw2pe3Gpg_26_17"/>
      <w:bookmarkStart w:id="1371" w:name="Tc_MNT9K1CMs0-4gVQqY2r_Fw_26_14"/>
      <w:bookmarkStart w:id="1372" w:name="Tc_WTygmAoo6UmSMrxBfG65xQ_26_11"/>
      <w:bookmarkStart w:id="1373" w:name="Tc_nY58A5odXkWki_lWu9s7aw_26_8"/>
      <w:bookmarkStart w:id="1374" w:name="Tc_jZRyoG8e8kekx7xpIgEk-w_26_5"/>
      <w:bookmarkStart w:id="1375" w:name="Tc_NU_snzaQcEGitzroDPpnHw_26_3"/>
      <w:bookmarkStart w:id="1376" w:name="Tc_M_GfkrIaREy9di4tUxKr1Q_26_2"/>
      <w:bookmarkStart w:id="1377" w:name="Tc_gynHVthN3Um4RyXkpnu1hQ_26_0"/>
      <w:bookmarkStart w:id="1378" w:name="Tc_2cCxj5ZJQEiaUyTL8u5tPg_25_0"/>
      <w:bookmarkStart w:id="1379" w:name="Tc_divqnwLoekajpQ45S746zA_24_26"/>
      <w:bookmarkStart w:id="1380" w:name="Tc_aL4pL4ytvk-7oCT0a7yWQQ_24_23"/>
      <w:bookmarkStart w:id="1381" w:name="Tc_iY7tdJnrpkyhcxiCMg9XVg_24_20"/>
      <w:bookmarkStart w:id="1382" w:name="Tc_iu-21MFnZEW25bP5UftTYw_24_17"/>
      <w:bookmarkStart w:id="1383" w:name="Tc_bstYZeB0c0GBKfI1DExDpQ_24_14"/>
      <w:bookmarkStart w:id="1384" w:name="Tc_rdr3z1wQpkyfJew2t1G_zQ_24_11"/>
      <w:bookmarkStart w:id="1385" w:name="Tc_00iOxOZ5OUiDaXRH5BSNQg_24_8"/>
      <w:bookmarkStart w:id="1386" w:name="Tc_xQLAczYySkyPhJOC1EAwNg_24_5"/>
      <w:bookmarkStart w:id="1387" w:name="Tc__fhKevXky0Sd5EWibQNKxg_24_2"/>
      <w:bookmarkStart w:id="1388" w:name="Tc_ettLk0nJT0S4mQSAvZ8KLA_24_0"/>
      <w:bookmarkStart w:id="1389" w:name="Tc_ASf-97YYlEWF0Lvw6MH7cw_23_24"/>
      <w:bookmarkStart w:id="1390" w:name="Tc_q51DqxQqIEe5XpHwbafkXg_23_21"/>
      <w:bookmarkStart w:id="1391" w:name="Tc_d10_zGnqYESyP36Q-8ncRA_23_18"/>
      <w:bookmarkStart w:id="1392" w:name="Tc_cz9koqksSkG8DyVey16LwQ_23_15"/>
      <w:bookmarkStart w:id="1393" w:name="Tc_ejhBZznGlUqsh-uQZqJ9IQ_23_9"/>
      <w:bookmarkStart w:id="1394" w:name="Tc_ckIo2SYq4UWGhvTNGbtlxA_23_0"/>
      <w:bookmarkStart w:id="1395" w:name="Tc_ftAlWissZE-ctT_luCoG2g_22_0"/>
      <w:bookmarkStart w:id="1396" w:name="Tc_rlcg22FvDkeJHh7euDilCg_21_21"/>
      <w:bookmarkStart w:id="1397" w:name="Tc_iOqC6OgOikm7fHQlKFiWsA_21_18"/>
      <w:bookmarkStart w:id="1398" w:name="Tc_CxSVLp4RDEyLK3j_1Gn9XA_21_15"/>
      <w:bookmarkStart w:id="1399" w:name="Tc__vLPS1ASqkil8L6R0tTqYA_21_3"/>
      <w:bookmarkStart w:id="1400" w:name="Tc__8woXJL_0kuMN7RNnOjASg_21_0"/>
      <w:bookmarkStart w:id="1401" w:name="Tc_L2VgZwM_T02MLuSGLZtBUA_20_0"/>
      <w:bookmarkStart w:id="1402" w:name="Tc_nv47jM6kIk2RBMPd7w2RVw_18_21"/>
      <w:bookmarkStart w:id="1403" w:name="Tc_mHIhZyFJzE2AhZyQOp_vWA_18_18"/>
      <w:bookmarkStart w:id="1404" w:name="Tc_R1GOqdnat0OL9E1uZpz4Yg_18_15"/>
      <w:bookmarkStart w:id="1405" w:name="Tc_OQ63o7IZ60iXtjPvVI-dNQ_18_9"/>
      <w:bookmarkStart w:id="1406" w:name="Tc_DQVME89aTkuz-0IvIMfGPA_18_0"/>
      <w:bookmarkStart w:id="1407" w:name="Tc_m2fwdv4y8U6ZRfIzyFv5EQ_17_24"/>
      <w:bookmarkStart w:id="1408" w:name="Tc_BxX27flTUkmbmQWaBKUIkg_17_21"/>
      <w:bookmarkStart w:id="1409" w:name="Tc_T2SKUCPODUWmh08PUFHbnw_17_18"/>
      <w:bookmarkStart w:id="1410" w:name="Tc_9Wv210YXHEipvQFkAzjkhA_17_15"/>
      <w:bookmarkStart w:id="1411" w:name="Tc_9a5ojdA6Ekq7sDh_bsLAaQ_17_9"/>
      <w:bookmarkStart w:id="1412" w:name="Tc_XC0OQHSWtkqZTzruUqjSKQ_17_6"/>
      <w:bookmarkStart w:id="1413" w:name="Tc_Z0nVmpQ_Gke0AxlDOOzwwg_17_3"/>
      <w:bookmarkStart w:id="1414" w:name="Tc_91HteyfWa0SI7w6TCqG8HQ_17_0"/>
      <w:bookmarkStart w:id="1415" w:name="Tc_ZnUYLy2EMU2kdlX94zoIXg_16_0"/>
      <w:bookmarkStart w:id="1416" w:name="Tc_MhU4stzXC0OU3EkvXnA_zg_15_24"/>
      <w:bookmarkStart w:id="1417" w:name="Tc_4zVgz248v0GmVrMRbfpiqg_15_21"/>
      <w:bookmarkStart w:id="1418" w:name="Tc_vHc0lrQZWUSj_gaxYiHtLA_15_18"/>
      <w:bookmarkStart w:id="1419" w:name="Tc_4DK2t9dt-EqmA2J4RiDbVQ_15_15"/>
      <w:bookmarkStart w:id="1420" w:name="Tc_mvUoTW6ZFEeasqQg24jBAA_15_12"/>
      <w:bookmarkStart w:id="1421" w:name="Tc_RbNCzEyjJ0CLxz1tulR5IQ_15_9"/>
      <w:bookmarkStart w:id="1422" w:name="Tc_dODBsUmAN0iqyhvXs4PKcw_15_6"/>
      <w:bookmarkStart w:id="1423" w:name="Tc_NazMIRGfgUGyiWT9_EfXqw_15_0"/>
      <w:bookmarkStart w:id="1424" w:name="Tc_gvAowgYPWkyxQIZh1ZIlkw_14_24"/>
      <w:bookmarkStart w:id="1425" w:name="Tc_9e8Lq0nb7E6YIC3Kt23Vkg_14_21"/>
      <w:bookmarkStart w:id="1426" w:name="Tc_vaLcdy_e3UK9Tlp7Gj_yqw_14_18"/>
      <w:bookmarkStart w:id="1427" w:name="Tc_Ou0vNdGGtkCtA6SzfPSQZw_14_12"/>
      <w:bookmarkStart w:id="1428" w:name="Tc_VYNoyF3jK0yKxnuOVkrrCw_14_6"/>
      <w:bookmarkStart w:id="1429" w:name="Tc_9Ds-O5Ud506H7-qZIVXknw_14_3"/>
      <w:bookmarkStart w:id="1430" w:name="Tc_OH2y5OfkAkGZNAnb6u_8eA_14_0"/>
      <w:bookmarkStart w:id="1431" w:name="Tc_Gti3yjRiMU682dxdrXcNcg_13_24"/>
      <w:bookmarkStart w:id="1432" w:name="Tc_yFqSES5zq0iYzayCFdDJGg_13_15"/>
      <w:bookmarkStart w:id="1433" w:name="Tc_fnvDZpI5REmpEEsZcUCAAw_13_3"/>
      <w:bookmarkStart w:id="1434" w:name="Tc_JMWE5zESW0KoVBQytmnk1Q_13_0"/>
      <w:bookmarkStart w:id="1435" w:name="Tc_DazNzorzJ0q2NlRo_fjhyQ_12_0"/>
      <w:bookmarkStart w:id="1436" w:name="Tc_KmlsT5tT6EuNblogh7UUzQ_10_18"/>
      <w:bookmarkStart w:id="1437" w:name="Tc_X9yfiSIutUC7KYqqbDHufQ_10_9"/>
      <w:bookmarkStart w:id="1438" w:name="Tc_aiYTHr_qc0yjoO1fccZEtQ_10_6"/>
      <w:bookmarkStart w:id="1439" w:name="Tc_44rRTIyan0ORUWZiBbM2aQ_10_3"/>
      <w:bookmarkStart w:id="1440" w:name="Tc__ZPd-eDFikq88hsbI-5-sA_10_0"/>
      <w:bookmarkStart w:id="1441" w:name="Tc_apKnNthsIU-ACXSAX0GFpw_9_24"/>
      <w:bookmarkStart w:id="1442" w:name="Tc_zShTc0SWnkqs9s_1wMirTg_9_21"/>
      <w:bookmarkStart w:id="1443" w:name="Tc_5iF9iPGYQUqm4DG4n84jtw_9_18"/>
      <w:bookmarkStart w:id="1444" w:name="Tc_MHYnv0-m7Eee-FtdtMzA6w_9_12"/>
      <w:bookmarkStart w:id="1445" w:name="Tc_uNCI9Am9w0KNgcu5O6Deig_9_3"/>
      <w:bookmarkStart w:id="1446" w:name="Tc_tBq6zV8PE0y1x7rV7QAnNQ_9_0"/>
      <w:bookmarkStart w:id="1447" w:name="Tc_3vDTX0YBbUa1zkD_QG0Jeg_8_21"/>
      <w:bookmarkStart w:id="1448" w:name="Tc__DuxDIUWukugAvL3835rzA_8_18"/>
      <w:bookmarkStart w:id="1449" w:name="Tc_4738mqPz8UKlgrWv656p3g_8_12"/>
      <w:bookmarkStart w:id="1450" w:name="Tc_6C6d9Z4umEOk4VrROxlxIw_8_9"/>
      <w:bookmarkStart w:id="1451" w:name="Tc_CeOpzidk8EuKdvNdp7Nqjw_8_0"/>
      <w:bookmarkStart w:id="1452" w:name="Tc_zblS26hj1EqkcAiUKBMvRQ_7_24"/>
      <w:bookmarkStart w:id="1453" w:name="Tc_pOReKPvKz0alpqREzEvR8g_7_21"/>
      <w:bookmarkStart w:id="1454" w:name="Tc_NL8hxncAokSWD0k_Dy0xEA_7_18"/>
      <w:bookmarkStart w:id="1455" w:name="Tc_NT2XLO218UW9rG5zHINyrg_7_15"/>
      <w:bookmarkStart w:id="1456" w:name="Tc_E5GlQqXmrEWJc0uirtqJYw_7_12"/>
      <w:bookmarkStart w:id="1457" w:name="Tc_FDaSm2w550q7gR_apnm7Xg_7_9"/>
      <w:bookmarkStart w:id="1458" w:name="Tc_BhgzJVWnBUmRnJrLtNFcdg_7_6"/>
      <w:bookmarkStart w:id="1459" w:name="Tc_yE4MP4GyGkKITrWNJO_iag_7_0"/>
      <w:bookmarkStart w:id="1460" w:name="Tc_ulI0u5Rzok2z0EcAAb7ufw_6_24"/>
      <w:bookmarkStart w:id="1461" w:name="Tc_-lcVDUX7oUKhlpWIKW_bbw_6_18"/>
      <w:bookmarkStart w:id="1462" w:name="Tc_z66aDOb6vEqdz82fLppCsA_6_12"/>
      <w:bookmarkStart w:id="1463" w:name="Tc_vI0Qv7UOPEe5-SKVCrHQpQ_6_6"/>
      <w:bookmarkStart w:id="1464" w:name="Tc_kscKSq1fo02_hal8KLHNpg_6_3"/>
      <w:bookmarkStart w:id="1465" w:name="Tc_cND6ID18GkCoZ_lwN4bPlg_6_0"/>
      <w:bookmarkStart w:id="1466" w:name="Tc_Za7ZXDdCIUuv7DcfR52N6Q_5_26"/>
      <w:bookmarkStart w:id="1467" w:name="Tc_q690OolTxkKhh2cpSO2zBw_5_24"/>
      <w:bookmarkStart w:id="1468" w:name="Tc_AiwLYSWI7ki045k0zV8l8A_5_23"/>
      <w:bookmarkStart w:id="1469" w:name="Tc_bbEb3Mh2V0qyiMSduxbUEg_5_20"/>
      <w:bookmarkStart w:id="1470" w:name="Tc_JcpN3s28t0q-lxr_e1YEjg_5_17"/>
      <w:bookmarkStart w:id="1471" w:name="Tc_FAPWEc6kF0yLqRiADPAj6Q_5_15"/>
      <w:bookmarkStart w:id="1472" w:name="Tc_f33FfOc7mkC42wX9Ow4SrA_5_14"/>
      <w:bookmarkStart w:id="1473" w:name="Tc_I4d4azvM7EmbRFMsBcAsvQ_5_11"/>
      <w:bookmarkStart w:id="1474" w:name="Tc_9UlNej7f9kKgRgiCtxe4Iw_5_8"/>
      <w:bookmarkStart w:id="1475" w:name="Tc_MwWC4KP8sE6D5JrXBJ0-mA_5_5"/>
      <w:bookmarkStart w:id="1476" w:name="Tc_REvLNu077UaMYdfTUW4ulA_5_3"/>
      <w:bookmarkStart w:id="1477" w:name="Tc_7fpdafTFokGegdiEv0j25g_5_2"/>
      <w:bookmarkStart w:id="1478" w:name="Tc_ykGgSn3kDECXHM98abjocQ_5_0"/>
      <w:bookmarkStart w:id="1479" w:name="Tc_ef9bhtAlz0mrHGNt-htMxw_4_0"/>
      <w:bookmarkStart w:id="1480" w:name="Tc_bkk7LbWIWUC8MKbZsm2e8A_3_2"/>
      <w:bookmarkStart w:id="1481" w:name="Tc_uzr2J_MPdkWdY9ta0fDH2w_2_26"/>
      <w:bookmarkStart w:id="1482" w:name="Tc_ZYI5Iq9UdUaXQHs7r3mZkg_2_23"/>
      <w:bookmarkStart w:id="1483" w:name="Tc_zc3p57iBFkmbbt_gm4ui-A_2_20"/>
      <w:bookmarkStart w:id="1484" w:name="Tc_4s52KnJzqUWES9iJLiiJww_2_17"/>
      <w:bookmarkStart w:id="1485" w:name="Tc_-zcdMmU8BU-HBibYFGT7Rw_2_14"/>
      <w:bookmarkStart w:id="1486" w:name="Tc_YJ85FQ1lfEyzLQaOcfX0zw_2_11"/>
      <w:bookmarkStart w:id="1487" w:name="Tc_lhMq4L3in0W5aCrCHmdHOQ_2_8"/>
      <w:bookmarkStart w:id="1488" w:name="Tc_YXO_B6kVQkKk_Nf8DcTkLw_2_5"/>
      <w:bookmarkStart w:id="1489" w:name="Tc_iyZAxlfixk67RrTQC4UptQ_2_2"/>
      <w:bookmarkStart w:id="1490" w:name="Tc_rCz4Qub5-ka0yhpk5ty5Mg_1_2"/>
      <w:bookmarkStart w:id="1491" w:name="_14ec5e71_ba2b_4ffa_90de_ff6ccd8efc82"/>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sz w:val="20"/>
        </w:rPr>
        <w:t>Condensed Statements of Operations</w:t>
      </w:r>
    </w:p>
    <w:p>
      <w:pPr>
        <w:pStyle w:val="TextBody"/>
        <w:bidi w:val="0"/>
        <w:spacing w:before="0" w:after="0"/>
        <w:ind w:left="0" w:right="0" w:hanging="0"/>
        <w:jc w:val="left"/>
        <w:rPr/>
      </w:pPr>
      <w:r>
        <w:rPr/>
        <w:t>​</w:t>
      </w:r>
    </w:p>
    <w:tbl>
      <w:tblPr>
        <w:tblW w:w="10206" w:type="dxa"/>
        <w:jc w:val="left"/>
        <w:tblInd w:w="0" w:type="dxa"/>
        <w:tblLayout w:type="fixed"/>
        <w:tblCellMar>
          <w:top w:w="0" w:type="dxa"/>
          <w:left w:w="0" w:type="dxa"/>
          <w:bottom w:w="0" w:type="dxa"/>
          <w:right w:w="0" w:type="dxa"/>
        </w:tblCellMar>
      </w:tblPr>
      <w:tblGrid>
        <w:gridCol w:w="1051"/>
        <w:gridCol w:w="326"/>
        <w:gridCol w:w="263"/>
        <w:gridCol w:w="503"/>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19"/>
        <w:gridCol w:w="457"/>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7385" cy="175260"/>
                      <wp:effectExtent l="0" t="0" r="0" b="0"/>
                      <wp:wrapNone/>
                      <wp:docPr id="238" name="Frame2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7005" cy="175260"/>
                      <wp:effectExtent l="0" t="0" r="0" b="0"/>
                      <wp:wrapNone/>
                      <wp:docPr id="240" name="Frame2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19405" cy="175260"/>
                      <wp:effectExtent l="0" t="0" r="0" b="0"/>
                      <wp:wrapNone/>
                      <wp:docPr id="241" name="Frame24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14935" cy="175260"/>
                      <wp:effectExtent l="0" t="0" r="0" b="0"/>
                      <wp:wrapNone/>
                      <wp:docPr id="243" name="Frame2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76860" cy="175260"/>
                      <wp:effectExtent l="0" t="0" r="0" b="0"/>
                      <wp:wrapNone/>
                      <wp:docPr id="244" name="Frame24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73355" cy="175260"/>
                      <wp:effectExtent l="0" t="0" r="0" b="0"/>
                      <wp:wrapNone/>
                      <wp:docPr id="246" name="Frame24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32105" cy="175260"/>
                      <wp:effectExtent l="0" t="0" r="0" b="0"/>
                      <wp:wrapNone/>
                      <wp:docPr id="247" name="Frame24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0020" cy="175260"/>
                      <wp:effectExtent l="0" t="0" r="0" b="0"/>
                      <wp:wrapNone/>
                      <wp:docPr id="249" name="Frame24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07340" cy="175260"/>
                      <wp:effectExtent l="0" t="0" r="0" b="0"/>
                      <wp:wrapNone/>
                      <wp:docPr id="250" name="Frame250"/>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4935" cy="175260"/>
                      <wp:effectExtent l="0" t="0" r="0" b="0"/>
                      <wp:wrapNone/>
                      <wp:docPr id="252" name="Frame2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7635" cy="175260"/>
                      <wp:effectExtent l="0" t="0" r="0" b="0"/>
                      <wp:wrapNone/>
                      <wp:docPr id="255" name="Frame25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4475" cy="175260"/>
                      <wp:effectExtent l="0" t="0" r="0" b="0"/>
                      <wp:wrapNone/>
                      <wp:docPr id="256" name="Frame25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8125" cy="175260"/>
                      <wp:effectExtent l="0" t="0" r="0" b="0"/>
                      <wp:wrapNone/>
                      <wp:docPr id="259" name="Frame25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9065" cy="175260"/>
                      <wp:effectExtent l="0" t="0" r="0" b="0"/>
                      <wp:wrapNone/>
                      <wp:docPr id="261" name="Frame26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90195" cy="175260"/>
                      <wp:effectExtent l="0" t="0" r="0" b="0"/>
                      <wp:wrapNone/>
                      <wp:docPr id="262" name="Frame262"/>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3830" cy="175260"/>
                      <wp:effectExtent l="0" t="0" r="0" b="0"/>
                      <wp:wrapNone/>
                      <wp:docPr id="264" name="Frame26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6880" cy="175260"/>
                      <wp:effectExtent l="0" t="0" r="0" b="0"/>
                      <wp:wrapNone/>
                      <wp:docPr id="265" name="Frame26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September 30, 2025</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1,945</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1,948</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1,395</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1,475</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406</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389</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158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6" w:type="dxa"/>
        <w:jc w:val="left"/>
        <w:tblInd w:w="0" w:type="dxa"/>
        <w:tblLayout w:type="fixed"/>
        <w:tblCellMar>
          <w:top w:w="0" w:type="dxa"/>
          <w:left w:w="0" w:type="dxa"/>
          <w:bottom w:w="0" w:type="dxa"/>
          <w:right w:w="0" w:type="dxa"/>
        </w:tblCellMar>
      </w:tblPr>
      <w:tblGrid>
        <w:gridCol w:w="1051"/>
        <w:gridCol w:w="326"/>
        <w:gridCol w:w="263"/>
        <w:gridCol w:w="503"/>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32"/>
        <w:gridCol w:w="444"/>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67385" cy="175260"/>
                      <wp:effectExtent l="0" t="0" r="0" b="0"/>
                      <wp:wrapNone/>
                      <wp:docPr id="266" name="Frame26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7005" cy="175260"/>
                      <wp:effectExtent l="0" t="0" r="0" b="0"/>
                      <wp:wrapNone/>
                      <wp:docPr id="268" name="Frame26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19405" cy="175260"/>
                      <wp:effectExtent l="0" t="0" r="0" b="0"/>
                      <wp:wrapNone/>
                      <wp:docPr id="269" name="Frame269"/>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4935" cy="175260"/>
                      <wp:effectExtent l="0" t="0" r="0" b="0"/>
                      <wp:wrapNone/>
                      <wp:docPr id="271" name="Frame2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76860" cy="175260"/>
                      <wp:effectExtent l="0" t="0" r="0" b="0"/>
                      <wp:wrapNone/>
                      <wp:docPr id="272" name="Frame27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73355" cy="175260"/>
                      <wp:effectExtent l="0" t="0" r="0" b="0"/>
                      <wp:wrapNone/>
                      <wp:docPr id="274" name="Frame27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32105" cy="175260"/>
                      <wp:effectExtent l="0" t="0" r="0" b="0"/>
                      <wp:wrapNone/>
                      <wp:docPr id="275" name="Frame27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0020" cy="175260"/>
                      <wp:effectExtent l="0" t="0" r="0" b="0"/>
                      <wp:wrapNone/>
                      <wp:docPr id="277" name="Frame27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07340" cy="175260"/>
                      <wp:effectExtent l="0" t="0" r="0" b="0"/>
                      <wp:wrapNone/>
                      <wp:docPr id="278" name="Frame27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4935" cy="175260"/>
                      <wp:effectExtent l="0" t="0" r="0" b="0"/>
                      <wp:wrapNone/>
                      <wp:docPr id="280" name="Frame2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7635" cy="175260"/>
                      <wp:effectExtent l="0" t="0" r="0" b="0"/>
                      <wp:wrapNone/>
                      <wp:docPr id="283" name="Frame28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4475" cy="175260"/>
                      <wp:effectExtent l="0" t="0" r="0" b="0"/>
                      <wp:wrapNone/>
                      <wp:docPr id="284" name="Frame28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4460" cy="175260"/>
                      <wp:effectExtent l="0" t="0" r="0" b="0"/>
                      <wp:wrapNone/>
                      <wp:docPr id="286" name="Frame2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8125" cy="175260"/>
                      <wp:effectExtent l="0" t="0" r="0" b="0"/>
                      <wp:wrapNone/>
                      <wp:docPr id="287" name="Frame28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7320" cy="175260"/>
                      <wp:effectExtent l="0" t="0" r="0" b="0"/>
                      <wp:wrapNone/>
                      <wp:docPr id="289" name="Frame28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1940" cy="175260"/>
                      <wp:effectExtent l="0" t="0" r="0" b="0"/>
                      <wp:wrapNone/>
                      <wp:docPr id="290" name="Frame290"/>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3830" cy="175260"/>
                      <wp:effectExtent l="0" t="0" r="0" b="0"/>
                      <wp:wrapNone/>
                      <wp:docPr id="292" name="Frame29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36880" cy="175260"/>
                      <wp:effectExtent l="0" t="0" r="0" b="0"/>
                      <wp:wrapNone/>
                      <wp:docPr id="293" name="Frame29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September 30, 2024</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1,834</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1,914</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1,988</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407</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492" w:name="Tc_PHI_mqkRJ02WE58j_sS-1Q_27_26"/>
      <w:bookmarkStart w:id="1493" w:name="Tc_CGGLkneHbEOTeiEmaKXrxA_27_24"/>
      <w:bookmarkStart w:id="1494" w:name="Tc_t8PgKuivnE6qXHFSU7PBGw_27_23"/>
      <w:bookmarkStart w:id="1495" w:name="Tc_Yyxt_-QsdU24A165J7-Ahg_27_20"/>
      <w:bookmarkStart w:id="1496" w:name="Tc_Oep-ls6C0kySDYeODqvVEw_27_17"/>
      <w:bookmarkStart w:id="1497" w:name="Tc_SVCPUj7byUeKNT7eI-cJYQ_27_14"/>
      <w:bookmarkStart w:id="1498" w:name="Tc_zk11mktik0mHwY5VZOUUPA_27_11"/>
      <w:bookmarkStart w:id="1499" w:name="Tc_JsGRp_-qKUGXPwkaYejTtg_27_8"/>
      <w:bookmarkStart w:id="1500" w:name="Tc_1RuknvzIeki8EeSO-GXUWQ_27_5"/>
      <w:bookmarkStart w:id="1501" w:name="Tc_japGU2IQqU-M2Kc1BDrdnw_27_3"/>
      <w:bookmarkStart w:id="1502" w:name="Tc_m1dypmjWDUaFaEf9QEvvzg_27_2"/>
      <w:bookmarkStart w:id="1503" w:name="Tc_EQEeS7sVdkyzet6XwNiNsw_27_0"/>
      <w:bookmarkStart w:id="1504" w:name="Tc_e8x4Un3gXE6WNWC7cYmxKQ_26_26"/>
      <w:bookmarkStart w:id="1505" w:name="Tc_xWad-ZUtEkaG4wlzOirwTg_26_24"/>
      <w:bookmarkStart w:id="1506" w:name="Tc_PKWpkGruLkeix6daw8Mp6Q_26_23"/>
      <w:bookmarkStart w:id="1507" w:name="Tc_bgJOLpbHGEKQYTwFZicsrg_26_21"/>
      <w:bookmarkStart w:id="1508" w:name="Tc_En-cYFsgyEGTpWilW3jcxg_26_20"/>
      <w:bookmarkStart w:id="1509" w:name="Tc_I-_2eOLpd0WMnkM1cIX3YQ_26_17"/>
      <w:bookmarkStart w:id="1510" w:name="Tc__LLqkMHXY0uw3FH-94vlbA_26_14"/>
      <w:bookmarkStart w:id="1511" w:name="Tc_L5rdKi1i-EKKk6ulbw44Fg_26_11"/>
      <w:bookmarkStart w:id="1512" w:name="Tc_n_nhJD_dPEW0kgbcujzUOg_26_8"/>
      <w:bookmarkStart w:id="1513" w:name="Tc_FdDyDzyzs0S7JAltPD5s_A_26_5"/>
      <w:bookmarkStart w:id="1514" w:name="Tc_KhSFugMH_kWux7VC5hSm9g_26_3"/>
      <w:bookmarkStart w:id="1515" w:name="Tc_jvTTUH-bs0-QLI8rE4Bqbw_26_2"/>
      <w:bookmarkStart w:id="1516" w:name="Tc_NtcjNeslqku-lC5zl5I3_g_26_0"/>
      <w:bookmarkStart w:id="1517" w:name="Tc_2gP_IdFRSk25iC5Jk1-pPA_25_0"/>
      <w:bookmarkStart w:id="1518" w:name="Tc_vmG_2xsbqkiwtnmH3DIfvQ_24_26"/>
      <w:bookmarkStart w:id="1519" w:name="Tc_Ey8rKMg-QkSzrSPkrvB8Tg_24_23"/>
      <w:bookmarkStart w:id="1520" w:name="Tc_QW2cwdtNFUOOdqnCNFHx_Q_24_20"/>
      <w:bookmarkStart w:id="1521" w:name="Tc_eM4wXRPGOEmhxyHCjDYe5A_24_17"/>
      <w:bookmarkStart w:id="1522" w:name="Tc_X5AcqySK3k2eWbqMGO_4dA_24_15"/>
      <w:bookmarkStart w:id="1523" w:name="Tc_Om3WLBKfQUaSiELU-gBAkw_24_14"/>
      <w:bookmarkStart w:id="1524" w:name="Tc_6pzWX9c2aEqutJAebE2wzw_24_11"/>
      <w:bookmarkStart w:id="1525" w:name="Tc_jJAsp2hRn0avYELPxptPyw_24_8"/>
      <w:bookmarkStart w:id="1526" w:name="Tc_yf58rDOxqEe5HpQdQEETsg_24_5"/>
      <w:bookmarkStart w:id="1527" w:name="Tc_Ddd207stJ0KifuDFNkXWmg_24_2"/>
      <w:bookmarkStart w:id="1528" w:name="Tc_8cIsMi6mrkO29W3k8VsWqg_24_0"/>
      <w:bookmarkStart w:id="1529" w:name="Tc_Iiw0IHunE0Gvuw63Sm0XqQ_23_24"/>
      <w:bookmarkStart w:id="1530" w:name="Tc_DVXAFtGWCU2Emq9I-J3N9A_23_21"/>
      <w:bookmarkStart w:id="1531" w:name="Tc_BUjXbR4w8Eq9m0qKyQDH5A_23_18"/>
      <w:bookmarkStart w:id="1532" w:name="Tc_PB9LCPYU-E-mllLoTuBKLg_23_15"/>
      <w:bookmarkStart w:id="1533" w:name="Tc_K8-uVEqTR0-ES32ZvRGt_g_23_9"/>
      <w:bookmarkStart w:id="1534" w:name="Tc_Li6UySqJvkSL3y6uv1oP3Q_23_6"/>
      <w:bookmarkStart w:id="1535" w:name="Tc_8b79NbvL_kWefc-IG3uEAg_23_0"/>
      <w:bookmarkStart w:id="1536" w:name="Tc_IQTfII0i2EWMFLHGRnHF0w_22_15"/>
      <w:bookmarkStart w:id="1537" w:name="Tc_UvZLBVZmRU64k7WRmMXjxA_22_0"/>
      <w:bookmarkStart w:id="1538" w:name="Tc_WDlDxAoxXEqoyB6R2rMhOw_21_21"/>
      <w:bookmarkStart w:id="1539" w:name="Tc_yDJdkOLhe0CySSLnKleRNw_21_18"/>
      <w:bookmarkStart w:id="1540" w:name="Tc_KyZClN3e1kKxmsFwrLf5YQ_21_15"/>
      <w:bookmarkStart w:id="1541" w:name="Tc_pHs-dBrKP0mi3dw4VSgSFA_21_3"/>
      <w:bookmarkStart w:id="1542" w:name="Tc_G39aHxuBT0aVftbBRCGPHg_21_0"/>
      <w:bookmarkStart w:id="1543" w:name="Tc_L0SKytMTDkWxHlKyqJDTKg_20_15"/>
      <w:bookmarkStart w:id="1544" w:name="Tc_8xi_VnN98E6dPGQn4zJvUw_20_0"/>
      <w:bookmarkStart w:id="1545" w:name="Tc_oR_KmJ5VxEmHSUzwlasbIw_18_21"/>
      <w:bookmarkStart w:id="1546" w:name="Tc_4JwPoKSHOkCYOdLN6V6YQg_18_15"/>
      <w:bookmarkStart w:id="1547" w:name="Tc_6MfvymRPqE20cuXcOjLgTA_18_0"/>
      <w:bookmarkStart w:id="1548" w:name="Tc_qHdUojXNV0SxOt886K4kwA_17_24"/>
      <w:bookmarkStart w:id="1549" w:name="Tc_ZtFgevdUz0qq0wM_whlF2A_17_21"/>
      <w:bookmarkStart w:id="1550" w:name="Tc_s5EzR7HPJ0itd5qUzCMVIQ_17_18"/>
      <w:bookmarkStart w:id="1551" w:name="Tc_Y6gtfaTDI061cAQF88WkIw_17_15"/>
      <w:bookmarkStart w:id="1552" w:name="Tc_WCy25_MGVUiPDgWIz8kKCw_17_9"/>
      <w:bookmarkStart w:id="1553" w:name="Tc_zGbpEN4jA065kVW7zavzHQ_17_6"/>
      <w:bookmarkStart w:id="1554" w:name="Tc_In6di2gKMkeuZU-2GAbRtQ_17_3"/>
      <w:bookmarkStart w:id="1555" w:name="Tc_2T171kVUI0it7szUZV9ByA_17_0"/>
      <w:bookmarkStart w:id="1556" w:name="Tc_JySlE7nCAEatPqFvh3s1ow_16_0"/>
      <w:bookmarkStart w:id="1557" w:name="Tc_qJkWhAI8UUm8R2NpFwVWag_15_24"/>
      <w:bookmarkStart w:id="1558" w:name="Tc_FHNm3ektykSZB8fr9KWsgA_15_21"/>
      <w:bookmarkStart w:id="1559" w:name="Tc_Bej8s69VqkqceRLgJpueVA_15_18"/>
      <w:bookmarkStart w:id="1560" w:name="Tc_e9StmFRr1kK0u4aYxXd6BA_15_15"/>
      <w:bookmarkStart w:id="1561" w:name="Tc_yA4v5v1E5UyT_zdHTSO1Ug_15_12"/>
      <w:bookmarkStart w:id="1562" w:name="Tc_r1j1DYc6rky-pPWbAGPYiA_15_9"/>
      <w:bookmarkStart w:id="1563" w:name="Tc_1iwsW9NGKkW6EeDAMUrjjA_15_6"/>
      <w:bookmarkStart w:id="1564" w:name="Tc_LR7qvcsjjU-a6r62-JXoxQ_15_0"/>
      <w:bookmarkStart w:id="1565" w:name="Tc_wqhm8VYiWkWoxYG9JlfTQg_14_24"/>
      <w:bookmarkStart w:id="1566" w:name="Tc_Q2fEonKhIkKt0bDmeftaPA_14_21"/>
      <w:bookmarkStart w:id="1567" w:name="Tc_DqY7zTwel0iWhBIbfzQSbA_14_18"/>
      <w:bookmarkStart w:id="1568" w:name="Tc_7czMAoVRnEuPJP7-QY5cTA_14_12"/>
      <w:bookmarkStart w:id="1569" w:name="Tc__YRRzhSNiUmKrRZ8ObwWJQ_14_6"/>
      <w:bookmarkStart w:id="1570" w:name="Tc_h9Sy-da6ZkCp3-YchoYW6g_14_3"/>
      <w:bookmarkStart w:id="1571" w:name="Tc_CzUUzC-kU02MlbrinoicWA_14_0"/>
      <w:bookmarkStart w:id="1572" w:name="Tc_Zx1XPF0iwEGpYCacYDSztQ_13_24"/>
      <w:bookmarkStart w:id="1573" w:name="Tc_NtCsg9KkrU2_PnZ-Ndut3g_13_3"/>
      <w:bookmarkStart w:id="1574" w:name="Tc_OgCQKS6PtEyBpVD0eTLdcQ_13_0"/>
      <w:bookmarkStart w:id="1575" w:name="Tc_56kF6TK9AUGrUzOLCvf25g_12_0"/>
      <w:bookmarkStart w:id="1576" w:name="Tc_C6b2YGeHyk6cpiD98PqzgA_10_15"/>
      <w:bookmarkStart w:id="1577" w:name="Tc_fatVjYSY20aJrYbrq5qfVg_10_9"/>
      <w:bookmarkStart w:id="1578" w:name="Tc_uaIwWODWbEuXWN33v0DzpQ_10_3"/>
      <w:bookmarkStart w:id="1579" w:name="Tc_GoKBroBPnEGVaD8dNPB5sg_10_0"/>
      <w:bookmarkStart w:id="1580" w:name="Tc_QbjtIm-6gEaoV94eTWUR2Q_9_24"/>
      <w:bookmarkStart w:id="1581" w:name="Tc_sT75le6W0kGinxLjToRyFA_9_21"/>
      <w:bookmarkStart w:id="1582" w:name="Tc_uOK9mFFzGU6kf4AJ5ZJvdQ_9_18"/>
      <w:bookmarkStart w:id="1583" w:name="Tc_ZyvAkqCKlU2xUHQPH1k-Ag_9_15"/>
      <w:bookmarkStart w:id="1584" w:name="Tc_OEXHl7TLBESsKda1O1HRag_9_12"/>
      <w:bookmarkStart w:id="1585" w:name="Tc_ji_QR4DQdEiZGSrCemzhrw_9_3"/>
      <w:bookmarkStart w:id="1586" w:name="Tc_qIIqou0aIkGudXvwEj5NEQ_9_0"/>
      <w:bookmarkStart w:id="1587" w:name="Tc_y0eq55yJ10meGwk91t0woA_8_18"/>
      <w:bookmarkStart w:id="1588" w:name="Tc_NsAaTJvA9EemC108yeXYQQ_8_12"/>
      <w:bookmarkStart w:id="1589" w:name="Tc_tK5yfYQ8iEm3bVNJrrcnLQ_8_0"/>
      <w:bookmarkStart w:id="1590" w:name="Tc_aijeU5YCqUiTqxBpHl4zZw_7_24"/>
      <w:bookmarkStart w:id="1591" w:name="Tc_qphqaiW4ME-NczEQqWDH5g_7_21"/>
      <w:bookmarkStart w:id="1592" w:name="Tc_CXI-E2Nm7kizAKWEIVmRlw_7_18"/>
      <w:bookmarkStart w:id="1593" w:name="Tc_TJavhG15bEmlnT8UEWTyBQ_7_15"/>
      <w:bookmarkStart w:id="1594" w:name="Tc_A7-cPUo1zUOi5_MwhKbq4g_7_12"/>
      <w:bookmarkStart w:id="1595" w:name="Tc_pL-UjsTafEeSYIfuSSzZrw_7_9"/>
      <w:bookmarkStart w:id="1596" w:name="Tc_ZzL7_2Fw_ECZx98iesp6vw_7_6"/>
      <w:bookmarkStart w:id="1597" w:name="Tc_omw63JBFfEeBVRFF0LkV6A_7_0"/>
      <w:bookmarkStart w:id="1598" w:name="Tc_eJEvyHNVEE-Xv1vdA_GSIQ_6_24"/>
      <w:bookmarkStart w:id="1599" w:name="Tc_RfcI1w5zm06NKaKsqoDR9w_6_18"/>
      <w:bookmarkStart w:id="1600" w:name="Tc_j2zBxUh-JUWElgOzNSLPEQ_6_12"/>
      <w:bookmarkStart w:id="1601" w:name="Tc_znUxuhtiyEmzhnEJ5bPEGQ_6_6"/>
      <w:bookmarkStart w:id="1602" w:name="Tc_4tzZndbzmEuAsbGy6hcaUw_6_3"/>
      <w:bookmarkStart w:id="1603" w:name="Tc_694C7yQwJUm4xcdrrtnx9Q_6_0"/>
      <w:bookmarkStart w:id="1604" w:name="Tc_9NVClJy4pUCODOxlsltAzg_5_26"/>
      <w:bookmarkStart w:id="1605" w:name="Tc_ReinY6ympkKW3i68P1t3dA_5_24"/>
      <w:bookmarkStart w:id="1606" w:name="Tc_PQ9q2pyGiU-BdhWCIWKU0g_5_23"/>
      <w:bookmarkStart w:id="1607" w:name="Tc_YYd-fA-waEKsRQJK9sVK_w_5_20"/>
      <w:bookmarkStart w:id="1608" w:name="Tc_mGVf2EgeOkCx9Zwkuh2FjQ_5_17"/>
      <w:bookmarkStart w:id="1609" w:name="Tc_tdoctpFLpUOx4n7X5vzuyQ_5_14"/>
      <w:bookmarkStart w:id="1610" w:name="Tc_c0vqaw_HeUSSidErTFNd4w_5_11"/>
      <w:bookmarkStart w:id="1611" w:name="Tc_EgIPWasVj02bhWsJC0WnIg_5_8"/>
      <w:bookmarkStart w:id="1612" w:name="Tc_cSuvhCMRBkOmzsCL_9bnzA_5_5"/>
      <w:bookmarkStart w:id="1613" w:name="Tc_c9-UDnQozUSdq5AjCgv8fQ_5_3"/>
      <w:bookmarkStart w:id="1614" w:name="Tc_QttR-Fyve0q0Fe1M8m1Pmw_5_2"/>
      <w:bookmarkStart w:id="1615" w:name="Tc_1j--dWG6-UGaAx-Z2K68pw_5_0"/>
      <w:bookmarkStart w:id="1616" w:name="Tc_uXc3EPM5u0Gk-SyQ-iTk_w_4_0"/>
      <w:bookmarkStart w:id="1617" w:name="Tc_qPrmYxS7jUCAs2UwWy6grA_3_2"/>
      <w:bookmarkStart w:id="1618" w:name="Tc_kNanPyKFikm8yWCHW3KUiQ_2_26"/>
      <w:bookmarkStart w:id="1619" w:name="Tc_Xdaj1rJR10qGNSex7Wxr2w_2_23"/>
      <w:bookmarkStart w:id="1620" w:name="Tc_I5dZWemU-kSATq9-FTx1pg_2_20"/>
      <w:bookmarkStart w:id="1621" w:name="Tc_7sJtVNBea02S-DScosOdHg_2_17"/>
      <w:bookmarkStart w:id="1622" w:name="Tc_l0CQpqb4zk2mSeADfh-7UA_2_14"/>
      <w:bookmarkStart w:id="1623" w:name="Tc_54EhwgbRjkCqdaAmbabJlQ_2_11"/>
      <w:bookmarkStart w:id="1624" w:name="Tc__0uKiFniKUGtxa7vwV9OLQ_2_8"/>
      <w:bookmarkStart w:id="1625" w:name="Tc_d9TvN_e11EijSMLPS4p0_Q_2_5"/>
      <w:bookmarkStart w:id="1626" w:name="Tc_cHgM3RGlc0uU_LuroEZnVA_2_2"/>
      <w:bookmarkStart w:id="1627" w:name="Tc_QvnCTEwBPUOQIw21JgSerQ_1_2"/>
      <w:bookmarkStart w:id="1628" w:name="_d492ef7d_e2df_4616_880b_7f5cd56bb5fc"/>
      <w:bookmarkStart w:id="1629" w:name="Tc_uatdaGWSM0aq4eBfPze8ug_28_26"/>
      <w:bookmarkStart w:id="1630" w:name="Tc_B0A0CGehcUGoPEfK1fTTnA_28_24"/>
      <w:bookmarkStart w:id="1631" w:name="Tc_FduLcu7fOkSJFt0EtumQJg_28_23"/>
      <w:bookmarkStart w:id="1632" w:name="Tc_0kces-ICRUy2v4QmTdkK4w_28_20"/>
      <w:bookmarkStart w:id="1633" w:name="Tc_iqqnZlOp20iI9rd6zvPrFA_28_17"/>
      <w:bookmarkStart w:id="1634" w:name="Tc_p8KXJJRZKU6x7PEx4Xa5EA_28_14"/>
      <w:bookmarkStart w:id="1635" w:name="Tc_ER7CYg4FCUq57hbYuXU9dA_28_11"/>
      <w:bookmarkStart w:id="1636" w:name="Tc_ss7U84paW0-y-CbLDxqZhA_28_8"/>
      <w:bookmarkStart w:id="1637" w:name="Tc_MkfgvPwPg0q2h0wsLZPrvw_28_5"/>
      <w:bookmarkStart w:id="1638" w:name="Tc_cVCa5Y-Vf0eD4_ULarskjQ_28_3"/>
      <w:bookmarkStart w:id="1639" w:name="Tc_Gp5jVrlDIkWLfAn-7PgW_Q_28_2"/>
      <w:bookmarkStart w:id="1640" w:name="Tc_6qzXQPqWgkW1nEFtaEdGZg_28_0"/>
      <w:bookmarkStart w:id="1641" w:name="Tc_fOA1Tx8qIEyXuIlAwUFNUg_27_26"/>
      <w:bookmarkStart w:id="1642" w:name="Tc_rR6sxsTk6k2cHs8sfRmymQ_27_24"/>
      <w:bookmarkStart w:id="1643" w:name="Tc_pxLBL3nlnE6hMsJlocyWbg_27_23"/>
      <w:bookmarkStart w:id="1644" w:name="Tc_Pptw_hdQq06EFQLT_uaBxw_27_21"/>
      <w:bookmarkStart w:id="1645" w:name="Tc_OAJxQWBnH0G2CAn_UF8KcQ_27_20"/>
      <w:bookmarkStart w:id="1646" w:name="Tc_RL_a6rF_ykqXV7AhA2gDug_27_17"/>
      <w:bookmarkStart w:id="1647" w:name="Tc_9VFLcFvo4EqS7T9rpOqYdQ_27_14"/>
      <w:bookmarkStart w:id="1648" w:name="Tc_LM3NhTzvnki7Rqgoo3rQlA_27_11"/>
      <w:bookmarkStart w:id="1649" w:name="Tc_NbgWo6pZGUyxk9RFvquqHg_27_8"/>
      <w:bookmarkStart w:id="1650" w:name="Tc_mlCuunv17UySCZ3Hzz8NYA_27_5"/>
      <w:bookmarkStart w:id="1651" w:name="Tc_Nc8OUtjgoUKLMFLIs3ZYrQ_27_3"/>
      <w:bookmarkStart w:id="1652" w:name="Tc_1kQ1oBHX40ON5dvvuHtqMQ_27_2"/>
      <w:bookmarkStart w:id="1653" w:name="Tc_6wyTYt_hrUGlJNdm9AMVkQ_27_0"/>
      <w:bookmarkStart w:id="1654" w:name="Tc_K9iV5I24sU2ENkQ3IHrwNA_26_0"/>
      <w:bookmarkStart w:id="1655" w:name="Tc_wTrP1kWgH0OUxn3-OqfvBw_25_26"/>
      <w:bookmarkStart w:id="1656" w:name="Tc_fKCro4ArYE-CnPMJp_BDlA_25_23"/>
      <w:bookmarkStart w:id="1657" w:name="Tc_-YJoiOKQR0iFq3DbVauL7A_25_20"/>
      <w:bookmarkStart w:id="1658" w:name="Tc_KX_ltAonFE29RksJcwX95A_25_17"/>
      <w:bookmarkStart w:id="1659" w:name="Tc_ZIwIh87mqEyHGtBJa_VfmQ_25_14"/>
      <w:bookmarkStart w:id="1660" w:name="Tc_DektcB_Umkua_slw29LzkA_25_11"/>
      <w:bookmarkStart w:id="1661" w:name="Tc_Idps0_XjTEys5mWcZHk_NQ_25_8"/>
      <w:bookmarkStart w:id="1662" w:name="Tc_oLOCXACuvUCN5OmccoUo-g_25_5"/>
      <w:bookmarkStart w:id="1663" w:name="Tc_JaUrJoyrwEmrIpiJIA0icA_25_2"/>
      <w:bookmarkStart w:id="1664" w:name="Tc_jKaxkBtjzUGwwCHrUL8IVA_25_0"/>
      <w:bookmarkStart w:id="1665" w:name="Tc_k1g9tbwJyUaqll0dtQi15A_24_24"/>
      <w:bookmarkStart w:id="1666" w:name="Tc_ojvMRQ36fkOC5C4ofHaBiQ_24_21"/>
      <w:bookmarkStart w:id="1667" w:name="Tc_ckv6DMgFM0q-IEnkgR3IGQ_24_18"/>
      <w:bookmarkStart w:id="1668" w:name="Tc_1AIngYanMkeeZfiM0_1hCg_24_15"/>
      <w:bookmarkStart w:id="1669" w:name="Tc_-Mxvy50DJEWt68yHoAmXVA_24_9"/>
      <w:bookmarkStart w:id="1670" w:name="Tc_F7l5OGgEUkKTOBSZqyodww_24_0"/>
      <w:bookmarkStart w:id="1671" w:name="Tc_O-E_dmH6S0qmNVL-Tu_ahw_23_0"/>
      <w:bookmarkStart w:id="1672" w:name="Tc_EXNFJRd_n0G57LXgMWpNsA_22_21"/>
      <w:bookmarkStart w:id="1673" w:name="Tc_VMvqLIq3zUGN3BpWpQNYVQ_22_18"/>
      <w:bookmarkStart w:id="1674" w:name="Tc_XcBM1G5z1E6gT0SSEZR6EA_22_15"/>
      <w:bookmarkStart w:id="1675" w:name="Tc_qRE1qpDVtki8DrTz-JCQVg_22_3"/>
      <w:bookmarkStart w:id="1676" w:name="Tc_D1iDQG4lw0ql7qdRhvszDw_22_0"/>
      <w:bookmarkStart w:id="1677" w:name="Tc_N_60v2QcKUCQNLeSVJMW0Q_21_0"/>
      <w:bookmarkStart w:id="1678" w:name="Tc_h2hm7f1xa0OMV0rXDYUe8Q_19_21"/>
      <w:bookmarkStart w:id="1679" w:name="Tc_jhh8b01oT0arn8SCTb8l-A_19_15"/>
      <w:bookmarkStart w:id="1680" w:name="Tc_rbbcbukjREeA1fGvJAGqAQ_19_0"/>
      <w:bookmarkStart w:id="1681" w:name="Tc_G3Wqq-wlJE-LWYLVAzmRqQ_18_24"/>
      <w:bookmarkStart w:id="1682" w:name="Tc_pi14uiRhUkGZxwQqwtmBVg_18_21"/>
      <w:bookmarkStart w:id="1683" w:name="Tc_uVTNTQf2F0izLj6Z0jqrXw_18_18"/>
      <w:bookmarkStart w:id="1684" w:name="Tc_1YxlAH1mbkeaJWkniRNCeQ_18_15"/>
      <w:bookmarkStart w:id="1685" w:name="Tc_NE2HG-YppkKY7-_bqRnFFA_18_9"/>
      <w:bookmarkStart w:id="1686" w:name="Tc_VRMQFWU39kS7HkKYY6G1Tg_18_6"/>
      <w:bookmarkStart w:id="1687" w:name="Tc_MgDYnuF10UOju2XIdAurHA_18_3"/>
      <w:bookmarkStart w:id="1688" w:name="Tc_odEmGP5fHU6AllGxE3YfHg_18_0"/>
      <w:bookmarkStart w:id="1689" w:name="Tc_K6wBCoOKXEib8yukOHTGbA_17_24"/>
      <w:bookmarkStart w:id="1690" w:name="Tc_hTgRTdwFSkSI9rFZhWcIWw_17_21"/>
      <w:bookmarkStart w:id="1691" w:name="Tc_qzGnSaWmnEqe96IUnflWbw_17_18"/>
      <w:bookmarkStart w:id="1692" w:name="Tc_0MUWI0cEQUC1mnNePHvc_g_17_15"/>
      <w:bookmarkStart w:id="1693" w:name="Tc_1EL01tOV5k-IDtVb0kUvsw_17_9"/>
      <w:bookmarkStart w:id="1694" w:name="Tc_5r4mNrgw3kqe_3HMj9ZWwA_17_6"/>
      <w:bookmarkStart w:id="1695" w:name="Tc_nJMtrG_BNECmhIEo9syNzA_17_3"/>
      <w:bookmarkStart w:id="1696" w:name="Tc_oiYZ9kLZWkysDDNWtn8ZDA_17_0"/>
      <w:bookmarkStart w:id="1697" w:name="Tc_3JSpeS1XjES5T3vR5FrYoA_16_0"/>
      <w:bookmarkStart w:id="1698" w:name="Tc_ktVt5upiL06arh1L-laiqQ_15_24"/>
      <w:bookmarkStart w:id="1699" w:name="Tc_rPq7pDRZKUubOQUGxLOTzA_15_21"/>
      <w:bookmarkStart w:id="1700" w:name="Tc_BJ0euLJwekGV1_8DBl2-2Q_15_18"/>
      <w:bookmarkStart w:id="1701" w:name="Tc_1zXINciqMUy-IN2vq6Hf3g_15_15"/>
      <w:bookmarkStart w:id="1702" w:name="Tc_vJ3RbRxCmkmATBiaq4hO-Q_15_12"/>
      <w:bookmarkStart w:id="1703" w:name="Tc_LavmFQ9kl0qtRGcz5BpeKA_15_9"/>
      <w:bookmarkStart w:id="1704" w:name="Tc_kfg22dPrSUW_Ac3PXLySEA_15_6"/>
      <w:bookmarkStart w:id="1705" w:name="Tc_vUwIjgPfL0S2IStD_CkChA_15_0"/>
      <w:bookmarkStart w:id="1706" w:name="Tc_5TuepWK5z0-OjNLymMI8Zg_14_24"/>
      <w:bookmarkStart w:id="1707" w:name="Tc_tqjkERqQW0CP6r98Pkl4Bw_14_21"/>
      <w:bookmarkStart w:id="1708" w:name="Tc_0tgaFY1LtkmcLnz8uHMy1Q_14_18"/>
      <w:bookmarkStart w:id="1709" w:name="Tc_2dsU01kerEykRv-dlYd93Q_14_12"/>
      <w:bookmarkStart w:id="1710" w:name="Tc_2DUMPbYvvkC-JmEmH31iCg_14_6"/>
      <w:bookmarkStart w:id="1711" w:name="Tc_Ik9GQ8V2SUekfwLlLCA9kw_14_3"/>
      <w:bookmarkStart w:id="1712" w:name="Tc_P53D20P6fUqMXahQ_4nLlA_14_0"/>
      <w:bookmarkStart w:id="1713" w:name="Tc__IXZ7mP_6UKyt3L2KMB0gA_13_24"/>
      <w:bookmarkStart w:id="1714" w:name="Tc_XuUBBpvzK0y8rR3480F3Bw_13_3"/>
      <w:bookmarkStart w:id="1715" w:name="Tc_s8IpPnh7RUG6fYxUU5CDnw_13_0"/>
      <w:bookmarkStart w:id="1716" w:name="Tc_OBwLWxwX9kWL8eOfXNOxfQ_12_0"/>
      <w:bookmarkStart w:id="1717" w:name="Tc_akSaFUQMxkq0BWx8amjigw_10_9"/>
      <w:bookmarkStart w:id="1718" w:name="Tc_jrs_wwFwJkCZ15FP9yJhMw_10_0"/>
      <w:bookmarkStart w:id="1719" w:name="Tc_ay_NqHSSAUWOsAHB3ZQo_g_9_24"/>
      <w:bookmarkStart w:id="1720" w:name="Tc_nvM_yzBbFEWumWPbrySJ6w_9_21"/>
      <w:bookmarkStart w:id="1721" w:name="Tc_mxix0gkzzUyCi2OcIXb4UQ_9_18"/>
      <w:bookmarkStart w:id="1722" w:name="Tc_S-wulslMqkyf_84xQ-facA_9_12"/>
      <w:bookmarkStart w:id="1723" w:name="Tc_5qoXILy7X0yk37-dfSIi5w_9_3"/>
      <w:bookmarkStart w:id="1724" w:name="Tc_k-lCfWeIEUGTlMj7fJeC8Q_9_0"/>
      <w:bookmarkStart w:id="1725" w:name="Tc_yTUXUi2q7kKuQEsO-yjPYw_8_18"/>
      <w:bookmarkStart w:id="1726" w:name="Tc_ZMj1jY3uQ0-EhOcChgynyQ_8_12"/>
      <w:bookmarkStart w:id="1727" w:name="Tc_XuQNujYgI0-aS_l8QAO5hA_8_0"/>
      <w:bookmarkStart w:id="1728" w:name="Tc_j4ddqujLqEGvHf_OHHDHKg_7_24"/>
      <w:bookmarkStart w:id="1729" w:name="Tc_nn1-Xu6BpEu6uWbbsyw8MQ_7_21"/>
      <w:bookmarkStart w:id="1730" w:name="Tc_D0bR1L6fm0eHXbnHbEZ5IA_7_18"/>
      <w:bookmarkStart w:id="1731" w:name="Tc_zztduZDERE28PrVvXxvXsg_7_15"/>
      <w:bookmarkStart w:id="1732" w:name="Tc_JZA0GL-u90CXC6Xb1npogg_7_12"/>
      <w:bookmarkStart w:id="1733" w:name="Tc_Z24BMvLJlEi40zVLgDdbXw_7_9"/>
      <w:bookmarkStart w:id="1734" w:name="Tc_0WdzUFJoS0G-SlYmrHpbmA_7_6"/>
      <w:bookmarkStart w:id="1735" w:name="Tc_ZWtjOUMvB0msqH8JCGh4BQ_7_0"/>
      <w:bookmarkStart w:id="1736" w:name="Tc_Jm0iMbAwfEeQhHKjftyMeQ_6_24"/>
      <w:bookmarkStart w:id="1737" w:name="Tc_PEZxe0qz7ku4sOE6SNdhhw_6_18"/>
      <w:bookmarkStart w:id="1738" w:name="Tc_09IkUCR7IEW7_KJ9IoaEsw_6_12"/>
      <w:bookmarkStart w:id="1739" w:name="Tc_So6SrDqTaEGyoEvvpTkZwg_6_6"/>
      <w:bookmarkStart w:id="1740" w:name="Tc_iZX2jonKR0OAqMkImppviA_6_3"/>
      <w:bookmarkStart w:id="1741" w:name="Tc_-IqxI-puY0m1h9rgnPAPMw_6_0"/>
      <w:bookmarkStart w:id="1742" w:name="Tc_g9MZRng5s0e8_DuJ-1HoeQ_5_26"/>
      <w:bookmarkStart w:id="1743" w:name="Tc_NcTo-UKHa02IsUbDvlEQ2g_5_24"/>
      <w:bookmarkStart w:id="1744" w:name="Tc_YWnWRAjiHkGbruPUiY_ktQ_5_23"/>
      <w:bookmarkStart w:id="1745" w:name="Tc_hzkn-H3Be0CYqId0QJLvJA_5_20"/>
      <w:bookmarkStart w:id="1746" w:name="Tc_7xsupQm0xkSc9X8VjJcGXQ_5_17"/>
      <w:bookmarkStart w:id="1747" w:name="Tc_daiE6QpKokSOjM4dc9muwg_5_14"/>
      <w:bookmarkStart w:id="1748" w:name="Tc_Ykn59913x0uOIAcH-oJUvg_5_11"/>
      <w:bookmarkStart w:id="1749" w:name="Tc_jiXVZsgJ_Eaj9qVesa1rvw_5_8"/>
      <w:bookmarkStart w:id="1750" w:name="Tc_i50mbX9enkW8x-QQjgFNXA_5_5"/>
      <w:bookmarkStart w:id="1751" w:name="Tc_RLs4iamGeEqWhylzsaKsCA_5_3"/>
      <w:bookmarkStart w:id="1752" w:name="Tc_TxURJsfao0WRMMU2DAcQZQ_5_2"/>
      <w:bookmarkStart w:id="1753" w:name="Tc_07RIsNeAhU2Q5jl1ORvDTQ_5_0"/>
      <w:bookmarkStart w:id="1754" w:name="Tc_PQwQEt5ySUuEmtcm09IbCQ_4_0"/>
      <w:bookmarkStart w:id="1755" w:name="Tc_vB-rC8LP0UWrzStkLKN_yQ_3_2"/>
      <w:bookmarkStart w:id="1756" w:name="Tc_ck-YpOhk5UajCxxLgRFExw_2_26"/>
      <w:bookmarkStart w:id="1757" w:name="Tc_ZxM4J2oBqEO4lcdDZF-jlA_2_23"/>
      <w:bookmarkStart w:id="1758" w:name="Tc_3jnDQlXEwkiIzDg9zC0HjA_2_20"/>
      <w:bookmarkStart w:id="1759" w:name="Tc_HaoPwgmtekyDCUr3jzcsLg_2_17"/>
      <w:bookmarkStart w:id="1760" w:name="Tc_mW5EtWEtF0agXxQSGSvVAw_2_14"/>
      <w:bookmarkStart w:id="1761" w:name="Tc_xFGUfhoO5kC05SV5G_5YIw_2_11"/>
      <w:bookmarkStart w:id="1762" w:name="Tc_m-DzK_dFwUiTNN5cB6k8gA_2_8"/>
      <w:bookmarkStart w:id="1763" w:name="Tc_2d_nTBKV-UKHFmVaScABaQ_2_5"/>
      <w:bookmarkStart w:id="1764" w:name="Tc_lKf8G-4LO0W3S4BRQqS9IA_2_2"/>
      <w:bookmarkStart w:id="1765" w:name="Tc_LdMXZyBuTU2Pb5UyqEvnNQ_1_2"/>
      <w:bookmarkStart w:id="1766" w:name="_aa6bee7e_bc30_419c_9f16_63546f1c1bff"/>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r>
        <w:rPr/>
        <w:t>​</w:t>
      </w:r>
    </w:p>
    <w:tbl>
      <w:tblPr>
        <w:tblW w:w="10206" w:type="dxa"/>
        <w:jc w:val="left"/>
        <w:tblInd w:w="0" w:type="dxa"/>
        <w:tblLayout w:type="fixed"/>
        <w:tblCellMar>
          <w:top w:w="0" w:type="dxa"/>
          <w:left w:w="0" w:type="dxa"/>
          <w:bottom w:w="0" w:type="dxa"/>
          <w:right w:w="0" w:type="dxa"/>
        </w:tblCellMar>
      </w:tblPr>
      <w:tblGrid>
        <w:gridCol w:w="1051"/>
        <w:gridCol w:w="326"/>
        <w:gridCol w:w="248"/>
        <w:gridCol w:w="518"/>
        <w:gridCol w:w="326"/>
        <w:gridCol w:w="181"/>
        <w:gridCol w:w="436"/>
        <w:gridCol w:w="326"/>
        <w:gridCol w:w="233"/>
        <w:gridCol w:w="563"/>
        <w:gridCol w:w="326"/>
        <w:gridCol w:w="252"/>
        <w:gridCol w:w="484"/>
        <w:gridCol w:w="326"/>
        <w:gridCol w:w="181"/>
        <w:gridCol w:w="346"/>
        <w:gridCol w:w="326"/>
        <w:gridCol w:w="201"/>
        <w:gridCol w:w="385"/>
        <w:gridCol w:w="326"/>
        <w:gridCol w:w="196"/>
        <w:gridCol w:w="375"/>
        <w:gridCol w:w="326"/>
        <w:gridCol w:w="219"/>
        <w:gridCol w:w="457"/>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67385" cy="175260"/>
                      <wp:effectExtent l="0" t="0" r="0" b="0"/>
                      <wp:wrapNone/>
                      <wp:docPr id="294" name="Frame2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57480" cy="175260"/>
                      <wp:effectExtent l="0" t="0" r="0" b="0"/>
                      <wp:wrapNone/>
                      <wp:docPr id="296" name="Frame29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8930" cy="175260"/>
                      <wp:effectExtent l="0" t="0" r="0" b="0"/>
                      <wp:wrapNone/>
                      <wp:docPr id="297" name="Frame297"/>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14935" cy="175260"/>
                      <wp:effectExtent l="0" t="0" r="0" b="0"/>
                      <wp:wrapNone/>
                      <wp:docPr id="299" name="Frame2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76860" cy="175260"/>
                      <wp:effectExtent l="0" t="0" r="0" b="0"/>
                      <wp:wrapNone/>
                      <wp:docPr id="300" name="Frame30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7955" cy="175260"/>
                      <wp:effectExtent l="0" t="0" r="0" b="0"/>
                      <wp:wrapNone/>
                      <wp:docPr id="302" name="Frame30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57505" cy="175260"/>
                      <wp:effectExtent l="0" t="0" r="0" b="0"/>
                      <wp:wrapNone/>
                      <wp:docPr id="303" name="Frame30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0020" cy="175260"/>
                      <wp:effectExtent l="0" t="0" r="0" b="0"/>
                      <wp:wrapNone/>
                      <wp:docPr id="305" name="Frame30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07340" cy="175260"/>
                      <wp:effectExtent l="0" t="0" r="0" b="0"/>
                      <wp:wrapNone/>
                      <wp:docPr id="306" name="Frame30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14935" cy="175260"/>
                      <wp:effectExtent l="0" t="0" r="0" b="0"/>
                      <wp:wrapNone/>
                      <wp:docPr id="308" name="Frame3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7635" cy="175260"/>
                      <wp:effectExtent l="0" t="0" r="0" b="0"/>
                      <wp:wrapNone/>
                      <wp:docPr id="311" name="Frame31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4475" cy="175260"/>
                      <wp:effectExtent l="0" t="0" r="0" b="0"/>
                      <wp:wrapNone/>
                      <wp:docPr id="312" name="Frame31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38125" cy="175260"/>
                      <wp:effectExtent l="0" t="0" r="0" b="0"/>
                      <wp:wrapNone/>
                      <wp:docPr id="315" name="Frame31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9065" cy="175260"/>
                      <wp:effectExtent l="0" t="0" r="0" b="0"/>
                      <wp:wrapNone/>
                      <wp:docPr id="317" name="Frame31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90195" cy="175260"/>
                      <wp:effectExtent l="0" t="0" r="0" b="0"/>
                      <wp:wrapNone/>
                      <wp:docPr id="318" name="Frame31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3830" cy="175260"/>
                      <wp:effectExtent l="0" t="0" r="0" b="0"/>
                      <wp:wrapNone/>
                      <wp:docPr id="320" name="Frame32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6880" cy="175260"/>
                      <wp:effectExtent l="0" t="0" r="0" b="0"/>
                      <wp:wrapNone/>
                      <wp:docPr id="321" name="Frame32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Nine Months Ended September 30, 2025</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5,352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5,374</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6,961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4,982</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379</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5,219</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1,186</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274</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7,323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408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35"/>
        <w:gridCol w:w="326"/>
        <w:gridCol w:w="271"/>
        <w:gridCol w:w="495"/>
        <w:gridCol w:w="326"/>
        <w:gridCol w:w="206"/>
        <w:gridCol w:w="436"/>
        <w:gridCol w:w="326"/>
        <w:gridCol w:w="255"/>
        <w:gridCol w:w="541"/>
        <w:gridCol w:w="326"/>
        <w:gridCol w:w="277"/>
        <w:gridCol w:w="468"/>
        <w:gridCol w:w="326"/>
        <w:gridCol w:w="208"/>
        <w:gridCol w:w="350"/>
        <w:gridCol w:w="326"/>
        <w:gridCol w:w="222"/>
        <w:gridCol w:w="375"/>
        <w:gridCol w:w="326"/>
        <w:gridCol w:w="213"/>
        <w:gridCol w:w="358"/>
        <w:gridCol w:w="326"/>
        <w:gridCol w:w="244"/>
        <w:gridCol w:w="447"/>
        <w:gridCol w:w="146"/>
        <w:gridCol w:w="283"/>
        <w:gridCol w:w="667"/>
      </w:tblGrid>
      <w:tr>
        <w:trPr/>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20725" cy="175260"/>
                      <wp:effectExtent l="0" t="0" r="0" b="0"/>
                      <wp:wrapNone/>
                      <wp:docPr id="322" name="Frame322"/>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2085" cy="175260"/>
                      <wp:effectExtent l="0" t="0" r="0" b="0"/>
                      <wp:wrapNone/>
                      <wp:docPr id="324" name="Frame3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14325" cy="175260"/>
                      <wp:effectExtent l="0" t="0" r="0" b="0"/>
                      <wp:wrapNone/>
                      <wp:docPr id="325" name="Frame32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0810" cy="175260"/>
                      <wp:effectExtent l="0" t="0" r="0" b="0"/>
                      <wp:wrapNone/>
                      <wp:docPr id="327" name="Frame3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76860" cy="175260"/>
                      <wp:effectExtent l="0" t="0" r="0" b="0"/>
                      <wp:wrapNone/>
                      <wp:docPr id="328" name="Frame3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61925" cy="175260"/>
                      <wp:effectExtent l="0" t="0" r="0" b="0"/>
                      <wp:wrapNone/>
                      <wp:docPr id="330" name="Frame33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43535" cy="175260"/>
                      <wp:effectExtent l="0" t="0" r="0" b="0"/>
                      <wp:wrapNone/>
                      <wp:docPr id="331" name="Frame33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5895" cy="175260"/>
                      <wp:effectExtent l="0" t="0" r="0" b="0"/>
                      <wp:wrapNone/>
                      <wp:docPr id="333" name="Frame33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97180" cy="175260"/>
                      <wp:effectExtent l="0" t="0" r="0" b="0"/>
                      <wp:wrapNone/>
                      <wp:docPr id="334" name="Frame33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2080" cy="175260"/>
                      <wp:effectExtent l="0" t="0" r="0" b="0"/>
                      <wp:wrapNone/>
                      <wp:docPr id="336" name="Frame33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2250" cy="175260"/>
                      <wp:effectExtent l="0" t="0" r="0" b="0"/>
                      <wp:wrapNone/>
                      <wp:docPr id="337" name="Frame33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0970" cy="175260"/>
                      <wp:effectExtent l="0" t="0" r="0" b="0"/>
                      <wp:wrapNone/>
                      <wp:docPr id="339" name="Frame33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8125" cy="175260"/>
                      <wp:effectExtent l="0" t="0" r="0" b="0"/>
                      <wp:wrapNone/>
                      <wp:docPr id="340" name="Frame34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5255" cy="175260"/>
                      <wp:effectExtent l="0" t="0" r="0" b="0"/>
                      <wp:wrapNone/>
                      <wp:docPr id="342" name="Frame34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27330" cy="175260"/>
                      <wp:effectExtent l="0" t="0" r="0" b="0"/>
                      <wp:wrapNone/>
                      <wp:docPr id="343" name="Frame34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54940" cy="175260"/>
                      <wp:effectExtent l="0" t="0" r="0" b="0"/>
                      <wp:wrapNone/>
                      <wp:docPr id="345" name="Frame34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83845" cy="175260"/>
                      <wp:effectExtent l="0" t="0" r="0" b="0"/>
                      <wp:wrapNone/>
                      <wp:docPr id="346" name="Frame34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2710" cy="175260"/>
                      <wp:effectExtent l="0" t="0" r="0" b="0"/>
                      <wp:wrapNone/>
                      <wp:docPr id="347" name="Frame3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9705" cy="175260"/>
                      <wp:effectExtent l="0" t="0" r="0" b="0"/>
                      <wp:wrapNone/>
                      <wp:docPr id="348" name="Frame34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3545" cy="175260"/>
                      <wp:effectExtent l="0" t="0" r="0" b="0"/>
                      <wp:wrapNone/>
                      <wp:docPr id="349" name="Frame349"/>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74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 September 30, 2024</w:t>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0"/>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0"/>
              <w:ind w:left="0" w:right="0" w:hanging="0"/>
              <w:jc w:val="left"/>
              <w:rPr/>
            </w:pPr>
            <w:r>
              <w:rPr/>
              <w:t>    </w:t>
            </w:r>
          </w:p>
        </w:tc>
        <w:tc>
          <w:tcPr>
            <w:tcW w:w="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0"/>
              <w:ind w:left="0" w:right="0" w:hanging="0"/>
              <w:jc w:val="left"/>
              <w:rPr/>
            </w:pPr>
            <w:r>
              <w:rPr/>
              <w:t>    </w:t>
            </w:r>
          </w:p>
        </w:tc>
        <w:tc>
          <w:tcPr>
            <w:tcW w:w="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48" w:type="dxa"/>
            <w:gridSpan w:val="23"/>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49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  </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  </w:t>
            </w:r>
          </w:p>
        </w:tc>
        <w:tc>
          <w:tcPr>
            <w:tcW w:w="4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  </w:t>
            </w:r>
          </w:p>
        </w:tc>
        <w:tc>
          <w:tcPr>
            <w:tcW w:w="3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  </w:t>
            </w:r>
          </w:p>
        </w:tc>
        <w:tc>
          <w:tcPr>
            <w:tcW w:w="3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  </w:t>
            </w:r>
          </w:p>
        </w:tc>
        <w:tc>
          <w:tcPr>
            <w:tcW w:w="44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center"/>
              <w:rPr/>
            </w:pPr>
            <w:r>
              <w:rPr/>
              <w:t>​</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5,663</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6,855</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538</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disposition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1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5,702</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7,462</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5,549</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6,426</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400</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578</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w:t>
            </w:r>
          </w:p>
        </w:tc>
      </w:tr>
      <w:tr>
        <w:trPr/>
        <w:tc>
          <w:tcPr>
            <w:tcW w:w="11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5,759</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7,896</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(434)</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c>
          <w:tcPr>
            <w:tcW w:w="1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67" w:name="Tc_6gMS0MUgiEGmwJhXj5CSvQ_8_11"/>
      <w:bookmarkStart w:id="1768" w:name="Tc_zZ2bvf8n3kivftNDxcSjhg_8_8"/>
      <w:bookmarkStart w:id="1769" w:name="Tc_tnCW5l5NuU6r5QcpsAx8aw_8_5"/>
      <w:bookmarkStart w:id="1770" w:name="Tc_WK2hm61cyUytC2JCs_PHhA_8_2"/>
      <w:bookmarkStart w:id="1771" w:name="Tc_g_JF31X460GgV6PiWegOYw_8_0"/>
      <w:bookmarkStart w:id="1772" w:name="Tc_LCeg8AYWZ0uYO96A0oaKbA_7_0"/>
      <w:bookmarkStart w:id="1773" w:name="Tc_8fUghEN4K0yuvIBk_PKrsw_6_5"/>
      <w:bookmarkStart w:id="1774" w:name="Tc_cwXfgFhaM0yWX7hC66nFSw_6_2"/>
      <w:bookmarkStart w:id="1775" w:name="Tc_M241TGm5qky6UAcVpSVjwQ_6_0"/>
      <w:bookmarkStart w:id="1776" w:name="Tc_p5JgQuIKFUmQXUvB03Un6w_5_3"/>
      <w:bookmarkStart w:id="1777" w:name="Tc_4mYzHBLM10m8CC75AdpU_A_5_0"/>
      <w:bookmarkStart w:id="1778" w:name="Tc_N5ls6094bU6bVhAhIDqNuQ_4_11"/>
      <w:bookmarkStart w:id="1779" w:name="Tc_cSW4y2Xi5EGKm-knQPp6Vw_4_8"/>
      <w:bookmarkStart w:id="1780" w:name="Tc_2WfyIls9vk6RrJUcAYcLaA_4_5"/>
      <w:bookmarkStart w:id="1781" w:name="Tc_bpIXZ2QnwkqFRxxZJa4SMw_4_2"/>
      <w:bookmarkStart w:id="1782" w:name="Tc__T_sDReNuUCNJs-i5gTl7Q_4_0"/>
      <w:bookmarkStart w:id="1783" w:name="Tc_aJWF2zsqI0OW6tTDvyYlKw_3_2"/>
      <w:bookmarkStart w:id="1784" w:name="Tc_PAmBHINTeUKN4MiBzF55Sw_2_11"/>
      <w:bookmarkStart w:id="1785" w:name="Tc_7EIK5gcPRk-R9WQYfTH0-Q_2_8"/>
      <w:bookmarkStart w:id="1786" w:name="Tc_TXRevPAn-U2JmUhDeDlUUg_2_5"/>
      <w:bookmarkStart w:id="1787" w:name="Tc_6BbBcrhvW0aX3F4hTRFlRQ_2_2"/>
      <w:bookmarkStart w:id="1788" w:name="Tc_KD4oN36a60WJfZe7SC-qOw_1_8"/>
      <w:bookmarkStart w:id="1789" w:name="Tc_WcF-BpGGJU6_j5wlUcEKUw_1_2"/>
      <w:bookmarkStart w:id="1790" w:name="Tc_Dz-qacqzl0Stt2LLI2J1Ng_7_11"/>
      <w:bookmarkStart w:id="1791" w:name="Tc_XUWOVeWaw0Ktpffx_pjLLg_7_8"/>
      <w:bookmarkStart w:id="1792" w:name="Tc_f3SgZKjQJ0WBB9y6GYFc0g_7_5"/>
      <w:bookmarkStart w:id="1793" w:name="Tc_tgUTe-Tk6EGX9vQ_K_GuAw_7_2"/>
      <w:bookmarkStart w:id="1794" w:name="Tc_s0fLQ_fdnU22KRuu7R4cww_6_0"/>
      <w:bookmarkStart w:id="1795" w:name="Tc_y_tQTYDWkE65bx_jx8LHBw_5_0"/>
      <w:bookmarkStart w:id="1796" w:name="Tc_CXvlo7-G80SdF25AaoD5vw_4_11"/>
      <w:bookmarkStart w:id="1797" w:name="Tc_6LGeoMpYFkGnGNb3Yo592w_4_5"/>
      <w:bookmarkStart w:id="1798" w:name="Tc_V_cseG4L3EG-bx_uT-3gCA_4_2"/>
      <w:bookmarkStart w:id="1799" w:name="Tc_Z8nAcbRv2UC3YQWLJGE8ng_4_0"/>
      <w:bookmarkStart w:id="1800" w:name="Tc_es-MHbGD8U2Hu3wXw4HfcA_3_2"/>
      <w:bookmarkStart w:id="1801" w:name="Tc_C5awLRxrWEKXYEcVHPb9wQ_2_11"/>
      <w:bookmarkStart w:id="1802" w:name="Tc_3xA49B6JE0iO_UBPcMTxiA_2_8"/>
      <w:bookmarkStart w:id="1803" w:name="Tc_bhQbbyRurkme73I11Gbe_Q_2_5"/>
      <w:bookmarkStart w:id="1804" w:name="Tc_BdxHxyIdWUe7eosMoZaZIg_2_2"/>
      <w:bookmarkStart w:id="1805" w:name="Tc_7Y8eApEMrk20oFodjOc7uA_1_8"/>
      <w:bookmarkStart w:id="1806" w:name="Tc_Fh_FcTwRMEiaPzCo1-6ZsQ_1_2"/>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9230" w:type="dxa"/>
        <w:jc w:val="left"/>
        <w:tblInd w:w="0" w:type="dxa"/>
        <w:tblLayout w:type="fixed"/>
        <w:tblCellMar>
          <w:top w:w="0" w:type="dxa"/>
          <w:left w:w="0" w:type="dxa"/>
          <w:bottom w:w="0" w:type="dxa"/>
          <w:right w:w="0" w:type="dxa"/>
        </w:tblCellMar>
      </w:tblPr>
      <w:tblGrid>
        <w:gridCol w:w="2326"/>
        <w:gridCol w:w="326"/>
        <w:gridCol w:w="353"/>
        <w:gridCol w:w="956"/>
        <w:gridCol w:w="546"/>
        <w:gridCol w:w="353"/>
        <w:gridCol w:w="956"/>
        <w:gridCol w:w="326"/>
        <w:gridCol w:w="326"/>
        <w:gridCol w:w="884"/>
        <w:gridCol w:w="505"/>
        <w:gridCol w:w="326"/>
        <w:gridCol w:w="1047"/>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77010" cy="175260"/>
                      <wp:effectExtent l="0" t="0" r="0" b="0"/>
                      <wp:wrapNone/>
                      <wp:docPr id="350" name="Frame350"/>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4155" cy="175260"/>
                      <wp:effectExtent l="0" t="0" r="0" b="0"/>
                      <wp:wrapNone/>
                      <wp:docPr id="352" name="Frame35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07060" cy="175260"/>
                      <wp:effectExtent l="0" t="0" r="0" b="0"/>
                      <wp:wrapNone/>
                      <wp:docPr id="353" name="Frame353"/>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46710" cy="175260"/>
                      <wp:effectExtent l="0" t="0" r="0" b="0"/>
                      <wp:wrapNone/>
                      <wp:docPr id="354" name="Frame354"/>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24155" cy="175260"/>
                      <wp:effectExtent l="0" t="0" r="0" b="0"/>
                      <wp:wrapNone/>
                      <wp:docPr id="355" name="Frame35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07060" cy="175260"/>
                      <wp:effectExtent l="0" t="0" r="0" b="0"/>
                      <wp:wrapNone/>
                      <wp:docPr id="356" name="Frame35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61340" cy="175260"/>
                      <wp:effectExtent l="0" t="0" r="0" b="0"/>
                      <wp:wrapNone/>
                      <wp:docPr id="359" name="Frame359"/>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20675" cy="175260"/>
                      <wp:effectExtent l="0" t="0" r="0" b="0"/>
                      <wp:wrapNone/>
                      <wp:docPr id="360" name="Frame36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64845" cy="175260"/>
                      <wp:effectExtent l="0" t="0" r="0" b="0"/>
                      <wp:wrapNone/>
                      <wp:docPr id="362" name="Frame362"/>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30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46" w:type="dxa"/>
            <w:tcBorders/>
            <w:vAlign w:val="center"/>
          </w:tcPr>
          <w:p>
            <w:pPr>
              <w:pStyle w:val="TableContents"/>
              <w:bidi w:val="0"/>
              <w:spacing w:before="0" w:after="0"/>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05" w:type="dxa"/>
            <w:tcBorders/>
            <w:vAlign w:val="center"/>
          </w:tcPr>
          <w:p>
            <w:pPr>
              <w:pStyle w:val="TableContents"/>
              <w:bidi w:val="0"/>
              <w:spacing w:before="0" w:after="0"/>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923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78"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5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w:t>
            </w:r>
          </w:p>
        </w:tc>
        <w:tc>
          <w:tcPr>
            <w:tcW w:w="5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products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5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54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505"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546"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5,352</w:t>
            </w:r>
          </w:p>
        </w:tc>
        <w:tc>
          <w:tcPr>
            <w:tcW w:w="505"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5,663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50"/>
        <w:gridCol w:w="326"/>
        <w:gridCol w:w="361"/>
        <w:gridCol w:w="720"/>
        <w:gridCol w:w="558"/>
        <w:gridCol w:w="361"/>
        <w:gridCol w:w="720"/>
        <w:gridCol w:w="326"/>
        <w:gridCol w:w="293"/>
        <w:gridCol w:w="795"/>
        <w:gridCol w:w="454"/>
        <w:gridCol w:w="293"/>
        <w:gridCol w:w="948"/>
      </w:tblGrid>
      <w:tr>
        <w:trPr/>
        <w:tc>
          <w:tcPr>
            <w:tcW w:w="4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571750" cy="175260"/>
                      <wp:effectExtent l="0" t="0" r="0" b="0"/>
                      <wp:wrapNone/>
                      <wp:docPr id="363" name="Frame363"/>
                      <a:graphic xmlns:a="http://schemas.openxmlformats.org/drawingml/2006/main">
                        <a:graphicData uri="http://schemas.microsoft.com/office/word/2010/wordprocessingShape">
                          <wps:wsp>
                            <wps:cNvSpPr txBox="1"/>
                            <wps:spPr>
                              <a:xfrm>
                                <a:off x="0" y="0"/>
                                <a:ext cx="2571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29235" cy="175260"/>
                      <wp:effectExtent l="0" t="0" r="0" b="0"/>
                      <wp:wrapNone/>
                      <wp:docPr id="365" name="Frame3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57200" cy="175260"/>
                      <wp:effectExtent l="0" t="0" r="0" b="0"/>
                      <wp:wrapNone/>
                      <wp:docPr id="366"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54330" cy="175260"/>
                      <wp:effectExtent l="0" t="0" r="0" b="0"/>
                      <wp:wrapNone/>
                      <wp:docPr id="367" name="Frame367"/>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9235" cy="175260"/>
                      <wp:effectExtent l="0" t="0" r="0" b="0"/>
                      <wp:wrapNone/>
                      <wp:docPr id="368" name="Frame3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57200" cy="175260"/>
                      <wp:effectExtent l="0" t="0" r="0" b="0"/>
                      <wp:wrapNone/>
                      <wp:docPr id="369" name="Frame3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86055" cy="175260"/>
                      <wp:effectExtent l="0" t="0" r="0" b="0"/>
                      <wp:wrapNone/>
                      <wp:docPr id="371" name="Frame37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04825" cy="175260"/>
                      <wp:effectExtent l="0" t="0" r="0" b="0"/>
                      <wp:wrapNone/>
                      <wp:docPr id="372" name="Frame372"/>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88290" cy="175260"/>
                      <wp:effectExtent l="0" t="0" r="0" b="0"/>
                      <wp:wrapNone/>
                      <wp:docPr id="373" name="Frame373"/>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86055" cy="175260"/>
                      <wp:effectExtent l="0" t="0" r="0" b="0"/>
                      <wp:wrapNone/>
                      <wp:docPr id="374" name="Frame37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01980" cy="175260"/>
                      <wp:effectExtent l="0" t="0" r="0" b="0"/>
                      <wp:wrapNone/>
                      <wp:docPr id="375" name="Frame375"/>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7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0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58"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4" w:type="dxa"/>
            <w:tcBorders/>
            <w:vAlign w:val="center"/>
          </w:tcPr>
          <w:p>
            <w:pPr>
              <w:pStyle w:val="TableContents"/>
              <w:bidi w:val="0"/>
              <w:spacing w:before="0" w:after="0"/>
              <w:ind w:left="0" w:right="0" w:hanging="0"/>
              <w:jc w:val="left"/>
              <w:rPr/>
            </w:pPr>
            <w:r>
              <w:rPr/>
              <w:t>    </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29"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55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454"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r>
      <w:tr>
        <w:trPr/>
        <w:tc>
          <w:tcPr>
            <w:tcW w:w="4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Aftermarket Parts</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8"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4"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558"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454"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4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revenue outside the scope of ASC 606</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58"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4"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558"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454"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7" w:name="Tc_Rw0LGwEAGke9a6vwqZTs-w_23_26"/>
      <w:bookmarkStart w:id="1808" w:name="Tc_xv0gqiUoskGaYnOT8qnXwA_23_23"/>
      <w:bookmarkStart w:id="1809" w:name="Tc_zXFif1Kf0Ue7Y9tMikjXVA_23_20"/>
      <w:bookmarkStart w:id="1810" w:name="Tc_K9QJfyDOzkaIc9K-jZ3uIA_23_17"/>
      <w:bookmarkStart w:id="1811" w:name="Tc_IAb-lugcdESdxZfqptf15Q_23_14"/>
      <w:bookmarkStart w:id="1812" w:name="Tc_bYWrXLutFk6DmMQCbQ6vrQ_23_11"/>
      <w:bookmarkStart w:id="1813" w:name="Tc__7QJgwJ8CkGna9kaum7jXA_23_8"/>
      <w:bookmarkStart w:id="1814" w:name="Tc_M8HAQoZsIESB6Xm2Z3ocqg_23_5"/>
      <w:bookmarkStart w:id="1815" w:name="Tc_-7JJCSpuWkKPwoNCretUTQ_23_2"/>
      <w:bookmarkStart w:id="1816" w:name="Tc_rT5VBAkf6kWnpyhalHowZg_23_0"/>
      <w:bookmarkStart w:id="1817" w:name="Tc_MeKMs1dwxkKFoGrMtp_Ifg_22_0"/>
      <w:bookmarkStart w:id="1818" w:name="Tc_ZNAa8rhqiE-OQ_xGmyu0lw_21_24"/>
      <w:bookmarkStart w:id="1819" w:name="Tc_jc69ljleK0uz0oGolU_1rg_21_21"/>
      <w:bookmarkStart w:id="1820" w:name="Tc_ymychpVl8EumGd8mH5WG7A_21_18"/>
      <w:bookmarkStart w:id="1821" w:name="Tc_hGxXUpINTUKB38PhYXpdRQ_21_9"/>
      <w:bookmarkStart w:id="1822" w:name="Tc_3tPwuNNojUG1IwtI0tNX1A_21_0"/>
      <w:bookmarkStart w:id="1823" w:name="Tc_FElRJR8eqkmULeLmM_nUaw_20_0"/>
      <w:bookmarkStart w:id="1824" w:name="Tc_WG6BwidoM0-z91UbfWgcxA_18_0"/>
      <w:bookmarkStart w:id="1825" w:name="Tc_sIpxtEA1xUioIwhXjl8DQg_17_21"/>
      <w:bookmarkStart w:id="1826" w:name="Tc_dl_xMksAL0CG4ifnaGfBXg_17_3"/>
      <w:bookmarkStart w:id="1827" w:name="Tc_hpEtM-s-2E-bi81rdGISPA_17_0"/>
      <w:bookmarkStart w:id="1828" w:name="Tc_kz8_xE-4AESXq1feMUMp-A_16_24"/>
      <w:bookmarkStart w:id="1829" w:name="Tc_55rfJMCA9Uq6qHfd9vg7yg_16_21"/>
      <w:bookmarkStart w:id="1830" w:name="Tc_GE4L-Oq6j0ysgn_3-Oyjbg_16_18"/>
      <w:bookmarkStart w:id="1831" w:name="Tc_kgK53xAViUeFuJtSoOUQ8g_16_15"/>
      <w:bookmarkStart w:id="1832" w:name="Tc_HzshYp3eaE-j-axPqFl-Kg_16_12"/>
      <w:bookmarkStart w:id="1833" w:name="Tc_Syfs_VEDakOS7LPk8BGvNA_16_9"/>
      <w:bookmarkStart w:id="1834" w:name="Tc_7JD1BaSfdkuNYuH92QLQhw_16_6"/>
      <w:bookmarkStart w:id="1835" w:name="Tc_gi5pBlZHhkefOBuLEtBc3Q_16_0"/>
      <w:bookmarkStart w:id="1836" w:name="Tc_kR1A4yGoAEaQ3j0YAgTPrw_15_26"/>
      <w:bookmarkStart w:id="1837" w:name="Tc_dN8vKagCqkaXBLVgDi5PxA_15_23"/>
      <w:bookmarkStart w:id="1838" w:name="Tc_-k_kAviw0kCqX6D-Ac_YaQ_15_20"/>
      <w:bookmarkStart w:id="1839" w:name="Tc_bN33ZG2v2USi_Ujy4h_Ctg_15_17"/>
      <w:bookmarkStart w:id="1840" w:name="Tc_p-OUa8IZXkCk5bVMTK-e8Q_15_14"/>
      <w:bookmarkStart w:id="1841" w:name="Tc_nD5UWmNv5kiVQr8xlLdkcw_15_11"/>
      <w:bookmarkStart w:id="1842" w:name="Tc_-U4mDuJx2ESW9yWdX-tVog_15_8"/>
      <w:bookmarkStart w:id="1843" w:name="Tc_IyCcrCkc4k2SvMNlxmyYXQ_15_5"/>
      <w:bookmarkStart w:id="1844" w:name="Tc_k8es-DbwF0GjOUG7oEXW5A_15_2"/>
      <w:bookmarkStart w:id="1845" w:name="Tc_LgE6yYpZ6kqsbh4zL7e6ag_15_0"/>
      <w:bookmarkStart w:id="1846" w:name="Tc_ykduA3VNkEyBsQT8JcNhYQ_14_0"/>
      <w:bookmarkStart w:id="1847" w:name="Tc_zTpgSI8nnEuw1g9kRNcN3Q_13_26"/>
      <w:bookmarkStart w:id="1848" w:name="Tc_WoDM0eDmrUuf41iYOMymlQ_13_23"/>
      <w:bookmarkStart w:id="1849" w:name="Tc_gnG0v47HPUq36ZK3n8sCLQ_13_20"/>
      <w:bookmarkStart w:id="1850" w:name="Tc_qqz9llxzDkO1EQqiAjDNtQ_13_17"/>
      <w:bookmarkStart w:id="1851" w:name="Tc_3PH87p3Eikqty6x8lCM1ig_13_14"/>
      <w:bookmarkStart w:id="1852" w:name="Tc_6FbFt1eW_068KDDy9__UtQ_13_11"/>
      <w:bookmarkStart w:id="1853" w:name="Tc_YY5_oSYIVk-ijxjK6zyZsA_13_8"/>
      <w:bookmarkStart w:id="1854" w:name="Tc_uLEtMMsy_kKzT2PrJT6K4w_13_5"/>
      <w:bookmarkStart w:id="1855" w:name="Tc_Yhy58vsev0GoQGUVpCehCQ_13_2"/>
      <w:bookmarkStart w:id="1856" w:name="Tc_suUAUIiVxkOSSjs0mwuF0Q_13_0"/>
      <w:bookmarkStart w:id="1857" w:name="Tc_FfFZfPoAgUCwWNZW6yga7g_12_0"/>
      <w:bookmarkStart w:id="1858" w:name="Tc_3OhnU9GMgk6Cb-1swD0I8A_11_24"/>
      <w:bookmarkStart w:id="1859" w:name="Tc_leZ-MsN_BkeqLVlZpQan3A_11_15"/>
      <w:bookmarkStart w:id="1860" w:name="Tc_ZKYGBIj0X0qkLEtDJR8yHg_11_3"/>
      <w:bookmarkStart w:id="1861" w:name="Tc_NAqANV3HqUq-KP27NhV58w_11_0"/>
      <w:bookmarkStart w:id="1862" w:name="Tc_Vc2Tr7QQnEi1IEYRYCbkMQ_10_21"/>
      <w:bookmarkStart w:id="1863" w:name="Tc_KFj4sFwW80W3UD53PFq-Nw_10_3"/>
      <w:bookmarkStart w:id="1864" w:name="Tc_NaszZ6kskEaHnNlxyT-37w_10_0"/>
      <w:bookmarkStart w:id="1865" w:name="Tc_K3ZB1Xcof0STgWtRBl5k_g_9_24"/>
      <w:bookmarkStart w:id="1866" w:name="Tc_ASi10zR79EWV0rq8ZdrdUw_9_15"/>
      <w:bookmarkStart w:id="1867" w:name="Tc_kZQjyT2edEi7Vgghsy7XVQ_9_3"/>
      <w:bookmarkStart w:id="1868" w:name="Tc_ofMRLVCTB0ig-qOx9HOUmQ_9_0"/>
      <w:bookmarkStart w:id="1869" w:name="Tc_3Den2ahS10aG3LtuXcedTQ_8_24"/>
      <w:bookmarkStart w:id="1870" w:name="Tc_7fFYPpztpEemJcK6BYHufw_8_3"/>
      <w:bookmarkStart w:id="1871" w:name="Tc_mUFxF6BKeEO4uEsFaGprNw_8_0"/>
      <w:bookmarkStart w:id="1872" w:name="Tc_2nacnbKD80W-mBPAOOlC1A_7_24"/>
      <w:bookmarkStart w:id="1873" w:name="Tc_PhKqa0luVU29kqEW5v720Q_7_21"/>
      <w:bookmarkStart w:id="1874" w:name="Tc_wI2b0hr3PEGz29-gXiFRfg_7_18"/>
      <w:bookmarkStart w:id="1875" w:name="Tc_wnDPekw7pE-MFYoo-rRZpg_7_12"/>
      <w:bookmarkStart w:id="1876" w:name="Tc_NFdM_o_Vek65_e9Mm--KDQ_7_9"/>
      <w:bookmarkStart w:id="1877" w:name="Tc_pPxcIJFzW06KUzSfxj-hHw_7_0"/>
      <w:bookmarkStart w:id="1878" w:name="Tc_PzbpxRIP6UyaQTSC3SyIJQ_6_21"/>
      <w:bookmarkStart w:id="1879" w:name="Tc_on_AOCEHr0e-1eacWQeZyw_6_12"/>
      <w:bookmarkStart w:id="1880" w:name="Tc_2P4har35NkynA5EaxxYRFQ_6_6"/>
      <w:bookmarkStart w:id="1881" w:name="Tc_siXoCtpeBUW3Y7t8yKEdhw_6_0"/>
      <w:bookmarkStart w:id="1882" w:name="Tc_Tb93HnRarUSR5yweHltXqQ_5_26"/>
      <w:bookmarkStart w:id="1883" w:name="Tc_5BTkiguRBESgvVKpDk1_ag_5_23"/>
      <w:bookmarkStart w:id="1884" w:name="Tc_HBlO09tigEGkhl24dUPb3Q_5_20"/>
      <w:bookmarkStart w:id="1885" w:name="Tc_tDhDTTY9bEqUrwcieIX0bA_5_17"/>
      <w:bookmarkStart w:id="1886" w:name="Tc_U7I8gOxJ5UCHGfYDZ8LP2Q_5_14"/>
      <w:bookmarkStart w:id="1887" w:name="Tc_TUTm5XAXhUy0Wp2E48ewhA_5_11"/>
      <w:bookmarkStart w:id="1888" w:name="Tc_Rz2LHCdiq0eQ-0XNhdna7g_5_8"/>
      <w:bookmarkStart w:id="1889" w:name="Tc_3z49EVOjAEGwkWmERdkLGw_5_5"/>
      <w:bookmarkStart w:id="1890" w:name="Tc_7IeNwoL17kKGOrIRQKk5qQ_5_2"/>
      <w:bookmarkStart w:id="1891" w:name="Tc_oOStf-G4Rkij0nYWPa0Gog_5_0"/>
      <w:bookmarkStart w:id="1892" w:name="Tc_bhOzDIUJi0GRZAki21fB5w_4_0"/>
      <w:bookmarkStart w:id="1893" w:name="Tc_Gy5Z2PxgTEeuRWS9UJlgwA_3_2"/>
      <w:bookmarkStart w:id="1894" w:name="Tc_L4e3sGOEFEmrS3vg4Qt8kQ_2_26"/>
      <w:bookmarkStart w:id="1895" w:name="Tc_Z5FJI5yqZ0Cy8CKTi1o88g_2_23"/>
      <w:bookmarkStart w:id="1896" w:name="Tc_89ZuOazAXkGUQHaa8KPAhQ_2_20"/>
      <w:bookmarkStart w:id="1897" w:name="Tc_PmQFhXWniEWyO9FM33HaJQ_2_17"/>
      <w:bookmarkStart w:id="1898" w:name="Tc_iVIcpKXnDUiK0p1oVFH6Kg_2_14"/>
      <w:bookmarkStart w:id="1899" w:name="Tc_ScyuGTR9mUa4UoHkHZEPoA_2_11"/>
      <w:bookmarkStart w:id="1900" w:name="Tc_i-alIKQSYU6a4JENB7ZapQ_2_8"/>
      <w:bookmarkStart w:id="1901" w:name="Tc_-0fgN-ip_0K94Jpvuzd9Ww_2_5"/>
      <w:bookmarkStart w:id="1902" w:name="Tc_889NhNmZR0qjCdFLJ0N6yw_2_2"/>
      <w:bookmarkStart w:id="1903" w:name="Tc_QFcYfydjgkyAcGBDrbZUOw_1_2"/>
      <w:bookmarkStart w:id="1904" w:name="_d219bfcb_a548_4f51_8a16_928ba46c8861"/>
      <w:bookmarkStart w:id="1905" w:name="Tc_zpcHyHW27EaYkQr4pXIDEQ_24_26"/>
      <w:bookmarkStart w:id="1906" w:name="Tc_fFBMpcgnUEGpY44vwX2A0A_24_23"/>
      <w:bookmarkStart w:id="1907" w:name="Tc_nf31hY3PeU--OfnizUweqg_24_20"/>
      <w:bookmarkStart w:id="1908" w:name="Tc_B6rKj_CgykaQ3vNd8BtEQA_24_17"/>
      <w:bookmarkStart w:id="1909" w:name="Tc_z10vUR3jbUyN4qOq6gy6Tw_24_14"/>
      <w:bookmarkStart w:id="1910" w:name="Tc_JLxHBAGXs0GLEOyUUho-Lw_24_11"/>
      <w:bookmarkStart w:id="1911" w:name="Tc_mnuU7lVZQEKhZ-ErikbkVg_24_8"/>
      <w:bookmarkStart w:id="1912" w:name="Tc_MqhdRVTzT06YzXRNLvqy7A_24_5"/>
      <w:bookmarkStart w:id="1913" w:name="Tc_S6GfJnDCo0aJMPYy022Ung_24_2"/>
      <w:bookmarkStart w:id="1914" w:name="Tc_TsPMbd5MpU-qkJx9_yZZMw_24_0"/>
      <w:bookmarkStart w:id="1915" w:name="Tc_u4mLfEtbBE24qaNPoA2keA_23_0"/>
      <w:bookmarkStart w:id="1916" w:name="Tc_Bz-tMXLowEGRMySDr9JudQ_22_24"/>
      <w:bookmarkStart w:id="1917" w:name="Tc_-OONAW1SCEqSuvIPWwPzlg_22_21"/>
      <w:bookmarkStart w:id="1918" w:name="Tc_Y9_LzqCJSU2mZJ9rlSUMqw_22_18"/>
      <w:bookmarkStart w:id="1919" w:name="Tc_et22jFMe10WD9xDDgmJE_A_22_15"/>
      <w:bookmarkStart w:id="1920" w:name="Tc_nLe5GBQrHEu0yZ01tDZctw_22_9"/>
      <w:bookmarkStart w:id="1921" w:name="Tc_nTAAyhZ_BUeLfXAh1RpKzw_22_0"/>
      <w:bookmarkStart w:id="1922" w:name="Tc_TTVJYqubNUShBhwcg4k9qA_21_0"/>
      <w:bookmarkStart w:id="1923" w:name="Tc_dZqh4YcdeE6k7GOMhzvMqg_19_0"/>
      <w:bookmarkStart w:id="1924" w:name="Tc_MkO3449QE0OTqFXAP0F3Bw_18_21"/>
      <w:bookmarkStart w:id="1925" w:name="Tc_YWn_QjZSM0icseAqdnnVow_18_3"/>
      <w:bookmarkStart w:id="1926" w:name="Tc_UADz9lG9_E6FYMWvFpv0Tw_18_0"/>
      <w:bookmarkStart w:id="1927" w:name="Tc_EcS1TS-wQkKLPdwo7bwkSw_17_24"/>
      <w:bookmarkStart w:id="1928" w:name="Tc_XqkV58t83ECodGPIsPB8PA_17_21"/>
      <w:bookmarkStart w:id="1929" w:name="Tc_gO97iy3oSEerOWoqVn0RAw_17_18"/>
      <w:bookmarkStart w:id="1930" w:name="Tc_yKgPRdxlYUircZD6x8Wyzg_17_15"/>
      <w:bookmarkStart w:id="1931" w:name="Tc_PtulqboCvkiPKUxyJ7RuBg_17_12"/>
      <w:bookmarkStart w:id="1932" w:name="Tc_IZUxLj5t70GZICcxdVtUvA_17_9"/>
      <w:bookmarkStart w:id="1933" w:name="Tc_a8cUygq4FUuDA4hFmcVgHA_17_6"/>
      <w:bookmarkStart w:id="1934" w:name="Tc_CqWDUBBWE0SAnrK_Gdbm0A_17_0"/>
      <w:bookmarkStart w:id="1935" w:name="Tc_EVKvLAL49UyqPMppd0wnKA_16_26"/>
      <w:bookmarkStart w:id="1936" w:name="Tc_BHLXfc_nIUOuYYGjr_ZE0A_16_23"/>
      <w:bookmarkStart w:id="1937" w:name="Tc_7DxA4WJzuESezN8UsUhOlA_16_20"/>
      <w:bookmarkStart w:id="1938" w:name="Tc_tEEdMjU-7kmjJL1xm9ccCQ_16_17"/>
      <w:bookmarkStart w:id="1939" w:name="Tc_aSsbg4X0I0ajzcbcdb9LRw_16_14"/>
      <w:bookmarkStart w:id="1940" w:name="Tc_dZkryTD9KUK9375IkrXTQA_16_11"/>
      <w:bookmarkStart w:id="1941" w:name="Tc_ueO88LtiyEa6IK8qBB2x9g_16_8"/>
      <w:bookmarkStart w:id="1942" w:name="Tc_27dXAMdhp0Oytgejyu_hzA_16_5"/>
      <w:bookmarkStart w:id="1943" w:name="Tc_Bei6jvTmD0C8y0IS9wwiWQ_16_2"/>
      <w:bookmarkStart w:id="1944" w:name="Tc_2sEbz7YhGEKSua3WtcFD4g_16_0"/>
      <w:bookmarkStart w:id="1945" w:name="Tc_9Lmnnpo3_0u878sxYIoJkg_15_0"/>
      <w:bookmarkStart w:id="1946" w:name="Tc_gh84JrflEEiG4bboiwLzGA_14_26"/>
      <w:bookmarkStart w:id="1947" w:name="Tc_SSsisesEDEa-YmUEoO5iow_14_23"/>
      <w:bookmarkStart w:id="1948" w:name="Tc_K4yzBLzOhk6xiZ0x2o94Nw_14_20"/>
      <w:bookmarkStart w:id="1949" w:name="Tc_Z6kMiIfklEaUurMaP8XLKQ_14_17"/>
      <w:bookmarkStart w:id="1950" w:name="Tc_isi1ktkHNUSJtseYAzD_dQ_14_14"/>
      <w:bookmarkStart w:id="1951" w:name="Tc_MATvs-yus0q1lnloxoLngA_14_11"/>
      <w:bookmarkStart w:id="1952" w:name="Tc_tPI4ds8ql0iELjsAQAuabA_14_8"/>
      <w:bookmarkStart w:id="1953" w:name="Tc_BsF5N9I440G1HV_6P8PPaw_14_5"/>
      <w:bookmarkStart w:id="1954" w:name="Tc_U-ue1uU8WU-Q4RipnVGTmA_14_2"/>
      <w:bookmarkStart w:id="1955" w:name="Tc_Ym0L2iLFWUOElQU_-sHC8A_14_0"/>
      <w:bookmarkStart w:id="1956" w:name="Tc_c5rtp5qTvEejXWps1lZ8_Q_13_0"/>
      <w:bookmarkStart w:id="1957" w:name="Tc_PgciGCOR0UOyRdVuEU5vEg_12_24"/>
      <w:bookmarkStart w:id="1958" w:name="Tc_8PwUIavZ30CLN7CIWU8rJA_12_15"/>
      <w:bookmarkStart w:id="1959" w:name="Tc_d8ESaCBsDEqsrSTOEJnx8A_12_3"/>
      <w:bookmarkStart w:id="1960" w:name="Tc_rWx4g36MHEyLATz_HnGKrQ_12_0"/>
      <w:bookmarkStart w:id="1961" w:name="Tc_ORJV2qKDu02T5leC4piVTw_11_21"/>
      <w:bookmarkStart w:id="1962" w:name="Tc_YhRWdJfPmUyYvfj0Tiwbvw_11_3"/>
      <w:bookmarkStart w:id="1963" w:name="Tc_MRy3G6d20U2kKDNgcFgE4A_11_0"/>
      <w:bookmarkStart w:id="1964" w:name="Tc_IO8syANLpkamGTRx2hc7Ow_10_24"/>
      <w:bookmarkStart w:id="1965" w:name="Tc_m_p7TSU5w0ui6V-HqM4oZw_10_15"/>
      <w:bookmarkStart w:id="1966" w:name="Tc_A8yi4qg-RUGCrq3wy5TcCw_10_3"/>
      <w:bookmarkStart w:id="1967" w:name="Tc_eI7R8l8f_UymV5_VY75Phg_10_0"/>
      <w:bookmarkStart w:id="1968" w:name="Tc_ILrh8gCybEy5BUy-kVXpxA_9_24"/>
      <w:bookmarkStart w:id="1969" w:name="Tc_qLZfQf2YYU6g1JZzGhSy-A_9_21"/>
      <w:bookmarkStart w:id="1970" w:name="Tc_PuIbeJU1EkClqT75G1Aseg_9_18"/>
      <w:bookmarkStart w:id="1971" w:name="Tc_SkoEsQ2DMEq0W1QSlhFqMQ_9_12"/>
      <w:bookmarkStart w:id="1972" w:name="Tc_WHLxRrb6cEKBZvyqsev_Dw_9_9"/>
      <w:bookmarkStart w:id="1973" w:name="Tc_sivD43mEAkW5mPS-rZ5FWg_9_6"/>
      <w:bookmarkStart w:id="1974" w:name="Tc_004oujdv9k2jeKgFvuZQvw_9_3"/>
      <w:bookmarkStart w:id="1975" w:name="Tc_SwwmYHUP_kmnomTLj5BtUw_9_0"/>
      <w:bookmarkStart w:id="1976" w:name="Tc_BgqVd49jBkm5I4t4Vv-PJw_8_24"/>
      <w:bookmarkStart w:id="1977" w:name="Tc_u_bxfrmPc0KR5f8PHGwo-A_8_3"/>
      <w:bookmarkStart w:id="1978" w:name="Tc_81F4AEVBekenZOLC5QX-eQ_8_0"/>
      <w:bookmarkStart w:id="1979" w:name="Tc_bmVChjhBx0Sq3YPAr54xBQ_7_24"/>
      <w:bookmarkStart w:id="1980" w:name="Tc_eNo2NdVgIU6IBxpvD_LoSg_7_21"/>
      <w:bookmarkStart w:id="1981" w:name="Tc_tESHsL_CyEi-fKjR_geGoQ_7_18"/>
      <w:bookmarkStart w:id="1982" w:name="Tc_T-_PzZtftEmKE0qKjQEGwQ_7_12"/>
      <w:bookmarkStart w:id="1983" w:name="Tc_ljXWpSqOGEihAJwoadPG3Q_7_9"/>
      <w:bookmarkStart w:id="1984" w:name="Tc_zAL59RePU0SHefZoxCXNOg_7_0"/>
      <w:bookmarkStart w:id="1985" w:name="Tc__6B8gJ1owUS7_iuQiFtHDg_6_21"/>
      <w:bookmarkStart w:id="1986" w:name="Tc_dZ0rgpm8-UyyR5ySD56t4g_6_15"/>
      <w:bookmarkStart w:id="1987" w:name="Tc_vtVEK6AhO0WBUEBVqoDyHA_6_12"/>
      <w:bookmarkStart w:id="1988" w:name="Tc_3AzJ9B-ulkCDWiHfLI89OQ_6_6"/>
      <w:bookmarkStart w:id="1989" w:name="Tc_ZcKFdMvge0KOsW8DDknSag_6_0"/>
      <w:bookmarkStart w:id="1990" w:name="Tc_a7LJGUyuME6_I8BKCPqYHg_5_26"/>
      <w:bookmarkStart w:id="1991" w:name="Tc_oyg--bZKYUiNdU7-KERjLA_5_23"/>
      <w:bookmarkStart w:id="1992" w:name="Tc_IjzYbDUUZEqAW83Zq9QA9w_5_20"/>
      <w:bookmarkStart w:id="1993" w:name="Tc_rP2_e16qyUWQxpFy0BRbqQ_5_17"/>
      <w:bookmarkStart w:id="1994" w:name="Tc_LdNUnYC13UuCpmMJgPOtCw_5_14"/>
      <w:bookmarkStart w:id="1995" w:name="Tc_WOyAmCRziU-4SxLTl7IA8A_5_11"/>
      <w:bookmarkStart w:id="1996" w:name="Tc_VkdYYXGK5kOG8bbt8uI3gw_5_8"/>
      <w:bookmarkStart w:id="1997" w:name="Tc_zv4dW1XTIEu0dH6OnmwaEA_5_5"/>
      <w:bookmarkStart w:id="1998" w:name="Tc_T4O4ZRqK-0CSngOcuIgQkQ_5_2"/>
      <w:bookmarkStart w:id="1999" w:name="Tc_jiN_JOM8ekWbpbFz6Tmnew_5_0"/>
      <w:bookmarkStart w:id="2000" w:name="Tc__aK2HIjeSUqwGDQo_ftrJQ_4_0"/>
      <w:bookmarkStart w:id="2001" w:name="Tc_VyMDyxW9nE22qy51ltddbw_3_2"/>
      <w:bookmarkStart w:id="2002" w:name="Tc_ufq7vZB0rEmMq_HmlrLyXw_2_26"/>
      <w:bookmarkStart w:id="2003" w:name="Tc_A4gx1VbYzU2_LCxoEmLgCw_2_23"/>
      <w:bookmarkStart w:id="2004" w:name="Tc_wZn0xd3clEKm7LGETESbaA_2_20"/>
      <w:bookmarkStart w:id="2005" w:name="Tc_EW6_tNDo5UOpGf2q0nWBzw_2_17"/>
      <w:bookmarkStart w:id="2006" w:name="Tc_kU9knh4zckmlHgpUfL-zaQ_2_14"/>
      <w:bookmarkStart w:id="2007" w:name="Tc_vnCuDeMZAkGV-1fm4yjcaA_2_11"/>
      <w:bookmarkStart w:id="2008" w:name="Tc_pGWiFghPjEuzDFrY-2sC6g_2_8"/>
      <w:bookmarkStart w:id="2009" w:name="Tc_gYjRjbCD3E6tdNwexDnjVw_2_5"/>
      <w:bookmarkStart w:id="2010" w:name="Tc_Q6cAcmcdYEaX9ngMnApAig_2_2"/>
      <w:bookmarkStart w:id="2011" w:name="Tc_M9Z53EeCKEysBNG0RqOQBw_1_2"/>
      <w:bookmarkStart w:id="2012" w:name="_f3388f2b_b566_4a3b_ab49_698c295644ff"/>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893570" cy="175260"/>
                      <wp:effectExtent l="0" t="0" r="0" b="0"/>
                      <wp:wrapNone/>
                      <wp:docPr id="376" name="Frame376"/>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2240" cy="175260"/>
                      <wp:effectExtent l="0" t="0" r="0" b="0"/>
                      <wp:wrapNone/>
                      <wp:docPr id="378" name="Frame37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44170" cy="175260"/>
                      <wp:effectExtent l="0" t="0" r="0" b="0"/>
                      <wp:wrapNone/>
                      <wp:docPr id="379" name="Frame37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14935" cy="175260"/>
                      <wp:effectExtent l="0" t="0" r="0" b="0"/>
                      <wp:wrapNone/>
                      <wp:docPr id="381" name="Frame3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76860" cy="175260"/>
                      <wp:effectExtent l="0" t="0" r="0" b="0"/>
                      <wp:wrapNone/>
                      <wp:docPr id="382" name="Frame38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7955" cy="175260"/>
                      <wp:effectExtent l="0" t="0" r="0" b="0"/>
                      <wp:wrapNone/>
                      <wp:docPr id="384" name="Frame3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57505" cy="175260"/>
                      <wp:effectExtent l="0" t="0" r="0" b="0"/>
                      <wp:wrapNone/>
                      <wp:docPr id="385" name="Frame385"/>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0020" cy="175260"/>
                      <wp:effectExtent l="0" t="0" r="0" b="0"/>
                      <wp:wrapNone/>
                      <wp:docPr id="387" name="Frame38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07340" cy="175260"/>
                      <wp:effectExtent l="0" t="0" r="0" b="0"/>
                      <wp:wrapNone/>
                      <wp:docPr id="388" name="Frame38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9" name="Frame3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14935" cy="175260"/>
                      <wp:effectExtent l="0" t="0" r="0" b="0"/>
                      <wp:wrapNone/>
                      <wp:docPr id="390" name="Frame3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7635" cy="175260"/>
                      <wp:effectExtent l="0" t="0" r="0" b="0"/>
                      <wp:wrapNone/>
                      <wp:docPr id="393" name="Frame39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4475" cy="175260"/>
                      <wp:effectExtent l="0" t="0" r="0" b="0"/>
                      <wp:wrapNone/>
                      <wp:docPr id="394" name="Frame39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38125" cy="175260"/>
                      <wp:effectExtent l="0" t="0" r="0" b="0"/>
                      <wp:wrapNone/>
                      <wp:docPr id="397" name="Frame39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14935" cy="175260"/>
                      <wp:effectExtent l="0" t="0" r="0" b="0"/>
                      <wp:wrapNone/>
                      <wp:docPr id="399" name="Frame3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27025" cy="175260"/>
                      <wp:effectExtent l="0" t="0" r="0" b="0"/>
                      <wp:wrapNone/>
                      <wp:docPr id="400" name="Frame400"/>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8430" cy="175260"/>
                      <wp:effectExtent l="0" t="0" r="0" b="0"/>
                      <wp:wrapNone/>
                      <wp:docPr id="402" name="Frame40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62915" cy="175260"/>
                      <wp:effectExtent l="0" t="0" r="0" b="0"/>
                      <wp:wrapNone/>
                      <wp:docPr id="403" name="Frame403"/>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2025</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670</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2,238</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note receivable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892</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2,401</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815</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3,742</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14,826</w:t>
            </w:r>
          </w:p>
        </w:tc>
      </w:tr>
      <w:tr>
        <w:trPr/>
        <w:tc>
          <w:tcPr>
            <w:tcW w:w="298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1,434</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1,841</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6,688</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794</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4,779</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11,407</w:t>
            </w:r>
          </w:p>
        </w:tc>
      </w:tr>
      <w:tr>
        <w:trPr/>
        <w:tc>
          <w:tcPr>
            <w:tcW w:w="29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1,011</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3,419</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14,826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893570" cy="175260"/>
                      <wp:effectExtent l="0" t="0" r="0" b="0"/>
                      <wp:wrapNone/>
                      <wp:docPr id="404" name="Frame404"/>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2240" cy="175260"/>
                      <wp:effectExtent l="0" t="0" r="0" b="0"/>
                      <wp:wrapNone/>
                      <wp:docPr id="406" name="Frame40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44170" cy="175260"/>
                      <wp:effectExtent l="0" t="0" r="0" b="0"/>
                      <wp:wrapNone/>
                      <wp:docPr id="407" name="Frame40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14935" cy="175260"/>
                      <wp:effectExtent l="0" t="0" r="0" b="0"/>
                      <wp:wrapNone/>
                      <wp:docPr id="409" name="Frame4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76860" cy="175260"/>
                      <wp:effectExtent l="0" t="0" r="0" b="0"/>
                      <wp:wrapNone/>
                      <wp:docPr id="410" name="Frame41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47955" cy="175260"/>
                      <wp:effectExtent l="0" t="0" r="0" b="0"/>
                      <wp:wrapNone/>
                      <wp:docPr id="412" name="Frame41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57505" cy="175260"/>
                      <wp:effectExtent l="0" t="0" r="0" b="0"/>
                      <wp:wrapNone/>
                      <wp:docPr id="413" name="Frame41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60020" cy="175260"/>
                      <wp:effectExtent l="0" t="0" r="0" b="0"/>
                      <wp:wrapNone/>
                      <wp:docPr id="415" name="Frame41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07340" cy="175260"/>
                      <wp:effectExtent l="0" t="0" r="0" b="0"/>
                      <wp:wrapNone/>
                      <wp:docPr id="416" name="Frame41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14935" cy="175260"/>
                      <wp:effectExtent l="0" t="0" r="0" b="0"/>
                      <wp:wrapNone/>
                      <wp:docPr id="418" name="Frame4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7635" cy="175260"/>
                      <wp:effectExtent l="0" t="0" r="0" b="0"/>
                      <wp:wrapNone/>
                      <wp:docPr id="421" name="Frame42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44475" cy="175260"/>
                      <wp:effectExtent l="0" t="0" r="0" b="0"/>
                      <wp:wrapNone/>
                      <wp:docPr id="422" name="Frame42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38125" cy="175260"/>
                      <wp:effectExtent l="0" t="0" r="0" b="0"/>
                      <wp:wrapNone/>
                      <wp:docPr id="425" name="Frame4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14935" cy="175260"/>
                      <wp:effectExtent l="0" t="0" r="0" b="0"/>
                      <wp:wrapNone/>
                      <wp:docPr id="427" name="Frame4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27025" cy="175260"/>
                      <wp:effectExtent l="0" t="0" r="0" b="0"/>
                      <wp:wrapNone/>
                      <wp:docPr id="428" name="Frame42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8430" cy="175260"/>
                      <wp:effectExtent l="0" t="0" r="0" b="0"/>
                      <wp:wrapNone/>
                      <wp:docPr id="430" name="Frame4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62915" cy="175260"/>
                      <wp:effectExtent l="0" t="0" r="0" b="0"/>
                      <wp:wrapNone/>
                      <wp:docPr id="431" name="Frame43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2024</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1,397</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2,603</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2,814</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16,279</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3,476</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1,919</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4,699</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6,809</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11,658</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lef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447</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2,155</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4,621</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16,279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September 30, 2025, we recorded an expense of $127 million on pre-tax income of $538 million compared to an income tax benefit of $13 million on pre-tax income of $67 million for the three months ended September 30, 2024. Our effective income tax rate was 23.7% and (19.4%) for the three months ended September 30, 2025 and 2024,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September 30, 2025, the effective tax rate was higher than the statutory federal rate of 21%, for corporations, primarily due to changes in valuation allowances offset in part by changes in pre-tax earnings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attributable to noncontrolling interests. For the three months ended September 30, 2024, the effective tax rate was lower than the statutory federal rate of 21%, for corporations, primarily due to partnership gains for which there was no tax expense as such income is allocated to the partners.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nine months ended September 30, 2025, we recorded an income tax expense of $8 million on pre-tax loss of $362 million compared to an income tax benefit of $2 million on pre-tax loss of $434 million for the nine months ended September 30, 2024. Our effective income tax rate was (2.2) % and 0.5% for the nine months ended September 30, 2025 and 2024, respectively.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nine months ended September 30, 2025, the effective tax rate was lower than the statutory federal rate of 21%, for corporations, primarily due to changes in the valuation allowance and from partnership losses for which there was no tax benefit as such losses are allocated to the partners. For the nine months ended September 30, 2024, the effective tax rate was lower than the statutory federal rate of 21%, for corporations, primarily due to changes in the valuation allowance and from partnership losses for which there was no tax benefit as such losses are allocated to the partners.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013" w:name="Tc_5_nQUOkEOU2qECAFEII2Ug_8_8"/>
      <w:bookmarkStart w:id="2014" w:name="Tc_MxpvirNIU0GSfvkHTw9-wg_8_5"/>
      <w:bookmarkStart w:id="2015" w:name="Tc_4qWzV7BEBE6jwEBRl5_vAg_8_2"/>
      <w:bookmarkStart w:id="2016" w:name="Tc_S1lH-o-B_EWOVyjYyLa0Eg_8_0"/>
      <w:bookmarkStart w:id="2017" w:name="Tc_dSMG0dvrdEq6AWsOMCdDAA_7_9"/>
      <w:bookmarkStart w:id="2018" w:name="Tc_2lJ6GEurB0uuiPyZn8_6RA_7_6"/>
      <w:bookmarkStart w:id="2019" w:name="Tc_Ajp4Tza1IE23AGn498X0Tw_7_3"/>
      <w:bookmarkStart w:id="2020" w:name="Tc_FN_etwpHBEuf_JdW6gBoJA_7_0"/>
      <w:bookmarkStart w:id="2021" w:name="Tc_gRG4MCbUmkahJDu9T0v7Mw_6_9"/>
      <w:bookmarkStart w:id="2022" w:name="Tc_mdl3VLzRf06EdCi4fPs5Cg_6_6"/>
      <w:bookmarkStart w:id="2023" w:name="Tc_XjJ3i16bJ0mc-VObXdO3Xw_6_3"/>
      <w:bookmarkStart w:id="2024" w:name="Tc_KxqTPXLyNEOFRbdZn_1Xqg_6_0"/>
      <w:bookmarkStart w:id="2025" w:name="Tc_45H9X9v_Gkm2_ruhypKC_w_5_8"/>
      <w:bookmarkStart w:id="2026" w:name="Tc_1_l1cJ4gt02pofMdsVQB8A_5_5"/>
      <w:bookmarkStart w:id="2027" w:name="Tc_TjE_7NeF4EOt0jR_FAAJOg_5_2"/>
      <w:bookmarkStart w:id="2028" w:name="Tc_-Ys7CCwagk-cUkzYv6RPFg_5_0"/>
      <w:bookmarkStart w:id="2029" w:name="Tc_Q65932XLNUWNHyGmxQbGqw_4_2"/>
      <w:bookmarkStart w:id="2030" w:name="Tc_aAjOrxg_o02EvrKEWEY-Ng_3_8"/>
      <w:bookmarkStart w:id="2031" w:name="Tc_QJhz6kTOT0qOrOqdyxlYVw_3_5"/>
      <w:bookmarkStart w:id="2032" w:name="Tc_UYRprn2VA0OKki-sHFjT9A_3_2"/>
      <w:bookmarkStart w:id="2033" w:name="Tc_rDAeoq30UEyyP1ahDSYEMw_2_5"/>
      <w:bookmarkStart w:id="2034" w:name="Tc_LFcuSB9O_EWUTjshRJgicw_2_2"/>
      <w:bookmarkStart w:id="2035" w:name="Tc_w-xsFGpDhkuFe2O4Z34U9w_1_5"/>
      <w:bookmarkStart w:id="2036" w:name="Tc_GFyxBfcrXEO7Gc6UU6x_mQ_1_2"/>
      <w:bookmarkStart w:id="2037" w:name="_f553d881_d024_487e_8cc9_90ad0e8e791d"/>
      <w:bookmarkStart w:id="2038" w:name="Tc_x_m_g_NckU-6tRsPaQuHQA_8_8"/>
      <w:bookmarkStart w:id="2039" w:name="Tc_NJVFIzA-AE665a7HGEkkMQ_8_5"/>
      <w:bookmarkStart w:id="2040" w:name="Tc_EBDhe6f8ekiib0s--wqcvA_8_2"/>
      <w:bookmarkStart w:id="2041" w:name="Tc_FvyOUiJBJ0GClCbF6hmOag_8_0"/>
      <w:bookmarkStart w:id="2042" w:name="Tc_gzP1MzGH50etc9-aQnTCMA_7_0"/>
      <w:bookmarkStart w:id="2043" w:name="Tc_0YAVHmLtN0WEzHR9rRAZ1w_6_0"/>
      <w:bookmarkStart w:id="2044" w:name="Tc_KaMU4lRbE0GGZFaOBrbsaQ_5_8"/>
      <w:bookmarkStart w:id="2045" w:name="Tc_41vC3A-kL0iIiRwYegOpXw_5_5"/>
      <w:bookmarkStart w:id="2046" w:name="Tc_nbp9zTj9R0iIY3WFvugEGg_5_2"/>
      <w:bookmarkStart w:id="2047" w:name="Tc_It4ua0lq0kOvVHYCz0h9ng_5_0"/>
      <w:bookmarkStart w:id="2048" w:name="Tc_DtG9kkydakOuuETxWJDwSQ_4_2"/>
      <w:bookmarkStart w:id="2049" w:name="Tc_QhkirtP1R0KcTJ5WfSZRww_3_8"/>
      <w:bookmarkStart w:id="2050" w:name="Tc_3ln-P57lTE6jJnAm1aTsEA_3_5"/>
      <w:bookmarkStart w:id="2051" w:name="Tc_4nDcbzKLZEikGPAng3eeXA_3_2"/>
      <w:bookmarkStart w:id="2052" w:name="Tc_bbYUQuTZZUiBqY6F9dYseA_2_5"/>
      <w:bookmarkStart w:id="2053" w:name="Tc_PZ_6ty1yHE61baYsm-IPUg_2_2"/>
      <w:bookmarkStart w:id="2054" w:name="Tc_CyEB-sS77EKdBh5gA4Hbkg_1_5"/>
      <w:bookmarkStart w:id="2055" w:name="Tc_Fxc2hKpvHkCjmKEZbHySKg_1_2"/>
      <w:bookmarkStart w:id="2056" w:name="_b940a727_a659_41e4_917f_795385e7d7aa"/>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r>
        <w:rPr>
          <w:rFonts w:ascii="Times New Roman;Times;serif" w:hAnsi="Times New Roman;Times;serif"/>
          <w:b/>
          <w:sz w:val="20"/>
        </w:rPr>
        <w:t>14.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9622" w:type="dxa"/>
        <w:jc w:val="left"/>
        <w:tblInd w:w="0" w:type="dxa"/>
        <w:tblLayout w:type="fixed"/>
        <w:tblCellMar>
          <w:top w:w="0" w:type="dxa"/>
          <w:left w:w="0" w:type="dxa"/>
          <w:bottom w:w="0" w:type="dxa"/>
          <w:right w:w="0" w:type="dxa"/>
        </w:tblCellMar>
      </w:tblPr>
      <w:tblGrid>
        <w:gridCol w:w="4966"/>
        <w:gridCol w:w="326"/>
        <w:gridCol w:w="543"/>
        <w:gridCol w:w="972"/>
        <w:gridCol w:w="326"/>
        <w:gridCol w:w="528"/>
        <w:gridCol w:w="943"/>
        <w:gridCol w:w="32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153410" cy="175260"/>
                      <wp:effectExtent l="0" t="0" r="0" b="0"/>
                      <wp:wrapNone/>
                      <wp:docPr id="432" name="Frame432"/>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44805" cy="175260"/>
                      <wp:effectExtent l="0" t="0" r="0" b="0"/>
                      <wp:wrapNone/>
                      <wp:docPr id="434" name="Frame43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17220" cy="175260"/>
                      <wp:effectExtent l="0" t="0" r="0" b="0"/>
                      <wp:wrapNone/>
                      <wp:docPr id="435" name="Frame435"/>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35280" cy="175260"/>
                      <wp:effectExtent l="0" t="0" r="0" b="0"/>
                      <wp:wrapNone/>
                      <wp:docPr id="437" name="Frame43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8805" cy="175260"/>
                      <wp:effectExtent l="0" t="0" r="0" b="0"/>
                      <wp:wrapNone/>
                      <wp:docPr id="438" name="Frame438"/>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05435" cy="175260"/>
                      <wp:effectExtent l="0" t="0" r="0" b="0"/>
                      <wp:wrapNone/>
                      <wp:docPr id="441" name="Frame44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2025</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firstLine="360"/>
        <w:jc w:val="left"/>
        <w:rPr/>
      </w:pPr>
      <w:r>
        <w:rPr/>
        <w:t>​</w:t>
      </w:r>
    </w:p>
    <w:tbl>
      <w:tblPr>
        <w:tblW w:w="9622" w:type="dxa"/>
        <w:jc w:val="left"/>
        <w:tblInd w:w="0" w:type="dxa"/>
        <w:tblLayout w:type="fixed"/>
        <w:tblCellMar>
          <w:top w:w="0" w:type="dxa"/>
          <w:left w:w="0" w:type="dxa"/>
          <w:bottom w:w="0" w:type="dxa"/>
          <w:right w:w="0" w:type="dxa"/>
        </w:tblCellMar>
      </w:tblPr>
      <w:tblGrid>
        <w:gridCol w:w="4966"/>
        <w:gridCol w:w="326"/>
        <w:gridCol w:w="543"/>
        <w:gridCol w:w="972"/>
        <w:gridCol w:w="326"/>
        <w:gridCol w:w="528"/>
        <w:gridCol w:w="943"/>
        <w:gridCol w:w="32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153410" cy="175260"/>
                      <wp:effectExtent l="0" t="0" r="0" b="0"/>
                      <wp:wrapNone/>
                      <wp:docPr id="442" name="Frame442"/>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44805" cy="175260"/>
                      <wp:effectExtent l="0" t="0" r="0" b="0"/>
                      <wp:wrapNone/>
                      <wp:docPr id="444" name="Frame44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17220" cy="175260"/>
                      <wp:effectExtent l="0" t="0" r="0" b="0"/>
                      <wp:wrapNone/>
                      <wp:docPr id="445" name="Frame445"/>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35280" cy="175260"/>
                      <wp:effectExtent l="0" t="0" r="0" b="0"/>
                      <wp:wrapNone/>
                      <wp:docPr id="447" name="Frame44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8805" cy="175260"/>
                      <wp:effectExtent l="0" t="0" r="0" b="0"/>
                      <wp:wrapNone/>
                      <wp:docPr id="448" name="Frame448"/>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05435" cy="175260"/>
                      <wp:effectExtent l="0" t="0" r="0" b="0"/>
                      <wp:wrapNone/>
                      <wp:docPr id="451" name="Frame45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57" w:name="Tc_r7PUpqm0N0KU5fP5eAJBSA_8_11"/>
      <w:bookmarkStart w:id="2058" w:name="Tc_lqherSePd0aAT_XLtHdwEA_8_8"/>
      <w:bookmarkStart w:id="2059" w:name="Tc_KbD-QxAMtk2jaS-EMImfVg_8_5"/>
      <w:bookmarkStart w:id="2060" w:name="Tc_mmFqtuvSnUGuPR4HhR2xfA_8_2"/>
      <w:bookmarkStart w:id="2061" w:name="Tc_lbhau2dI1UG_v4iBK8m-Bg_7_0"/>
      <w:bookmarkStart w:id="2062" w:name="Tc_3twweCN6UUKH0VRZcgvQJw_6_0"/>
      <w:bookmarkStart w:id="2063" w:name="Tc_nBtdmrqOFkmnadrNBXXNcQ_5_6"/>
      <w:bookmarkStart w:id="2064" w:name="Tc_0zp62FTqQkSIxQ5wth6TuQ_5_0"/>
      <w:bookmarkStart w:id="2065" w:name="Tc_-aMNdrSddUq8pmtzUtnIqQ_4_11"/>
      <w:bookmarkStart w:id="2066" w:name="Tc_zRKMAdNn1EyIg37gj6MQOQ_4_8"/>
      <w:bookmarkStart w:id="2067" w:name="Tc_-BF6mu7UqE6sYTixzaZS2A_4_5"/>
      <w:bookmarkStart w:id="2068" w:name="Tc_PIoqOjGyu0-WlEObabwkkw_4_2"/>
      <w:bookmarkStart w:id="2069" w:name="Tc_DYwT7-ymn06HcwN4pXtDWw_4_0"/>
      <w:bookmarkStart w:id="2070" w:name="Tc_SiSB0gMOq0K2phRLVdReiQ_3_2"/>
      <w:bookmarkStart w:id="2071" w:name="Tc_hXT87q-iskCQJr1xUu2HWg_2_11"/>
      <w:bookmarkStart w:id="2072" w:name="Tc_d1tUN44erkuO4zK863Xs9Q_2_8"/>
      <w:bookmarkStart w:id="2073" w:name="Tc_lXmKt27kTkS7oZpSJnG-sw_2_5"/>
      <w:bookmarkStart w:id="2074" w:name="Tc_E6lDb_yMREKY5kScbi4E4g_2_2"/>
      <w:bookmarkStart w:id="2075" w:name="Tc_Kbiv-YE9p0i6iA9chn7nqQ_1_8"/>
      <w:bookmarkStart w:id="2076" w:name="Tc_59hZDYXhl0SGFLiA0uHLUQ_1_2"/>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r>
        <w:rPr>
          <w:rFonts w:ascii="Times New Roman;Times;serif" w:hAnsi="Times New Roman;Times;serif"/>
          <w:b/>
          <w:sz w:val="20"/>
        </w:rPr>
        <w:t>15.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30"/>
        <w:gridCol w:w="326"/>
        <w:gridCol w:w="440"/>
        <w:gridCol w:w="675"/>
        <w:gridCol w:w="673"/>
        <w:gridCol w:w="435"/>
        <w:gridCol w:w="714"/>
        <w:gridCol w:w="326"/>
        <w:gridCol w:w="409"/>
        <w:gridCol w:w="613"/>
        <w:gridCol w:w="632"/>
        <w:gridCol w:w="409"/>
        <w:gridCol w:w="823"/>
      </w:tblGrid>
      <w:tr>
        <w:trPr/>
        <w:tc>
          <w:tcPr>
            <w:tcW w:w="3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368550" cy="175260"/>
                      <wp:effectExtent l="0" t="0" r="0" b="0"/>
                      <wp:wrapNone/>
                      <wp:docPr id="452" name="Frame452"/>
                      <a:graphic xmlns:a="http://schemas.openxmlformats.org/drawingml/2006/main">
                        <a:graphicData uri="http://schemas.microsoft.com/office/word/2010/wordprocessingShape">
                          <wps:wsp>
                            <wps:cNvSpPr txBox="1"/>
                            <wps:spPr>
                              <a:xfrm>
                                <a:off x="0" y="0"/>
                                <a:ext cx="2368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79400" cy="175260"/>
                      <wp:effectExtent l="0" t="0" r="0" b="0"/>
                      <wp:wrapNone/>
                      <wp:docPr id="454" name="Frame454"/>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28625" cy="175260"/>
                      <wp:effectExtent l="0" t="0" r="0" b="0"/>
                      <wp:wrapNone/>
                      <wp:docPr id="455" name="Frame455"/>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27355" cy="175260"/>
                      <wp:effectExtent l="0" t="0" r="0" b="0"/>
                      <wp:wrapNone/>
                      <wp:docPr id="456" name="Frame456"/>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76225" cy="175260"/>
                      <wp:effectExtent l="0" t="0" r="0" b="0"/>
                      <wp:wrapNone/>
                      <wp:docPr id="457" name="Frame457"/>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53390" cy="175260"/>
                      <wp:effectExtent l="0" t="0" r="0" b="0"/>
                      <wp:wrapNone/>
                      <wp:docPr id="458" name="Frame45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59715" cy="175260"/>
                      <wp:effectExtent l="0" t="0" r="0" b="0"/>
                      <wp:wrapNone/>
                      <wp:docPr id="460" name="Frame46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89255" cy="175260"/>
                      <wp:effectExtent l="0" t="0" r="0" b="0"/>
                      <wp:wrapNone/>
                      <wp:docPr id="461" name="Frame461"/>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01320" cy="175260"/>
                      <wp:effectExtent l="0" t="0" r="0" b="0"/>
                      <wp:wrapNone/>
                      <wp:docPr id="462" name="Frame462"/>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59715" cy="175260"/>
                      <wp:effectExtent l="0" t="0" r="0" b="0"/>
                      <wp:wrapNone/>
                      <wp:docPr id="463" name="Frame46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22605" cy="175260"/>
                      <wp:effectExtent l="0" t="0" r="0" b="0"/>
                      <wp:wrapNone/>
                      <wp:docPr id="464" name="Frame46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8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3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73" w:type="dxa"/>
            <w:tcBorders/>
            <w:vAlign w:val="center"/>
          </w:tcPr>
          <w:p>
            <w:pPr>
              <w:pStyle w:val="TableContents"/>
              <w:bidi w:val="0"/>
              <w:spacing w:before="0" w:after="0"/>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32"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49"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73"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32"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transaction (loss) gain</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73"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32"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73"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32"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73"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32"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73"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632"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$3 million and $3 million as of September 30, 2025 and December 31, 2024,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RFS Disputes</w:t>
      </w:r>
      <w:r>
        <w:rPr>
          <w:rFonts w:ascii="Times New Roman;Times;serif" w:hAnsi="Times New Roman;Times;serif"/>
          <w:sz w:val="20"/>
        </w:rPr>
        <w:t xml:space="preserve"> - CVR Energy’s obligated-party subsidiaries are subject to the Renewable Fuel Standard (“RFS”) implemented by the U.S. Environmental Protection Agency (“EPA”) which, absent any exemption or waiver,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22, 2025, the EPA issued a decision document to WRC affirming the validity of its previous grants of WRC’s petitions for small refinery hardship relief under the RFS for WRC’s 2017 and 2018 compliance periods, granting 100 percent waivers for WRC’s 2019 and 2021 compliance periods and granting 50 percent waivers for its 2020, 2022, 2023 and 2024 compliance periods (the “2025 SRE Decision”). Based on this decision, WRC’s obligations for the 2020 through 2024 compliance periods were reduced by more than 424 million RINs, representing approximately $488 million. WRC timely complied with its RFS obligations for the 2023 and prior compliance periods by the October 1, 2025 deadline set forth in the 2025 SRE Decision. In July 2025, the EPA’s partial waiver of the 2024 cellulosic biofuel volume requirement was published in the Federal Register, making the RFS compliance reporting deadline for all obligated parties for the 2024 compliance period December 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077" w:name="_Hlk172889507"/>
      <w:bookmarkEnd w:id="2077"/>
      <w:r>
        <w:rPr>
          <w:rFonts w:ascii="Times New Roman;Times;serif" w:hAnsi="Times New Roman;Times;serif"/>
          <w:sz w:val="20"/>
        </w:rPr>
        <w:t xml:space="preserve">Taking into account the 2025 SRE decision that resulted in a benefit of $488 million, our Energy segment recognized, net of RINS sales, a benefit of $417 million and an expense of $86 million for the three months ended September 30, 2025 and 2024, respectively, and a benefit of $171 million and an expense of $65 million for the nine months ended September 30, 2025 and 2024, respectively, for CVR Energy’s obligated-party subsidiaries’ compliance with the RFS (based on the 2020 through 2025 annual RVO,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September 30, 2025 and December 31, 2024, CVR Energy’s obligated-party subsidiaries’ RFS position was $93 million and $323 million, respectively, and is included in accrued expenses and other liabilities in the condensed consolidated balance sheets. Our Energy segment continues to accrue WRC’s 2025 RFS obligation at 100% of the required amount, as no waiver has yet been granted for that compliance year. Our Energy segment estimates that WRC’s 2025 obligation will represent approximately 120 million RINs as of the end of the current fiscal year absent a waiver.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 Recent developments since the last periodic report of the Company are discussed below. </w:t>
      </w:r>
    </w:p>
    <w:p>
      <w:pPr>
        <w:pStyle w:val="TextBody"/>
        <w:bidi w:val="0"/>
        <w:spacing w:lineRule="atLeast" w:line="220" w:before="0" w:after="18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Renewable Fuel Standard</w:t>
      </w:r>
      <w:r>
        <w:rPr>
          <w:rFonts w:ascii="Times New Roman;Times;serif" w:hAnsi="Times New Roman;Times;serif"/>
          <w:sz w:val="20"/>
        </w:rPr>
        <w:t xml:space="preserve"> </w:t>
      </w:r>
      <w:r>
        <w:rPr>
          <w:rFonts w:ascii="Times New Roman;Times;serif" w:hAnsi="Times New Roman;Times;serif"/>
          <w:i/>
          <w:sz w:val="20"/>
        </w:rPr>
        <w:t>Litigation</w:t>
      </w:r>
      <w:r>
        <w:rPr>
          <w:rFonts w:ascii="Times New Roman;Times;serif" w:hAnsi="Times New Roman;Times;serif"/>
          <w:sz w:val="20"/>
        </w:rPr>
        <w:t xml:space="preserve"> – WRC’s previous legal challenges against the EPA relating to WRC’s SRE petitions for its historical compliance periods were effectively mooted by the 2025 SRE Decision. On October 27, 2025, WRC filed in the United States Circuit Court for the District of Columbia Circuit (the “DC Circuit”) a petition for review of the 2025 EPA Decision as respect to WRC’s 2020, 2022, 2023 and 2024 SREs, primarily intended to preserve WRC’s rights to challenge scoring and decisions relating to WRC’s future SRE petitions; similar petitions for review of the 2025 SRE Decision were filed by multiple other refineries and others.  Also in August 2025, the EPA requested additional information from WRC relating to its SRE petition for the 2025 compliance period, which WRC submitted in July 2025, ruling on which WRC believes was due from the EPA in October 2025. WRC is currently evaluating such request and any actions WRC may take relating to its SRE petition for the 2025 compliance period. As these matters are in their earliest stages, the Company cannot yet determine the impact thereof, or any actions of the EPA relating thereto, could have on WRC’s past, current, and future obligations under the RFS or the Company’s financial position, results of operations, or cash flows, which could be material.</w:t>
      </w:r>
    </w:p>
    <w:p>
      <w:pPr>
        <w:pStyle w:val="TextBody"/>
        <w:bidi w:val="0"/>
        <w:spacing w:lineRule="atLeast" w:line="240" w:before="0" w:after="240"/>
        <w:ind w:left="0" w:right="0" w:firstLine="360"/>
        <w:jc w:val="both"/>
        <w:rPr>
          <w:rFonts w:ascii="Times New Roman;Times;serif" w:hAnsi="Times New Roman;Times;serif"/>
          <w:sz w:val="20"/>
        </w:rPr>
      </w:pPr>
      <w:r>
        <w:rPr>
          <w:rFonts w:ascii="Times New Roman;Times;serif" w:hAnsi="Times New Roman;Times;serif"/>
          <w:i/>
          <w:sz w:val="20"/>
        </w:rPr>
        <w:t>Wynnewood Refinery 2023 Fire Claim</w:t>
      </w:r>
      <w:r>
        <w:rPr>
          <w:rFonts w:ascii="Times New Roman;Times;serif" w:hAnsi="Times New Roman;Times;serif"/>
          <w:sz w:val="20"/>
        </w:rPr>
        <w:t xml:space="preserve"> – In August 2025, plaintiffs in a lawsuit filed by three contractor employees alleging personal injuries arising from the 2023 fire at the Wynnewood Refinery owned and operated by CVR Energy subsidiaries issued a settlement demand in the amount of $60 million. CVR Energy disputes plaintiffs’ claims and has tendered defense and indemnity of the lawsuit to certain of its contractors and carriers. Trial is currently set for January 6, 2026. While CVR Energy is defending itself, if this matter is ultimately concluded in a manner adverse to CVR Energy, it could have a material effect on CVR Energy’s financial position, results of operations,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i/>
          <w:sz w:val="20"/>
        </w:rPr>
        <w:t>CRNF Ammonia Release</w:t>
      </w:r>
      <w:r>
        <w:rPr>
          <w:rFonts w:ascii="Times New Roman;Times;serif" w:hAnsi="Times New Roman;Times;serif"/>
          <w:sz w:val="20"/>
        </w:rPr>
        <w:t xml:space="preserve"> – In October 2025, a lawsuit was filed against CVR Energy in the 268</w:t>
      </w:r>
      <w:r>
        <w:rPr>
          <w:rFonts w:ascii="Times New Roman;Times;serif" w:hAnsi="Times New Roman;Times;serif"/>
          <w:sz w:val="15"/>
        </w:rPr>
        <w:t>th</w:t>
      </w:r>
      <w:r>
        <w:rPr>
          <w:rFonts w:ascii="Times New Roman;Times;serif" w:hAnsi="Times New Roman;Times;serif"/>
          <w:sz w:val="20"/>
        </w:rPr>
        <w:t xml:space="preserve"> Judicial District Court of Fort Bend County, Texas alleging damages arising from an ammonia release that occurred at the fertilizer facility owned and operated by a CVR Energy affiliate in October 2025, following which multiple individuals were transported to hospitals for evaluation and treatment. As this matter is in its earliest stages, CVR Energy cannot yet determine whether this incident could have a material adverse effect on CVR Energy’s financial position, results of operations, or cash flows.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Guaranty Dispute</w:t>
      </w:r>
      <w:r>
        <w:rPr>
          <w:rFonts w:ascii="Times New Roman;Times;serif" w:hAnsi="Times New Roman;Times;serif"/>
          <w:sz w:val="20"/>
        </w:rPr>
        <w:t xml:space="preserve"> – In October 2025, a subsidiary of CVR Energy entered into a stipulation with Exxon Mobil Corporation (“XOM”) in connection with the lawsuit it filed in the Superior Court of the State of Delaware disputing the validity of an alleged guaranty claimed by XOM to have been issued in its favor in 1993 extending all deadlines under the litigation until December 1, 2025. As this matter remains in its early stages, the Company cannot yet determine whether its outcome will have a material adverse impact on the Company’s financial position, results of operations, or cash flows.</w:t>
      </w:r>
    </w:p>
    <w:p>
      <w:pPr>
        <w:pStyle w:val="TextBody"/>
        <w:bidi w:val="0"/>
        <w:spacing w:before="0" w:after="0"/>
        <w:ind w:left="0" w:right="0" w:firstLine="360"/>
        <w:jc w:val="left"/>
        <w:rPr/>
      </w:pPr>
      <w:r>
        <w:rPr/>
        <w:t>​</w:t>
      </w:r>
    </w:p>
    <w:p>
      <w:pPr>
        <w:pStyle w:val="TextBody"/>
        <w:bidi w:val="0"/>
        <w:spacing w:lineRule="atLeast" w:line="220" w:before="0" w:after="16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lineRule="atLeast" w:line="220" w:before="0" w:after="16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September 30,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 the liabilities of a pension plan sponsored by Viskase. All the minimum funding requirements of the Internal Revenue Code, as amended, and the Employee Retirement Income Security Act of 1974, as amended, for the Viskase plan have been met as of September 30, 2025. If the plan was voluntarily terminated, it would be underfunded by approximately $21 million as of September 30, 2025. These results are based on the most recent information provided by the plans’ actuary. This liability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 In addition, other entities now or in the future within the controlled group in which we are included may have pension plan obligations that are, or may become, underfunded and we would be liable for any failure of such entity to make ongoing pension contributions or to pay the unfunded liabilities upon termination of such plan.</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Viskase pension plan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078" w:name="Tc_VLl5IbvFQ0OF5jH5ceUsFA_7_0"/>
      <w:bookmarkStart w:id="2079" w:name="Tc_FO4WgOd5IE6SiVWxoR2siQ_6_6"/>
      <w:bookmarkStart w:id="2080" w:name="Tc_vtaIBN8PqUimxPcpB99HdA_6_0"/>
      <w:bookmarkStart w:id="2081" w:name="Tc_MxoBTLWy_UeDR7--IfJEVA_5_0"/>
      <w:bookmarkStart w:id="2082" w:name="Tc_2omrVlXlAUmKlsEEfQW1Og_4_5"/>
      <w:bookmarkStart w:id="2083" w:name="Tc_oc4rBd1v9E-d-wNy5T2XTw_4_2"/>
      <w:bookmarkStart w:id="2084" w:name="Tc_rwK33RzTM0KLLWAPrMy8bA_4_0"/>
      <w:bookmarkStart w:id="2085" w:name="Tc_TiB1k9jBQUCcu3nbUMY9DQ_3_2"/>
      <w:bookmarkStart w:id="2086" w:name="Tc_RpLC20g7b0e06Qc8lKqQeA_2_5"/>
      <w:bookmarkStart w:id="2087" w:name="Tc_8XEa7kAzNk2zi0jp-VpeCA_2_2"/>
      <w:bookmarkStart w:id="2088" w:name="Tc_RLdaQExsLk2tWPkafQaU0A_1_2"/>
      <w:bookmarkEnd w:id="2078"/>
      <w:bookmarkEnd w:id="2079"/>
      <w:bookmarkEnd w:id="2080"/>
      <w:bookmarkEnd w:id="2081"/>
      <w:bookmarkEnd w:id="2082"/>
      <w:bookmarkEnd w:id="2083"/>
      <w:bookmarkEnd w:id="2084"/>
      <w:bookmarkEnd w:id="2085"/>
      <w:bookmarkEnd w:id="2086"/>
      <w:bookmarkEnd w:id="2087"/>
      <w:bookmarkEnd w:id="2088"/>
      <w:r>
        <w:rPr>
          <w:rFonts w:ascii="Times New Roman;Times;serif" w:hAnsi="Times New Roman;Times;serif"/>
          <w:b/>
          <w:sz w:val="20"/>
        </w:rPr>
        <w:t>17.  Supplemental Cash Flow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Supplemental cash flow information consists of the following: </w:t>
      </w:r>
    </w:p>
    <w:p>
      <w:pPr>
        <w:pStyle w:val="TextBody"/>
        <w:bidi w:val="0"/>
        <w:spacing w:before="0" w:after="0"/>
        <w:ind w:left="0" w:right="0" w:hanging="0"/>
        <w:jc w:val="left"/>
        <w:rPr/>
      </w:pPr>
      <w:r>
        <w:rPr/>
        <w:t>​</w:t>
      </w:r>
    </w:p>
    <w:tbl>
      <w:tblPr>
        <w:tblW w:w="7525" w:type="dxa"/>
        <w:jc w:val="left"/>
        <w:tblInd w:w="0" w:type="dxa"/>
        <w:tblLayout w:type="fixed"/>
        <w:tblCellMar>
          <w:top w:w="0" w:type="dxa"/>
          <w:left w:w="0" w:type="dxa"/>
          <w:bottom w:w="0" w:type="dxa"/>
          <w:right w:w="0" w:type="dxa"/>
        </w:tblCellMar>
      </w:tblPr>
      <w:tblGrid>
        <w:gridCol w:w="4111"/>
        <w:gridCol w:w="326"/>
        <w:gridCol w:w="347"/>
        <w:gridCol w:w="891"/>
        <w:gridCol w:w="537"/>
        <w:gridCol w:w="347"/>
        <w:gridCol w:w="96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610485" cy="175260"/>
                      <wp:effectExtent l="0" t="0" r="0" b="0"/>
                      <wp:wrapNone/>
                      <wp:docPr id="465" name="Frame46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20345" cy="175260"/>
                      <wp:effectExtent l="0" t="0" r="0" b="0"/>
                      <wp:wrapNone/>
                      <wp:docPr id="467" name="Frame46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65785" cy="175260"/>
                      <wp:effectExtent l="0" t="0" r="0" b="0"/>
                      <wp:wrapNone/>
                      <wp:docPr id="468" name="Frame468"/>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40995" cy="175260"/>
                      <wp:effectExtent l="0" t="0" r="0" b="0"/>
                      <wp:wrapNone/>
                      <wp:docPr id="469" name="Frame46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20345" cy="175260"/>
                      <wp:effectExtent l="0" t="0" r="0" b="0"/>
                      <wp:wrapNone/>
                      <wp:docPr id="470" name="Frame47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13410" cy="175260"/>
                      <wp:effectExtent l="0" t="0" r="0" b="0"/>
                      <wp:wrapNone/>
                      <wp:docPr id="471" name="Frame471"/>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37" w:type="dxa"/>
            <w:tcBorders/>
            <w:vAlign w:val="center"/>
          </w:tcPr>
          <w:p>
            <w:pPr>
              <w:pStyle w:val="TableContents"/>
              <w:bidi w:val="0"/>
              <w:spacing w:before="0" w:after="0"/>
              <w:ind w:left="0" w:right="0" w:hanging="0"/>
              <w:jc w:val="left"/>
              <w:rPr/>
            </w:pPr>
            <w:r>
              <w:rPr/>
              <w:t>    </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5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8"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537"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income taxes, net of payments</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37"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related party note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537"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equity method investment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537"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Transfer of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2025, our Automotive segment completed the transfer of a group of owned real estate properties to our Real Estate segment. The transaction was completed at historical cost and accounted for as an asset acquisition under ASC 805, consistent with common control accounting guidance. The assets transferred include land, buildings, leasehold improvements, and in-place leases previously held by the Automotive segment. Following the transfer, the Real Estate segment assumed control of the properties and will manage and lease them as part of its ongoing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transfer resulted in a material change to the net assets of the Automotive reporting unit. As such, the Company considered this a triggering event for potential impairment and is in process of performing a quantitative impairment assessment as of October 1, 2025, in accordance with the guidance in ASC 350 and ASC 360. As of the date of this filing, the impairment analysis is ongoing and not yet complete and any potential impairment cannot be estimated at this time.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November 3, 2025, the Board of Directors of the general partner of Icahn Enterprises declared a quarterly distribution in the amount of $0.50 per depositary unit, which will be paid on or about December 24, 2025 to depositary unitholders of record at the close of business on November 17, 2025. Depositary unitholders will have until December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19, 2025.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89" w:name="Item2ManagementsDiscussionandAnalysisofF"/>
      <w:bookmarkStart w:id="2090" w:name="_b3354c12_0e80_4261_a19a_6dc650d7dcb4"/>
      <w:bookmarkEnd w:id="2089"/>
      <w:bookmarkEnd w:id="209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2025 (this “Report”), as well as our Annual Report on Form 10-K for the year ended December 31, 2024 filed with the Securities and Exchange Commission on February 26,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2025 representing an aggregate 1.99% general partner interest in Icahn Enterprises and Icahn Enterprises Holdings. Mr. Icahn and his affiliates owned approximately 86% of Icahn Enterprises’ outstanding depositary units as of September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NewRoman" w:hAnsi="TimesNewRoman"/>
          <w:sz w:val="20"/>
        </w:rPr>
        <w:t xml:space="preserve">In August 2025, the U.S. Environmental Protection Agency (the “EPA”) issued a decision document to a subsidiary of our Energy segment, Wynnewood Refining Company, LLC (“WRC”), affirming the validity of its previous grant of WRC’s petitions for small refinery hardship relief under the Renewal Fuel Standards (“RFS”) for WRC’s 2017 and 2018 compliance periods, granting 100 percent waivers for WRC’s 2019 and 2021 compliance periods and granting 50 percent waivers for its 2020, 2022, 2023 and 2024 compliance periods (the “2025 SRE Decision”). Based on this decision, WRC’s obligation for the 2020 through 2024 compliance periods were reduced by more than 424 million RINs, representing approximately $488 million. Refer to Note 16 “Commitments and Contingencies” </w:t>
      </w:r>
      <w:r>
        <w:rPr>
          <w:rFonts w:ascii="Times New Roman;Times;serif" w:hAnsi="Times New Roman;Times;serif"/>
          <w:sz w:val="20"/>
        </w:rPr>
        <w:t>of these condensed consolidated financial statements for further discussion.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Further, during the third quarter of 2025, our Energy segment decided to revert the renewable diesel unit (“RDU”) back to hydrocarbon processing service at its next scheduled catalyst change in December 2025, given unfavorable economics of the renewables business and to relieve certain logistical constraints within the refining business. CVR Energy expects to maintain the option to switch back to renewable diesel service if economically incentivized to do so.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Viskase Private Placement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and September 2025, Viskase completed equity private placements whereby we acquired an additional 7,142,858 and 7,042,254 shares of Viskase common stock for a purchase price of $15 million and $5 million, respectively. As of September 30, 2025, we owned approximately 92% of the total outstanding common stock of Viskase.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Viskase Merger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2091" w:name="_Hlk212467912"/>
      <w:bookmarkEnd w:id="2091"/>
      <w:r>
        <w:rPr>
          <w:rFonts w:ascii="Times New Roman;Times;serif" w:hAnsi="Times New Roman;Times;serif"/>
          <w:sz w:val="20"/>
        </w:rPr>
        <w:t>On June 20, 2025, Viskase, our majority owned subsidiary, entered into an Agreement and Plan of Merger (the “Merger Agreement”) with Enzon Pharmaceuticals, Inc. (“Enzon”), of which we own 36,056,636 shares of common stock, which represents approximately 49% of the outstanding common stock of Enzon, and 39,277 shares of Enzon’s Series C Non-Convertible Redeemable Preferred Stock, which represents approximately 98% of the outstanding shares of such preferred stock, and Icahn Enterprises Holdings and certain of its affiliates entered into a Support Agreement pursuant to which, among other things, it agreed to vote its shares of Enzon and Viskase in favor of the merger. On October 24, 2025, Enzon and Viskase entered into Amendment No. 1 to the Merger Agreement, and Enzon, Viskase and Icahn Enterprises Holdings entered into Amendment No 1. to the Support Agreement. Pursuant to the Merger Agreement, as amended and the Support Agreement, as amended, each share of Viskase common stock and each share of Enzon’s Series C Non-Convertible Redeemable Preferred Stock held by us will be converted into shares of Enzon common stock. Following the consummation of the merger, it is anticipated that the combined company will operate under the name “Viskase Holdings, Inc.” The merger is expected to close in the first quarter of 2026, subject to approval by Enzon’s stockholders and other customary closing conditions. Following the completion of the merger, we anticipate that we will own between approximately 92% and 93% of the combined company, with our ultimate ownership percentage dependent upon the number of shares of Enzon Series C Non-Convertible Redeemable Preferred Stock elected to be converted into shares of Enzon common stock by holders other than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our Real Estate segment sold certain properties for total consideration, included loan origination fees, of $247 million, resulting in a pre-tax gain on disposition of assets of $223 million. Refer to Note 2 “Basis of Presentation and Summary of Significant Accounting Policies” and Note 3 “Related Party Transactions” of these condensed consolidated financial statements for further discussion.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Potential Strategic Transactions</w:t>
      </w:r>
    </w:p>
    <w:p>
      <w:pPr>
        <w:pStyle w:val="TextBody"/>
        <w:bidi w:val="0"/>
        <w:spacing w:before="0" w:after="0"/>
        <w:ind w:left="0" w:right="0" w:firstLine="360"/>
        <w:jc w:val="left"/>
        <w:rPr>
          <w:rFonts w:ascii="Times New Roman;Times;serif" w:hAnsi="Times New Roman;Times;serif"/>
          <w:sz w:val="20"/>
        </w:rPr>
      </w:pPr>
      <w:bookmarkStart w:id="2092" w:name="_Hlk196311725"/>
      <w:bookmarkEnd w:id="2092"/>
      <w:r>
        <w:rPr>
          <w:rFonts w:ascii="Times New Roman;Times;serif" w:hAnsi="Times New Roman;Times;serif"/>
          <w:sz w:val="20"/>
        </w:rPr>
        <w:t>As previously disclosed, we are considering, with CVR Energy, Inc.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As of September 30, 2025 we own approximately 70% of the total outstanding common stock of CVR Energy and approximately 3% of the total outstanding common units of CVR Partners. As of September 30, 2025, CVR Energy, through its subsidiaries, held approximately 37% of CVR Partners’ outstanding common units and 100% of CVR Partners’ general partner interests.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Automotive Real Estate</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2025, our Automotive segment completed the transfer of a group of owned real estate properties to our Real Estate segment. Refer to Note 18 “Subsequent Events” of these condensed consolidated financial statements for further discussion.</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“Investment Funds Redemptions” below under “Liquidity and Capital Resources.”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pStyle w:val="TextBody"/>
        <w:bidi w:val="0"/>
        <w:spacing w:before="0" w:after="0"/>
        <w:ind w:left="0" w:right="0" w:firstLine="360"/>
        <w:jc w:val="left"/>
        <w:rPr>
          <w:rFonts w:ascii="TimesNewRoman" w:hAnsi="TimesNewRoman"/>
          <w:sz w:val="20"/>
        </w:rPr>
      </w:pPr>
      <w:r>
        <w:rPr>
          <w:rFonts w:ascii="TimesNewRoman" w:hAnsi="TimesNewRoman"/>
          <w:sz w:val="20"/>
        </w:rPr>
        <w:t>Potential supply chain disruptions, geopolitical and economic instability, volatility in energy prices, the impacts of</w:t>
      </w:r>
    </w:p>
    <w:p>
      <w:pPr>
        <w:pStyle w:val="TextBody"/>
        <w:bidi w:val="0"/>
        <w:spacing w:before="0" w:after="0"/>
        <w:ind w:left="0" w:right="0" w:hanging="0"/>
        <w:jc w:val="left"/>
        <w:rPr>
          <w:rFonts w:ascii="Times New Roman;Times;serif" w:hAnsi="Times New Roman;Times;serif"/>
          <w:sz w:val="20"/>
        </w:rPr>
      </w:pPr>
      <w:r>
        <w:rPr>
          <w:rFonts w:ascii="TimesNewRoman" w:hAnsi="TimesNewRoman"/>
          <w:sz w:val="20"/>
        </w:rPr>
        <w:t xml:space="preserve">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Quarterly Report on Form 10-Q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w:t>
      </w:r>
      <w:r>
        <w:rPr>
          <w:rFonts w:ascii="Times New Roman;Times;serif" w:hAnsi="Times New Roman;Times;serif"/>
          <w:sz w:val="20"/>
        </w:rPr>
        <w:t>Increased tariffs, both by the U.S. and globally, ongoing and future trade conflicts and changes in U.S. economic trade policy, and economic uncertainly has led to increased volatility. The impact of tariffs and associated impacts on global trade have not significantly affected our operating businesses as of September 30, 2025.</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the performance of the Investment Funds and the results of operations of our Energy segment, impacted by the demand and pricing for its products. Refer to our respective segment discussions and “Other Consolidated Results of Operations,” below for further discussion.</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765"/>
        <w:gridCol w:w="326"/>
        <w:gridCol w:w="280"/>
        <w:gridCol w:w="733"/>
        <w:gridCol w:w="467"/>
        <w:gridCol w:w="280"/>
        <w:gridCol w:w="733"/>
        <w:gridCol w:w="326"/>
        <w:gridCol w:w="285"/>
        <w:gridCol w:w="707"/>
        <w:gridCol w:w="474"/>
        <w:gridCol w:w="285"/>
        <w:gridCol w:w="707"/>
        <w:gridCol w:w="326"/>
        <w:gridCol w:w="282"/>
        <w:gridCol w:w="702"/>
        <w:gridCol w:w="470"/>
        <w:gridCol w:w="282"/>
        <w:gridCol w:w="775"/>
      </w:tblGrid>
      <w:tr>
        <w:trPr/>
        <w:tc>
          <w:tcPr>
            <w:tcW w:w="1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120775" cy="175260"/>
                      <wp:effectExtent l="0" t="0" r="0" b="0"/>
                      <wp:wrapNone/>
                      <wp:docPr id="472" name="Frame472"/>
                      <a:graphic xmlns:a="http://schemas.openxmlformats.org/drawingml/2006/main">
                        <a:graphicData uri="http://schemas.microsoft.com/office/word/2010/wordprocessingShape">
                          <wps:wsp>
                            <wps:cNvSpPr txBox="1"/>
                            <wps:spPr>
                              <a:xfrm>
                                <a:off x="0" y="0"/>
                                <a:ext cx="1120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77800" cy="175260"/>
                      <wp:effectExtent l="0" t="0" r="0" b="0"/>
                      <wp:wrapNone/>
                      <wp:docPr id="474" name="Frame47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65455" cy="175260"/>
                      <wp:effectExtent l="0" t="0" r="0" b="0"/>
                      <wp:wrapNone/>
                      <wp:docPr id="475" name="Frame475"/>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96545" cy="175260"/>
                      <wp:effectExtent l="0" t="0" r="0" b="0"/>
                      <wp:wrapNone/>
                      <wp:docPr id="476" name="Frame476"/>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77800" cy="175260"/>
                      <wp:effectExtent l="0" t="0" r="0" b="0"/>
                      <wp:wrapNone/>
                      <wp:docPr id="477" name="Frame47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65455" cy="175260"/>
                      <wp:effectExtent l="0" t="0" r="0" b="0"/>
                      <wp:wrapNone/>
                      <wp:docPr id="478" name="Frame478"/>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80975" cy="175260"/>
                      <wp:effectExtent l="0" t="0" r="0" b="0"/>
                      <wp:wrapNone/>
                      <wp:docPr id="480" name="Frame48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48945" cy="175260"/>
                      <wp:effectExtent l="0" t="0" r="0" b="0"/>
                      <wp:wrapNone/>
                      <wp:docPr id="481" name="Frame481"/>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00990" cy="175260"/>
                      <wp:effectExtent l="0" t="0" r="0" b="0"/>
                      <wp:wrapNone/>
                      <wp:docPr id="482" name="Frame48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80975" cy="175260"/>
                      <wp:effectExtent l="0" t="0" r="0" b="0"/>
                      <wp:wrapNone/>
                      <wp:docPr id="483" name="Frame48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48945" cy="175260"/>
                      <wp:effectExtent l="0" t="0" r="0" b="0"/>
                      <wp:wrapNone/>
                      <wp:docPr id="484" name="Frame484"/>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79070" cy="175260"/>
                      <wp:effectExtent l="0" t="0" r="0" b="0"/>
                      <wp:wrapNone/>
                      <wp:docPr id="486" name="Frame48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45770" cy="175260"/>
                      <wp:effectExtent l="0" t="0" r="0" b="0"/>
                      <wp:wrapNone/>
                      <wp:docPr id="487" name="Frame487"/>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98450" cy="175260"/>
                      <wp:effectExtent l="0" t="0" r="0" b="0"/>
                      <wp:wrapNone/>
                      <wp:docPr id="488" name="Frame488"/>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9070" cy="175260"/>
                      <wp:effectExtent l="0" t="0" r="0" b="0"/>
                      <wp:wrapNone/>
                      <wp:docPr id="489" name="Frame48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92125" cy="175260"/>
                      <wp:effectExtent l="0" t="0" r="0" b="0"/>
                      <wp:wrapNone/>
                      <wp:docPr id="490" name="Frame490"/>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center"/>
              <w:rPr/>
            </w:pPr>
            <w:r>
              <w:rPr/>
              <w:t>​</w:t>
            </w:r>
          </w:p>
        </w:tc>
        <w:tc>
          <w:tcPr>
            <w:tcW w:w="46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c>
          <w:tcPr>
            <w:tcW w:w="474"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1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25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7" w:type="dxa"/>
            <w:tcBorders/>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4"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0" w:type="dxa"/>
            <w:tcBorders/>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4"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46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474"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r>
      <w:tr>
        <w:trPr/>
        <w:tc>
          <w:tcPr>
            <w:tcW w:w="17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left"/>
              <w:rPr/>
            </w:pPr>
            <w:r>
              <w:rPr/>
              <w:t>​</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46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1,948</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46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474"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46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474"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467"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74"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70"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2,711</w:t>
            </w:r>
          </w:p>
        </w:tc>
        <w:tc>
          <w:tcPr>
            <w:tcW w:w="467"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w:t>
            </w:r>
          </w:p>
        </w:tc>
        <w:tc>
          <w:tcPr>
            <w:tcW w:w="474"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w:t>
            </w:r>
          </w:p>
        </w:tc>
        <w:tc>
          <w:tcPr>
            <w:tcW w:w="467"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2,791</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w:t>
            </w:r>
          </w:p>
        </w:tc>
        <w:tc>
          <w:tcPr>
            <w:tcW w:w="474"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w:t>
            </w:r>
          </w:p>
        </w:tc>
        <w:tc>
          <w:tcPr>
            <w:tcW w:w="470"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816"/>
        <w:gridCol w:w="326"/>
        <w:gridCol w:w="278"/>
        <w:gridCol w:w="726"/>
        <w:gridCol w:w="463"/>
        <w:gridCol w:w="278"/>
        <w:gridCol w:w="726"/>
        <w:gridCol w:w="326"/>
        <w:gridCol w:w="282"/>
        <w:gridCol w:w="705"/>
        <w:gridCol w:w="470"/>
        <w:gridCol w:w="282"/>
        <w:gridCol w:w="705"/>
        <w:gridCol w:w="326"/>
        <w:gridCol w:w="280"/>
        <w:gridCol w:w="699"/>
        <w:gridCol w:w="466"/>
        <w:gridCol w:w="280"/>
        <w:gridCol w:w="77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153160" cy="175260"/>
                      <wp:effectExtent l="0" t="0" r="0" b="0"/>
                      <wp:wrapNone/>
                      <wp:docPr id="491" name="Frame49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76530" cy="175260"/>
                      <wp:effectExtent l="0" t="0" r="0" b="0"/>
                      <wp:wrapNone/>
                      <wp:docPr id="493" name="Frame49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61010" cy="175260"/>
                      <wp:effectExtent l="0" t="0" r="0" b="0"/>
                      <wp:wrapNone/>
                      <wp:docPr id="494" name="Frame49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94005" cy="175260"/>
                      <wp:effectExtent l="0" t="0" r="0" b="0"/>
                      <wp:wrapNone/>
                      <wp:docPr id="495" name="Frame49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76530" cy="175260"/>
                      <wp:effectExtent l="0" t="0" r="0" b="0"/>
                      <wp:wrapNone/>
                      <wp:docPr id="496" name="Frame49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61010" cy="175260"/>
                      <wp:effectExtent l="0" t="0" r="0" b="0"/>
                      <wp:wrapNone/>
                      <wp:docPr id="497" name="Frame497"/>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79070" cy="175260"/>
                      <wp:effectExtent l="0" t="0" r="0" b="0"/>
                      <wp:wrapNone/>
                      <wp:docPr id="499" name="Frame49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47675" cy="175260"/>
                      <wp:effectExtent l="0" t="0" r="0" b="0"/>
                      <wp:wrapNone/>
                      <wp:docPr id="500" name="Frame500"/>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98450" cy="175260"/>
                      <wp:effectExtent l="0" t="0" r="0" b="0"/>
                      <wp:wrapNone/>
                      <wp:docPr id="501" name="Frame501"/>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79070" cy="175260"/>
                      <wp:effectExtent l="0" t="0" r="0" b="0"/>
                      <wp:wrapNone/>
                      <wp:docPr id="502" name="Frame50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47675" cy="175260"/>
                      <wp:effectExtent l="0" t="0" r="0" b="0"/>
                      <wp:wrapNone/>
                      <wp:docPr id="503" name="Frame503"/>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77800" cy="175260"/>
                      <wp:effectExtent l="0" t="0" r="0" b="0"/>
                      <wp:wrapNone/>
                      <wp:docPr id="505" name="Frame50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43865" cy="175260"/>
                      <wp:effectExtent l="0" t="0" r="0" b="0"/>
                      <wp:wrapNone/>
                      <wp:docPr id="506" name="Frame506"/>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95910" cy="175260"/>
                      <wp:effectExtent l="0" t="0" r="0" b="0"/>
                      <wp:wrapNone/>
                      <wp:docPr id="507" name="Frame50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7800" cy="175260"/>
                      <wp:effectExtent l="0" t="0" r="0" b="0"/>
                      <wp:wrapNone/>
                      <wp:docPr id="508" name="Frame50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89585" cy="175260"/>
                      <wp:effectExtent l="0" t="0" r="0" b="0"/>
                      <wp:wrapNone/>
                      <wp:docPr id="509" name="Frame50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46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center"/>
              <w:rPr/>
            </w:pPr>
            <w:r>
              <w:rPr/>
              <w:t>​</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24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0"/>
              <w:ind w:left="0" w:right="0" w:hanging="0"/>
              <w:jc w:val="left"/>
              <w:rPr/>
            </w:pPr>
            <w:r>
              <w:rPr/>
              <w:t>​</w:t>
            </w:r>
          </w:p>
        </w:tc>
        <w:tc>
          <w:tcPr>
            <w:tcW w:w="24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3"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0" w:type="dxa"/>
            <w:tcBorders/>
            <w:vAlign w:val="center"/>
          </w:tcPr>
          <w:p>
            <w:pPr>
              <w:pStyle w:val="TableContents"/>
              <w:bidi w:val="0"/>
              <w:spacing w:before="0" w:after="0"/>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63"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46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w:t>
            </w:r>
          </w:p>
        </w:tc>
        <w:tc>
          <w:tcPr>
            <w:tcW w:w="46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r>
      <w:tr>
        <w:trPr/>
        <w:tc>
          <w:tcPr>
            <w:tcW w:w="18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46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5,374</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5,702</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w:t>
            </w:r>
          </w:p>
        </w:tc>
        <w:tc>
          <w:tcPr>
            <w:tcW w:w="46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1,139</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46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46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47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46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463"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70"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6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7,264</w:t>
            </w:r>
          </w:p>
        </w:tc>
        <w:tc>
          <w:tcPr>
            <w:tcW w:w="463"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7,427</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470"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46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6,961</w:t>
            </w:r>
          </w:p>
        </w:tc>
        <w:tc>
          <w:tcPr>
            <w:tcW w:w="463"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7,462</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470"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46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w:t>
            </w:r>
          </w:p>
        </w:tc>
      </w:tr>
    </w:tbl>
    <w:p>
      <w:pPr>
        <w:pStyle w:val="TextBody"/>
        <w:bidi w:val="0"/>
        <w:spacing w:before="0" w:after="0"/>
        <w:ind w:left="0" w:right="0" w:firstLine="360"/>
        <w:jc w:val="left"/>
        <w:rPr/>
      </w:pPr>
      <w:r>
        <w:rPr/>
        <w:t>​</w:t>
      </w:r>
    </w:p>
    <w:p>
      <w:pPr>
        <w:pStyle w:val="TextBody"/>
        <w:bidi w:val="0"/>
        <w:spacing w:lineRule="atLeast" w:line="220" w:before="0" w:after="20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lineRule="atLeast" w:line="220"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various private investment funds (“Investment Funds”). As of September 30, 2025 and December 31, 2024, we had investments with a fair market value of approximately $2.4 billion and $2.7 billion, respectively in the Investment Funds. As of September 30, 2025 and December 31, 2024, the total fair market value of investments in the Investment Funds made by Mr. Icahn and his affiliates (excluding us and Brett Icahn) was approximately $0.8 billion and $1.5 billion, respectively. As of September 30, 2025, Mr. Icahn and his affiliates have pledged approximately $513 million of interests in the Investment Funds. </w:t>
      </w:r>
    </w:p>
    <w:p>
      <w:pPr>
        <w:pStyle w:val="TextBody"/>
        <w:bidi w:val="0"/>
        <w:spacing w:lineRule="atLeast" w:line="220" w:before="0" w:after="200"/>
        <w:ind w:left="0" w:right="0" w:firstLine="360"/>
        <w:jc w:val="left"/>
        <w:rPr>
          <w:rFonts w:ascii="Times New Roman;Times;serif" w:hAnsi="Times New Roman;Times;serif"/>
          <w:sz w:val="20"/>
        </w:rPr>
      </w:pPr>
      <w:r>
        <w:rPr>
          <w:rFonts w:ascii="Times New Roman;Times;serif" w:hAnsi="Times New Roman;Times;serif"/>
          <w:sz w:val="20"/>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September 30, 2025 and 2024, our Investment Funds’ returns were (0.5)% and 7.6%, respectively. For the nine months ended September 30, 2025 and 2024, our Investment Funds’ returns were (9.3)% and (1.9)%, respectively. Our Investment Funds’ returns represent a weighted-average composite of the average returns, net of expenses. The Other category is primarily comprised of interest income earned on cash balances, collateral posted to counterparties and short rebates.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performance attribution and net income (loss) for the Investment Funds’ returns for the three and nine months ended September 30, 2025 and 2024, respectively, and includes performance of all investment and derivative position types including the impact of the use of leverage through options, short sales, swaps, forwards and other derivative instruments.</w:t>
      </w:r>
    </w:p>
    <w:tbl>
      <w:tblPr>
        <w:tblW w:w="8978" w:type="dxa"/>
        <w:jc w:val="left"/>
        <w:tblInd w:w="0" w:type="dxa"/>
        <w:tblLayout w:type="fixed"/>
        <w:tblCellMar>
          <w:top w:w="0" w:type="dxa"/>
          <w:left w:w="0" w:type="dxa"/>
          <w:bottom w:w="0" w:type="dxa"/>
          <w:right w:w="0" w:type="dxa"/>
        </w:tblCellMar>
      </w:tblPr>
      <w:tblGrid>
        <w:gridCol w:w="1351"/>
        <w:gridCol w:w="326"/>
        <w:gridCol w:w="1259"/>
        <w:gridCol w:w="775"/>
        <w:gridCol w:w="1130"/>
        <w:gridCol w:w="361"/>
        <w:gridCol w:w="326"/>
        <w:gridCol w:w="1211"/>
        <w:gridCol w:w="746"/>
        <w:gridCol w:w="1087"/>
        <w:gridCol w:w="40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857885" cy="175260"/>
                      <wp:effectExtent l="0" t="0" r="0" b="0"/>
                      <wp:wrapNone/>
                      <wp:docPr id="510" name="Frame51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99465" cy="175260"/>
                      <wp:effectExtent l="0" t="0" r="0" b="0"/>
                      <wp:wrapNone/>
                      <wp:docPr id="512" name="Frame512"/>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92125" cy="175260"/>
                      <wp:effectExtent l="0" t="0" r="0" b="0"/>
                      <wp:wrapNone/>
                      <wp:docPr id="513" name="Frame513"/>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17550" cy="175260"/>
                      <wp:effectExtent l="0" t="0" r="0" b="0"/>
                      <wp:wrapNone/>
                      <wp:docPr id="514" name="Frame514"/>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29235" cy="175260"/>
                      <wp:effectExtent l="0" t="0" r="0" b="0"/>
                      <wp:wrapNone/>
                      <wp:docPr id="515" name="Frame5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68985" cy="175260"/>
                      <wp:effectExtent l="0" t="0" r="0" b="0"/>
                      <wp:wrapNone/>
                      <wp:docPr id="517" name="Frame517"/>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73710" cy="175260"/>
                      <wp:effectExtent l="0" t="0" r="0" b="0"/>
                      <wp:wrapNone/>
                      <wp:docPr id="518" name="Frame518"/>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0245" cy="175260"/>
                      <wp:effectExtent l="0" t="0" r="0" b="0"/>
                      <wp:wrapNone/>
                      <wp:docPr id="519" name="Frame519"/>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57810" cy="175260"/>
                      <wp:effectExtent l="0" t="0" r="0" b="0"/>
                      <wp:wrapNone/>
                      <wp:docPr id="520" name="Frame52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c>
          <w:tcPr>
            <w:tcW w:w="40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775" w:type="dxa"/>
            <w:tcBorders/>
            <w:vAlign w:val="center"/>
          </w:tcPr>
          <w:p>
            <w:pPr>
              <w:pStyle w:val="TableContents"/>
              <w:bidi w:val="0"/>
              <w:spacing w:before="0" w:after="0"/>
              <w:ind w:left="0" w:right="0" w:hanging="0"/>
              <w:jc w:val="left"/>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746" w:type="dxa"/>
            <w:tcBorders/>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06" w:type="dxa"/>
            <w:tcBorders/>
            <w:vAlign w:val="center"/>
          </w:tcPr>
          <w:p>
            <w:pPr>
              <w:pStyle w:val="TableContents"/>
              <w:bidi w:val="0"/>
              <w:spacing w:before="0" w:after="0"/>
              <w:ind w:left="0" w:right="0" w:hanging="0"/>
              <w:jc w:val="lef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 </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1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pPr>
      <w:r>
        <w:rPr/>
        <w:t>​</w:t>
      </w:r>
    </w:p>
    <w:tbl>
      <w:tblPr>
        <w:tblW w:w="8254" w:type="dxa"/>
        <w:jc w:val="left"/>
        <w:tblInd w:w="0" w:type="dxa"/>
        <w:tblLayout w:type="fixed"/>
        <w:tblCellMar>
          <w:top w:w="0" w:type="dxa"/>
          <w:left w:w="0" w:type="dxa"/>
          <w:bottom w:w="0" w:type="dxa"/>
          <w:right w:w="0" w:type="dxa"/>
        </w:tblCellMar>
      </w:tblPr>
      <w:tblGrid>
        <w:gridCol w:w="1351"/>
        <w:gridCol w:w="326"/>
        <w:gridCol w:w="365"/>
        <w:gridCol w:w="935"/>
        <w:gridCol w:w="563"/>
        <w:gridCol w:w="365"/>
        <w:gridCol w:w="935"/>
        <w:gridCol w:w="326"/>
        <w:gridCol w:w="347"/>
        <w:gridCol w:w="891"/>
        <w:gridCol w:w="537"/>
        <w:gridCol w:w="347"/>
        <w:gridCol w:w="96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857885" cy="175260"/>
                      <wp:effectExtent l="0" t="0" r="0" b="0"/>
                      <wp:wrapNone/>
                      <wp:docPr id="521" name="Frame52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31775" cy="175260"/>
                      <wp:effectExtent l="0" t="0" r="0" b="0"/>
                      <wp:wrapNone/>
                      <wp:docPr id="523" name="Frame52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93725" cy="175260"/>
                      <wp:effectExtent l="0" t="0" r="0" b="0"/>
                      <wp:wrapNone/>
                      <wp:docPr id="524" name="Frame524"/>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57505" cy="175260"/>
                      <wp:effectExtent l="0" t="0" r="0" b="0"/>
                      <wp:wrapNone/>
                      <wp:docPr id="525" name="Frame525"/>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31775" cy="175260"/>
                      <wp:effectExtent l="0" t="0" r="0" b="0"/>
                      <wp:wrapNone/>
                      <wp:docPr id="526" name="Frame52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93725" cy="175260"/>
                      <wp:effectExtent l="0" t="0" r="0" b="0"/>
                      <wp:wrapNone/>
                      <wp:docPr id="527" name="Frame52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0345" cy="175260"/>
                      <wp:effectExtent l="0" t="0" r="0" b="0"/>
                      <wp:wrapNone/>
                      <wp:docPr id="529" name="Frame52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65785" cy="175260"/>
                      <wp:effectExtent l="0" t="0" r="0" b="0"/>
                      <wp:wrapNone/>
                      <wp:docPr id="530" name="Frame53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340995" cy="175260"/>
                      <wp:effectExtent l="0" t="0" r="0" b="0"/>
                      <wp:wrapNone/>
                      <wp:docPr id="531" name="Frame531"/>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20345" cy="175260"/>
                      <wp:effectExtent l="0" t="0" r="0" b="0"/>
                      <wp:wrapNone/>
                      <wp:docPr id="532" name="Frame53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13410" cy="175260"/>
                      <wp:effectExtent l="0" t="0" r="0" b="0"/>
                      <wp:wrapNone/>
                      <wp:docPr id="533" name="Frame533"/>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30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63"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37" w:type="dxa"/>
            <w:tcBorders/>
            <w:vAlign w:val="center"/>
          </w:tcPr>
          <w:p>
            <w:pPr>
              <w:pStyle w:val="TableContents"/>
              <w:bidi w:val="0"/>
              <w:spacing w:before="0" w:after="0"/>
              <w:ind w:left="0" w:right="0" w:hanging="0"/>
              <w:jc w:val="left"/>
              <w:rPr/>
            </w:pPr>
            <w:r>
              <w:rPr/>
              <w:t>    </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25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77"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563"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537"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563"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537"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63"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537"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563" w:type="dxa"/>
            <w:tcBorders/>
            <w:vAlign w:val="center"/>
          </w:tcPr>
          <w:p>
            <w:pPr>
              <w:pStyle w:val="TableContents"/>
              <w:bidi w:val="0"/>
              <w:spacing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537"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September 30, 2025, the Investment Funds’ negative performance was primarily driven by net losses in short positions, offset in part by net gains in long positions. The negative performance of our Investment segment’s short positions was driven primarily by net losses in the energy sector of $178 million and net losses from broad market hedges of $147 million. The positive performance of our Investment segment’s long positions was primarily driven by net gains from the communications and utilities sectors of $304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September 30, 2024, the Investment Funds’ positive performance was primarily driven by net gains in long positions, which includes the impact of derivatives, offset in part by net losses in short positions. The positive performance of our Investment segment’s long positions was driven primarily by net gains from the healthcare and utilities sectors of $332 million. The negative performance of our Investment segment’s short positions was primarily driven by losses from the materials and utilities sectors of $158 million and losses from the broad market hedges of $129 million, partially offset by gains in the energy sector of $157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nine months ended September 30, 2025, the Investment Funds’ negative performance was primarily driven by net losses in short positions, offset in part by net gains in long positions. The negative performance of our Investment segment’s short positions was primarily driven by net losses from the energy sector of $292 million and net losses from broad market hedges of $210 million. The positive performance of our Investment segment’s long positions was driven primarily by net gains from the communications and utilities sectors of $452 million, offset in part by net losses from the healthcare, industrial and materials sectors of $366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nine months ended September 30, 2024, the Investment Funds’ negative performance was primarily driven by net losses in short positions, offset in part by net gains in long positions. The negative performance of our Investment segment’s short positions was driven primarily by net losses in broad market hedges of $292 million and net losses in the utilities and materials sectors of $205 million, offset in part by gains from the energy sector of $211 million. The positive performance of our Investment segment’s long positions was driven primarily by net gains in the utilities sector of $266 million, offset in part by net losses in the energy sector of $227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renewable fuels and nitrogen fertilizer manufacturing businesses. The petroleum business accounted for approximately 89% and 91% of our Energy segment’s net sales for the nine months ended September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also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geopolitical conditions, such as the continued conflicts and tensions in the Middle East and the impact of the Russia/Ukraine conflict, there are long-term factors such as increased tariffs, ongoing and future trade conflicts and changes in U.S. economic trade policy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supporting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16, “Commitments and Contingencies,” to the consolidated financial statements for further discussion of RINs.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Ongoing and recently proposed changes to the U.S. global trade policy, along with actual and potential international retaliatory measures, have continued to cause volatility in global markets and uncertainty around short and long-term economic impacts in the U.S. and around the globe, including concerns over inflation, recession and slowing growth. In addition, the ongoing Russian/Ukraine war and Middle East conflicts and tensions continue to present significant geopolitical risks with direct implications to the global oil, fertilizer, and agriculture markets. Such conflicts pose significant geopolitical risks to global markets, raise concerns of major implications, such as enforcement of sanctions, can contribute to further oil price and inventory volatility, and can disrupt the production and trade of fertilizer, grains, and feedstock supply through several means, including trade restrictions and supply chain disruptions. The ultimate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outcome of these conflicts and any associated market disruptions are difficult to predict and may affect our business, operations, and cash flows in unforeseen ways.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Energy segment’s net sales, cost of goods sold and gross profit:</w:t>
      </w:r>
    </w:p>
    <w:tbl>
      <w:tblPr>
        <w:tblW w:w="8542" w:type="dxa"/>
        <w:jc w:val="left"/>
        <w:tblInd w:w="0" w:type="dxa"/>
        <w:tblLayout w:type="fixed"/>
        <w:tblCellMar>
          <w:top w:w="0" w:type="dxa"/>
          <w:left w:w="0" w:type="dxa"/>
          <w:bottom w:w="0" w:type="dxa"/>
          <w:right w:w="0" w:type="dxa"/>
        </w:tblCellMar>
      </w:tblPr>
      <w:tblGrid>
        <w:gridCol w:w="1636"/>
        <w:gridCol w:w="326"/>
        <w:gridCol w:w="353"/>
        <w:gridCol w:w="956"/>
        <w:gridCol w:w="546"/>
        <w:gridCol w:w="353"/>
        <w:gridCol w:w="956"/>
        <w:gridCol w:w="326"/>
        <w:gridCol w:w="337"/>
        <w:gridCol w:w="912"/>
        <w:gridCol w:w="520"/>
        <w:gridCol w:w="337"/>
        <w:gridCol w:w="98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038860" cy="175260"/>
                      <wp:effectExtent l="0" t="0" r="0" b="0"/>
                      <wp:wrapNone/>
                      <wp:docPr id="534" name="Frame53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24155" cy="175260"/>
                      <wp:effectExtent l="0" t="0" r="0" b="0"/>
                      <wp:wrapNone/>
                      <wp:docPr id="536" name="Frame53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07060" cy="175260"/>
                      <wp:effectExtent l="0" t="0" r="0" b="0"/>
                      <wp:wrapNone/>
                      <wp:docPr id="537" name="Frame537"/>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46710" cy="175260"/>
                      <wp:effectExtent l="0" t="0" r="0" b="0"/>
                      <wp:wrapNone/>
                      <wp:docPr id="538" name="Frame538"/>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24155" cy="175260"/>
                      <wp:effectExtent l="0" t="0" r="0" b="0"/>
                      <wp:wrapNone/>
                      <wp:docPr id="539" name="Frame53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07060" cy="175260"/>
                      <wp:effectExtent l="0" t="0" r="0" b="0"/>
                      <wp:wrapNone/>
                      <wp:docPr id="540" name="Frame540"/>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3995" cy="175260"/>
                      <wp:effectExtent l="0" t="0" r="0" b="0"/>
                      <wp:wrapNone/>
                      <wp:docPr id="542" name="Frame54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79120" cy="175260"/>
                      <wp:effectExtent l="0" t="0" r="0" b="0"/>
                      <wp:wrapNone/>
                      <wp:docPr id="543" name="Frame54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330200" cy="175260"/>
                      <wp:effectExtent l="0" t="0" r="0" b="0"/>
                      <wp:wrapNone/>
                      <wp:docPr id="544" name="Frame54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3995" cy="175260"/>
                      <wp:effectExtent l="0" t="0" r="0" b="0"/>
                      <wp:wrapNone/>
                      <wp:docPr id="545" name="Frame54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24840" cy="175260"/>
                      <wp:effectExtent l="0" t="0" r="0" b="0"/>
                      <wp:wrapNone/>
                      <wp:docPr id="546" name="Frame54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3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46" w:type="dxa"/>
            <w:tcBorders/>
            <w:vAlign w:val="center"/>
          </w:tcPr>
          <w:p>
            <w:pPr>
              <w:pStyle w:val="TableContents"/>
              <w:bidi w:val="0"/>
              <w:spacing w:before="0" w:after="1"/>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0" w:type="dxa"/>
            <w:tcBorders/>
            <w:vAlign w:val="center"/>
          </w:tcPr>
          <w:p>
            <w:pPr>
              <w:pStyle w:val="TableContents"/>
              <w:bidi w:val="0"/>
              <w:spacing w:before="0" w:after="1"/>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54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580"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1,945</w:t>
            </w:r>
          </w:p>
        </w:tc>
        <w:tc>
          <w:tcPr>
            <w:tcW w:w="5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5,352</w:t>
            </w:r>
          </w:p>
        </w:tc>
        <w:tc>
          <w:tcPr>
            <w:tcW w:w="520"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54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520"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5,549</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54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520"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546"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right"/>
              <w:rPr/>
            </w:pPr>
            <w:r>
              <w:rPr/>
              <w:t>​</w:t>
            </w:r>
          </w:p>
        </w:tc>
        <w:tc>
          <w:tcPr>
            <w:tcW w:w="9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520"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right"/>
              <w:rPr/>
            </w:pPr>
            <w:r>
              <w:rPr/>
              <w:t>​</w:t>
            </w:r>
          </w:p>
        </w:tc>
        <w:tc>
          <w:tcPr>
            <w:tcW w:w="98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sales for our Energy segment increased by $111 million (6%) for the three months ended September 30, 2025 as compared to the comparable prior year period due to an increase in our petroleum business’ net sales of $91 million and an increase in our nitrogen fertilizer business’ net sales by $40 million over the comparable period, offset in part by a decrease in our renewable business’ net sales of $20 million. The increase in the petroleum business’ net sales was driven by higher sales volumes as a result of increased throughput volumes combined with higher distillate prices in the current year period, offset in part by lower gasoline prices in the current year period. Our nitrogen fertilizer business’ net sales increased primarily due to favorable urea ammonium nitrate (“UAN”) and ammonia sales prices, offset in part by decreased UAN and ammonia sales volumes. Our renewables business’ net sales decreased due to the expiration of the blenders tax credit, offset in part by increased biodiesel RIN prices.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for our Energy segment decreased by $519 million (27%) for the three months ended September 30, 2025 as compared to the comparable prior year period. The decrease was primarily from our petroleum business, mainly due to favorable RFS impacts of $473 million, which includes favorable adjustments of $488 million related to the SRE decision, offset in part by unfavorable RINs revaluation of $15 million. Gross profit for our Energy segment increased by $630 million for the three months ended September 30, 2025 as compared to the comparable prior year period. Gross margin was 28% and (4)% for the three months ended September 30,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sales for our Energy segment decreased by $311 million (5%) for the nine months ended September 30, 2025 as compared to the comparable prior year period due to a decrease in our petroleum business’ net sales of $386 million and a decrease in our renewable business’ net sales of $14 million, offset in part by an increase in our nitrogen fertilizer business’ net sales by $89 million over the comparable period. The decrease in the petroleum business’ net sales was driven by lower throughput volumes as a result of planned maintenance at the Coffeyville Refinery combined with lower gasoline and distillate prices. Our renewables business’ net sales decreased due to the expiration of the blenders tax credit, offset in part by increased biodiesel RIN prices. Our nitrogen fertilizer business’ net sales increased primarily due to favorable urea ammonium nitrate (“UAN”) sales volumes and prices combined with favorable ammonia sales prices, offset in part by decreased ammonia sales volumes.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for our Energy segment decreased by $567 million (10%) for the nine months ended September 30, 2025 as compared to the comparable prior year period. The decrease was primarily from our petroleum business, mainly due to favorable RFS impacts in the current period and lower production in the prior year as a result of planned maintenance at the Coffeyville Refinery. Gross profit for our Energy segment increased by $256 million for the nine months ended September 30, 2025 as compared to the comparable prior year period. Gross margin was 7% and 2% for the nine months ended September 30, 2025 and 2024, respectively. The increase in gross margin was primarily attributable to the petroleum business, as a result of favorable RFS impacts and higher refining margins driven by improved gasolines and distillate crack spreads, primarily due to lower inventory levels and improving demand trends in the current year period, offset in part by lower sales volumes in the current 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Automotive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2023, Auto Plus filed a voluntary bankruptcy petition seeking relief under Chapter 11 of the Bankruptcy Code, resulting in its cessation of operations and deconsolidation, which reduced our Automotive segment’s assets. Following the bankruptcy, Auto Plus exited the Automotive Services locations within which it operated.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its transformation plan, the Automotive segment leases available and excess real estate in certain locations under long-term operating leases previously utilized by the Aftermarket Parts business. During this multi-year transformation plan, the Automotive segment has continued investing capital to repurpose these locations for future multi-tenant use. In October 2025, we executed on the next phase of the transformation plan in which the Automotive segment transferred the majority of its owned real estate to the Real Estate segment. The Automotive Services business entered into fair market value lease agreements with the Real Estate segment, which will not impact consolidated cash flows but will result in increased cash outflows from the Automotive segment. We believe this will reduce the Automotive Services business’s focus on real estate activities and allow it to focus on managing its core business and executing its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fourth quarter of 2024, the Automotive segment entered into an agreement with a tenant to terminate a group of leases, effective March 31, 2025. As a result of this termination, the segment received a lump sum termination fee and has additional excess real estate available to lease, which has resulted in reduced cash flows during the anticipated lease-up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priorities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Positioning the Automotive Services broad offerings to take advantage of opportunities in the do-it-for-me market and vehicle fleets;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our current store footprint to keep pace with shifting market dynamics, with strategic investment in opening new locations with attractive growth potential and simultaneously closing our lowest and underperforming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and strategic review of, capital projects within Icahn Automotive’s owned and leased locations to increase leasing revenue, restructure lease liabilities, and reduce occupancy costs;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Optimization of Store and Distribution Center network while improving inventory and cost position;</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to improve the overall customer experience through process, facilities and automation;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employees with focus on training and career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 improvements and sharing best practices through investments in people, technology, and our overall supply chain.</w:t>
            </w:r>
          </w:p>
        </w:tc>
      </w:tr>
    </w:tbl>
    <w:p>
      <w:pPr>
        <w:pStyle w:val="TextBody"/>
        <w:bidi w:val="0"/>
        <w:spacing w:before="0" w:after="0"/>
        <w:ind w:left="90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39"/>
        <w:gridCol w:w="326"/>
        <w:gridCol w:w="354"/>
        <w:gridCol w:w="797"/>
        <w:gridCol w:w="548"/>
        <w:gridCol w:w="354"/>
        <w:gridCol w:w="797"/>
        <w:gridCol w:w="326"/>
        <w:gridCol w:w="312"/>
        <w:gridCol w:w="844"/>
        <w:gridCol w:w="481"/>
        <w:gridCol w:w="312"/>
        <w:gridCol w:w="915"/>
      </w:tblGrid>
      <w:tr>
        <w:trPr/>
        <w:tc>
          <w:tcPr>
            <w:tcW w:w="3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437765" cy="175260"/>
                      <wp:effectExtent l="0" t="0" r="0" b="0"/>
                      <wp:wrapNone/>
                      <wp:docPr id="547" name="Frame547"/>
                      <a:graphic xmlns:a="http://schemas.openxmlformats.org/drawingml/2006/main">
                        <a:graphicData uri="http://schemas.microsoft.com/office/word/2010/wordprocessingShape">
                          <wps:wsp>
                            <wps:cNvSpPr txBox="1"/>
                            <wps:spPr>
                              <a:xfrm>
                                <a:off x="0" y="0"/>
                                <a:ext cx="2437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24790" cy="175260"/>
                      <wp:effectExtent l="0" t="0" r="0" b="0"/>
                      <wp:wrapNone/>
                      <wp:docPr id="549" name="Frame549"/>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06095" cy="175260"/>
                      <wp:effectExtent l="0" t="0" r="0" b="0"/>
                      <wp:wrapNone/>
                      <wp:docPr id="550" name="Frame550"/>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47980" cy="175260"/>
                      <wp:effectExtent l="0" t="0" r="0" b="0"/>
                      <wp:wrapNone/>
                      <wp:docPr id="551" name="Frame551"/>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24790" cy="175260"/>
                      <wp:effectExtent l="0" t="0" r="0" b="0"/>
                      <wp:wrapNone/>
                      <wp:docPr id="552" name="Frame55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06095" cy="175260"/>
                      <wp:effectExtent l="0" t="0" r="0" b="0"/>
                      <wp:wrapNone/>
                      <wp:docPr id="553" name="Frame553"/>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98120" cy="175260"/>
                      <wp:effectExtent l="0" t="0" r="0" b="0"/>
                      <wp:wrapNone/>
                      <wp:docPr id="555" name="Frame55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35940" cy="175260"/>
                      <wp:effectExtent l="0" t="0" r="0" b="0"/>
                      <wp:wrapNone/>
                      <wp:docPr id="556" name="Frame556"/>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05435" cy="175260"/>
                      <wp:effectExtent l="0" t="0" r="0" b="0"/>
                      <wp:wrapNone/>
                      <wp:docPr id="557" name="Frame55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98120" cy="175260"/>
                      <wp:effectExtent l="0" t="0" r="0" b="0"/>
                      <wp:wrapNone/>
                      <wp:docPr id="558" name="Frame55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81025" cy="175260"/>
                      <wp:effectExtent l="0" t="0" r="0" b="0"/>
                      <wp:wrapNone/>
                      <wp:docPr id="559" name="Frame559"/>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8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3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48"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1"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40"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548"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481"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3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548"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481"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r>
      <w:tr>
        <w:trPr/>
        <w:tc>
          <w:tcPr>
            <w:tcW w:w="3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548"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481"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3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548"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righ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81"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right"/>
              <w:rPr/>
            </w:pPr>
            <w:r>
              <w:rPr/>
              <w:t>​</w:t>
            </w:r>
          </w:p>
        </w:tc>
        <w:tc>
          <w:tcPr>
            <w:tcW w:w="91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2093" w:name="_Hlk149058774"/>
      <w:bookmarkStart w:id="2094" w:name="_Hlk149058874"/>
      <w:bookmarkEnd w:id="2093"/>
      <w:bookmarkEnd w:id="2094"/>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bookmarkStart w:id="2095" w:name="_Hlk109386898"/>
      <w:bookmarkEnd w:id="2095"/>
      <w:r>
        <w:rPr>
          <w:rFonts w:ascii="Times New Roman;Times;serif" w:hAnsi="Times New Roman;Times;serif"/>
          <w:sz w:val="20"/>
        </w:rPr>
        <w:t>Net sales and other revenues from operations for our Automotive segment for the three months ended September 30, 2025 increased by $7 million (2%) as compared to the comparable prior year period. The increase was attributable to an increase in Automotive Services revenues of $11 million (3%), offset in part by a decrease in Aftermarket Parts revenues of $4 million, due to the exit of the Aftermarket Parts business. The increase in Automotive Services revenue was primarily attributable to an increase in customer average price and car count.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three months ended September 30, 2025 decreased by $8 million (3%) as compared to the comparable prior year period. The decrease was primarily attributable to a one-time inventory reserve in the comparable prior period offset in part by an increase in sales. Gross profit for the three months ended September 30, 2025 increased by $15 million (19%) from the comparable prior year period. Gross margin was 26% and 22% for the three months ended September 30, 2025 and 2024, respectively. The increase in gross margin was primarily attributable to a one-time inventory reserve in the comparable prior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and other revenues from operations for our Automotive segment for the nine months ended September 30, 2025 decreased by $40 million (4%) as compared to the comparable prior year period. The decrease was attributable to a decrease in Automotive Services revenues of $20 million (2%) and a decrease in Aftermarket Parts revenues of $20 million (91%), due to the exit of the Aftermarket Parts business. The decrease in Automotive Services revenue was primarily attributable to the strategic closure of select underperforming locations.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nine months ended September 30, 2025 decreased by $15 million (2%) as compared to the comparable prior year period. The decrease was primarily attributable to lower revenues in Automotive Services and a one-time inventory reserve in the comparable prior period. Gross profit for the nine months ended September 30, 2025 decreased by $25 million (8%) from the comparable prior year period. Gross margin was 26% and 27% for the nine months ended September 30, 2025 and 2024, respectively. The decline in gross margin was primarily due to strategic investments in shop labor.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first quarter of 2025,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Implementation of the plan is causing interim disruption, but its objective is to maintain global production capability while achieving improved cost structure. The restructuring activities are expected to be substantially completed during the first half of 2026. However, we do not expect the segment to realize the efficiency and performance gains from the restructuring until later in 2026, if at all. During the nine months ended September 30, 2025, the segment has recognized $7 million of restructuring expenses, which include employee severance costs and facility consolidation expenses, as well as $12 million of asset impairment charges. We have provided an additional $5 million through a private placement offering to our Food Packaging segment, bringing the aggregate to $20 million during the nine months ended September 30, 2025. If we had not provided additional capital the segment would not have met its debt obligations. The segment may require additional funding to meet future debt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September 30, 2025 decreased $10 million (10%) as compared to the comparable prior year period. The decrease was primarily due to lower volumes of $11 million, offset in part by an increase in price and product mix of $1 million. Cost of goods sold for the three months ended September 30, 2025 was flat as compared to the comparable prior year period. Gross margin as a percentage of net sales was 5% and 15% for the three months ended September 30,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nine months ended September 30, 2025 decreased $25 million (8%) as compared to the comparable prior year period. The decrease was primarily due to lower volumes of $18 million and a decrease in price of $8 million, offset in part by favorable effects of foreign exchange of $1 million. Cost of goods sold for the nine months ended September 30, 2025 decreased $1 million (1%) as compared to the comparable prior year period, primarily due to effects of lower manufacturing performance. Gross margin as a percentage of net sales was 11% and 18% for the nine months ended September 30,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consists of investment properties which includes land, retail, office and industrial properties leased to corporate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and nine months ended September 30, 2025 and 2024 was primarily derived from the sale of single-family homes and country club operations.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Real Estate segment is actively marketing certain properties for sale. In June 2025, we closed on the sale of a country club which resulted in a gain of $47 million. The country club generated approximately $33 million of revenue in the full year of 2024. In August 2025, we closed on the sale of certain properties, which resulted in a gain of $223 million. These properties generated approximately $3 million in annual lease revenue. As a result of these sales, we expect a corresponding reduction in other revenues from operations on an annualized basis.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2025, our Automotive segment completed the transfer of a group of owned real estate properties to our Real Estate segment. Following the transfer, the Real Estate segment assumed control of the properties and will manage and lease them as part of its ongoing operations. The Real Estate segment will lease properties to the Automotive segment, which will not impact consolidated cash flows but will result in increased cash inflows to the Real Estate segment.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September 30, 2025 decreased $6 million (100%) as compared to the comparable prior year period due to the decrease in single-family home sales. Cost of goods sold for the three months ended September 30, 2025 decreased $5 million (100%) as compared to the prior year period. Gross margin as a percentage of net sales was 0% and 17% for the three months ended September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three months ended September 30, 2025 decreased $13 million (57%) as compared to the comparable prior year period due to the sale of a country club in the second quarter of 2025. Other expenses from operations for the three months ended September 30, 2025 decreased by $7 million (39%) as compared to the comparable prior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nine months ended September 30, 2025 decreased $16 million (94%) as compared to the comparable prior year period due to the decrease in single-family home sales. Cost of goods sold for the nine months ended September 30, 2025 decreased $12 million (92%) as compared to the prior year period. Gross margin as a percentage of net sales was 0% and 24% for the 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nine months ended September 30, 2025 decreased $15 million (25%) as compared to the comparable prior year period due to the sale of a country club in the second quarter of 2025. Other expenses from operations for the nine months ended September 30, 2025 decreased $6 million (12%) as compared to the comparable prior year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Home Fashion segment is significantly influenced by the overall economic environment, including consumer spending, at the retail level, for home textile products.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bookmarkStart w:id="2096" w:name="_Hlk165651022"/>
      <w:bookmarkStart w:id="2097" w:name="_Hlk165650935"/>
      <w:bookmarkEnd w:id="2096"/>
      <w:bookmarkEnd w:id="2097"/>
      <w:r>
        <w:rPr>
          <w:rFonts w:ascii="Times New Roman;Times;serif" w:hAnsi="Times New Roman;Times;serif"/>
          <w:sz w:val="20"/>
        </w:rPr>
        <w:t xml:space="preserve">Net sales for the three months ended September 30, 2025 decreased by $5 million (11%) as compared to the comparable prior year period mostly due to lower demand from our US retail and hospitality business. Cost of goods sold for the three months ended September 30, 2025 decreased $3 million (8%) mostly due to lower volumes as compared to the comparable prior year period. Gross margin as a percentage of net sales was 17% and 19% for the three months ended September 30,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nine months ended September 30, 2025 decreased by $2 million (2%) as compared to the comparable prior year period mostly due to lower demand from our US hospitality business. Cost of goods sold for the nine months ended September 30, 2025 increased by $1 million (1%) compared to the comparable prior year period mostly due to customer mix. Gross margin as a percentage of net sales was 21% and 23% for the nine months ended September 30,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previously announced settlement agreements, in 2025, two competitors launched competing generic products to the patent protected weight loss treatment sold within our Pharma segment in the United States, which has caused, and we anticipate will continue to cause, a moderate reduction of prescription volume in the retail pharmacy market in the United States. The Pharma segment has launched its weight loss treatment in the UAE and in several EU countries including Poland, Denmark, Finland, Sweden and Iceland. Additionally, launches in twelve other European countries and six additional countries in the Middle East are planned. Our Pharma segment anticipates these new launches will eventually offset the lost revenue in the US.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September 30, 2025 decreased $7 million (26%) as compared to the comparable prior year period primarily due to increased generic competition in the anti-obesity market resulting in decreased sales. Cost of goods sold for the three months ended September 30, 2025 was flat as compared to the comparable prior year period primarily due to product mix. Gross margin as a percentage of net sales was 30% and 52% for the three months ended September 30,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for the nine months ended September 30, 2025 was flat as compared to the comparable prior year period. Cost of goods sold for the nine months ended September 30, 2025 increased $2 million (5%) as compared to the comparable prior year period primarily due to product mix. Gross margin as a percentage of net sales was 43% and 46% for the three months ended September 30,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interest expense on its senior notes for each of the three and nine months ended September 30, 2025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selling, general and administrative costs during the three months ended September 30, 2025 increased by $16 million (8%) as compared to the comparable prior year period. The increase was primarily due to higher costs in the Automotive segment of $10 million mostly related to increased marketing and payroll expenses.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nine months ended September 30, 2025 increased by $48 million (8%) as compared to the comparable prior year period. The increase was primarily due to higher costs in the Automotive segment of $27 million mostly related to increased marketing and payroll expenses and the Energy segment of $12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three months ended September 30, 2025 decreased by $8 million (6%) as compared to the comparable prior year period. The decrease was primarily due to lower interest expense in our Investment segment of $15 million attributable to changes in short exposure composition, offset in part by higher interest expense in our Holding Company segment of $6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nine months ended September 30, 2025 decreased by $15 million (4%) as compared to the comparable prior year period. The decrease was primarily due to lower interest expense in our Investment segment of $49 million attributable to changes in short exposure composition, offset in part by higher interest expense in our Holding Company segment of $19 million and our Energy segment of $15 million.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pStyle w:val="TextBody"/>
        <w:bidi w:val="0"/>
        <w:spacing w:before="0" w:after="240"/>
        <w:ind w:left="0" w:right="0" w:hanging="0"/>
        <w:jc w:val="left"/>
        <w:rPr>
          <w:rFonts w:ascii="Times New Roman;Times;serif" w:hAnsi="Times New Roman;Times;serif"/>
          <w:b/>
          <w:sz w:val="20"/>
        </w:rPr>
      </w:pPr>
      <w:bookmarkStart w:id="2098" w:name="_b69855e7_a9ab_493f_99f8_bd228ced43da"/>
      <w:bookmarkEnd w:id="2098"/>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October 2024, CVR Energy, our subsidiary in our Energy segment, elected to suspend payment of its cash dividend, and continued not to pay dividends in the first, second and third quarters of 2025, which reduced our cash flow for the relevant periods. In addition, our subsidiaries are not obligated to make funds available to us and distributions and intercompany transfers from our subsidiaries to us may be restricted by applicable law or covenants contained in debt agreements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our Holding Company had cash and cash equivalents of approximately $1.0 billion and total debt of approximately $4.7 billion. As of September 30, 2025, our Holding Company had investments in the Investment Funds with a total fair market value of approximately $2.4 billion. We may redeem our direct investment in the Investment Funds upon notice. See “Investment Segment Liquidity,” including under “Investment Funds Redemptions,”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aggregate outstanding face amount of senior notes consist of the following:</w:t>
      </w:r>
    </w:p>
    <w:tbl>
      <w:tblPr>
        <w:tblW w:w="8352" w:type="dxa"/>
        <w:jc w:val="left"/>
        <w:tblInd w:w="0" w:type="dxa"/>
        <w:tblLayout w:type="fixed"/>
        <w:tblCellMar>
          <w:top w:w="0" w:type="dxa"/>
          <w:left w:w="0" w:type="dxa"/>
          <w:bottom w:w="0" w:type="dxa"/>
          <w:right w:w="0" w:type="dxa"/>
        </w:tblCellMar>
      </w:tblPr>
      <w:tblGrid>
        <w:gridCol w:w="5326"/>
        <w:gridCol w:w="364"/>
        <w:gridCol w:w="986"/>
        <w:gridCol w:w="326"/>
        <w:gridCol w:w="320"/>
        <w:gridCol w:w="1030"/>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382010" cy="175260"/>
                      <wp:effectExtent l="0" t="0" r="0" b="0"/>
                      <wp:wrapNone/>
                      <wp:docPr id="560" name="Frame560"/>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31140" cy="175260"/>
                      <wp:effectExtent l="0" t="0" r="0" b="0"/>
                      <wp:wrapNone/>
                      <wp:docPr id="561" name="Frame56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26110" cy="175260"/>
                      <wp:effectExtent l="0" t="0" r="0" b="0"/>
                      <wp:wrapNone/>
                      <wp:docPr id="562" name="Frame562"/>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3200" cy="175260"/>
                      <wp:effectExtent l="0" t="0" r="0" b="0"/>
                      <wp:wrapNone/>
                      <wp:docPr id="564" name="Frame56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54050" cy="175260"/>
                      <wp:effectExtent l="0" t="0" r="0" b="0"/>
                      <wp:wrapNone/>
                      <wp:docPr id="565" name="Frame565"/>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September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352"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64"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6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64"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outstanding face amount of senior notes</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debt issuance costs</w:t>
            </w:r>
          </w:p>
        </w:tc>
        <w:tc>
          <w:tcPr>
            <w:tcW w:w="36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Notes held in treasury </w:t>
            </w:r>
            <w:r>
              <w:rPr>
                <w:rFonts w:ascii="Times New Roman;Times;serif" w:hAnsi="Times New Roman;Times;serif"/>
                <w:sz w:val="15"/>
              </w:rPr>
              <w:t>(1)</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4,699</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September 30, 2025 total debt is net of notes held in treasury of $10 million aggregate principal amount of our 6.250% senior notes due 2026, $73 million aggregate principal amount of our 5.250% senior notes due 2027, $92 million aggregate principal amount of our 4.375% senior notes due 2029, and $50 million aggregate principal amount of our 9.000% senior notes due 2030. At December 31, 2024 total debt is net of notes held in treasury of $31 million aggregate principal amount of our 6.250% senior notes due 2026, $73 million aggregate principal amount of our 5.250% senior notes due 2027, and $92 million aggregate principal amount of our 4.375% senior notes due 2029.</w:t>
            </w:r>
          </w:p>
        </w:tc>
      </w:tr>
    </w:tbl>
    <w:p>
      <w:pPr>
        <w:pStyle w:val="TextBody"/>
        <w:bidi w:val="0"/>
        <w:spacing w:before="0" w:after="0"/>
        <w:ind w:left="36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August 2025, the Issuers issued an additional $500 million in aggregate principal amount of our existing 10.000% senior secured notes due 2029. The net proceeds from the issuance, together with cash on hand, were used to partially redeem $500 million of the outstanding 6.250% senior secured notes due 2026 on September 5,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pStyle w:val="TextBody"/>
        <w:bidi w:val="0"/>
        <w:spacing w:before="0" w:after="240"/>
        <w:ind w:left="0" w:right="0" w:firstLine="360"/>
        <w:jc w:val="left"/>
        <w:rPr>
          <w:rFonts w:ascii="Times New Roman;Times;serif" w:hAnsi="Times New Roman;Times;serif"/>
          <w:sz w:val="20"/>
        </w:rPr>
      </w:pPr>
      <w:bookmarkStart w:id="2099" w:name="_Hlk191140442"/>
      <w:bookmarkEnd w:id="2099"/>
      <w:r>
        <w:rPr>
          <w:rFonts w:ascii="Times New Roman;Times;serif" w:hAnsi="Times New Roman;Times;serif"/>
          <w:sz w:val="20"/>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will be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Guarantors,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and December 31, 2024, we were in compliance with all covenants, including maintaining certain minimum financial ratios, as defined in the indentures. Additionally, as of June 30, 2025, based on covenants in the indentures governing our senior notes, we are not permitted to incur additional indebtedness; however, we are permitted to issue new notes in connection with debt refinancings of existing notes. We have provided additional equity financing to Viskase of an aggregate of $20 million during the nine months ended September 30, 2025 while its restructuring plan continues, and if we do not provide additional financing Viskase may not be able to meet its debt and other obligations unless the gains from its ongoing restructuring plan are realized sooner than anticipated.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Debt Repurchase</w:t>
      </w:r>
    </w:p>
    <w:p>
      <w:pPr>
        <w:pStyle w:val="TextBody"/>
        <w:bidi w:val="0"/>
        <w:spacing w:before="0" w:after="240"/>
        <w:ind w:left="0" w:right="0" w:firstLine="360"/>
        <w:jc w:val="left"/>
        <w:rPr>
          <w:rFonts w:ascii="TimesNRMTPro" w:hAnsi="TimesNRMTPro"/>
          <w:sz w:val="20"/>
        </w:rPr>
      </w:pPr>
      <w:r>
        <w:rPr>
          <w:rFonts w:ascii="TimesNRMTPro" w:hAnsi="TimesNRMTPro"/>
          <w:sz w:val="20"/>
        </w:rPr>
        <w:t xml:space="preserve">In the nine months ended September 30, 2025, we repurchased in the open market approximately $50 million aggregate principal amount of our 9.000% senior notes due 2030 for total cash paid of $46 million. The repurchased notes were extinguished but were not retired and are held in treasury.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 xml:space="preserve">In May 2019, Icahn Enterprises entered into an Open Market Sale Agreement for the sale of depositary units, from time to time, for up to $400 million in aggregate sale proceeds, under its ongoing “at-the-market” offering. This agreement has been subsequently terminated and superseded by subsequent agreements with substantially the same terms. </w:t>
      </w:r>
      <w:r>
        <w:rPr>
          <w:rFonts w:ascii="Times New Roman;Times;serif" w:hAnsi="Times New Roman;Times;serif"/>
          <w:sz w:val="20"/>
        </w:rPr>
        <w:t xml:space="preserve">During the nine months ended September 30, 2025, we sold 5,156,758 depositary units pursuant to the Open Market Sale Agreement entered into November 21, 2022. As of September 30, 2025, we continue to have effective Open Market Sale Agreements, and Icahn Enterprises may sell its depositary units for up to an additional $3 million in aggregate gross sale proceeds pursuant to its Open Market Sale Agreement entered into November 21, 2022 and up to $400 million in aggregate gross sales proceeds pursuant to its Open Market Sales Agreement entered into August 26, 2024. </w:t>
      </w:r>
      <w:r>
        <w:rPr>
          <w:rFonts w:ascii="TimesNRMTPro" w:hAnsi="TimesNRMTPro"/>
          <w:sz w:val="20"/>
        </w:rPr>
        <w:t>No assurance can be made that any or all amounts will be sold during the term of the agreements, and we have no obligation to sell additional depositary units under these Open Market Sale Agreements. Depending on market conditions, we may continue to sell depositary units under the Open Market Sale Agreements, and, if appropriate, enter into a new Open Market Sale Agreement to continue our “at-the-market” sales program once we have sold the full amount of our existing Open Market Sale Agreements. Our ability to access remaining capital under our “at-the-market” program may be limited by market conditions at the time of any future potential sale. While we were able to sell depositary units during the nine months ended September 30, 2025,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Icahn Enterprises declared three quarterly distributions, each distribution in the amount of $0.50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$228 million, of which $150 million was distributed to Mr. Icahn and his affiliates.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November 3, 2025, the Board of Directors of the general partner of Icahn Enterprises declared a quarterly distribution in the amount of $0.50 per depositary unit, which will be paid on or about December 24, 2025 to depositary unitholders of record at the close of business on November 17, 2025. Depositary unitholders will have until December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19, 2025.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nine months ended September 30, 2025, the Company did not repurchase any of the Company’s depositary units under the Repurchase Program and has repurchased $50 million worth of our outstanding fixed-rate senior notes. The repurchased notes were extinguished but were not retired and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investments by us and Mr. Icahn, the Investment Funds historically have access to significant amounts of cash available from prime brokerage lines of credit, subject to customary terms and market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$471 million and $915 million as of September 30,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September 30, 2025, the Investment Funds had a net short notional exposure of 26%. The Investment Funds’ long exposure was 109% (109% long equity) and its short exposure was 134% (121% short equity, 1% short credit and 12% short commodity). The notional exposure represents the ratio of the notional exposure of the Investment Funds’ invested capital to the net asset value of the Investment Funds at September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Investment Funds’ 109% long exposure, 60% was comprised of the fair value of its long positions and 49% was comprised mostly of single name equity forward and swap contracts. Of the Investment Funds’ 134% short exposure, 44% was comprised of the fair value of its short positions and 90% was comprised mostly of short broad market index swap derivative contracts, short credit default swap contracts and short commodity contracts.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 respect to both our long positions that are not notionalized (60% long exposure) and our short positions that are not notionalized (44%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the notional value of our other long positions (49% long exposure) and short positions (90%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Mr. Icahn and his affiliates (excluding us and Brett Icahn) redeemed $508 million from his personal interest in the Investment Funds included in the Investment segment. As of September 30, 2025 and December 31, 2024, the total fair market value of investments in the Investment Funds owned by the Company was approximately $2.4 billion and $2.7 billion, respectively, representing approximately 75% and 64% of the Investment Funds’ assets under management as of each respective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4793" w:type="dxa"/>
        <w:jc w:val="left"/>
        <w:tblInd w:w="0" w:type="dxa"/>
        <w:tblLayout w:type="fixed"/>
        <w:tblCellMar>
          <w:top w:w="0" w:type="dxa"/>
          <w:left w:w="0" w:type="dxa"/>
          <w:bottom w:w="0" w:type="dxa"/>
          <w:right w:w="0" w:type="dxa"/>
        </w:tblCellMar>
      </w:tblPr>
      <w:tblGrid>
        <w:gridCol w:w="1441"/>
        <w:gridCol w:w="326"/>
        <w:gridCol w:w="449"/>
        <w:gridCol w:w="901"/>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915035" cy="175260"/>
                      <wp:effectExtent l="0" t="0" r="0" b="0"/>
                      <wp:wrapNone/>
                      <wp:docPr id="566" name="Frame56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85115" cy="175260"/>
                      <wp:effectExtent l="0" t="0" r="0" b="0"/>
                      <wp:wrapNone/>
                      <wp:docPr id="568" name="Frame568"/>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72135" cy="175260"/>
                      <wp:effectExtent l="0" t="0" r="0" b="0"/>
                      <wp:wrapNone/>
                      <wp:docPr id="569" name="Frame56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3200" cy="175260"/>
                      <wp:effectExtent l="0" t="0" r="0" b="0"/>
                      <wp:wrapNone/>
                      <wp:docPr id="571" name="Frame57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54050" cy="175260"/>
                      <wp:effectExtent l="0" t="0" r="0" b="0"/>
                      <wp:wrapNone/>
                      <wp:docPr id="572" name="Frame572"/>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79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1,197</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4793" w:type="dxa"/>
        <w:jc w:val="left"/>
        <w:tblInd w:w="0" w:type="dxa"/>
        <w:tblLayout w:type="fixed"/>
        <w:tblCellMar>
          <w:top w:w="0" w:type="dxa"/>
          <w:left w:w="0" w:type="dxa"/>
          <w:bottom w:w="0" w:type="dxa"/>
          <w:right w:w="0" w:type="dxa"/>
        </w:tblCellMar>
      </w:tblPr>
      <w:tblGrid>
        <w:gridCol w:w="1441"/>
        <w:gridCol w:w="326"/>
        <w:gridCol w:w="364"/>
        <w:gridCol w:w="986"/>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915035" cy="175260"/>
                      <wp:effectExtent l="0" t="0" r="0" b="0"/>
                      <wp:wrapNone/>
                      <wp:docPr id="573" name="Frame57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31140" cy="175260"/>
                      <wp:effectExtent l="0" t="0" r="0" b="0"/>
                      <wp:wrapNone/>
                      <wp:docPr id="575" name="Frame57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26110" cy="175260"/>
                      <wp:effectExtent l="0" t="0" r="0" b="0"/>
                      <wp:wrapNone/>
                      <wp:docPr id="576" name="Frame576"/>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3200" cy="175260"/>
                      <wp:effectExtent l="0" t="0" r="0" b="0"/>
                      <wp:wrapNone/>
                      <wp:docPr id="578" name="Frame57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54050" cy="175260"/>
                      <wp:effectExtent l="0" t="0" r="0" b="0"/>
                      <wp:wrapNone/>
                      <wp:docPr id="579" name="Frame57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79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2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2,110</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2025, certain of our Energy segment’s subsidiaries (the “Term Loan Borrowers”) prepaid $90 million in principal amount of the senior secured term loan facility (the “Term Loan”). As a result of these transactions, CVR Energy recognized a $2 million loss on extinguishment of debt for the nine months ended September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our Annual Report on Form 10-K for the year ended December 31, 2024 for information concerning terms, restrictions and covenants pertaining to our subsidiaries’ debt. As of September 30, 2025, all of our subsidiaries were in compliance with all debt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3162" w:type="dxa"/>
        <w:jc w:val="left"/>
        <w:tblInd w:w="0" w:type="dxa"/>
        <w:tblLayout w:type="fixed"/>
        <w:tblCellMar>
          <w:top w:w="0" w:type="dxa"/>
          <w:left w:w="0" w:type="dxa"/>
          <w:bottom w:w="0" w:type="dxa"/>
          <w:right w:w="0" w:type="dxa"/>
        </w:tblCellMar>
      </w:tblPr>
      <w:tblGrid>
        <w:gridCol w:w="1441"/>
        <w:gridCol w:w="326"/>
        <w:gridCol w:w="398"/>
        <w:gridCol w:w="997"/>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915035" cy="175260"/>
                      <wp:effectExtent l="0" t="0" r="0" b="0"/>
                      <wp:wrapNone/>
                      <wp:docPr id="580" name="Frame58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52730" cy="175260"/>
                      <wp:effectExtent l="0" t="0" r="0" b="0"/>
                      <wp:wrapNone/>
                      <wp:docPr id="582" name="Frame582"/>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33095" cy="175260"/>
                      <wp:effectExtent l="0" t="0" r="0" b="0"/>
                      <wp:wrapNone/>
                      <wp:docPr id="583" name="Frame583"/>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1"/>
              <w:ind w:left="0" w:right="0" w:hanging="0"/>
              <w:jc w:val="left"/>
              <w:rPr/>
            </w:pPr>
            <w:r>
              <w:rPr/>
              <w:t> </w:t>
            </w:r>
          </w:p>
        </w:tc>
        <w:tc>
          <w:tcPr>
            <w:tcW w:w="398" w:type="dxa"/>
            <w:tcBorders/>
            <w:vAlign w:val="center"/>
          </w:tcPr>
          <w:p>
            <w:pPr>
              <w:pStyle w:val="TableContents"/>
              <w:bidi w:val="0"/>
              <w:spacing w:before="0" w:after="1"/>
              <w:ind w:left="0" w:right="0" w:hanging="0"/>
              <w:jc w:val="left"/>
              <w:rPr/>
            </w:pPr>
            <w:r>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 </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additional borrowing availability with respect to each of our continued operating segments reflects third-party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cash flow information for Icahn Enterprises’ reporting segments and our Holding Company: </w:t>
      </w:r>
    </w:p>
    <w:tbl>
      <w:tblPr>
        <w:tblW w:w="9390" w:type="dxa"/>
        <w:jc w:val="left"/>
        <w:tblInd w:w="0" w:type="dxa"/>
        <w:tblLayout w:type="fixed"/>
        <w:tblCellMar>
          <w:top w:w="0" w:type="dxa"/>
          <w:left w:w="0" w:type="dxa"/>
          <w:bottom w:w="0" w:type="dxa"/>
          <w:right w:w="0" w:type="dxa"/>
        </w:tblCellMar>
      </w:tblPr>
      <w:tblGrid>
        <w:gridCol w:w="2311"/>
        <w:gridCol w:w="326"/>
        <w:gridCol w:w="261"/>
        <w:gridCol w:w="595"/>
        <w:gridCol w:w="326"/>
        <w:gridCol w:w="237"/>
        <w:gridCol w:w="544"/>
        <w:gridCol w:w="326"/>
        <w:gridCol w:w="211"/>
        <w:gridCol w:w="691"/>
        <w:gridCol w:w="326"/>
        <w:gridCol w:w="261"/>
        <w:gridCol w:w="595"/>
        <w:gridCol w:w="326"/>
        <w:gridCol w:w="237"/>
        <w:gridCol w:w="544"/>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467485" cy="175260"/>
                      <wp:effectExtent l="0" t="0" r="0" b="0"/>
                      <wp:wrapNone/>
                      <wp:docPr id="584" name="Frame58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65735" cy="175260"/>
                      <wp:effectExtent l="0" t="0" r="0" b="0"/>
                      <wp:wrapNone/>
                      <wp:docPr id="586" name="Frame58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77825" cy="175260"/>
                      <wp:effectExtent l="0" t="0" r="0" b="0"/>
                      <wp:wrapNone/>
                      <wp:docPr id="587" name="Frame58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50495" cy="175260"/>
                      <wp:effectExtent l="0" t="0" r="0" b="0"/>
                      <wp:wrapNone/>
                      <wp:docPr id="589" name="Frame58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345440" cy="175260"/>
                      <wp:effectExtent l="0" t="0" r="0" b="0"/>
                      <wp:wrapNone/>
                      <wp:docPr id="590" name="Frame590"/>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38785" cy="175260"/>
                      <wp:effectExtent l="0" t="0" r="0" b="0"/>
                      <wp:wrapNone/>
                      <wp:docPr id="593" name="Frame5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4"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65735" cy="175260"/>
                      <wp:effectExtent l="0" t="0" r="0" b="0"/>
                      <wp:wrapNone/>
                      <wp:docPr id="595" name="Frame59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377825" cy="175260"/>
                      <wp:effectExtent l="0" t="0" r="0" b="0"/>
                      <wp:wrapNone/>
                      <wp:docPr id="596" name="Frame596"/>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7"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50495" cy="175260"/>
                      <wp:effectExtent l="0" t="0" r="0" b="0"/>
                      <wp:wrapNone/>
                      <wp:docPr id="598" name="Frame59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45440" cy="175260"/>
                      <wp:effectExtent l="0" t="0" r="0" b="0"/>
                      <wp:wrapNone/>
                      <wp:docPr id="599" name="Frame599"/>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600"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601"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67360" cy="175260"/>
                      <wp:effectExtent l="0" t="0" r="0" b="0"/>
                      <wp:wrapNone/>
                      <wp:docPr id="602" name="Frame6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c>
          <w:tcPr>
            <w:tcW w:w="326" w:type="dxa"/>
            <w:tcBorders/>
            <w:vAlign w:val="center"/>
          </w:tcPr>
          <w:p>
            <w:pPr>
              <w:pStyle w:val="TableContents"/>
              <w:bidi w:val="0"/>
              <w:spacing w:before="0" w:after="1"/>
              <w:ind w:left="0" w:right="0" w:hanging="0"/>
              <w:jc w:val="left"/>
              <w:rPr/>
            </w:pPr>
            <w:r>
              <w:rPr/>
              <w:t>​</w:t>
            </w:r>
          </w:p>
        </w:tc>
        <w:tc>
          <w:tcPr>
            <w:tcW w:w="32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26" w:type="dxa"/>
            <w:tcBorders/>
            <w:vAlign w:val="center"/>
          </w:tcPr>
          <w:p>
            <w:pPr>
              <w:pStyle w:val="TableContents"/>
              <w:bidi w:val="0"/>
              <w:spacing w:before="0" w:after="1"/>
              <w:ind w:left="0" w:right="0" w:hanging="0"/>
              <w:jc w:val="left"/>
              <w:rPr/>
            </w:pPr>
            <w:r>
              <w:rPr/>
              <w:t>​</w:t>
            </w:r>
          </w:p>
        </w:tc>
        <w:tc>
          <w:tcPr>
            <w:tcW w:w="32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r>
      <w:tr>
        <w:trPr/>
        <w:tc>
          <w:tcPr>
            <w:tcW w:w="9390"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53" w:type="dxa"/>
            <w:gridSpan w:val="17"/>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Eliminations in the table above relate to certain of our Holding Company’s transactions with our Investment and other operating segments. Our Holding Company’s net (investments in) distributions from the Investments Funds,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205" w:type="dxa"/>
        <w:jc w:val="left"/>
        <w:tblInd w:w="0" w:type="dxa"/>
        <w:tblLayout w:type="fixed"/>
        <w:tblCellMar>
          <w:top w:w="0" w:type="dxa"/>
          <w:left w:w="0" w:type="dxa"/>
          <w:bottom w:w="0" w:type="dxa"/>
          <w:right w:w="0" w:type="dxa"/>
        </w:tblCellMar>
      </w:tblPr>
      <w:tblGrid>
        <w:gridCol w:w="6913"/>
        <w:gridCol w:w="326"/>
        <w:gridCol w:w="211"/>
        <w:gridCol w:w="1001"/>
        <w:gridCol w:w="272"/>
        <w:gridCol w:w="394"/>
        <w:gridCol w:w="1088"/>
      </w:tblGrid>
      <w:tr>
        <w:trPr/>
        <w:tc>
          <w:tcPr>
            <w:tcW w:w="6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389755" cy="175260"/>
                      <wp:effectExtent l="0" t="0" r="0" b="0"/>
                      <wp:wrapNone/>
                      <wp:docPr id="603" name="Frame603"/>
                      <a:graphic xmlns:a="http://schemas.openxmlformats.org/drawingml/2006/main">
                        <a:graphicData uri="http://schemas.microsoft.com/office/word/2010/wordprocessingShape">
                          <wps:wsp>
                            <wps:cNvSpPr txBox="1"/>
                            <wps:spPr>
                              <a:xfrm>
                                <a:off x="0" y="0"/>
                                <a:ext cx="438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5"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35635" cy="175260"/>
                      <wp:effectExtent l="0" t="0" r="0" b="0"/>
                      <wp:wrapNone/>
                      <wp:docPr id="606" name="Frame606"/>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72720" cy="175260"/>
                      <wp:effectExtent l="0" t="0" r="0" b="0"/>
                      <wp:wrapNone/>
                      <wp:docPr id="607" name="Frame607"/>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50190" cy="175260"/>
                      <wp:effectExtent l="0" t="0" r="0" b="0"/>
                      <wp:wrapNone/>
                      <wp:docPr id="608" name="Frame60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0880" cy="175260"/>
                      <wp:effectExtent l="0" t="0" r="0" b="0"/>
                      <wp:wrapNone/>
                      <wp:docPr id="609" name="Frame609"/>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69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75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w:t>
            </w:r>
          </w:p>
        </w:tc>
      </w:tr>
      <w:tr>
        <w:trPr/>
        <w:tc>
          <w:tcPr>
            <w:tcW w:w="69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4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69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66" w:type="dxa"/>
            <w:gridSpan w:val="5"/>
            <w:tcBorders/>
            <w:vAlign w:val="center"/>
          </w:tcPr>
          <w:p>
            <w:pPr>
              <w:pStyle w:val="TableContents"/>
              <w:bidi w:val="0"/>
              <w:spacing w:before="0" w:after="1"/>
              <w:ind w:left="0" w:right="0" w:hanging="0"/>
              <w:jc w:val="center"/>
              <w:rPr/>
            </w:pPr>
            <w:r>
              <w:rPr/>
              <w:t>​</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pPr>
            <w:r>
              <w:rPr/>
              <w:t>  </w:t>
            </w:r>
          </w:p>
        </w:tc>
        <w:tc>
          <w:tcPr>
            <w:tcW w:w="272"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right"/>
              <w:rPr/>
            </w:pPr>
            <w:r>
              <w:rPr/>
              <w:t>  </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receipts for income taxes, net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272"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691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pPr>
            <w:r>
              <w:rPr/>
              <w:t>  </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pPr>
            <w:r>
              <w:rPr/>
              <w:t>  </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from the Investment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272"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91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pPr>
            <w:r>
              <w:rPr/>
              <w:t>  </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pPr>
            <w:r>
              <w:rPr/>
              <w:t>  </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senior notes held in treasury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69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272"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9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272"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69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272"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Operating transactions with subsidiaries includes the reimbursement of operating expenses to our Investment segment based on an expense-sharing agreement.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Distributions paid from the Investment Funds include a pro-rata distribution paid, which includes payment to the Holding Company, and are eliminated in consolidation.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from operating segments is made up of dividends, distributions, and repayments of intercompany loans that are eliminated in consolidation. During the nine months ended September 30, 2025, this includes cash distributions received from our Real Estate segment of $111 million, cash distributions from our Automotive segment of $28 million, repayments of intercompany loans from our Pharma segment of $25 million and a $2 million cash dividend received from CVR Partners. During the nine months ended September 30, 2024, this includes cash dividends received from our Energy segment of $100 million, cash distributions from our Real Estate segment of $24 million, cash distributions from our Automotive segment of $7 million, repayments of intercompany loans from our Pharma segment of $15 million and other distributions of $17 million.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to operating segments is made up of intercompany loans and contributions to operating segments that are eliminated in consolidation. During the nine months ended September 30, 2025, changes in cash to operating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was mainly attributable to cash paid to our Real Estate segment of $29 million, Automotive segment of $25 million and Home Fashion segment of $5 million. During the nine months ended September 30, 2024, this includes cash paid to our Automotive segment of $38 million, Real Estate segment of $22 million and Home Fashion segment of $16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Partnership contributions represent sales in connection with our At-The-Market offerings pursuant to our Open Market Sale Agreements, as discussed above.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Payments to acquire additional interests in subsidiaries represent payments to acquire additional interests in CVR Energy and CVR Partners of $65 million and $7 million, respectively, and the private placements of Viskase of $20 million. </w:t>
      </w:r>
    </w:p>
    <w:p>
      <w:pPr>
        <w:pStyle w:val="TextBody"/>
        <w:bidi w:val="0"/>
        <w:spacing w:before="0" w:after="240"/>
        <w:ind w:left="0" w:right="0" w:hanging="0"/>
        <w:jc w:val="both"/>
        <w:rPr/>
      </w:pPr>
      <w:r>
        <w:rPr>
          <w:shd w:fill="FFFFFF" w:val="clear"/>
        </w:rPr>
        <w:t> </w:t>
      </w: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Operating Segments </w:t>
      </w:r>
    </w:p>
    <w:tbl>
      <w:tblPr>
        <w:tblW w:w="10205" w:type="dxa"/>
        <w:jc w:val="left"/>
        <w:tblInd w:w="0" w:type="dxa"/>
        <w:tblLayout w:type="fixed"/>
        <w:tblCellMar>
          <w:top w:w="0" w:type="dxa"/>
          <w:left w:w="0" w:type="dxa"/>
          <w:bottom w:w="0" w:type="dxa"/>
          <w:right w:w="0" w:type="dxa"/>
        </w:tblCellMar>
      </w:tblPr>
      <w:tblGrid>
        <w:gridCol w:w="7035"/>
        <w:gridCol w:w="326"/>
        <w:gridCol w:w="211"/>
        <w:gridCol w:w="850"/>
        <w:gridCol w:w="521"/>
        <w:gridCol w:w="337"/>
        <w:gridCol w:w="925"/>
      </w:tblGrid>
      <w:tr>
        <w:trPr/>
        <w:tc>
          <w:tcPr>
            <w:tcW w:w="7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467225" cy="175260"/>
                      <wp:effectExtent l="0" t="0" r="0" b="0"/>
                      <wp:wrapNone/>
                      <wp:docPr id="610" name="Frame610"/>
                      <a:graphic xmlns:a="http://schemas.openxmlformats.org/drawingml/2006/main">
                        <a:graphicData uri="http://schemas.microsoft.com/office/word/2010/wordprocessingShape">
                          <wps:wsp>
                            <wps:cNvSpPr txBox="1"/>
                            <wps:spPr>
                              <a:xfrm>
                                <a:off x="0" y="0"/>
                                <a:ext cx="446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3985" cy="175260"/>
                      <wp:effectExtent l="0" t="0" r="0" b="0"/>
                      <wp:wrapNone/>
                      <wp:docPr id="612" name="Frame6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39750" cy="175260"/>
                      <wp:effectExtent l="0" t="0" r="0" b="0"/>
                      <wp:wrapNone/>
                      <wp:docPr id="613" name="Frame61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330835" cy="175260"/>
                      <wp:effectExtent l="0" t="0" r="0" b="0"/>
                      <wp:wrapNone/>
                      <wp:docPr id="614" name="Frame61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3995" cy="175260"/>
                      <wp:effectExtent l="0" t="0" r="0" b="0"/>
                      <wp:wrapNone/>
                      <wp:docPr id="615" name="Frame61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87375" cy="175260"/>
                      <wp:effectExtent l="0" t="0" r="0" b="0"/>
                      <wp:wrapNone/>
                      <wp:docPr id="616" name="Frame616"/>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6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w:t>
            </w:r>
          </w:p>
        </w:tc>
      </w:tr>
      <w:tr>
        <w:trPr/>
        <w:tc>
          <w:tcPr>
            <w:tcW w:w="7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1" w:type="dxa"/>
            <w:tcBorders/>
            <w:vAlign w:val="center"/>
          </w:tcPr>
          <w:p>
            <w:pPr>
              <w:pStyle w:val="TableContents"/>
              <w:bidi w:val="0"/>
              <w:spacing w:before="0" w:after="1"/>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4" w:type="dxa"/>
            <w:gridSpan w:val="5"/>
            <w:tcBorders/>
            <w:vAlign w:val="center"/>
          </w:tcPr>
          <w:p>
            <w:pPr>
              <w:pStyle w:val="TableContents"/>
              <w:bidi w:val="0"/>
              <w:spacing w:before="0" w:after="1"/>
              <w:ind w:left="0" w:right="0" w:hanging="0"/>
              <w:jc w:val="center"/>
              <w:rPr/>
            </w:pPr>
            <w:r>
              <w:rPr/>
              <w:t>​</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left"/>
              <w:rPr/>
            </w:pPr>
            <w:r>
              <w:rPr/>
              <w:t> </w:t>
            </w:r>
          </w:p>
        </w:tc>
        <w:tc>
          <w:tcPr>
            <w:tcW w:w="337"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  </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521"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0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of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21"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consolidated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5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521"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70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521"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other operating segments’ cash flows from operating activities before changes in operating assets and liabilities were primarily attributable to the results of our Energy segment during both periods. The change in cash flows from operating activities for the nine months ended September 30, 2025 as compared to the comparable prior year was primarily due to a decrease in the operating results of our Energy segment.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and turnaround expenditures are primarily from our Energy and Automotive segments and are primarily for maintenance and growth, including the planned maintenance of one of the Energy segment’s refineries in both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Repayments of other borrowings are related to our Energy segment’s redemption of $600 million principal amount of its 5.25% senior notes due February 2025 during the nine months ended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to non-controlling interests were from our Energy segment related to its regular quarterly dividends and distributions, excluding payments made to us.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from Holding Company is made up of intercompany loans and contributions between our Holding Company and subsidiaries that are eliminated in consolidation.</w:t>
      </w:r>
      <w:r>
        <w:rPr>
          <w:rFonts w:ascii="Times New Roman;Times;serif" w:hAnsi="Times New Roman;Times;serif"/>
          <w:sz w:val="20"/>
          <w:shd w:fill="FFFFFF" w:val="clear"/>
        </w:rPr>
        <w:t xml:space="preserve"> During the nine months ended September 30, 2025, changes in cash to operating segments was mainly attributable to cash paid to our Real Estate segment of $29 million, Automotive segment of $25 million and Home Fashion segment of $5 million. During the nine months ended September 30, 2024, this includes cash paid to our Automotive segment of $38 million, Real Estate segment of $22 million and our Home Fashion segment of $16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Cash to Holding Company </w:t>
      </w:r>
      <w:r>
        <w:rPr>
          <w:rFonts w:ascii="Times New Roman;Times;serif" w:hAnsi="Times New Roman;Times;serif"/>
          <w:sz w:val="20"/>
          <w:shd w:fill="FFFFFF" w:val="clear"/>
        </w:rPr>
        <w:t>is made up of dividends, distributions, and repayments of intercompany loans that are eliminated in consolidation. During the nine months ended September 30, 2025, this includes cash distributions paid from our Real Estate segment of $111 million, cash distributions from our Automotive segment of $28 million and repayments of intercompany loans from our Pharma segment of $25 million and a $2 million cash dividend received from CVR Partners. During the nine months ended September 30, 2024, this includes cash dividends received from our Energy segment of $100 million, cash distributions from our Real Estate segment totaling $24 million, cash distributions from our Automotive segment of $7 million, and repayments of intercompany loans from our Pharma segment of $15 million.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Payments to acquire additional interests in consolidated subsidiaries are related to the Food Packaging private placements of $20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Consolidated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our planned capital expenditures as compared to the estimated capital expenditures for 2025 reported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Refer to Note 2, “Basis of Presentation and Summary of Significant Accounting Policies,” to the condensed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00" w:name="Item3QuantitativeandQualitativeDisclosur"/>
      <w:bookmarkStart w:id="2101" w:name="_7f6902ab_36f2_415c_9b27_23cdb02266be"/>
      <w:bookmarkEnd w:id="2100"/>
      <w:bookmarkEnd w:id="210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discussed below, information about our quantitative and qualitative disclosures about market risk did not differ materially from those disclosed in our Annual Report on Form 10-K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market risk is related to our Investment segment and the sensitivities to movements in the fair value of the Investment Funds’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2025, we estimate that in the event of a 10% adverse change in the fair value of these investments, the fair values of securities owned, securities sold, not yet purchased and derivatives would be negatively impacted by approximately $193 million, $143 million and $466 million, respectively. However, as of September 30, 2025, we estimate that the impact to our share of the net gain (loss) from investment activities reported in our condensed consolidated statement of operations would be less than the change in fair value since we have an interest of approximately 75% in the Investment Funds.</w:t>
      </w:r>
    </w:p>
    <w:p>
      <w:pPr>
        <w:pStyle w:val="TextBody"/>
        <w:bidi w:val="0"/>
        <w:spacing w:before="0" w:after="240"/>
        <w:ind w:left="0" w:right="0" w:hanging="0"/>
        <w:jc w:val="left"/>
        <w:rPr>
          <w:rFonts w:ascii="Times New Roman;Times;serif" w:hAnsi="Times New Roman;Times;serif"/>
          <w:b/>
          <w:sz w:val="20"/>
        </w:rPr>
      </w:pPr>
      <w:bookmarkStart w:id="2102" w:name="Item4ControlsandProcedures_867240"/>
      <w:bookmarkStart w:id="2103" w:name="_a1a3e959_f9b5_4186_a945_941c718eab8f"/>
      <w:bookmarkEnd w:id="2102"/>
      <w:bookmarkEnd w:id="2103"/>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04" w:name="_dd067ba8_7cc8_4ec9_9a27_49a8f79cd349"/>
      <w:bookmarkEnd w:id="210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2105" w:name="Item1LegalProceedings_984640"/>
      <w:bookmarkEnd w:id="2105"/>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bookmarkStart w:id="2106" w:name="Item1ARiskFactors_993647"/>
      <w:bookmarkStart w:id="2107" w:name="_92a7e776_a5b1_4a8f_8dc8_f6a65aa5f242"/>
      <w:bookmarkEnd w:id="2106"/>
      <w:bookmarkEnd w:id="2107"/>
      <w:r>
        <w:rPr>
          <w:rFonts w:ascii="Times New Roman;Times;serif" w:hAnsi="Times New Roman;Times;serif"/>
          <w:b/>
          <w:sz w:val="20"/>
        </w:rPr>
        <w:t xml:space="preserve">Item 1A. Risk Factors </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to our risk factors during the three months ended September 30, 2025 as compared to those reported in our Annual Report on Form 10-K for the year ended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2108" w:name="Item2UnregisteredSales_554313"/>
      <w:bookmarkStart w:id="2109" w:name="_fde51649_bd11_4200_9a5e_4dda0bef434c"/>
      <w:bookmarkEnd w:id="2108"/>
      <w:bookmarkEnd w:id="2109"/>
      <w:r>
        <w:rPr>
          <w:rFonts w:ascii="Times New Roman;Times;serif" w:hAnsi="Times New Roman;Times;serif"/>
          <w:b/>
          <w:sz w:val="20"/>
        </w:rPr>
        <w:t>Item 2. Unregistered Sales of Equity Securities and Use or Proceeds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any depositary units pursuant to our approved repurchase program discussed above.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10" w:name="_c142034c_add9_494a_af4f_f7282fe6a2d7"/>
      <w:bookmarkStart w:id="2111" w:name="Item5OtherInformation"/>
      <w:bookmarkEnd w:id="2110"/>
      <w:bookmarkEnd w:id="2111"/>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Updates to the Board of Directors</w:t>
      </w:r>
    </w:p>
    <w:p>
      <w:pPr>
        <w:pStyle w:val="TextBody"/>
        <w:bidi w:val="0"/>
        <w:spacing w:before="0" w:after="0"/>
        <w:ind w:left="72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3, 2025, Stephen A. Mongillo, a member of the Board since 2020, informed the Board that he was resigning as a member of the Board and all committees of the Board on which he serves, including as chair of the Board’s audit committee (the “Audit Committee”), effective immediately. Mr. Mongillo’s resignation was not the result of any disagreement with the Company on any matter relating to its operations, policies, or practices. The Board appointed Denise Barton, a member of the Board since 2019 and a member of the Audit Committee since August 2025, as chair of the Audit Committee, effective November 3, 2025, to fill the vacancy resulting from Mr. Mongillo’s resignation.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Mr. Mongillo’s resignation, the Board, following a determination that Margarita Paláu-Hernández qualifies as an “audit committee financial expert,” within the meaning of Item 407(d)(5) of Regulation S-K, and is “independent” within the meaning of Rule 5605(a)(2) of the Nasdaq Stock Market’s Listing Rules, elected Ms. Paláu-Hernández to serve as a member of the Board and the Audit Committee, each effective as of November 3, 2025, replacing the vacancies on the Board and the Audit Committee resulting from Mr. Mongillo’s resignation. Ms. Paláu-Hernández, 69, is the founder and Chief Executive Officer of Hernández Ventures, a private firm engaged in the acquisition and management of a variety of business interests in the United States, a position she has held since November 1988. Prior to founding Hernández Ventures, Ms. Paláu-Hernández was an attorney with the law firm of McCutcheon, Black, Verleger &amp; Shea, where she focused on domestic and international business and real estate transactions from September 1985 until August 1988. Ms. Paláu-Hernández was nominated to serve as a Representative of the United States to the Seventy-Third Session of the General Assembly of the United Nations from September 2018 to June 2019. Ms. Paláu-Hernández has served as a member of the board, the compensation committee and the corporate governance committee of Conduent Incorporated since 2019. She has previously served as a member of the board of International Flavors and Fragrances from June 2024 to October 2025, Apartment Income REIT Corporation board from December 2021 to May 2024, Xerox Holdings Corporation board from June 2021 to May 2024, Occidental Petroleum Corporation board from March 2020 to May 2022, Herbalife Nutrition Ltd. board from 2018 to 2021 and the ALJ Regional Holdings, Inc. board from 2015 to 2019. Ms. Paláu-Hernández earned a Bachelor of Arts degree from the University of San Diego and a J.D. from UCLA School of Law, and she has been a member of the California Bar since 1985.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are no arrangements or understandings between Ms. Paláu-Hernández and any other persons pursuant to which she was selected as a director of the Board, and she has no direct or indirect material interest in any transaction required to be disclosed pursuant to Item 404(a) of Regulation S-K.</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Rule 10b5-1 Trading Arrangements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our last fiscal quarter, no director or officer, as defined in Rule 16a-f(1), adopted or terminated a “Rule 10b5-1 trading arrangement” or a “non-Rule 10b5-1 trading arrangement,” each as defined in Regulation S-K Item 408.</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112" w:name="Item6Exhibits_832790"/>
      <w:bookmarkStart w:id="2113" w:name="_62d76f4a_71e0_4507_a53a_c8ec7212c20e"/>
      <w:bookmarkEnd w:id="2112"/>
      <w:bookmarkEnd w:id="2113"/>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798"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Contents"/>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30"/>
              <w:ind w:left="0" w:right="0" w:hanging="0"/>
              <w:jc w:val="left"/>
              <w:rPr/>
            </w:pPr>
            <w:hyperlink r:id="rId2">
              <w:r>
                <w:rPr>
                  <w:rStyle w:val="InternetLink"/>
                  <w:rFonts w:ascii="Times New Roman;Times;serif" w:hAnsi="Times New Roman;Times;serif"/>
                  <w:b w:val="false"/>
                  <w:i w:val="false"/>
                  <w:caps w:val="false"/>
                  <w:smallCaps w:val="false"/>
                  <w:sz w:val="20"/>
                </w:rPr>
                <w:t>Third Amended and Restated Agreement of Limited Partnership of Icahn Enterprises L.P., dated February 24, 2025 (incorporated by reference to Exhibit 3.3 to the Company’s Annual Report on Form 10-K filed on February 26,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3"/>
        <w:gridCol w:w="109"/>
        <w:gridCol w:w="9483"/>
      </w:tblGrid>
      <w:tr>
        <w:trPr/>
        <w:tc>
          <w:tcPr>
            <w:tcW w:w="6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Agreement of Limited Partnership of Icahn Enterprises Holdings, dated as of February 24, 2025 (incorporated by reference to Exhibit 3.4 to the Company’s Annual Report on Form 10-K filed on February 26, 2025).</w:t>
              </w:r>
            </w:hyperlink>
          </w:p>
        </w:tc>
      </w:tr>
      <w:tr>
        <w:trPr/>
        <w:tc>
          <w:tcPr>
            <w:tcW w:w="6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Indenture, dated November 20, 2024, among Icahn Enterprises L.P., Icahn Enterprises Finance Corp., Icahn Enterprises Holdings L.P., as guarantor, and Wilmington Trust, National Association, as trustee and notes collateral agent (incorporated by reference to Exhibit 4.1 to Icahn Enterprises’ Current Report Form 8-K filed on November 20, 2024).</w:t>
              </w:r>
            </w:hyperlink>
          </w:p>
        </w:tc>
      </w:tr>
      <w:tr>
        <w:trPr/>
        <w:tc>
          <w:tcPr>
            <w:tcW w:w="6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First Supplemental Indenture, dated August 19, 2025, among Icahn Enterprises L.P., Icahn Enterprises Finance Corp., Icahn Enterprises Holdings L.P., as guarantor, and Wilmington Trust, National Association, as trustee and notes collateral agent (incorporated by reference to Exhibit 4.2 to Icahn Enterprises’ Current Report Form 8-K filed on August 19, 2025).</w:t>
              </w:r>
            </w:hyperlink>
          </w:p>
        </w:tc>
      </w:tr>
      <w:tr>
        <w:trPr/>
        <w:tc>
          <w:tcPr>
            <w:tcW w:w="6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0"/>
              <w:ind w:left="0" w:right="0" w:hanging="0"/>
              <w:jc w:val="left"/>
              <w:rPr/>
            </w:pPr>
            <w:hyperlink w:anchor="tmb-20250930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 14(a) of the Securities Exchange Act of 1934.</w:t>
              </w:r>
            </w:hyperlink>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pPr>
            <w:hyperlink w:anchor="tmb-20250930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pPr>
            <w:hyperlink w:anchor="tmb-202509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13"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8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14" w:name="SIGNATURES_87486"/>
      <w:bookmarkStart w:id="2115" w:name="_6b5711d6_0e05_4296_b7d7_17f421af6f32"/>
      <w:bookmarkEnd w:id="2114"/>
      <w:bookmarkEnd w:id="2115"/>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861" w:type="dxa"/>
        <w:jc w:val="left"/>
        <w:tblInd w:w="0" w:type="dxa"/>
        <w:tblLayout w:type="fixed"/>
        <w:tblCellMar>
          <w:top w:w="0" w:type="dxa"/>
          <w:left w:w="0" w:type="dxa"/>
          <w:bottom w:w="0" w:type="dxa"/>
          <w:right w:w="0" w:type="dxa"/>
        </w:tblCellMar>
      </w:tblPr>
      <w:tblGrid>
        <w:gridCol w:w="124"/>
        <w:gridCol w:w="406"/>
        <w:gridCol w:w="6331"/>
      </w:tblGrid>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partner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Teno</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 (Principal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right"/>
        <w:rPr>
          <w:rFonts w:ascii="Times New Roman;Times;serif" w:hAnsi="Times New Roman;Times;serif"/>
          <w:b/>
          <w:sz w:val="20"/>
        </w:rPr>
      </w:pPr>
      <w:bookmarkStart w:id="2116" w:name="Section1"/>
      <w:bookmarkStart w:id="2117" w:name="tmb-20250930xex31d1.htm"/>
      <w:bookmarkStart w:id="2118" w:name="kstmb20250930xex31d1"/>
      <w:bookmarkEnd w:id="2116"/>
      <w:bookmarkEnd w:id="2117"/>
      <w:bookmarkEnd w:id="2118"/>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Andrew Teno,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September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848985" cy="175260"/>
                      <wp:effectExtent l="0" t="0" r="0" b="0"/>
                      <wp:wrapNone/>
                      <wp:docPr id="617" name="Frame617"/>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5848985" cy="167005"/>
                      <wp:effectExtent l="0" t="0" r="0" b="0"/>
                      <wp:wrapNone/>
                      <wp:docPr id="618" name="Frame618"/>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5848985" cy="167005"/>
                      <wp:effectExtent l="0" t="0" r="0" b="0"/>
                      <wp:wrapNone/>
                      <wp:docPr id="619" name="Frame619"/>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November 5, 2025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19" w:name="Section11"/>
      <w:bookmarkStart w:id="2120" w:name="tmb-20250930xex31d2.htm"/>
      <w:bookmarkStart w:id="2121" w:name="kstmb20250930xex31d2"/>
      <w:bookmarkEnd w:id="2119"/>
      <w:bookmarkEnd w:id="2120"/>
      <w:bookmarkEnd w:id="2121"/>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September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07315" cy="175260"/>
                      <wp:effectExtent l="0" t="0" r="0" b="0"/>
                      <wp:wrapNone/>
                      <wp:docPr id="620" name="Frame620"/>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07315" cy="2146935"/>
                      <wp:effectExtent l="0" t="0" r="0" b="0"/>
                      <wp:wrapNone/>
                      <wp:docPr id="621" name="Frame621"/>
                      <a:graphic xmlns:a="http://schemas.openxmlformats.org/drawingml/2006/main">
                        <a:graphicData uri="http://schemas.microsoft.com/office/word/2010/wordprocessingShape">
                          <wps:wsp>
                            <wps:cNvSpPr txBox="1"/>
                            <wps:spPr>
                              <a:xfrm>
                                <a:off x="0" y="0"/>
                                <a:ext cx="107315" cy="214693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07315" cy="1894840"/>
                      <wp:effectExtent l="0" t="0" r="0" b="0"/>
                      <wp:wrapNone/>
                      <wp:docPr id="622" name="Frame622"/>
                      <a:graphic xmlns:a="http://schemas.openxmlformats.org/drawingml/2006/main">
                        <a:graphicData uri="http://schemas.microsoft.com/office/word/2010/wordprocessingShape">
                          <wps:wsp>
                            <wps:cNvSpPr txBox="1"/>
                            <wps:spPr>
                              <a:xfrm>
                                <a:off x="0" y="0"/>
                                <a:ext cx="107315" cy="1894840"/>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07315" cy="1685925"/>
                      <wp:effectExtent l="0" t="0" r="0" b="0"/>
                      <wp:wrapNone/>
                      <wp:docPr id="623" name="Frame623"/>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2122" w:name="Section12"/>
      <w:bookmarkStart w:id="2123" w:name="tmb-20250930xex32d1.htm"/>
      <w:bookmarkStart w:id="2124" w:name="kstmb20250930xex32d1"/>
      <w:bookmarkEnd w:id="2122"/>
      <w:bookmarkEnd w:id="2123"/>
      <w:bookmarkEnd w:id="2124"/>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Icahn Enterprises L.P., for the period ended September 30, 2025, the undersigned certify that, to the best of his knowledge, based upon a review of the Icahn Enterprises L.P. quarterly report on Form 10-Q for the period ended September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848985" cy="175260"/>
                      <wp:effectExtent l="0" t="0" r="0" b="0"/>
                      <wp:wrapNone/>
                      <wp:docPr id="624" name="Frame624"/>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5848985" cy="167005"/>
                      <wp:effectExtent l="0" t="0" r="0" b="0"/>
                      <wp:wrapNone/>
                      <wp:docPr id="625" name="Frame625"/>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848985" cy="167005"/>
                      <wp:effectExtent l="0" t="0" r="0" b="0"/>
                      <wp:wrapNone/>
                      <wp:docPr id="626" name="Frame626"/>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of Icahn Enterprises G.P. Inc., the general partner of Icahn Enterprises L.P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7966" w:type="dxa"/>
        <w:jc w:val="right"/>
        <w:tblInd w:w="0" w:type="dxa"/>
        <w:tblLayout w:type="fixed"/>
        <w:tblCellMar>
          <w:top w:w="0" w:type="dxa"/>
          <w:left w:w="0" w:type="dxa"/>
          <w:bottom w:w="0" w:type="dxa"/>
          <w:right w:w="0" w:type="dxa"/>
        </w:tblCellMar>
      </w:tblPr>
      <w:tblGrid>
        <w:gridCol w:w="7966"/>
      </w:tblGrid>
      <w:tr>
        <w:trPr/>
        <w:tc>
          <w:tcPr>
            <w:tcW w:w="7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058410" cy="175260"/>
                      <wp:effectExtent l="0" t="0" r="0" b="0"/>
                      <wp:wrapNone/>
                      <wp:docPr id="627" name="Frame627"/>
                      <a:graphic xmlns:a="http://schemas.openxmlformats.org/drawingml/2006/main">
                        <a:graphicData uri="http://schemas.microsoft.com/office/word/2010/wordprocessingShape">
                          <wps:wsp>
                            <wps:cNvSpPr txBox="1"/>
                            <wps:spPr>
                              <a:xfrm>
                                <a:off x="0" y="0"/>
                                <a:ext cx="505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6"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058410" cy="167005"/>
                      <wp:effectExtent l="0" t="0" r="0" b="0"/>
                      <wp:wrapNone/>
                      <wp:docPr id="628" name="Frame628"/>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7966"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058410" cy="167005"/>
                      <wp:effectExtent l="0" t="0" r="0" b="0"/>
                      <wp:wrapNone/>
                      <wp:docPr id="629" name="Frame629"/>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796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
    <w:altName w:val="Times New Roman"/>
    <w:charset w:val="01"/>
    <w:family w:val="auto"/>
    <w:pitch w:val="default"/>
  </w:font>
  <w:font w:name="TimesNRMT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762/000155837025001612/tmb-20241231xex3d3.htm" TargetMode="External"/><Relationship Id="rId3" Type="http://schemas.openxmlformats.org/officeDocument/2006/relationships/hyperlink" Target="https://www.sec.gov/Archives/edgar/data/813762/000155837025001612/tmb-20241231xex3d4.htm" TargetMode="External"/><Relationship Id="rId4" Type="http://schemas.openxmlformats.org/officeDocument/2006/relationships/hyperlink" Target="https://www.sec.gov/Archives/edgar/data/813762/000110465924121171/tm2428963d1_ex4-1.htm" TargetMode="External"/><Relationship Id="rId5" Type="http://schemas.openxmlformats.org/officeDocument/2006/relationships/hyperlink" Target="https://www.sec.gov/Archives/edgar/data/813762/000110465925080340/tm2523846d1_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32020</Words>
  <Characters>172764</Characters>
  <CharactersWithSpaces>208341</CharactersWithSpaces>
  <Paragraphs>11490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