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6, 2015, there were 128,953,091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5"/>
            <w:shd w:val="clear" w:color="auto" w:fill="CCEEFF"/>
          </w:tcPr>
          <w:p>
            <w:pPr>
              <w:jc w:val="center"/>
              <w:ind w:left="272"/>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2.</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5"/>
          </w:tcPr>
          <w:p>
            <w:pPr>
              <w:jc w:val="center"/>
              <w:ind w:left="272"/>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Quantitative and Qualitative Disclosures About Market Risk.</w:t>
              </w:r>
            </w:hyperlink>
          </w:p>
        </w:tc>
        <w:tc>
          <w:tcPr>
            <w:tcW w:w="540" w:type="dxa"/>
            <w:vAlign w:val="bottom"/>
            <w:gridSpan w:val="5"/>
            <w:shd w:val="clear" w:color="auto" w:fill="CCEEFF"/>
          </w:tcPr>
          <w:p>
            <w:pPr>
              <w:jc w:val="center"/>
              <w:ind w:left="272"/>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90</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Item 4.</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540" w:type="dxa"/>
            <w:vAlign w:val="bottom"/>
            <w:gridSpan w:val="5"/>
          </w:tcPr>
          <w:p>
            <w:pPr>
              <w:jc w:val="center"/>
              <w:ind w:left="272"/>
              <w:spacing w:after="0" w:line="20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93</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Legal Proceedings.</w:t>
              </w:r>
            </w:hyperlink>
          </w:p>
        </w:tc>
        <w:tc>
          <w:tcPr>
            <w:tcW w:w="540" w:type="dxa"/>
            <w:vAlign w:val="bottom"/>
            <w:gridSpan w:val="5"/>
            <w:shd w:val="clear" w:color="auto" w:fill="CCEEFF"/>
          </w:tcPr>
          <w:p>
            <w:pPr>
              <w:jc w:val="center"/>
              <w:ind w:left="272"/>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94</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1A.</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Risk Factors.</w:t>
              </w:r>
            </w:hyperlink>
          </w:p>
        </w:tc>
        <w:tc>
          <w:tcPr>
            <w:tcW w:w="540" w:type="dxa"/>
            <w:vAlign w:val="bottom"/>
            <w:gridSpan w:val="5"/>
          </w:tcPr>
          <w:p>
            <w:pPr>
              <w:jc w:val="center"/>
              <w:ind w:left="272"/>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94</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Exhibits.</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unit amounts)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36,452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1"/>
              </w:rPr>
              <w:t>Limited partners: Depositary units: 128,953,091 and 123,103,414 units issued and outstanding at September</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30, 2015 and December 31, 2014, respectively</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360" w:type="dxa"/>
            <w:vAlign w:val="bottom"/>
            <w:gridSpan w:val="7"/>
          </w:tcPr>
          <w:p>
            <w:pPr>
              <w:jc w:val="center"/>
              <w:ind w:left="299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20" w:type="dxa"/>
            <w:vAlign w:val="bottom"/>
            <w:gridSpan w:val="8"/>
          </w:tcPr>
          <w:p>
            <w:pPr>
              <w:jc w:val="center"/>
              <w:ind w:left="28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1"/>
              </w:rPr>
              <w:t>(In millions, except per unit amounts)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allocable to:</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(loss) income per LP unit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60" w:type="dxa"/>
            <w:vAlign w:val="bottom"/>
            <w:gridSpan w:val="8"/>
          </w:tcPr>
          <w:p>
            <w:pPr>
              <w:jc w:val="center"/>
              <w:ind w:left="299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940" w:type="dxa"/>
            <w:vAlign w:val="bottom"/>
            <w:gridSpan w:val="11"/>
          </w:tcPr>
          <w:p>
            <w:pPr>
              <w:jc w:val="center"/>
              <w:ind w:left="13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(In millions) (Unaudited)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64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5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29"/>
        </w:trPr>
        <w:tc>
          <w:tcPr>
            <w:tcW w:w="5300" w:type="dxa"/>
            <w:vAlign w:val="bottom"/>
            <w:gridSpan w:val="3"/>
          </w:tcPr>
          <w:p>
            <w:pPr>
              <w:ind w:left="40"/>
              <w:spacing w:after="0"/>
              <w:rPr>
                <w:sz w:val="20"/>
                <w:szCs w:val="20"/>
                <w:color w:val="auto"/>
              </w:rPr>
            </w:pPr>
            <w:r>
              <w:rPr>
                <w:rFonts w:ascii="Arial" w:cs="Arial" w:eastAsia="Arial" w:hAnsi="Arial"/>
                <w:sz w:val="18"/>
                <w:szCs w:val="18"/>
                <w:color w:val="auto"/>
              </w:rPr>
              <w:t>Less: Comprehensive loss (income) attributable to non-controlling</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4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Comprehensive (loss) income attributable to Icahn Enterprises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Comprehensive (loss) income attributable to Icahn Enterprises</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64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5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$1,460 million and $1,293 million at September 30,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12,286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(In millions)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(3,753)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5,065</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(1,067)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business,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and disposition of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(1,859)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contribution by non-controlling interests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Purchase of treasury stock by subsidiary</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investment in Ferrous Resources prior to acquisition of controlling interest</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4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36,476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080" w:type="dxa"/>
            <w:vAlign w:val="bottom"/>
            <w:gridSpan w:val="8"/>
          </w:tcPr>
          <w:p>
            <w:pPr>
              <w:jc w:val="center"/>
              <w:ind w:left="2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20" w:type="dxa"/>
            <w:vAlign w:val="bottom"/>
            <w:gridSpan w:val="9"/>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3"/>
              </w:rPr>
              <w:t>(In millions) (Unaudited)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4"/>
                <w:szCs w:val="24"/>
                <w:color w:val="auto"/>
              </w:rPr>
            </w:pPr>
          </w:p>
        </w:tc>
        <w:tc>
          <w:tcPr>
            <w:tcW w:w="28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gain from investment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15,791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w w:val="90"/>
              </w:rPr>
              <w:t>Less: net loss (income) attributable to non-controlling interests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income attributable to Icahn Enterprises Holdings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income attributable to Icahn Enterprises Holdings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allocable to:</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364" w:right="419" w:bottom="1440" w:gutter="0" w:footer="0" w:header="0"/>
        </w:sectPr>
      </w:pPr>
    </w:p>
    <w:bookmarkStart w:id="11" w:name="page12"/>
    <w:bookmarkEnd w:id="11"/>
    <w:tbl>
      <w:tblPr>
        <w:tblLayout w:type="fixed"/>
        <w:tblInd w:w="200" w:type="dxa"/>
        <w:tblCellMar>
          <w:top w:w="0" w:type="dxa"/>
          <w:left w:w="0" w:type="dxa"/>
          <w:bottom w:w="0" w:type="dxa"/>
          <w:right w:w="0" w:type="dxa"/>
        </w:tblCellMar>
      </w:tblPr>
      <w:tr>
        <w:trPr>
          <w:trHeight w:val="234"/>
        </w:trPr>
        <w:tc>
          <w:tcPr>
            <w:tcW w:w="8080" w:type="dxa"/>
            <w:vAlign w:val="bottom"/>
            <w:gridSpan w:val="8"/>
          </w:tcPr>
          <w:p>
            <w:pPr>
              <w:jc w:val="center"/>
              <w:ind w:left="2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20" w:type="dxa"/>
            <w:vAlign w:val="bottom"/>
            <w:gridSpan w:val="11"/>
          </w:tcPr>
          <w:p>
            <w:pPr>
              <w:jc w:val="center"/>
              <w:ind w:left="13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3"/>
              </w:rPr>
              <w:t>(In millions) (Unaudited)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120" w:type="dxa"/>
            <w:vAlign w:val="bottom"/>
          </w:tcPr>
          <w:p>
            <w:pPr>
              <w:spacing w:after="0"/>
              <w:rPr>
                <w:sz w:val="24"/>
                <w:szCs w:val="24"/>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Post-employment benefits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Hedge instruments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5080" w:type="dxa"/>
            <w:vAlign w:val="bottom"/>
            <w:gridSpan w:val="3"/>
          </w:tcPr>
          <w:p>
            <w:pPr>
              <w:ind w:left="20"/>
              <w:spacing w:after="0"/>
              <w:rPr>
                <w:sz w:val="20"/>
                <w:szCs w:val="20"/>
                <w:color w:val="auto"/>
              </w:rPr>
            </w:pPr>
            <w:r>
              <w:rPr>
                <w:rFonts w:ascii="Arial" w:cs="Arial" w:eastAsia="Arial" w:hAnsi="Arial"/>
                <w:sz w:val="18"/>
                <w:szCs w:val="18"/>
                <w:color w:val="auto"/>
                <w:w w:val="96"/>
              </w:rPr>
              <w:t>Less: Comprehensive loss (income) attributable to non-controlling</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Comprehensive (loss) income attributable to Icahn Enterprises</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w:t>
            </w:r>
          </w:p>
        </w:tc>
        <w:tc>
          <w:tcPr>
            <w:tcW w:w="5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Comprehensive (loss) income attributable to Icahn Enterprises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Holdings allocable to:</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$1,460 million and $1,293 million at September 30,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364" w:right="41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12,310</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(In millions)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(3,753)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5,065</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(1,067)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business,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and disposition of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(1,859)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contribution by non-controlling interests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Purchase of treasury stock by subsidiary</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investment in Ferrous Resources prior to acquisition of controlling interest</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44"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2015.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114,551,382, or approximately 88.8%, of Icahn Enterprises' outstanding depositary units as of September 30, 2015.</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2014.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New Significant Accounting Policies</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As further described in Note 2, "Operating Units - Mining," we obtained a controlling interest in Ferrous Resources Limited ("Ferrous Resources") during the second quarter of 2015. Ferrous Resources constitutes our Mining segment. As a result, we have the following new accounting policies that are applicable to our Mining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Our Mining segment recognizes revenue when title, ownership, and risk of loss pass to the customer, all of which occurs upon shipment or delivery of the product and is based on the applicable shipping terms. Revenue is measured at the fair value of the consideration received or receivable, with any adjustments as a result of provisional pricing recorded against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Exploration and Evaluation Expenditures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Exploration and evaluation expenditures relate to costs incurred in the exploration and evaluation of potential mineral reserves and include costs such as exploratory drilling, sample testing and the costs of feasibility studies. For our Mining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segment, exploration and evaluation expenditures other than that acquired through the purchase of another mining company, are expensed as incurred.</w:t>
      </w:r>
    </w:p>
    <w:p>
      <w:pPr>
        <w:spacing w:after="0" w:line="1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Purchased exploration and evaluation assets are recognized as assets at their cost of acquisition or at fair value if purchased as part of a business combination.</w:t>
      </w:r>
    </w:p>
    <w:p>
      <w:pPr>
        <w:spacing w:after="0" w:line="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An impairment review is performed, either individually or at the cash-generating unit level, when there are indicators that the carrying amount of the assets may exceed their recoverable amounts. To the extent the carrying values exceed their recoverable amounts, the excess is recognized as an impairment charge in the statements of operations in the period this is determined. Exploration assets are reassessed on a regular basis and these costs are carried forward provided that certain conditions are met.</w:t>
      </w:r>
    </w:p>
    <w:p>
      <w:pPr>
        <w:spacing w:after="0" w:line="7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Expenditures are transferred to mine development assets once the work completed supports the future development of the property, provided that technical feasibility and commercial viability studies have been successfully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Properties and Mine Development Expenditures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costs of acquiring mineral reserves and resources for our Mining segment are capitalized on the consolidated balance sheets as incurred. Capitalized mineral reserves and mine development expenditures are, upon commencement of commercial production, depreciated using a unit of production method based on the estimated economically recoverable reserves to which they relate, or are written off if abandoned. The net carrying amounts of the mineral reserves and resources and capitalized mine development expenditures at each mine property are reviewed for impairment either individually or at the cash-generating unit level when events and circumstances indicate that the carrying amount may not be recoverable. To the extent the carrying values exceed their recoverable amounts, the excess is recognized as an impairment charge in the statements of operations in the period this is determined.</w:t>
      </w:r>
    </w:p>
    <w:p>
      <w:pPr>
        <w:spacing w:after="0" w:line="57"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In our Mining segment's operations, it is necessary to remove overburden and other waste in order to access the ore body. During the pre-production phase, these costs are capitalized as part of the cost of the mine property and depreciated using a units of production method once the mine enters into a full commercial production phase. The costs of removal of the waste material during a mine's production phase are expensed as incurred.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Mining segment's inventories are valued at the lower of cost or market. Cost includes all costs incurred in the normal course of business in bringing each product to its present location and condition, including direct materials and direct labor costs, and an allocation of production overheads based on normal production capacity. Cost is calculated using weighted average unit cost.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Our condensed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 (1) for voting interest entities, we consolidate these entities in which we own a majority of the voting interests; and (2) for limited partnership entities,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70"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2015 was each approximately $12.2 billion. The carrying value and estimated fair value of our long-term debt as of December 31, 2014 was each approximately $11.6 billion.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restricted cash balance was $980 million and approximately $1.3 billion as of September 30, 2015 and December 31, 2014,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April 2014, the FASB issued ASU No. 2014-08, which amends FASB ASC Topic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and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ASU is effective on a prospective basis applicable to activities that occur within annual periods beginning on or after December 15, 2014, and interim periods within those years, and changes the requirements for reporting discontinued operations. We adopted ASU No. 2014-08 during the first quarter of 2015 and believe that this guidance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8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November 2014, the FASB issued ASU No. 2014-17, which amends FASB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This ASU provides an acquired entity with an option to apply pushdown accounting in its separate financial statements upon the occurrence of an event in which an acquirer obtains control of the acquired entity. The ASU became effective on November 18, 2014. The adoption of this guidance during the fourth quarter of 2014 did not have any effect on our consolidated financial position, results of operations, comprehensive income, cash flows and disclosures.</w:t>
      </w:r>
    </w:p>
    <w:p>
      <w:pPr>
        <w:spacing w:after="0" w:line="63" w:lineRule="exact"/>
        <w:rPr>
          <w:sz w:val="20"/>
          <w:szCs w:val="20"/>
          <w:color w:val="auto"/>
        </w:rPr>
      </w:pPr>
    </w:p>
    <w:p>
      <w:pPr>
        <w:ind w:right="80" w:firstLine="378"/>
        <w:spacing w:after="0" w:line="253" w:lineRule="auto"/>
        <w:rPr>
          <w:sz w:val="20"/>
          <w:szCs w:val="20"/>
          <w:color w:val="auto"/>
        </w:rPr>
      </w:pPr>
      <w:r>
        <w:rPr>
          <w:rFonts w:ascii="Arial" w:cs="Arial" w:eastAsia="Arial" w:hAnsi="Arial"/>
          <w:sz w:val="18"/>
          <w:szCs w:val="18"/>
          <w:color w:val="auto"/>
        </w:rPr>
        <w:t xml:space="preserve">In January 2015, the FASB issued ASU No. 2015-01, which amends FASB ASU Topic 220-20, </w:t>
      </w:r>
      <w:r>
        <w:rPr>
          <w:rFonts w:ascii="Arial" w:cs="Arial" w:eastAsia="Arial" w:hAnsi="Arial"/>
          <w:sz w:val="18"/>
          <w:szCs w:val="18"/>
          <w:i w:val="1"/>
          <w:iCs w:val="1"/>
          <w:color w:val="auto"/>
        </w:rPr>
        <w:t>Income Statement - Extraordinary and Unusual Items</w:t>
      </w:r>
      <w:r>
        <w:rPr>
          <w:rFonts w:ascii="Arial" w:cs="Arial" w:eastAsia="Arial" w:hAnsi="Arial"/>
          <w:sz w:val="18"/>
          <w:szCs w:val="18"/>
          <w:color w:val="auto"/>
        </w:rPr>
        <w:t>. This ASU eliminates from GAAP the concept of extraordinary items. Although the ASU will eliminate the requirements in Subtopic 225-20 for reporting entities to consider whether an underlying event or transaction is extraordinary, the presentation and disclosure guidance for items that are unusual in nature or occur infrequently will be retained and will be expanded to include items that are both unusual in nature and infrequently occurring. This ASU is effective for fiscal years, and interim periods within those fiscal years, beginning after December 15, 2015. A reporting entity may apply the amendments prospectively. A reporting entity also may apply the amendments retrospectively to all prior periods presented in the financial statements. Early adoption is permitted provided that the guidance is applied from the beginning of the fiscal year of adoption. We adopted ASU No. 2015-01 during the first quarter of 2015 and believe that the adoption of this guidance will have no impact on our consolidated financial position, results of operations, comprehensive income, cash flows and disclosures.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 xml:space="preserve">In May 2014, the FASB issued ASU No. 2014-09, creating a new topic,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superseding revenue recognition requirements in FASB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Early adoption is permitted only as of the annual reporting periods beginning after</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December 15, 2016, including interim reporting periods within that reporting period. We are currently evaluating the impact of this guidance on our consolidated financial position, results of operations, comprehensive income, cash flows and disclosures.</w:t>
      </w:r>
    </w:p>
    <w:p>
      <w:pPr>
        <w:spacing w:after="0" w:line="62"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 xml:space="preserve">In June 2014, the FASB issued ASU No. 2014-12, which amends FASB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70"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ASU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believe that the adoption of this guidance will not have a material effect on our consolidated financial position, results of operations, comprehensive income, cash flows and disclosures.</w:t>
      </w:r>
    </w:p>
    <w:p>
      <w:pPr>
        <w:spacing w:after="0" w:line="74"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which amends FASB ASU Subtopic 835-30, </w:t>
      </w:r>
      <w:r>
        <w:rPr>
          <w:rFonts w:ascii="Arial" w:cs="Arial" w:eastAsia="Arial" w:hAnsi="Arial"/>
          <w:sz w:val="17"/>
          <w:szCs w:val="17"/>
          <w:i w:val="1"/>
          <w:iCs w:val="1"/>
          <w:color w:val="auto"/>
        </w:rPr>
        <w:t xml:space="preserve">Interest - Imputation of Interest. </w:t>
      </w:r>
      <w:r>
        <w:rPr>
          <w:rFonts w:ascii="Arial" w:cs="Arial" w:eastAsia="Arial" w:hAnsi="Arial"/>
          <w:sz w:val="17"/>
          <w:szCs w:val="17"/>
          <w:color w:val="auto"/>
        </w:rPr>
        <w:t>The new standard requires that all costs incurred to issue debt be presented in the balance sheet as a direct deduction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amortization the deferred issuance costs ratably over the term of the line-of-credit arrangement. The standard is effective for interim and annual periods beginning after December 15, 2015 and is required to be applied on a retrospective basis. Early adoption is permitted. We expect that the adoption of this new guidance will generally result in a reclassification of debt issuance costs on our consolidated balance sheets.</w:t>
      </w:r>
    </w:p>
    <w:p>
      <w:pPr>
        <w:spacing w:after="0" w:line="70"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 xml:space="preserve">In April 2015, the FASB issued ASU No. 2015-06, </w:t>
      </w:r>
      <w:r>
        <w:rPr>
          <w:rFonts w:ascii="Arial" w:cs="Arial" w:eastAsia="Arial" w:hAnsi="Arial"/>
          <w:sz w:val="16"/>
          <w:szCs w:val="16"/>
          <w:i w:val="1"/>
          <w:iCs w:val="1"/>
          <w:color w:val="auto"/>
        </w:rPr>
        <w:t>Effects on Historical Earnings per Unit of Master Limited Partnership Dropdown Transactions</w:t>
      </w:r>
      <w:r>
        <w:rPr>
          <w:rFonts w:ascii="Arial" w:cs="Arial" w:eastAsia="Arial" w:hAnsi="Arial"/>
          <w:sz w:val="16"/>
          <w:szCs w:val="16"/>
          <w:color w:val="auto"/>
        </w:rPr>
        <w:t xml:space="preserve">, which amends FASB ASU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ASU requires that for purposes of calculating earnings per share under the two-class method, the earnings or losses of a transferred business before the date of a dropdown transaction should be allocated entirely to the general partner. In that circumstance, the previously reported earnings per unit of the limited partners would not change as a result of the drop down transaction. The guidance is effective for fiscal years beginning after December 15, 2015, and interim periods within those fiscal years. Earlier application is permitted. The adoption of this guidance will have no impact on our consolidated financial statements and footnote disclosures as we have historically allocated earnings or losses of a transferred business before the date of applicable dropdown transactions to the general partner for purposes of calculating earnings per share.</w:t>
      </w:r>
    </w:p>
    <w:p>
      <w:pPr>
        <w:spacing w:after="0" w:line="5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amends FASB ASU Topic 330, </w:t>
      </w:r>
      <w:r>
        <w:rPr>
          <w:rFonts w:ascii="Arial" w:cs="Arial" w:eastAsia="Arial" w:hAnsi="Arial"/>
          <w:sz w:val="18"/>
          <w:szCs w:val="18"/>
          <w:i w:val="1"/>
          <w:iCs w:val="1"/>
          <w:color w:val="auto"/>
        </w:rPr>
        <w:t>Inventory</w:t>
      </w:r>
      <w:r>
        <w:rPr>
          <w:rFonts w:ascii="Arial" w:cs="Arial" w:eastAsia="Arial" w:hAnsi="Arial"/>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81"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 xml:space="preserve">In September 2015, the FASB issued ASU No.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which amends FASB ASU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which the adjustment amounts are determined. This ASU is effective for fiscal years beginning after December 15, 2015, including interim periods within those fiscal years. The amendments in this ASU should be applied prospectively to adjustments to provisional amounts that occur after the effective date with earlier application permitted for financial statements that have not been issued. We anticipate that the adoption of this guidance will have minimal impact on our consolidated financial position, results of operations, comprehensive income, cash flows and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had interests in the Investment Funds with a fair value of approximately $4.2 billion and $4.3 billion as of September 30, 2015 and December 31, 2014,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conduct our Automotive segment through our majority ownership in Federal-Mogul and wholly owned subsidiary, IEH Auto Parts Holding LLC ("IEH Auto"), which acquired certain automotive assets of Uni-Select, Inc. through an acquisition that was consummated during the second quarter of 2015 (see below for further discussion).</w:t>
      </w:r>
    </w:p>
    <w:p>
      <w:pPr>
        <w:spacing w:after="0" w:line="7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Federal-Mogul operates with two end-customer focused businesses.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and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IEH Auto has 35 distribution centers and satellite locations and 242 corporate-owned parts stores in the United States and supports a network of more than 2,000 independent parts stores. IEH Auto operates independently of Federal-Mogul.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Federal-Mogul and IEH Auto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may be implemented through a tax-free distribution of Federal-Mogul’s Motorparts business to shareholders of</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337" w:right="2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7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TRW's (as defined below) valvetrain business, Federal-Mogul commenced a common stock rights offering to strengthen its balance sheet. See below for further information regarding this rights offering. Federal-Mogul's board of directors intends to revisit the timing of the spin-off prior to the end of the year ending December 31, 2015. Meanwhile Federal-Mogul will continue to operate as two separate, independent businesses. No assurances can be given regarding the ultimate timing of the separation or that it will be consummated.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TRW Acquisition</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Pursuant to a certain share and asset purchase agreement dated January 23, 2015, Federal-Mogul completed the acquisition of the engine components business from TRW Automotive Holdings Corp. ("TRW"). On February 6, 2015, Federal-Mogul completed the acquisition of certain assets of the TRW engine components business. The business was acquired through a combination of asset and stock purchases for a base purchase price of approximately $309 million. In addition, on July 7, 2015, Federal-Mogul completed the purchase of certain additional business assets of the TRW engine components business which were acquired through stock purchases for a base purchase price of $56 million. The purchase includes a $25 million non-controlling interest related to the acquisition of a partially owned entity that Federal-Mogul consolidates into its financial statements. These acquisitions were funded primarily from the Federal-Mogul Replacement Revolving Facility (as defined herein) and is subject to certain customary closing and post-closing adjustments. The purchase of TRW’s engine valve business adds a new product line to Federal-Mogul's portfolio, strengthens its position as a leading developer and supplier of core components for engines, and enhances its ability to support its customers to improve fuel economy and reduce emissions.</w:t>
      </w:r>
    </w:p>
    <w:p>
      <w:pPr>
        <w:spacing w:after="0" w:line="5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 preliminary valuation of the net assets of the TRW engine components business acquisitions resulted in $208 million allocated to tangible net assets, $76 million to goodwill and $106 million to other identified intangible assets as of the acquisition date. Because Federal-Mogul is in the process of finalizing certain customary post-closing adjustments, the provisional measurements of net assets are subject to change. The valuation of net assets was performed utilizing cost, income and market approaches. The TRW engine components business acquisitions are not material, individually or in the aggregate with the IEH Auto and Ferrous Resources acquisitions, to our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IEH Auto Acquisition</w:t>
      </w:r>
    </w:p>
    <w:p>
      <w:pPr>
        <w:spacing w:after="0" w:line="11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On June 1, 2015, IEH Auto acquired substantially all of the auto parts assets in the United States of Uni-Select, Inc., a leading automotive parts distributor for domestic and imported vehicles, for a purchase price of $330 million, subject to certain customary post-closing adjustment. A preliminary valuation of the net assets of the IEH Auto business acquisition resulted in $338 million allocated to tangible net assets and $2 million allocated to other identified intangible assets as of the acquisition date. In addition, we recorded a bargain purchase gain of $2 million, net of taxes, related to this purchase, representing the difference of the fair value of net assets acquired over the consideration transferred as of the acquisition date. The bargain purchase gain was recorded in other income, net on the condensed consolidated statements of operations. We reassessed whether we had correctly identified all of the assets acquired and all of the liabilities assumed of the IEH Auto business acquisition before recognizing a gain on a bargain purchase. We concluded that we had appropriately reviewed our procedures for measuring and allocating fair values of the IEH Auto business acquisition before recognizing a bargain purchase gain.</w:t>
      </w:r>
    </w:p>
    <w:p>
      <w:pPr>
        <w:spacing w:after="0" w:line="8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Because IEH Auto is in the process of finalizing certain customary post-closing adjustments, the provisional measurements of net assets are subject to change. The valuation of net assets was performed utilizing cost, income and market approaches. The acquisition of IEH Auto was not material, individually or in the aggregate with the TRW engine components business acquisition and the Ferrous Resources acquisition, to our condensed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March 26, 2015, Federal-Mogul received $250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7"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Federal-Mogul common stock, thereby increasing our ownership of Federal-Mogul, for an aggregate additional investment of $230 million.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2015, we owned approximately 82.0%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$412 million and $306 million as of September 30, 2015 and December 31, 2014, respectively. Of those gross amounts, $397 million and $293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within accounts receivable, net and debt. Under the terms of these facilities, Federal-Mogul is not obligated to draw cash immediately upon the transfer of accounts receivable. As of September 30, 2015 and December 31, 2014, Federal-Mogul had undrawn cash related to such transferred receivables of $1 million and $2 million, respectively. Proceeds from the transfers of accounts receivable qualifying as sales were $380 million and $456 million for the three months ended September 30, 2015 and 2014, respectively, and approximately $1.2 billion and $1.3 billion for the nine months ended September 30, 2015 and 2014, respectively.</w:t>
      </w:r>
    </w:p>
    <w:p>
      <w:pPr>
        <w:spacing w:after="0" w:line="7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the three months ended September 30, 2015 and 2014, expenses associated with transfers of receivables were $3 million and $2 million, respectively. For the nine months ended September 30, 2015 and 2014, expenses associated with transfers of receivables were $7 million and $5 million, respectively. Such expenses were recorded in the condensed consolidated statements of operations within other income, net. Where Federal-Mogul receives a fee to service and monitor these transferred receivables, such fees are sufficient to offset the costs and as such, a servicing asset or liability is not incurred as a result of such activities.</w:t>
      </w:r>
    </w:p>
    <w:p>
      <w:pPr>
        <w:spacing w:after="0" w:line="8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 to Federal-Mogul associated with certain of these facilities' terms were $11 million and $17 million as of September 30, 2015 and December 31, 2014, respectively. Based on Federal-Mogul's analysis of the creditworthiness of its customers on which such receivables were sold and outstanding as of both September 30, 2015 and December 31, 2014,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During the three months ended September 30, 2015 and 2014, Federal-Mogul recorded $18 million and $25 million, respectively, in restructuring charges. During the nine months ended September 30, 2015 and 2014, Federal-Mogul recorded $57 million and $63 million, respectively, in restructuring charges. These restructuring charges, primarily consisting of employee costs and headcount reductions, pertain to all restructuring programs that Federal-Mogul has initiated in order to improve its operating performance.</w:t>
      </w:r>
    </w:p>
    <w:p>
      <w:pPr>
        <w:spacing w:after="0" w:line="7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Restructuring expenses for the three months ended September 30, 2015 primarily relate to reducing production complexities and reducing inefficiencies in indirect and fixed costs structures located in Europe, the Middle East and Africa. Federal-Mogul expects to complete these programs in 2018 and incur additional restructuring and other charges of approximately $40 million in connection therewith. For programs previously initiated, Federal-Mogul expects to complete these programs in 2018 and incur additional restructuring and other charges of approximately $10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("UAN") and ammonia. As of September 30, 2015, CVR owned 100% of the general partners of CVR Refining and CVR Partners and approximately 66% of the common units of CVR Refining and approximately 53% of the common units of CVR Partners.</w:t>
      </w:r>
    </w:p>
    <w:p>
      <w:pPr>
        <w:spacing w:after="0" w:line="8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September 30, 2015, we owned approximately 82.0% of the total outstanding common stock of CVR. In addition, as of September 30, 2015, we owned approximately 4.0% of the total outstanding common units of CVR Refining directly.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37"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 Pending Mergers</w:t>
      </w:r>
    </w:p>
    <w:p>
      <w:pPr>
        <w:spacing w:after="0" w:line="15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August 9, 2015, CVR Partners entered into an Agreement and Plan of Merger (the "Merger Agreement") with Rentech Nitrogen Partners, L.P. ("Rentech Nitrogen"), and Rentech Nitrogen GP, LLC ("Rentech Nitrogen GP"), pursuant to which CVR Partners will acquire Rentech Nitrogen and Rentech Nitrogen GP.</w:t>
      </w:r>
    </w:p>
    <w:p>
      <w:pPr>
        <w:spacing w:after="0" w:line="7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Under the terms of the Merger Agreement, holders of common units representing limited partner interests in Rentech Nitrogen ("Rentech Nitrogen common units") eligible to receive consideration will receive 1.04 common units (the "unit consideration") representing limited partner interests in CVR Partners ("CVR Partners common units") and $2.57 in cash, without interest, (the "cash consideration" and together with the unit consideration, the "merger consideration") for each Rentech Nitrogen common unit. CVR Partners is expected to issue approximately 40.7 million CVR Partners common units to former Rentech Nitrogen common unitholders pursuant to the mergers.</w:t>
      </w:r>
    </w:p>
    <w:p>
      <w:pPr>
        <w:spacing w:after="0" w:line="8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Rentech Nitrogen owns and operates two fertilizer facilities. The facility located in East Dubuque, Illinois (the "East Dubuque facility") produces primarily ammonia and UAN using natural gas as the facility's primary feedstock. The facility located in Pasadena, Texas (the "Pasadena facility") produces ammonium sulfate, ammonium thiosulfate and sulfuric acid, using ammonia and sulfur as the facility's primary feedstocks. Rentech Nitrogen is required to sell or spin off its Pasadena facility as a condition to the closing of the mergers (unless waived), and Rentech Nitrogen common unitholders may receive additional consideration for the Pasadena facility in the event such a sale or spin-off is consummated.</w:t>
      </w:r>
    </w:p>
    <w:p>
      <w:pPr>
        <w:spacing w:after="0" w:line="6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completion of the mergers is subject to satisfaction or waiver of certain closing conditions. The Merger Agreement contains certain termination rights for both CVR Partners and Rentech Nitrogen and further provides that upon termination of the Merger Agreement, under certain circumstances, either party may be required to make an expense reimbursement payment of $10 million, and Rentech Nitrogen may be required to pay CVR Partners a termination fee equal to approximately $31 million.</w:t>
      </w:r>
    </w:p>
    <w:p>
      <w:pPr>
        <w:spacing w:after="0" w:line="7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Further, simultaneously with the execution of the Merger Agreement, CVR Partners entered into the voting and support agreement with Rentech Inc. and certain of its wholly owned subsidiaries, who collectively hold a sufficient number of Rentech Nitrogen common units to approve the proposed mergers without the affirmative vote of any other Rentech Nitrogen common unitholders, pursuant to which such holders of Rentech Nitrogen common units have agreed to, among other things, vote in favor of the Merger Agreement. CVR Partners common unitholders are not required to adopt the Merger Agreement or approve the mergers or the issuance of CVR Partners common units in connection with the mergers.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17, "Commitments and Contingencies - Energy," for discussion of litigation related to the pending mergers.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June 30, 2014, CVR Refining completed an underwritten offering (the “Follow-on Offering”), resulting in gross proceeds of $170 million before giving effect to underwriting discounts and other offering expenses. On July 24, 2014, the underwriters exercised their option to purchase additional common units of CVR Refining, resulting in additional gross proceeds of $15 million. CVR Refining used this $15 million in gross proceeds to redeem an equal amount of common units from CVR Refining Holdings, LLC. Additionally, on July 24, 2014, CVR Refining Holdings, LLC sold common units to the public in connection with the underwriters' exercise of their remaining option to purchase additional common units, resulting in net proceeds of $10 million.</w:t>
      </w:r>
    </w:p>
    <w:p>
      <w:pPr>
        <w:spacing w:after="0" w:line="5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a result of the Follow-on Offering during the nine months ended September 30, 2014, our consolidated equity increased by an aggregate of $160 million, of which $150 million was attributable to non-affiliated non-controlling interests and $10 million was attributable to both Icahn Enterprises and Icahn Enterprises Holdings. These offerings are reflected in proceeds from subsidiary equity offerings in our condensed consolidated statements of changes in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CVR Refining's petroleum business includes a 115,000 barrels per calendar day ("bpcd") rated capacity complex full coking 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addition to the refineries, CVR's petroleum business owns and operates the following: (1) a crude oil gathering system with a gathering capacity of over 60,000 barrels per day ("bpd") serving Kansas, Oklahoma, Missouri, Colorado, Nebraska and Texas; (2) a 170,000 bpd pipeline system (supported by approximately 336 miles of active owned and leased pipeline) that transports crude oil to its Coffeyville refinery from its Broome Station facility near Caney, Kansas; (3) approximately 7.0 million barrels of owned and leased crude oil storage; (4)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(5) over 4.5 million barrels of combined refinery related storage capacity.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3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ARI manufactures railcars that are offered for sale or lease, custom and standard railcar components and other industrial products, primarily aluminum and special alloy steel castings. These products are sold to various types of companies including leasing companies, industrial companies, shippers and Class I railroads. ARI leases railcars that it manufactures to certain markets that include the energy, food and agriculture, chemical, minerals and petrochemical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2015, we owned approximately 59.3% of the total outstanding common stock of ARI and had a 75.0% economic interest in ARL.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392,000 square feet of gaming space with 8,000 slot machines, 300 table games and 5,500 hotel rooms with two casino facilities located in Nevada and one in each of Mississippi, Missouri, Indiana, Louisiana, New Jersey and Aruba.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2015,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conduct our Mining segment through our majority ownership in Ferrous Resources. As discussed below, we obtained control of and consolidated the results of Ferrous Resources during the second quarter of 2015.</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 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80" w:lineRule="exact"/>
        <w:rPr>
          <w:sz w:val="20"/>
          <w:szCs w:val="20"/>
          <w:color w:val="auto"/>
        </w:rPr>
      </w:pPr>
    </w:p>
    <w:p>
      <w:pPr>
        <w:ind w:right="400" w:firstLine="392"/>
        <w:spacing w:after="0" w:line="264" w:lineRule="auto"/>
        <w:rPr>
          <w:sz w:val="20"/>
          <w:szCs w:val="20"/>
          <w:color w:val="auto"/>
        </w:rPr>
      </w:pPr>
      <w:r>
        <w:rPr>
          <w:rFonts w:ascii="Arial" w:cs="Arial" w:eastAsia="Arial" w:hAnsi="Arial"/>
          <w:sz w:val="18"/>
          <w:szCs w:val="18"/>
          <w:color w:val="auto"/>
        </w:rPr>
        <w:t>In response to the current depressed iron ore price environment, Ferrous Resources decided to temporarily suspend Esperança's and Santanense's operations during the first quarter of 2015 in order to study alternatives to further reduce cost of production and improve product quality and therefore to improve profitability and margin per metric ton.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April 25, 2015, IEP Ferrous Brazil LLC ("IEP Ferrous"), a wholly owned subsidiary of ours, entered into an agreement which provided that IEP Ferrous would launch a tender offer to purchase any and all of the outstanding shares of Ferrous Resources for $0.36 per share and backstop a certain rights offering of up to $40 million.</w:t>
      </w:r>
    </w:p>
    <w:p>
      <w:pPr>
        <w:spacing w:after="0" w:line="7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Prior to the tender offer, IEP Ferrous owned approximately 14.1% of the total outstanding shares of Ferrous Resources. As a result of the tender offer, IEP Ferrous obtained control of Ferrous Resources through the purchase of additional shares of Ferrous Resources on June 8, 2015 (the acquisition date), and additional shares of Ferrous Resources on June 26, 2015 for a combined aggregate tender consideration of $180 million. In addition, on June 26, 2015, pursuant to a certain rights offering, we purchased additional shares of Ferrous Resources for an aggregate consideration of $29 million. As a result, as of September 30, 2015, we owned approximately 77.2% of the total outstanding common stock of Ferrous Resources.</w:t>
      </w:r>
    </w:p>
    <w:p>
      <w:pPr>
        <w:spacing w:after="0" w:line="6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Prior to obtaining a controlling interest, we remeasured our equity interest in Ferrous Resources to its acquisition-date fair value of $36 million, resulting in a $4 million loss on investment activities.</w:t>
      </w:r>
    </w:p>
    <w:p>
      <w:pPr>
        <w:spacing w:after="0" w:line="62"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8"/>
          <w:szCs w:val="18"/>
          <w:color w:val="auto"/>
        </w:rPr>
        <w:t>A preliminary valuation of the net assets of the Ferrous Resources business acquisition resulted in $356 million allocated to tangible net assets and $6 million allocated to goodwill as of the acquisition date. Because IEP Ferrous is in the process of finalizing certain customary post-closing adjustments, the provisional measurements of net assets are subject to change. The valuation of net assets was performed utilizing cost, income and market approaches. The acquisition of Ferrous Resources was not material, individually or in the aggregate with the TRW engine components business acquisition and the IEH Auto acquisition, to our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six distribution centers throughout North America, Europe, South America and Asia and derives approximately 70% of its total net sales from customers located outside the United States.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2015, we owned approximately 73.3%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club operations.</w:t>
      </w:r>
    </w:p>
    <w:p>
      <w:pPr>
        <w:spacing w:after="0" w:line="117"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As of September 30, 2015, we owned 15 commercial rental real estate properties. We sold 14 commercial rental properties during the nine months ended September 30, 2015.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239 and 1,128</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units of residential housing, respectively. Both developments operate golf and club operations as well. During the nine months ended September 30, 2015, we sold the Oak Harbor development and operations, which historically operated as part of Grand Harbor. In addition, our Real Estate segment owns an unfinished development property which is located on approximately 23 acres in Las Vegas, Nevada.</w:t>
      </w:r>
    </w:p>
    <w:p>
      <w:pPr>
        <w:spacing w:after="0" w:line="7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As of September 30, 2015 and December 31, 2014, $28 million and $31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nine months ended September 30, 2015, affiliates of Mr. Icahn made investments aggregating $246 million in the Investment Funds. As of September 30, 2015 and December 31, 2014, the total fair market value of investments in the Investment Funds made by Mr. Icahn and his affiliates (excluding Icahn Enterprises and Icahn Enterprises Holdings) was approximately $4.9 billion and $4.8 billion, respectively, representing approximately 54% and 53%, respectively, of the Investment Funds' assets under management.</w:t>
      </w:r>
    </w:p>
    <w:p>
      <w:pPr>
        <w:spacing w:after="0" w:line="8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Icahn Capital LP ("Icahn Capital") pays for expenses pertaining to the operation, administration and investment activities of our Investment segment for the benefit of the Investment Funds (including salaries, benefits and rent); such expenses are allocated to Icahn Capital in accordance with each investor's capital accounts in the Investment Funds. Effective April 1, 2011, based on an expense-sharing arrangement, certain expenses borne by Icahn Capital are reimbursed by the Investment Funds, generally when such expenses are paid. For the three months ended September 30, 2015 and 2014, $(24) million and $36 million, respectively, were allocated to the Investment Funds based on this expense-sharing arrangement. The expense reversal for the three months ended September 30, 2015 was primarily due to a reversal of performance related compensation expense accrual. For the nine months ended September 30, 2015 and 2014, $204 million and $138 million, respectively, were allocated to the Investment Funds based on this expense-sharing arrangement.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ARI has from time to time purchased components from ACF Industries LLC ("ACF"), an affiliate of Mr. Icahn, under a long-term agreement, as well as on a purchase order basis. ACF is a manufacturer and fabricator of specialty railcar parts and miscellaneous steel products.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8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Also in April 2015, ARI entered into a parts purchasing and sale agreement with ACF. The agreement was unanimously approved by the independent directors of ARI’s and Icahn Enterprises' audit committee. Under this agreement, ARI and ACF</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37"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buyers. ARI may provide designs, engineering and purchasing support, including all materials and components to ACF. Subject to certain early termination events, the agreement terminates on December 31, 2020.</w:t>
      </w:r>
    </w:p>
    <w:p>
      <w:pPr>
        <w:spacing w:after="0" w:line="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ARI purchased $4 million and $1 million of components from ACF during the three months ended September 30, 2015 and 2014, respectively, and $13 million and $2 million for the nine months ended September 30, 2015 and 2014, respectively.</w:t>
      </w:r>
    </w:p>
    <w:p>
      <w:pPr>
        <w:spacing w:after="0" w:line="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August 2014, ARI and ACF amended this agreement to, among other provisions, extend the termination date to December 31, 2015 from December 31, 2014, subject to certain early termination events.</w:t>
      </w:r>
    </w:p>
    <w:p>
      <w:pPr>
        <w:spacing w:after="0" w:line="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8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ARI's revenues under this agreement were $3 million and $4 million for the three months ended September 30, 2015 and 2014, respectively, and $9 million and $16 million for the nine months ended September 30, 2015 and 2014, respectively, for sales of railcar components to ACF and for royalties and profits on railcars sold by ACF.</w:t>
      </w:r>
    </w:p>
    <w:p>
      <w:pPr>
        <w:spacing w:after="0" w:line="46"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In April 2015, ARI entered into a repair services and support agreement with ACF. The agreement was unanimously approved by the independent directors of ARI’s and Icahn Enterprises' audit committee. Under this agreement, ARI provides certain sales and administrative and technical services, materials and purchasing support and engineering services to ACF to provide repair and retrofit services ("Repair Services"). Additionally, ARI provides a non-exclusive and non-assignable license of certain intellectual property related to the Repair Services for railcars. ARI receives 30% of the net profits (as defined in the agreement) for Repair Services related to all railcars not owned by ARL or its subsidiaries and 20% of the net profits for Repair Services related to all railcars owned by ARL or its subsidiaries, if any, but does not absorb any losses incurred by ACF.</w:t>
      </w:r>
    </w:p>
    <w:p>
      <w:pPr>
        <w:spacing w:after="0" w:line="12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revenues have been recorded under this agreement in 2015.</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April 2013, AEP Leasing entered into an agreement (the "ACF Agreement") with ACF whereby AEP Leasing would purchase a total of 1,050 railcars from ACF in 2013 and 2014 for an aggregate purchase price of approximately $150 million. Additionally, AEP Leasing had an option to purchase an additional 500 railcars for an aggregate purchase price of approximately $70 million. During the second quarter of 2014, AEP Leasing exercised its option to purchase an additional 296 railcars for an aggregate purchase price of $42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The ACF Agreement was assumed by ARL in connection with our purchase of a 75.0%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zero and $36 million for the three months ended September 30, 2015 and 2014, respectively, and $9 million and $99 million for the nine months ended September 30, 2015 and 2014, respectively.</w:t>
      </w:r>
    </w:p>
    <w:p>
      <w:pPr>
        <w:spacing w:after="0" w:line="5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addition to the above purchases, on a contract-by-contract basis, ARL purchased $16 million and $43 million of railcars from ACF for the three and nine months ended September 30, 2015,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Icahn Sourcing, LLC ("Icahn Sourcing") was an entity formed and controlled by Mr. Icahn in order to maximize the potential buying power of a group of entities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three and nine months ended September 30, 2015 and 2014, immaterial amounts were paid in respect to certain of the Insight Portfolio Group's operating expenses.</w:t>
      </w:r>
    </w:p>
    <w:p>
      <w:pPr>
        <w:spacing w:after="0" w:line="1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condensed consolidated balance sheets. See Note 5, "Fair Value Measurements - Investment," for details of the investments for our Investment segment.</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Our Investment segment applied the fair value option to certain of its investments that would have otherwise been subject to the equity method of accounting. As of both September 30, 2015 and December 31, 2014, the fair value of these investments was less than $1 million. During the three months ended September 30, 2015 and 2014, our Investment segment recorded gains (losses) of less than $1 million and $(1) million, respectively, associated with these investments. During the nine months ended September 30, 2015 and 2014, our Investment segment recorded gains of less than $1 million and $1 million, respectively, associated with these investments. Such amounts are included in net (loss) gain from investment activities in our condensed consolidated statements of operations.</w:t>
      </w:r>
    </w:p>
    <w:p>
      <w:pPr>
        <w:spacing w:after="0" w:line="85"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condensed consolidated financial statements.</w:t>
      </w:r>
    </w:p>
    <w:p>
      <w:pPr>
        <w:spacing w:after="0" w:line="62"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portion of trading losses that relates to trading securities still held by our Investment segment for the three months ended September 30, 2015 and 2014 was approximately $2.2 billion and $869 million, respectively, and for the nine months ended September 30, 2015 and 2014 was approximately $1.9 billion and $259 million,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carrying value of investments held by our Automotive, Energy, Railcar and Gaming segments and our Holding Company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September 30, 2015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2014</w:t>
            </w:r>
          </w:p>
        </w:tc>
      </w:tr>
      <w:tr>
        <w:trPr>
          <w:trHeight w:val="27"/>
        </w:trPr>
        <w:tc>
          <w:tcPr>
            <w:tcW w:w="67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90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900" w:type="dxa"/>
            <w:vAlign w:val="bottom"/>
          </w:tcPr>
          <w:p>
            <w:pPr>
              <w:spacing w:after="0"/>
              <w:rPr>
                <w:sz w:val="21"/>
                <w:szCs w:val="21"/>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86"/>
              </w:rPr>
              <w:t>202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7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Our Holding Company applies the fair value option to its investments that would otherwise be subject to the equity method of accounting. We record unrealized gains and losses for the change in fair value of such investments as a component of net (loss) gain from investment activities in the condensed consolidated statements of operations.</w:t>
      </w:r>
    </w:p>
    <w:p>
      <w:pPr>
        <w:spacing w:after="0" w:line="73"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During the nine months ended September 30, 2015, our Energy segment received proceeds of $68 million for the sale of a portion of its investment in available-for-sale securities. The aggregate cost basis for the available-for-sale securities sold was $48 million. Upon the sale of the available-for-sale securities, our Energy segment reclassified an unrealized gain of $20 million from accumulated other comprehensive loss and recognized a realized gain in net (loss) gain from investment activities in the condensed consolidated statements of operations for the nine months ended September 30, 2015. At the end of the first quarter of 2015, our Energy segment's remaining available-for-sale securities, with an aggregate cost basis of $26 million, were reclassified to trading securities based on our Energy segment's ability and intent with respect to the securities. In connection with the transfer to trading securities, an unrealized gain of $12 million previously recorded in accumulated other comprehensive loss was reclassified to net (loss) gain from investment activities in the condensed consolidated statements of operations for the nine months ended September 30, 2015. During the second quarter of 2015, the trading securities were sold, and our Energy segment received proceeds of $38 million and recognized an additional realized gain of less than $1 million in net (loss) gain from investment activities in the condensed consolidated statements of operations for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September 30, 2015 and December 31,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September 30, 2015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12,927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13,961</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at fair value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Industrials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1"/>
        </w:trPr>
        <w:tc>
          <w:tcPr>
            <w:tcW w:w="2300" w:type="dxa"/>
            <w:vAlign w:val="bottom"/>
          </w:tcPr>
          <w:p>
            <w:pPr>
              <w:ind w:left="160"/>
              <w:spacing w:after="0"/>
              <w:rPr>
                <w:sz w:val="20"/>
                <w:szCs w:val="20"/>
                <w:color w:val="auto"/>
              </w:rPr>
            </w:pPr>
            <w:r>
              <w:rPr>
                <w:rFonts w:ascii="Arial" w:cs="Arial" w:eastAsia="Arial" w:hAnsi="Arial"/>
                <w:sz w:val="16"/>
                <w:szCs w:val="16"/>
                <w:color w:val="auto"/>
              </w:rPr>
              <w:t>Debt securities: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20955</wp:posOffset>
            </wp:positionV>
            <wp:extent cx="5788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5" w:lineRule="exact"/>
        <w:rPr>
          <w:sz w:val="20"/>
          <w:szCs w:val="20"/>
          <w:color w:val="auto"/>
        </w:rPr>
      </w:pPr>
    </w:p>
    <w:p>
      <w:pPr>
        <w:ind w:left="180" w:right="200" w:hanging="172"/>
        <w:spacing w:after="0" w:line="247" w:lineRule="auto"/>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At September 30, 2015, equity forward contracts and equity call options are included in Level 2 Investments - Financial, Technology and Industrial. At September 30, 2015, written put options are included in Level 2 Investments - Basic Materials and Funds. At December 31, 2014, equity call options are included in Level 2 Investments - Industrial and written put options on debt securities are included in Level 2 Investments - Funds.</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other assets in our condensed consolidated balance sheets.</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-517525</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Investment segment has used Level 3 input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0" w:type="dxa"/>
            <w:vAlign w:val="bottom"/>
            <w:gridSpan w:val="3"/>
          </w:tcPr>
          <w:p>
            <w:pPr>
              <w:jc w:val="right"/>
              <w:ind w:right="93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losses included in earnings</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Unrealized losses of $12 million and $33 million were included in earnings related to Level 3 investments still held at September 30, 2015 and 2014, respectively, by our Investment segment. Total realized and unrealized gains and losses recorded for Level 3 investments are reported in net (loss) gain from investment activities in our condensed consolidated statements of operations.</w:t>
      </w:r>
    </w:p>
    <w:p>
      <w:pPr>
        <w:spacing w:after="0" w:line="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Investment Funds held one Level 3 corporate debt investment at September 30, 2015.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The following table summarizes the valuation of our Automotive, Energy and Gaming segments and our Holding Company investments, derivative contracts and other liabilities by the above fair value hierarchy levels as of September 30, 2015 and December 31,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60"/>
              <w:spacing w:after="0"/>
              <w:rPr>
                <w:sz w:val="20"/>
                <w:szCs w:val="20"/>
                <w:color w:val="auto"/>
              </w:rPr>
            </w:pPr>
            <w:r>
              <w:rPr>
                <w:rFonts w:ascii="Arial" w:cs="Arial" w:eastAsia="Arial" w:hAnsi="Arial"/>
                <w:sz w:val="18"/>
                <w:szCs w:val="18"/>
                <w:b w:val="1"/>
                <w:bCs w:val="1"/>
                <w:color w:val="auto"/>
              </w:rPr>
              <w:t>September 30,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Gaming segment and Holding Company have used Level 3 inputs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40" w:type="dxa"/>
            <w:vAlign w:val="bottom"/>
            <w:gridSpan w:val="3"/>
          </w:tcPr>
          <w:p>
            <w:pPr>
              <w:jc w:val="right"/>
              <w:ind w:right="9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Transfer out</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additions and settlements, net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Unrealized losses of $28 million and $97 million were included in earnings related to Level 3 investments still held as of September 30, 2015 and 2014, respectively, by our Gaming segment and Holding Company. Total realized and unrealized gains and losses recorded for Level 3 investments are reported in net (loss) gain from investment activities in our condensed consolidated statements of operations.</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Gaming segment has certain debt securities that are classified as held-to-maturity since our Gaming segment has the ability and intent to hold these bonds to maturity. These debt securities are initially recorded at a discount to approximate fair value. After the initial determination of fair value, our Gaming segment analyzes recoverability of these bonds on a quarterly basis and record changes in fair value based on its historical collection experience and certain other information.</w:t>
      </w:r>
    </w:p>
    <w:p>
      <w:pPr>
        <w:spacing w:after="0" w:line="79"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During the second quarter of 2015, the Holding Company made a certain available-for-sale investment of $100 million, which is considered a Level 3 investment due to unobservable market data. As of September 30, 2015, the fair value of this investment was $100 million and was based on the initial purchase price as there was little activity that could have potentially impacted its fair value after our initial investment. In future periods, we will determine the fair value of this investment using internally developed models and other valuation techniques.</w:t>
      </w:r>
    </w:p>
    <w:p>
      <w:pPr>
        <w:spacing w:after="0" w:line="63"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During the second quarter of 2015, the Holding Company obtained control of, and consolidated, Ferrous Resources, which was previously considered a Level 3 investment due to unobservable market data. The fair value of our investment in Ferrous Resources immediately prior to obtaining control was $36 million, which was transferred out of Level 3 investment during the second quarter of 2015. See Note 2, "Operating Units - Mining," for further discussion. In addition, during the third quarter of 2015, our Gaming segment received $10 million as reimbursement for certain approved capital expenditures.</w:t>
      </w:r>
    </w:p>
    <w:p>
      <w:pPr>
        <w:spacing w:after="0" w:line="46"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On June 30, 2014, the Investment Funds made a distribution-in-kind of a certain Level 3 corporate debt investment in the amount of $110 million to the Holding Company.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of Assets to Fair Value</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During each of the three and nine months ended September 30, 2015 and 2014 we had assets measured at fair value on a non-recurring basis that are considered Level 3 assets. Property, plant and equipment with an aggregate carrying value of $27 million was written down to an aggregate fair value of $17 million, resulting in an impairment charge of $6 million and $10 million in the condensed consolidated statements of operations for the three and nine months ended September 30, 2015, respectively. Property, plant and equipment with an aggregate carrying value of $17 million was written down to an aggregate fair value of $11 million, resulting in an impairment charge of $4 million and $6 million in the condensed consolidated statements of operations for the three and nine months ended September 30, 2014, respectively.</w:t>
      </w:r>
    </w:p>
    <w:p>
      <w:pPr>
        <w:spacing w:after="0" w:line="8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3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condensed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forward contracts is limited to the unrealized gains or losses inherent in such contracts, which are recognized in other assets and accrued expenses and other liabilities in our condensed consolidated balance sheets.</w:t>
      </w:r>
    </w:p>
    <w:p>
      <w:pPr>
        <w:spacing w:after="0" w:line="62"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 At September 30, 2015, the maximum payout amounts relating to certain put options written by the Investment Funds were approximately $5.7 billion, of which approximately $5.7 billion related to covered put options on existing short positions on certain stock and credit indices. At December 31, 2014, the maximum payout amounts relating to certain put options written by the Investment Funds were approximately $2.5 billion, of which approximately $2.4 billion related to covered put options on existing short positions on certain stock and credit indices. As of September 30, 2015 and December 31, 2014, there were unrealized losses of $35 million and less than $1 million, respectively, with respect to these put options.</w:t>
      </w:r>
    </w:p>
    <w:p>
      <w:pPr>
        <w:spacing w:after="0" w:line="59"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September 30, 2015 and December 31, 2014 was $92 million and $614 million, respectively.</w:t>
      </w:r>
    </w:p>
    <w:p>
      <w:pPr>
        <w:spacing w:after="0" w:line="8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September 30, 2015 and December 31, 2014, the Investment Funds had $905 million and approximately $1.2 billion, respectively, posted as collateral for derivative positions, including those derivative instruments with credit-risk-related contingent features; these amounts are included in cash held at consolidated affiliated partnerships and restricted cash in our condensed consolidated balance sheets.</w:t>
      </w:r>
    </w:p>
    <w:p>
      <w:pPr>
        <w:spacing w:after="0" w:line="73"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Each Investment Fund's assets may be held in one or more accounts maintained for the Investment Fund by its prime brokers or at other brokers or custodian banks, which may be located in various jurisdictions. The prime brokers,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brokers, custodian banks or clearing corporations may result in the loss of all or a substantial portion of the Investment Funds' assets or in a significant delay in the Investment Funds' having access to those assets.</w:t>
      </w:r>
    </w:p>
    <w:p>
      <w:pPr>
        <w:spacing w:after="0" w:line="8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337" w:right="29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Federal-Mogul had commodity price hedge contracts outstanding with combined notional values of $25 million and $36 million at September 30, 2015 and December 31, 2014, respectively, substantially all of which mature within one year in each of the respective periods and all of which were designated as hedging instruments for accounting purposes. Federal-Mogul has designated these contracts as cash flow hedging instruments and has a net liability position in the amount of $3 million and $1 million as of September 30, 2015 and December 31, 2014, respectively. Federal-Mogul records unrecognized gains and losses in other comprehensive income and makes regular reclassifying adjustments into cost of goods sold when amounts are recognized. Unrealized net losses of $3 million and $1 million were recorded in accumulated other comprehensive loss as of September 30, 2015 and December 31, 2014,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 Federal-Mogul's operating results are primarily exposed to changes in exchange rates between the U.S. dollar and various global currencies.</w:t>
      </w:r>
    </w:p>
    <w:p>
      <w:pPr>
        <w:spacing w:after="0" w:line="7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does not hold any foreign currency price hedge contracts as of September 30, 2015 or December 31,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Federal-Mogul had one Motorparts customers that accounted for 12% of its net accounts receivable balance as of September 30, 2015. Federal-Mogul requires placement of cash in financial institutions evaluated as highly creditworthy.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net in the condensed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337" w:right="27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condensed consolidated balance sheets with changes in fair value currently recognized in the condensed consolidated statement of operations. Quoted prices for similar assets or liabilities in active markets (Level 2) are considered to determine the fair values for the purpose of marking to market the hedging instruments at each period end. As of September 30, 2015 and December 31, 2014, CVR had open commodity hedging instruments consisting of 3.1 million and 9.1 million barrels of crack spreads, respectively, primarily to fix the margin on a portion of its future gasoline and distillate production. Additionally, as of September 30, 2015, CVR Refining had open commodity hedging instruments consisting of 1.5 million barrels primarily to fix the price on a portion of its future crude oil purchases or the basis on a portion of its future product sales. The fair value of the outstanding contracts at September 30, 2015 and December 31, 2014 was a net asset of $29 million and $47 million, respectively. For the three months ended September 30, 2015 and 2014, CVR recognized net gains of $3 million and $26 million, respectively. For the nine months ended September 30, 2015 and 2014, CVR recognized a net loss $60 million and a net gain of $171 million, respectively, which is included in other income, net in the condensed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Coffeyville Resources Nitrogen Fertilizers, LLC ("CRNF") has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agreements) and commenced on August 12, 2011 and expires on February 12, 2016. Under the terms of the interest rate swap agreement entered into on June 30, 2011, CRNF receives a floating rate based on three-month LIBOR and pays a fixed rate of 1.940%. Under the terms of the interest rate swap agreement entered into on July 1, 2011, CRNF receives a floating rate based on three-month LIBOR and pays a fixed rate of 1.975%. Both swap agreements are settled every 90 days. The effect of these swap agreements is to lock in a fixed rate of interest of approximately 1.960% plus the applicable margin paid to lenders over three-month LIBOR as governed by the CRNF credit facility. As of both September 30, 2015 and December 31, 2014, the effective rate of the term loan facility, net of impact of the interest rate swap agreements,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condensed consolidated statements of operations. The realized losses on the interest rate swaps reclassified from accumulated other comprehensive loss into interest expense was less than $1 million for each of the three and nine months ended September 30, 2015 and 2014.</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337" w:right="2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At September 30, 2015 and December 31, 2014, the volume of our derivative activities based on their notional exposure, categorized by primary underlying risk,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800"/>
              <w:spacing w:after="0"/>
              <w:rPr>
                <w:sz w:val="20"/>
                <w:szCs w:val="20"/>
                <w:color w:val="auto"/>
              </w:rPr>
            </w:pPr>
            <w:r>
              <w:rPr>
                <w:rFonts w:ascii="Arial" w:cs="Arial" w:eastAsia="Arial" w:hAnsi="Arial"/>
                <w:sz w:val="16"/>
                <w:szCs w:val="16"/>
                <w:b w:val="1"/>
                <w:bCs w:val="1"/>
                <w:color w:val="auto"/>
              </w:rPr>
              <w:t>September 30, 2015</w:t>
            </w:r>
          </w:p>
        </w:tc>
        <w:tc>
          <w:tcPr>
            <w:tcW w:w="220" w:type="dxa"/>
            <w:vAlign w:val="bottom"/>
          </w:tcPr>
          <w:p>
            <w:pPr>
              <w:spacing w:after="0"/>
              <w:rPr>
                <w:sz w:val="18"/>
                <w:szCs w:val="18"/>
                <w:color w:val="auto"/>
              </w:rPr>
            </w:pPr>
          </w:p>
        </w:tc>
        <w:tc>
          <w:tcPr>
            <w:tcW w:w="30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December 31, 2014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Short Notional</w:t>
            </w:r>
          </w:p>
        </w:tc>
        <w:tc>
          <w:tcPr>
            <w:tcW w:w="220" w:type="dxa"/>
            <w:vAlign w:val="bottom"/>
          </w:tcPr>
          <w:p>
            <w:pPr>
              <w:spacing w:after="0"/>
              <w:rPr>
                <w:sz w:val="18"/>
                <w:szCs w:val="18"/>
                <w:color w:val="auto"/>
              </w:rPr>
            </w:pPr>
          </w:p>
        </w:tc>
        <w:tc>
          <w:tcPr>
            <w:tcW w:w="1400" w:type="dxa"/>
            <w:vAlign w:val="bottom"/>
          </w:tcPr>
          <w:p>
            <w:pPr>
              <w:jc w:val="right"/>
              <w:ind w:right="233"/>
              <w:spacing w:after="0"/>
              <w:rPr>
                <w:sz w:val="20"/>
                <w:szCs w:val="20"/>
                <w:color w:val="auto"/>
              </w:rPr>
            </w:pPr>
            <w:r>
              <w:rPr>
                <w:rFonts w:ascii="Arial" w:cs="Arial" w:eastAsia="Arial" w:hAnsi="Arial"/>
                <w:sz w:val="16"/>
                <w:szCs w:val="16"/>
                <w:b w:val="1"/>
                <w:bCs w:val="1"/>
                <w:color w:val="auto"/>
                <w:w w:val="98"/>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Exposure</w:t>
            </w:r>
          </w:p>
        </w:tc>
        <w:tc>
          <w:tcPr>
            <w:tcW w:w="22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Arial" w:cs="Arial" w:eastAsia="Arial" w:hAnsi="Arial"/>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4"/>
          </w:tcPr>
          <w:p>
            <w:pPr>
              <w:jc w:val="right"/>
              <w:ind w:right="1233"/>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line="276" w:lineRule="exact"/>
              <w:rPr>
                <w:sz w:val="20"/>
                <w:szCs w:val="20"/>
                <w:color w:val="auto"/>
              </w:rPr>
            </w:pPr>
            <w:r>
              <w:rPr>
                <w:rFonts w:ascii="Arial" w:cs="Arial" w:eastAsia="Arial" w:hAnsi="Arial"/>
                <w:sz w:val="18"/>
                <w:szCs w:val="18"/>
                <w:color w:val="auto"/>
              </w:rPr>
              <w:t>Credit swaps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11,312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line="283"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right="160" w:hanging="172"/>
        <w:spacing w:after="0" w:line="292" w:lineRule="auto"/>
        <w:tabs>
          <w:tab w:leader="none" w:pos="180" w:val="left"/>
        </w:tabs>
        <w:numPr>
          <w:ilvl w:val="0"/>
          <w:numId w:val="9"/>
        </w:numPr>
        <w:rPr>
          <w:rFonts w:ascii="Arial" w:cs="Arial" w:eastAsia="Arial" w:hAnsi="Arial"/>
          <w:sz w:val="8"/>
          <w:szCs w:val="8"/>
          <w:color w:val="auto"/>
        </w:rPr>
      </w:pPr>
      <w:r>
        <w:rPr>
          <w:rFonts w:ascii="Arial" w:cs="Arial" w:eastAsia="Arial" w:hAnsi="Arial"/>
          <w:sz w:val="12"/>
          <w:szCs w:val="12"/>
          <w:color w:val="auto"/>
        </w:rPr>
        <w:t>The short notional amount on our credit swap positions is approximately $7.9 billion and $9.3 billion as of September 30, 2015 and December 31, 2014, respectively. However, because credit spreads cannot compress below zero, our downside short notional exposure to loss is approximately $1.6 billion and $1.5 billion as of September 30, 2015 and December 31, 2014, respectively.</w:t>
      </w:r>
    </w:p>
    <w:p>
      <w:pPr>
        <w:jc w:val="both"/>
        <w:ind w:left="180" w:right="100" w:hanging="172"/>
        <w:spacing w:after="0" w:line="248"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short notional amount on certain of our interest rate contracts with a three month duration is approximately $16.0 billion as of both September 30, 2015 and December 31, 2014. We assume that interest rates will not fall below zero and therefore our downside short notional exposure to loss on these contracts is $74 million (of the total $137 million disclosed in the above table) as of both September 30, 2015 and December 31, 2014.</w:t>
      </w:r>
    </w:p>
    <w:p>
      <w:pPr>
        <w:spacing w:after="0" w:line="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Investment Funds also purchased equity forward contracts and wrote certain option contracts which are included in Level 2 investment securities. The volume of activities based on the notional exposure of these contracts is approximately $3.2 billion long notional exposure (equity contracts) at September 30, 2015, $108 million long notional exposure (equity contracts) at December 31, 2014 and $3 million short notional exposure (credit contracts) at December 31, 2014.</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Instruments</w:t>
            </w:r>
          </w:p>
        </w:tc>
        <w:tc>
          <w:tcPr>
            <w:tcW w:w="16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2015</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5"/>
          </w:tcPr>
          <w:p>
            <w:pPr>
              <w:ind w:left="14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21"/>
                <w:szCs w:val="21"/>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21"/>
                <w:szCs w:val="21"/>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334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condensed consolidated balance sheets.</w:t>
      </w:r>
    </w:p>
    <w:p>
      <w:pPr>
        <w:spacing w:after="0" w:line="1" w:lineRule="exact"/>
        <w:rPr>
          <w:rFonts w:ascii="Arial" w:cs="Arial" w:eastAsia="Arial" w:hAnsi="Arial"/>
          <w:sz w:val="9"/>
          <w:szCs w:val="9"/>
          <w:color w:val="auto"/>
        </w:rPr>
      </w:pPr>
    </w:p>
    <w:p>
      <w:pPr>
        <w:ind w:left="180" w:right="180" w:hanging="172"/>
        <w:spacing w:after="0" w:line="255"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September 30, 2015 and December 31, 2014 was approximately $0.9 billion and $1.2 billion, respectively, across all counterparties.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and nine months ended September 30, 2015 and 2014: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7"/>
              </w:rPr>
              <w:t>Gain (Loss) Recognized in Income</w:t>
            </w:r>
            <w:r>
              <w:rPr>
                <w:rFonts w:ascii="Arial" w:cs="Arial" w:eastAsia="Arial" w:hAnsi="Arial"/>
                <w:sz w:val="25"/>
                <w:szCs w:val="25"/>
                <w:b w:val="1"/>
                <w:bCs w:val="1"/>
                <w:color w:val="auto"/>
                <w:w w:val="87"/>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gridSpan w:val="5"/>
          </w:tcPr>
          <w:p>
            <w:pPr>
              <w:jc w:val="center"/>
              <w:ind w:right="2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30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(loss) gain from investment activities in our condensed consolidated statements of operations for our Investment segment and are included in other income, net for all other segments.</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Investment Funds also purchased call option contracts and equity forward contracts and wrote certain option contracts which are included in Level 2 investments. The fair market value of these positions was a net asset of $16 million and $17 million as of September 30, 2015 and December 31, 2014, respectively. These positions were included in investments in our condensed consolidated balance sheets. Included in net gain (loss) from investment activities in our condensed consolidated statements of operations related to these positions were (losses) gains of $(197) million and $(55) million for the three months ended September 30, 2015 and 2014, respectively, and $(75) million and $164 million for the nine months ended September 30, 2015 and 2014, respectively.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36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September 30, 2015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December 31, 2014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ind w:left="300"/>
              <w:spacing w:after="0"/>
              <w:rPr>
                <w:sz w:val="20"/>
                <w:szCs w:val="20"/>
                <w:color w:val="auto"/>
              </w:rPr>
            </w:pPr>
            <w:r>
              <w:rPr>
                <w:rFonts w:ascii="Arial" w:cs="Arial" w:eastAsia="Arial" w:hAnsi="Arial"/>
                <w:sz w:val="16"/>
                <w:szCs w:val="16"/>
                <w:b w:val="1"/>
                <w:bCs w:val="1"/>
                <w:color w:val="auto"/>
              </w:rPr>
              <w:t>September 30, 2015</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0" w:type="dxa"/>
            <w:vAlign w:val="bottom"/>
            <w:gridSpan w:val="3"/>
          </w:tcPr>
          <w:p>
            <w:pPr>
              <w:jc w:val="right"/>
              <w:ind w:right="393"/>
              <w:spacing w:after="0"/>
              <w:rPr>
                <w:sz w:val="20"/>
                <w:szCs w:val="20"/>
                <w:color w:val="auto"/>
              </w:rPr>
            </w:pPr>
            <w:r>
              <w:rPr>
                <w:rFonts w:ascii="Arial" w:cs="Arial" w:eastAsia="Arial" w:hAnsi="Arial"/>
                <w:sz w:val="14"/>
                <w:szCs w:val="14"/>
                <w:color w:val="auto"/>
                <w:w w:val="98"/>
              </w:rPr>
              <w:t>(in millions)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66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16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3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Netting across contract types</w:t>
            </w:r>
          </w:p>
        </w:tc>
        <w:tc>
          <w:tcPr>
            <w:tcW w:w="16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condensed consolidated balance sheets.</w:t>
      </w:r>
    </w:p>
    <w:p>
      <w:pPr>
        <w:spacing w:after="0" w:line="101"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condensed consolidated financial statements for the three and nine months ended September 30, 2015 and 2014: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Amount of Loss Recognized</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Amount of Loss Reclassified</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9"/>
              </w:rPr>
              <w:t>Location of Loss</w:t>
            </w: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in OCI on Derivatives</w:t>
            </w:r>
          </w:p>
        </w:tc>
        <w:tc>
          <w:tcPr>
            <w:tcW w:w="160" w:type="dxa"/>
            <w:vAlign w:val="bottom"/>
          </w:tcPr>
          <w:p>
            <w:pPr>
              <w:spacing w:after="0"/>
              <w:rPr>
                <w:sz w:val="17"/>
                <w:szCs w:val="17"/>
                <w:color w:val="auto"/>
              </w:rPr>
            </w:pPr>
          </w:p>
        </w:tc>
        <w:tc>
          <w:tcPr>
            <w:tcW w:w="1900" w:type="dxa"/>
            <w:vAlign w:val="bottom"/>
          </w:tcPr>
          <w:p>
            <w:pPr>
              <w:jc w:val="center"/>
              <w:ind w:right="77"/>
              <w:spacing w:after="0"/>
              <w:rPr>
                <w:sz w:val="20"/>
                <w:szCs w:val="20"/>
                <w:color w:val="auto"/>
              </w:rPr>
            </w:pPr>
            <w:r>
              <w:rPr>
                <w:rFonts w:ascii="Arial" w:cs="Arial" w:eastAsia="Arial" w:hAnsi="Arial"/>
                <w:sz w:val="16"/>
                <w:szCs w:val="16"/>
                <w:b w:val="1"/>
                <w:bCs w:val="1"/>
                <w:color w:val="auto"/>
                <w:w w:val="95"/>
              </w:rPr>
              <w:t>from AOCI into Income</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(Effective Portion)</w:t>
            </w:r>
          </w:p>
        </w:tc>
        <w:tc>
          <w:tcPr>
            <w:tcW w:w="160" w:type="dxa"/>
            <w:vAlign w:val="bottom"/>
          </w:tcPr>
          <w:p>
            <w:pPr>
              <w:spacing w:after="0"/>
              <w:rPr>
                <w:sz w:val="18"/>
                <w:szCs w:val="18"/>
                <w:color w:val="auto"/>
              </w:rPr>
            </w:pPr>
          </w:p>
        </w:tc>
        <w:tc>
          <w:tcPr>
            <w:tcW w:w="1900" w:type="dxa"/>
            <w:vAlign w:val="bottom"/>
          </w:tcPr>
          <w:p>
            <w:pPr>
              <w:jc w:val="center"/>
              <w:ind w:right="57"/>
              <w:spacing w:after="0"/>
              <w:rPr>
                <w:sz w:val="20"/>
                <w:szCs w:val="20"/>
                <w:color w:val="auto"/>
              </w:rPr>
            </w:pPr>
            <w:r>
              <w:rPr>
                <w:rFonts w:ascii="Arial" w:cs="Arial" w:eastAsia="Arial" w:hAnsi="Arial"/>
                <w:sz w:val="16"/>
                <w:szCs w:val="16"/>
                <w:b w:val="1"/>
                <w:bCs w:val="1"/>
                <w:color w:val="auto"/>
                <w:w w:val="92"/>
              </w:rPr>
              <w:t>(Effective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(in millions)</w:t>
            </w:r>
          </w:p>
        </w:tc>
        <w:tc>
          <w:tcPr>
            <w:tcW w:w="160" w:type="dxa"/>
            <w:vAlign w:val="bottom"/>
          </w:tcPr>
          <w:p>
            <w:pPr>
              <w:spacing w:after="0"/>
              <w:rPr>
                <w:sz w:val="22"/>
                <w:szCs w:val="22"/>
                <w:color w:val="auto"/>
              </w:rPr>
            </w:pPr>
          </w:p>
        </w:tc>
        <w:tc>
          <w:tcPr>
            <w:tcW w:w="1900" w:type="dxa"/>
            <w:vAlign w:val="bottom"/>
          </w:tcPr>
          <w:p>
            <w:pPr>
              <w:jc w:val="center"/>
              <w:ind w:right="57"/>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7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87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ind w:right="12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60" w:type="dxa"/>
            <w:vAlign w:val="bottom"/>
          </w:tcPr>
          <w:p>
            <w:pPr>
              <w:spacing w:after="0"/>
              <w:rPr>
                <w:sz w:val="17"/>
                <w:szCs w:val="17"/>
                <w:color w:val="auto"/>
              </w:rPr>
            </w:pPr>
          </w:p>
        </w:tc>
        <w:tc>
          <w:tcPr>
            <w:tcW w:w="190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60" w:type="dxa"/>
            <w:vAlign w:val="bottom"/>
          </w:tcPr>
          <w:p>
            <w:pPr>
              <w:spacing w:after="0"/>
              <w:rPr>
                <w:sz w:val="22"/>
                <w:szCs w:val="22"/>
                <w:color w:val="auto"/>
              </w:rPr>
            </w:pPr>
          </w:p>
        </w:tc>
        <w:tc>
          <w:tcPr>
            <w:tcW w:w="1900" w:type="dxa"/>
            <w:vAlign w:val="bottom"/>
          </w:tcPr>
          <w:p>
            <w:pPr>
              <w:jc w:val="center"/>
              <w:ind w:right="55"/>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58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90"/>
              </w:rPr>
              <w:t>Nine Months Ended September 30, 2015</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Amount of Loss Recognized</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Amount of Loss Reclassified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Location of Loss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in OCI on Derivatives</w:t>
            </w:r>
          </w:p>
        </w:tc>
        <w:tc>
          <w:tcPr>
            <w:tcW w:w="160" w:type="dxa"/>
            <w:vAlign w:val="bottom"/>
          </w:tcPr>
          <w:p>
            <w:pPr>
              <w:spacing w:after="0"/>
              <w:rPr>
                <w:sz w:val="17"/>
                <w:szCs w:val="17"/>
                <w:color w:val="auto"/>
              </w:rPr>
            </w:pPr>
          </w:p>
        </w:tc>
        <w:tc>
          <w:tcPr>
            <w:tcW w:w="1900" w:type="dxa"/>
            <w:vAlign w:val="bottom"/>
          </w:tcPr>
          <w:p>
            <w:pPr>
              <w:jc w:val="center"/>
              <w:ind w:right="75"/>
              <w:spacing w:after="0"/>
              <w:rPr>
                <w:sz w:val="20"/>
                <w:szCs w:val="20"/>
                <w:color w:val="auto"/>
              </w:rPr>
            </w:pPr>
            <w:r>
              <w:rPr>
                <w:rFonts w:ascii="Arial" w:cs="Arial" w:eastAsia="Arial" w:hAnsi="Arial"/>
                <w:sz w:val="16"/>
                <w:szCs w:val="16"/>
                <w:b w:val="1"/>
                <w:bCs w:val="1"/>
                <w:color w:val="auto"/>
                <w:w w:val="95"/>
              </w:rPr>
              <w:t>from AOCI into Income</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(Effective Portion)</w:t>
            </w:r>
          </w:p>
        </w:tc>
        <w:tc>
          <w:tcPr>
            <w:tcW w:w="160" w:type="dxa"/>
            <w:vAlign w:val="bottom"/>
          </w:tcPr>
          <w:p>
            <w:pPr>
              <w:spacing w:after="0"/>
              <w:rPr>
                <w:sz w:val="18"/>
                <w:szCs w:val="18"/>
                <w:color w:val="auto"/>
              </w:rPr>
            </w:pPr>
          </w:p>
        </w:tc>
        <w:tc>
          <w:tcPr>
            <w:tcW w:w="190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60" w:type="dxa"/>
            <w:vAlign w:val="bottom"/>
          </w:tcPr>
          <w:p>
            <w:pPr>
              <w:spacing w:after="0"/>
              <w:rPr>
                <w:sz w:val="22"/>
                <w:szCs w:val="22"/>
                <w:color w:val="auto"/>
              </w:rPr>
            </w:pPr>
          </w:p>
        </w:tc>
        <w:tc>
          <w:tcPr>
            <w:tcW w:w="1900" w:type="dxa"/>
            <w:vAlign w:val="bottom"/>
          </w:tcPr>
          <w:p>
            <w:pPr>
              <w:jc w:val="center"/>
              <w:ind w:right="55"/>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780" w:type="dxa"/>
            <w:vAlign w:val="bottom"/>
          </w:tcPr>
          <w:p>
            <w:pPr>
              <w:spacing w:after="0"/>
              <w:rPr>
                <w:sz w:val="24"/>
                <w:szCs w:val="24"/>
                <w:color w:val="auto"/>
              </w:rPr>
            </w:pPr>
          </w:p>
        </w:tc>
        <w:tc>
          <w:tcPr>
            <w:tcW w:w="358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90"/>
              </w:rPr>
              <w:t>Nine Months Ended September 30, 2014</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Amount of Gain Recognized</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Amount of Loss Reclassified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Location of Loss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in OCI on Derivatives</w:t>
            </w:r>
          </w:p>
        </w:tc>
        <w:tc>
          <w:tcPr>
            <w:tcW w:w="160" w:type="dxa"/>
            <w:vAlign w:val="bottom"/>
          </w:tcPr>
          <w:p>
            <w:pPr>
              <w:spacing w:after="0"/>
              <w:rPr>
                <w:sz w:val="17"/>
                <w:szCs w:val="17"/>
                <w:color w:val="auto"/>
              </w:rPr>
            </w:pPr>
          </w:p>
        </w:tc>
        <w:tc>
          <w:tcPr>
            <w:tcW w:w="1900" w:type="dxa"/>
            <w:vAlign w:val="bottom"/>
          </w:tcPr>
          <w:p>
            <w:pPr>
              <w:jc w:val="center"/>
              <w:ind w:right="75"/>
              <w:spacing w:after="0"/>
              <w:rPr>
                <w:sz w:val="20"/>
                <w:szCs w:val="20"/>
                <w:color w:val="auto"/>
              </w:rPr>
            </w:pPr>
            <w:r>
              <w:rPr>
                <w:rFonts w:ascii="Arial" w:cs="Arial" w:eastAsia="Arial" w:hAnsi="Arial"/>
                <w:sz w:val="16"/>
                <w:szCs w:val="16"/>
                <w:b w:val="1"/>
                <w:bCs w:val="1"/>
                <w:color w:val="auto"/>
                <w:w w:val="95"/>
              </w:rPr>
              <w:t>from AOCI into Income</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(Effective Portion)</w:t>
            </w:r>
          </w:p>
        </w:tc>
        <w:tc>
          <w:tcPr>
            <w:tcW w:w="160" w:type="dxa"/>
            <w:vAlign w:val="bottom"/>
          </w:tcPr>
          <w:p>
            <w:pPr>
              <w:spacing w:after="0"/>
              <w:rPr>
                <w:sz w:val="18"/>
                <w:szCs w:val="18"/>
                <w:color w:val="auto"/>
              </w:rPr>
            </w:pPr>
          </w:p>
        </w:tc>
        <w:tc>
          <w:tcPr>
            <w:tcW w:w="190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60" w:type="dxa"/>
            <w:vAlign w:val="bottom"/>
          </w:tcPr>
          <w:p>
            <w:pPr>
              <w:spacing w:after="0"/>
              <w:rPr>
                <w:sz w:val="22"/>
                <w:szCs w:val="22"/>
                <w:color w:val="auto"/>
              </w:rPr>
            </w:pPr>
          </w:p>
        </w:tc>
        <w:tc>
          <w:tcPr>
            <w:tcW w:w="1900" w:type="dxa"/>
            <w:vAlign w:val="bottom"/>
          </w:tcPr>
          <w:p>
            <w:pPr>
              <w:jc w:val="center"/>
              <w:ind w:right="55"/>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center"/>
              <w:ind w:right="75"/>
              <w:spacing w:after="0"/>
              <w:rPr>
                <w:sz w:val="20"/>
                <w:szCs w:val="20"/>
                <w:color w:val="auto"/>
              </w:rPr>
            </w:pPr>
            <w:r>
              <w:rPr>
                <w:rFonts w:ascii="Arial" w:cs="Arial" w:eastAsia="Arial" w:hAnsi="Arial"/>
                <w:sz w:val="18"/>
                <w:szCs w:val="18"/>
                <w:b w:val="1"/>
                <w:bCs w:val="1"/>
                <w:color w:val="auto"/>
                <w:w w:val="89"/>
              </w:rPr>
              <w:t>September 30, 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December 31, 2014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gridSpan w:val="4"/>
          </w:tcPr>
          <w:p>
            <w:pPr>
              <w:jc w:val="right"/>
              <w:ind w:right="165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vMerge w:val="restart"/>
          </w:tcPr>
          <w:p>
            <w:pPr>
              <w:jc w:val="center"/>
              <w:ind w:right="816"/>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34" w:lineRule="exact"/>
        <w:rPr>
          <w:sz w:val="20"/>
          <w:szCs w:val="20"/>
          <w:color w:val="auto"/>
        </w:rPr>
      </w:pPr>
    </w:p>
    <w:p>
      <w:pPr>
        <w:ind w:left="420" w:right="828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Mining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651</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793</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for the three months ended September 30, 2015 and 2014 was $25 million and $22 million, respectively, and for the nine months ended September 30, 2015 and 2014 was $70 million and $62 million, respectively. We utilize the straight-line method of amortization, recognized over the estimated useful lives of the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further discussed in Note 2, "Operating Units - Automotive," on February 6, 2015 and July 7, 2015, Federal-Mogul consummated the acquisitions of certain engine components businesses from TRW. As of September 30, 2015, Federal-Mogul recorded $76 million of goodwill, $84 million of customer relationships and $22 million of developed technology related to these acquisitions. These intangible asset balances reflect measurement period adjustments which Federal-Mogul recorded during the second and third quarters of 2015. Because Federal-Mogul is in the process of finalizing certain customary post-closing adjustments, the provisional measurements of net assets are subject to further changes. The valuation of net assets was performed utilizing cost, income and market approaches. The TRW engine components business acquisition is not material, individually or in the aggregate with the IEH Auto and Ferrous Resources acquisitions, to our condensed consolidated financial statements.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37" w:right="2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further discussed in Note 2, "Operating Units - Automotive," during the second quarter of 2015, IEH Auto acquired substantially all of the auto parts assets in the United States of Uni-Select, Inc., a leading automotive parts distributor for domestic and imported vehicles. As of September 30, 2015, IEH Auto recorded an aggregate of $2 million of trade name and favorable leases as of the acquisition date. Because IEH Auto is in the process of finalizing certain customary post-closing adjustments, the provisional measurements of net assets are subject to change. The valuation of net assets was performed utilizing cost, income and market approaches. The acquisition of IEH Auto is not material, individually or in the aggregate with the TRW engine components business acquisition and the Ferrous Resources acquisition, to our condensed consolidated financial statements.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currently performing the annual goodwill impairment test as of October 1, 2015 for our Automotive segment which will be finalized during the fourth quarter of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We perform our annual goodwill impairment analysis as of April 30 of each year for our Energy segment,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The fair values of our Energy segment's reporting units are based upon consideration of various valuation methodologies, including a discounted cash flow analysis ("DCF")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used in a DCF, which are intended to reflect the risks inherent in future cash flow projections,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1"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We finalized the annual goodwill impairment test for our Energy segment during the third quarter of 2015. Based on the results of our annual goodwill impairment test for our Energy segment, while the fair market value of our Energy segment's Petroleum reporting unit was substantially in excess of its carrying value, the fair market value of our Energy segment's Fertilizer reporting unit was approximately 1% in excess of its carrying value and was therefore considered at risk for failing "Step 1" of the goodwill impairment analysis. As of September 30, 2015, our Energy segment's Fertilizer reporting unit had $253 million of goodwill allocated to it. The most significant key assumption to determining the fair value of our Energy segment's Fertilizer reporting unit was its forecasted sales growth rate. If our Energy segment's Fertilizer reporting unit fails to achieve its forecasted sales growth rate, a goodwill impairment may result in future periods.</w:t>
      </w:r>
    </w:p>
    <w:p>
      <w:pPr>
        <w:spacing w:after="0" w:line="8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finalized the assessment of our Energy segment's goodwill impairment during the first quarter of 2015 and noted that no additional adjustments to goodwill were required for the first quarter of 2015.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As further discussed in Note 2, "Operating Units - Mining," we acquired a controlling interest in Ferrous Resources during the second quarter of 2015. A preliminary valuation of the net assets of the Ferrous Resources resulted in $6 million allocated to goodwill as of the acquisition date. Because IEP Ferrous is in the process of finalizing certain customary post-closing adjustments, the provisional measurements of net assets are subject to change. The valuation of net assets was performed utilizing cost, income and market approaches. The acquisition of Ferrous Resources was not material, individually or in the aggregate with the TRW engine components business acquisition and the IEH Auto acquisition, to our condensed consolidated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00" w:type="dxa"/>
            <w:vAlign w:val="bottom"/>
          </w:tcPr>
          <w:p>
            <w:pPr>
              <w:spacing w:after="0"/>
              <w:rPr>
                <w:sz w:val="21"/>
                <w:szCs w:val="21"/>
                <w:color w:val="auto"/>
              </w:rPr>
            </w:pPr>
          </w:p>
        </w:tc>
        <w:tc>
          <w:tcPr>
            <w:tcW w:w="402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2,353</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3,546</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12,566</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8,955</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378"/>
        <w:spacing w:after="0" w:line="276" w:lineRule="auto"/>
        <w:rPr>
          <w:sz w:val="20"/>
          <w:szCs w:val="20"/>
          <w:color w:val="auto"/>
        </w:rPr>
      </w:pPr>
      <w:r>
        <w:rPr>
          <w:rFonts w:ascii="Arial" w:cs="Arial" w:eastAsia="Arial" w:hAnsi="Arial"/>
          <w:sz w:val="17"/>
          <w:szCs w:val="17"/>
          <w:color w:val="auto"/>
        </w:rPr>
        <w:t>Assets leased to others are related to our Railcar and Real Estate segments. Included in assets leased to others in the table above are our Railcar segment's railcars for lease in the amount of approximately $3.5 billion and $3.1 billion as of September 30, 2015 and December 31, 2014, respectively. Additionally, included in assets leased to others in the table above are our Real Estate segment's properties on lease in the amount of $426 million and $450 million as of September 30, 2015 and December 31, 2014, respectively. Aggregate accumulated depreciation pertaining to assets leased to others is $1,025 million and $957 million as of September 30, 2015 and December 31, 2014, respectively.</w:t>
      </w:r>
    </w:p>
    <w:p>
      <w:pPr>
        <w:spacing w:after="0" w:line="64"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Depreciation and amortization expense related to property, plant and equipment for the three months ended September 30, 2015 and 2014 was $192 million and $180 million, respectively, and for the nine months ended September 30, 2015 and 2014 was $560 million and $522 million,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2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right="80" w:firstLine="405"/>
        <w:spacing w:after="0" w:line="254" w:lineRule="auto"/>
        <w:rPr>
          <w:sz w:val="20"/>
          <w:szCs w:val="20"/>
          <w:color w:val="auto"/>
        </w:rPr>
      </w:pPr>
      <w:r>
        <w:rPr>
          <w:rFonts w:ascii="Arial" w:cs="Arial" w:eastAsia="Arial" w:hAnsi="Arial"/>
          <w:sz w:val="18"/>
          <w:szCs w:val="18"/>
          <w:color w:val="auto"/>
        </w:rPr>
        <w:t>On January 29, 2014, we and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net proceeds from the sale of the 2022 Notes were approximately $1.340 billion after deducting the initial purchaser’s discount and commission and estimated fees and expenses related to the offering. Interest on the 2022 Notes are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Prior to the maturity of the 2022 Notes, the Issuers may redeem some or all of the 2022 Notes at certain times by paying a premium as specified in the 2022 Indenture, plus accrued and unpaid interest.</w:t>
      </w:r>
    </w:p>
    <w:p>
      <w:pPr>
        <w:spacing w:after="0" w:line="80" w:lineRule="exact"/>
        <w:rPr>
          <w:sz w:val="20"/>
          <w:szCs w:val="20"/>
          <w:color w:val="auto"/>
        </w:rPr>
      </w:pPr>
    </w:p>
    <w:p>
      <w:pPr>
        <w:ind w:right="44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August 1, 2013, the Issuers issued $500 million aggregate principal amount of 6% Senior Notes due 2020 (the “Initial 2020 Notes”) pursuant to the purchase agreement, dated July 29, 2013, by and among the Issuers, the Guarantor, and Jefferies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40" w:firstLine="8"/>
        <w:spacing w:after="0" w:line="290" w:lineRule="auto"/>
        <w:tabs>
          <w:tab w:leader="none" w:pos="1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58"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Prior to the maturity of the 2020 Notes, the Issuers may redeem some or all of the 2020 Notes at certain times by paying certain premiums as specified in the 2020 Indenture, plus accrued and unpaid interest.</w:t>
      </w:r>
    </w:p>
    <w:p>
      <w:pPr>
        <w:spacing w:after="0" w:line="4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5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 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5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by and among the Issuers, the Guarantor, and Citigroup Global Markets Inc., Credit Suisse Securities (USA) LLC, 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and UBS Securities LLC, as initial purchasers (the “New Notes Purchasers”). The net proceeds from the sale of the 2019 Notes and the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were approximately $1.269 billion and $1.169 billion, respectively, after deducting the initial purchasers' discount and commission and estimated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expenses related to the offering.</w:t>
      </w:r>
    </w:p>
    <w:p>
      <w:pPr>
        <w:spacing w:after="0" w:line="103"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We used the proceeds from the issuance of the Additional 2020 Notes, the 2019 Notes, and the 2017 Notes to refinance our prior notes ("2010-2012 Notes"). As a result of this refinancing, we purchased $3,500 million aggregate principal of the 2010-2012 Notes and recognized a loss of $108 million on extinguishment of debt during the first quarter of 2014. The 2010-2012 Notes were discharged in full on February 6, 2014.</w:t>
      </w:r>
    </w:p>
    <w:p>
      <w:pPr>
        <w:spacing w:after="0" w:line="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Prior to the maturity of the 2017 or 2019 Notes, the Issuers may redeem either the 2017 or 2019 Notes by paying certain premiums as specified in the applicable 2017 or 2022 Indenture, plus accrued and unpaid interest as applicable.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37"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September 30, 2015 and December 31, 2014, we were in compliance with all covenants, including maintaining certain minimum financial ratios, as defined in the indentures. Additionally, as of September 30, 2015, based on covenants in the indentures governing our senior unsecured notes, we are permitted to incur approximately $584 million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 based on the average monthly availability under the Federal-Mogul Replacement Revolving Facility. An unused commitment fee of 0.375% also is payable under the terms of the Federal-Mogul Replacement Revolving Facility.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On April 15, 2014, Federal-Mogul Holdings Corporation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 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37"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$36 million during the nine months ended September 30, 2014, which was primarily attributable to the write-off of debt discounts, and is reflected in other income, net in the condensed consolidated statements of operations.</w:t>
      </w:r>
    </w:p>
    <w:p>
      <w:pPr>
        <w:spacing w:after="0" w:line="7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The New Federal-Mogul Term Facilities, among other things, (i) provide for aggregate commitments under the New Tranche B Facility of $700 million with a maturity date of April 15, 2018, (ii) provide for aggregate commitments under the 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Advances under the New Tranche C Facility generally bear interest at a variable rate per annum equal to (i) the Alternate Base Rate plus a margin of 2.75% or (ii) the Adjusted LIBOR Rate plus a margin of 3.75%, subject, in each case, to a minimum rate of 1.00% plus the applicable margin.</w:t>
      </w:r>
    </w:p>
    <w:p>
      <w:pPr>
        <w:spacing w:after="0" w:line="7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100" w:firstLine="8"/>
        <w:spacing w:after="0" w:line="323" w:lineRule="auto"/>
        <w:tabs>
          <w:tab w:leader="none" w:pos="1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investments; ii) certain acquisitions, mergers or consolidations; iii) sale and leaseback transactions; iv) certain transactions with affiliates; and v) dividends and other payments in respect of capital stock. At September 30, 2015 and December 31, 2014, Federal-Mogul was in compliance with all debt covenants.</w:t>
      </w:r>
    </w:p>
    <w:p>
      <w:pPr>
        <w:spacing w:after="0" w:line="3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of September 30, 2015 and December 31, 2014, the borrowing availability under the Federal-Mogul Replacement Revolving Facility was $175 million and $516 million, respectively. As of September 30, 2015, the outstanding balance on the Federal-Mogul Replacement Revolving Facility was $335 million. As of December 31, 2014, there were no borrowings outstanding under the Federal-Mogul Replacement Revolving Facility. Federal-Mogul had $40 million and $34 million of letters of credit outstanding as September 30, 2015 and December 31, 2014, respectively, pertaining to Federal-Mogul's term loan credit facility. To the extent letters of credit associated with the Federal-Mogul Replacement Revolving Facility are issued, there will be a corresponding decrease in borrowings available under this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23, 2012, CVR Refining LLC and its wholly owned subsidiary, Coffeyville Finance Inc., completed a private offering of $500 million in aggregate principal amount of 6.50% Senior Notes due 2022 (the "CVR 2022 Notes"). The CVR 2022 Notes were issued at par.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September 30, 2015, CVR Refining was in compliance with the covenants contained in the CVR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CVR Refining and its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ABL Credit Facility also contains a fixed charge coverage ratio financial covenant, as defined therein. CVR Refining was in compliance with the covenants of the Amended and Restated ABL Credit Facility as of September 30, 2015.</w:t>
      </w:r>
    </w:p>
    <w:p>
      <w:pPr>
        <w:spacing w:after="0" w:line="6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September 30, 2015, CVR Refining and its subsidiaries had availability under the Amended and Restated ABL Credit Facility of $372 million and had letters of credit outstanding of $28 million. There were no borrowings outstanding under the Amended and Restated ABL Credit Facility as of September 30,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CVR Partners' credit facility includes a term loan facility of $125 million and a revolving credit facility of $25 million, which was undrawn as of September 30, 2015, with an uncommitted incremental facility of up to $50 million. No amounts were outstanding under the revolving credit facility at September 30, 2015. There is no scheduled amortization of the credit facility, which matures in April 2016. CVR Partners is considering capital structure and refinancing options associated with the credit facility maturity.</w:t>
      </w:r>
    </w:p>
    <w:p>
      <w:pPr>
        <w:spacing w:after="0" w:line="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37"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incurrence of liens, disposal of assets, making restricted payments, making investments or acquisitions and entry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September 30, 2015, CRNF was in compliance with the covenants contained in the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January 2014, ARI, through its wholly owned subsidiary, Longtrain Leasing I, LLC ("Longtrain Leasing I") refinanced a certain term loan (the "Original ARI Term Loan") under an amended and restated credit agreement to, among other provisions, increase the aggregate borrowings available thereunder. In connection with the refinancing, Longtrain Leasing I received borrowings of $316 million, net of fees and expenses (the "ARI Refinanced Term Loan"). Of this amount, $194 million was used to refinance the Original ARI Term Loan, resulting in net proceeds of $122 million. In conjunction with the refinancing, ARI incurred a $2 million loss on extinguishment of debt, which is reflected in other income, net in our condensed consolidated statements of operations during the first quarter of 2014. As of December 31, 2014, the outstanding principal balance on the ARI Refinanced Term Loan was $309 million. In connection with the lease fleet financing as discussed below, the ARI Refinanced Term Loan was repaid in full during the first quarter of 2015.</w:t>
      </w:r>
    </w:p>
    <w:p>
      <w:pPr>
        <w:spacing w:after="0" w:line="5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2014, ARI, through Longtrain Leasing II LLC ("Longtrain Leasing II"), a wholly owned subsidiary of ARI, entered into a lease fleet financing facility for $100 million under a term loan agreement ("Longtrain Leasing II Term Loan") in order to support the growth of its leasing business. The Longtrain Leasing II Term Loan was scheduled to mature in April 2015. As of December 31, 2014, the outstanding principal balance on the Longtrain Leasing II Term Loan was $100 million. In connection with the lease fleet financing transaction as discussed below, the Longtrain Leasing II Term Loan was repaid in full during the first quarter of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Lease Fleet Financing</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January 29, 2015, ARI refinanced its lease fleet financing facilities to, among other things, increase the aggregate borrowings thereunder. In connection with the refinancing, Longtrain Leasing III LLC ("Longtrain Leasing III") completed a private placement of $626 million in aggregate principal amount of notes consisting of $250 million in aggregate principal amount of its 2.98% Fixed Rate Secured Railcar Equipment Notes, Class A-1 ("ARI Class A-1 Notes") and $376 million in aggregate principal amount of its 4.06% Fixed Rate Secured Railcar Equipment Notes, Class A-2 ("ARI Class A-2 Notes", and collectively with the ARI Class A-1 Notes, the "ARI 2015 Notes"). Of the aggregate principal amount, $409 million was used to refinance ARI's lease fleet financing facilities, resulting in net proceeds of $212 million. In conjunction with the refinancing, our Railcar segment incurred a $2 million loss on debt extinguishment, which is reflected in other income, net in the condensed consolidated statements of operations. This non-cash charge is related to the accelerated write-off of deferred debt issuance costs incurred in connection with the Longtrain Leasing I and Longtrain Leasing II lease fleet financings. As of September 30, 2015, the outstanding principal balance on the ARI 2015 Notes was $608 million. The ARI 2015 Notes have a legal final maturity date of January 17, 2045 and an expected principal repayment date of January 15, 2025.</w:t>
      </w:r>
    </w:p>
    <w:p>
      <w:pPr>
        <w:spacing w:after="0" w:line="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ARI 2015 Notes were issued pursuant to a certain indenture (the "ARI Indenture), dated January 29, 2015 between Longtrain Leasing III and U.S. Bank National Association, as indenture trustee ("ARI Indenture Trustee"). The ARI Class A-1 Notes bear interest at a fixed rate of 2.98% per annum, and the ARI Class A-2 Notes bear interest at a fixed rate of 4.06% per annum. Interest on the ARI 2015 Notes is payable monthly on the 15th calendar day of each month in accordance with the flow of funds provisions described in the ARI Indenture. While the legal final maturity date of the ARI 2015 Notes is January 17, 2045, cash flows from Longtrain Leasing III's assets will be applied, pursuant to the flow of funds provisions of the ARI Indenture, so as to achieve monthly targeted principal balances. Also, under the flow of funds provisions of the ARI Indenture, early amortization of the ARI 2015 Notes may be required in certain circumstances. If the ARI 2015 Notes are not repaid by the expected principal repayment date on January 15, 2025, additional interest will accrue at a rate of 5.0% per annum and be payable monthly according to the flow of funds. Pursuant to the terms of the ARI Indenture, ARI is required to maintain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deposits in a liquidity reserve bank account equal to nine months of interest payments. As of September 30, 2015, the liquidity reserve amount was $17 million, and included within restricted cash on the condensed consolidated balance sheets.</w:t>
      </w:r>
    </w:p>
    <w:p>
      <w:pPr>
        <w:spacing w:after="0" w:line="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Longtrain Leasing III can prepay or redeem the ARI Class A-1 Notes, in whole or in part, on any payment date and the ARI Class A-2 Notes, in whole or in part, on any payment date occurring on or after January 16, 2018.</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Indenture contains covenants which limit, among other things, Longtrain Leasing III's ability to incur additional indebtedness or encumbrances on its assets, pay dividends or make distributions, make certain investments, perform its business other than specified activities, enter into certain types of transactions with its affiliates, and sell assets or consolidate or merge with or into other companies. These covenants are subject to a number of exceptions and qualifications. ARI was in compliance with all of these covenants as of September 30, 2015.</w:t>
      </w:r>
    </w:p>
    <w:p>
      <w:pPr>
        <w:spacing w:after="0" w:line="79"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ARI Indenture also contains certain customary events of default, including among others, failure to pay amounts when due after applicable grace periods, failure to comply with certain covenants and agreements, and certain events of bankruptcy or insolvency. Certain events of default under the ARI Indenture will make the outstanding principal balance and accrued interest on the ARI 2015 Notes, together with all amounts then due and owing to the noteholders, immediately due and payable without further action. For other events of default, the ARI Indenture Trustee, acting at the direction of a majority of the noteholders, may declare the principal of and accrued interest on all ARI 2015 Notes then outstanding to be due and payable immediately.</w:t>
      </w:r>
    </w:p>
    <w:p>
      <w:pPr>
        <w:spacing w:after="0" w:line="5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September 30, 2015 and December 31, 2014, the net book value of the railcars that were pledged as part of the lease fleet financings was $486 million and $277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On December 19, 2014, ARL closed on the Citizen's Bank revolving credit facility (the "Citizen Bank Revolver"), with Citizen Bank's as the administrative agent, along with several other participating banks, replacing the ARL Sovereign Revolver. The available capacity of the Citizen Bank Revolver is $250 million as of both September 30, 2015 and December 31, 2014. In addition, under certain circumstances, ARL has the ability to increase the Citizen Bank Revolver credit availability by $100 million to a total availability of $350 million. The Citizen Bank Revolver bears interest of LIBOR plus 1.45% with a maturity date of December 19, 2017. The Citizen Bank Revolver is secured by railcars and related leases and lease receivables and is subject to certain covenants, including maintenance of certain financial ratios related to net worth, utilization and loan to value. As of September 30, 2015 there were $99 million borrowings under the Citizen Bank Revolver. As of December 31, 2014, there were no borrowings under the Citizen Bank Revolver. In addition, as of both September 30, 2015 and December 31, 2014, ARL was in compliance with all covenants of the Citizen Bank Revolver.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Notes</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On February 21, 2014, NCF I, LLC, a subsidiary of ARL, entered into a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5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 During September 2014, as discussed below, a portion of the proceeds from the Credit Agricole Term Loan (as defined below) were used to pay off in full the RCF Term Loan.</w:t>
      </w:r>
    </w:p>
    <w:p>
      <w:pPr>
        <w:spacing w:after="0" w:line="8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June 23, 2014, ARL entered into a $12 million term loan with Heartland Bank (the “Heartland Bank Term Loan”). The Heartland Bank Term Loan matures on July 1, 2015. On December 23, 2014, ARL entered into an amendment to the Heartland Bank Term Loan, which extended the maturity to July 1, 2019. Interest accrues on the principal balance at the rate of 30-day LIBOR plus 2.0%, with the rate to reset monthly, and is payable monthly, commencing on August 1, 2014. The Heartland Bank Term Loan is subject to a maximum 85% loan to value ratio and is secured by railcar assets.</w:t>
      </w:r>
    </w:p>
    <w:p>
      <w:pPr>
        <w:spacing w:after="0" w:line="4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 September 3, 2014, RCF 2014, LLC, a subsidiary of ARL, entered into a $375 million term loan with Credit Agricole Corporate and Investment Bank ("Credit Agricole Term Loan") with a maturity date of September 3, 2021. Interest shall accrue on the principal balance of the loan at the rate of 30-day LIBOR plus 1.75%, with the rate to reset monthly. The loan is payable monthly, commencing on October 3, 2014. Proceeds from the Credit Agricole Term Loan were used to pay off the RCF Term Loan and a certain revolving credit facility with Sovereign Bank.</w:t>
      </w:r>
    </w:p>
    <w:p>
      <w:pPr>
        <w:spacing w:after="0" w:line="6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On September 26, 2014, a subsidiary of ARL, entered into a $47 million term loan with Banc of America Leasing &amp; Capital, LLC with a maturity date of September 26, 2021. Interest shall accrue on the principal balance of the loan at the rate of 30-day LIBOR plus 1.75%, with the rate to reset monthly. The loan is payable monthly, commencing on October 26, 2014.</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September 26, 2014, a subsidiary of ARL, entered into a $15 million term loan with Talmer Bank with a maturity date of October 1, 2019. Interest shall accrue on the principal balance at the rate of 30-day LIBOR plus 1.50%, with the rate to reset monthly that is payable monthly, commencing on October 26, 2014.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30-day LIBOR rate was 0.19% and 0.17% at September 30, 2015 and December 31, 2014, respectively.</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As of both September 30, 2015 and December 31, 2014, ARL and its wholly owned subsidiaries were in compliance with all debt covenants with respect to all of their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 2012 Class A-2 Notes bear a fixed interest rate of 3.81%. Interest on each of the ARL 2012 Bond Securitization Notes are payable on the 15th calendar day of each month starting on January 15, 2013. The expected principal repayment date for the ARL 2012 Bond Securitization Notes is December 15, 2022 and the legal final maturity date for the ARL 2012 Bond Securitization Notes is December 15, 2042.</w:t>
      </w:r>
    </w:p>
    <w:p>
      <w:pPr>
        <w:spacing w:after="0" w:line="7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Of the proceeds from the ARL 2014 Bond Securitization Notes, $156 million were used to pay down the RCF Term Loan. The ARL 2014 Class A-1 Notes bear a fixed interest rate of 2.92%; the ARL 2014 Class A-2 Notes bear a fixed interest rate of 3.97%. Interest on each of the ARL 2014 Bond Securitization Notes is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37"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Each of the ARL 2012 Bond Securitization Notes and ARL 2014 Bond Securitization Notes is subject to certain covenants, including the maintenance of certain financial ratios related to net worth, utilization and debt service coverage. As of both September 30, 2015 and December 31, 2014, ARL was in compliance with all debt covenants with respect to the ARL 2012 Bond Securitization Notes and ARL 2014 Bond Securitization Notes.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November 27, 2013, Tropicana entered into (i) a senior secured first lien term loan facility in an aggregate principal amount of $300 million, issued at a discount of 0.5% (the “Tropicana Term Loan Facility”) and (ii) a senior secured first lien revolving credit facility in an aggregate principal amount of $15 million (the “Tropicana Revolving Facility” and, together with the Tropicana Term Loan Facility, the “Tropicana Credit Facilities”). Commencing on December 31, 2013, the Tropicana Term Loan Facility amortizes in equal quarterly installments in an amount of $750,000, with any remaining balance payable on the final maturity date of the Tropicana Term Loan Facility, which is November 27, 2020. Amounts under the Tropicana Revolving Facility are available to be borrowed and re-borrowed until its termination on November 27, 2018.</w:t>
      </w:r>
    </w:p>
    <w:p>
      <w:pPr>
        <w:spacing w:after="0" w:line="7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Tropicana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September 30, 2015, the interest rate on the Tropicana Term Loan Facility was 4.0% and the Tropicana Revolving Facility was undrawn and had $15 million of availability.</w:t>
      </w:r>
    </w:p>
    <w:p>
      <w:pPr>
        <w:spacing w:after="0" w:line="5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Tropicana Credit Facilities are guaranteed by all of Tropicana's domestic subsidiaries, subject to limited exceptions, and additional subsidiaries may be required to provide guarantees, subject to limited exceptions. The Tropicana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Credit Facilities.</w:t>
      </w:r>
    </w:p>
    <w:p>
      <w:pPr>
        <w:spacing w:after="0" w:line="46"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Credit Facilities may be increased, which increased amount may be comprised of additional term loans and revolving loans.</w:t>
      </w:r>
    </w:p>
    <w:p>
      <w:pPr>
        <w:spacing w:after="0" w:line="16"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Tropicana Term Loan Facility may be prepaid at the option of Tropicana at any time without penalty (other than customary LIBO Rate breakage fees). Tropicana is required to make mandatory payments of the Tropicana Credit Facilities with (i) net cash proceeds of certain asset sales (subject to reinvestment rights), (ii) net cash proceeds from certain issuances of debt and equity (with certain exceptions), (iii) up to 50% of annual excess cash flow (as low as 0% if Tropicana's total leverage ratio is below 2.75:1.00), and (iv) certain casualty proceeds and condemnation awards (subject to reinvestment rights).</w:t>
      </w:r>
    </w:p>
    <w:p>
      <w:pPr>
        <w:spacing w:after="0" w:line="46"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Term Loan Facility at September 30, 2015.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in connection with this debt extinguishment in the first quarter of 2014, which is reflected in other income, net in the condensed consolidated statements of operations.</w:t>
      </w:r>
    </w:p>
    <w:p>
      <w:pPr>
        <w:spacing w:after="0" w:line="8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5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its foreign operations, Viskase has unsecured lines of credit with various banks providing $8 million of availability as of September 30, 2015. There was less than $1 million outstanding under the lines of credit as of both September 30, 2015 and December 31, 2014.</w:t>
      </w:r>
    </w:p>
    <w:p>
      <w:pPr>
        <w:spacing w:after="0" w:line="62"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September 30, 2015 and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October 15, 2012, WPH entered into a letter of credit facility (the "WPH LC Facility"), with a nationally recognized bank (the "WPH LC Issuer"). This one-year WPH LC Facility, which was renewed on October 15, 2013, October 15, 2014 and October 15, 2015, has a $10 million credit line. The letters of credit under the WPH LC Facility are subject to 0.50% annual fee on the outstanding face amount of the letters of credit issued under the WPH LC Facility, which face amount as of September 30, 2015 and December 31, 2014 was $5 million and $6 million, respectively. Obligations under the LC Facility are secured by a cash collateral account pledged by WPH to the WPH LC Issuer. The WPH LC Facility does not contain any financial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for certain employees and retirees around the world.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and nine months ended September 30, 2015 and 2014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1"/>
              </w:rPr>
              <w:t>Other Post-</w:t>
            </w:r>
          </w:p>
        </w:tc>
        <w:tc>
          <w:tcPr>
            <w:tcW w:w="10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7"/>
              </w:rPr>
              <w:t>Pension Benefits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Employment Benefits</w:t>
            </w:r>
          </w:p>
        </w:tc>
      </w:tr>
      <w:tr>
        <w:trPr>
          <w:trHeight w:val="27"/>
        </w:trPr>
        <w:tc>
          <w:tcPr>
            <w:tcW w:w="5160" w:type="dxa"/>
            <w:vAlign w:val="bottom"/>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2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16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1"/>
              </w:rPr>
              <w:t>Other Post-</w:t>
            </w:r>
          </w:p>
        </w:tc>
        <w:tc>
          <w:tcPr>
            <w:tcW w:w="100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7"/>
              </w:rPr>
              <w:t>Pension Benefits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Employment Benefits</w:t>
            </w:r>
          </w:p>
        </w:tc>
      </w:tr>
      <w:tr>
        <w:trPr>
          <w:trHeight w:val="27"/>
        </w:trPr>
        <w:tc>
          <w:tcPr>
            <w:tcW w:w="5160" w:type="dxa"/>
            <w:vAlign w:val="bottom"/>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2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16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3"/>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color w:val="auto"/>
              </w:rPr>
              <w:t>(in millions, except per unit data)</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w w:val="98"/>
              </w:rPr>
              <w:t>Net (loss) income attributable to Icahn Enterprises allocable to</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7"/>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limited partners (98.01% allocation)</w:t>
            </w: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and diluted (loss) income per LP unit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5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Distributions</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On February 20, 2015, Icahn Enterprises declared a quarterly distribution in the amount of $1.50 per depositary unit in which each depositary unit holder had the option to make an election to receive either cash or additional depositary units. As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result, on April 22, 2015, Icahn Enterprises distributed an aggregate 1,713,935 depositary units to unit holders electing to receive depositary units in connection with this distribution.</w:t>
      </w:r>
    </w:p>
    <w:p>
      <w:pPr>
        <w:spacing w:after="0" w:line="6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May 5, 2015, Icahn Enterprises declared a quarterly distribution in the amount of $1.50 per depositary unit in which each depositary unit holder had the option to make an election to receive either cash or additional depositary units. As a result, on June 30, 2015, Icahn Enterprises distributed an aggregate 1,825,930 depositary units to unit holders electing to receive depositary units in connection with this distribution.</w:t>
      </w:r>
    </w:p>
    <w:p>
      <w:pPr>
        <w:spacing w:after="0" w:line="5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July 30, 2015, Icahn Enterprises declared a quarterly distribution in the amount of $1.50 per depositary unit in which each depositary unit holder had the option to make an election to receive either cash or additional depositary units. As a result, on September 28, 2015, Icahn Enterprises distributed an aggregate 2,309,812 depositary units to unit holders electing to receive depositary units in connection with this distribution.</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November 6, 2015, Mr. Icahn and his affiliates owned 88.8% of Icahn Enterprises outstanding depositary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2015, our ten operating segments, which also constitute our reporting segments, are: (1) Investment; (2) Automotive; (3) Energy;</w:t>
      </w:r>
    </w:p>
    <w:p>
      <w:pPr>
        <w:spacing w:after="0" w:line="46" w:lineRule="exact"/>
        <w:rPr>
          <w:sz w:val="20"/>
          <w:szCs w:val="20"/>
          <w:color w:val="auto"/>
        </w:rPr>
      </w:pPr>
    </w:p>
    <w:p>
      <w:pPr>
        <w:ind w:right="20" w:firstLine="8"/>
        <w:spacing w:after="0" w:line="270"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Metals; (5) Railcar; (6) Gaming; (7) Mining; (8) Food Packaging; (9) Real Estate; and (10)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ten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7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nine months ended September 30, 2015 and 2014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10"/>
          </w:tcPr>
          <w:p>
            <w:pPr>
              <w:jc w:val="center"/>
              <w:spacing w:after="0"/>
              <w:rPr>
                <w:sz w:val="20"/>
                <w:szCs w:val="20"/>
                <w:color w:val="auto"/>
              </w:rPr>
            </w:pPr>
            <w:r>
              <w:rPr>
                <w:rFonts w:ascii="Arial" w:cs="Arial" w:eastAsia="Arial" w:hAnsi="Arial"/>
                <w:sz w:val="11"/>
                <w:szCs w:val="11"/>
                <w:b w:val="1"/>
                <w:bCs w:val="1"/>
                <w:color w:val="auto"/>
                <w:w w:val="89"/>
              </w:rPr>
              <w:t>Three Months Ended September 30, 2015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3,720</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(917)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1,422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3,212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3,224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296</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1,316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4,130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(918)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(940)</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1457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1457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1457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1457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1457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37"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11"/>
          </w:tcPr>
          <w:p>
            <w:pPr>
              <w:jc w:val="center"/>
              <w:spacing w:after="0"/>
              <w:rPr>
                <w:sz w:val="20"/>
                <w:szCs w:val="20"/>
                <w:color w:val="auto"/>
              </w:rPr>
            </w:pPr>
            <w:r>
              <w:rPr>
                <w:rFonts w:ascii="Arial" w:cs="Arial" w:eastAsia="Arial" w:hAnsi="Arial"/>
                <w:sz w:val="11"/>
                <w:szCs w:val="11"/>
                <w:b w:val="1"/>
                <w:bCs w:val="1"/>
                <w:color w:val="auto"/>
                <w:w w:val="89"/>
              </w:rPr>
              <w:t>Three Months Ended September 30, 2014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4,557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350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4,422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4,218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431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226</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1,892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126</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5,068</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(646)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(627)</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188</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202</w:t>
            </w:r>
          </w:p>
        </w:tc>
      </w:tr>
      <w:tr>
        <w:trPr>
          <w:trHeight w:val="38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10"/>
          </w:tcPr>
          <w:p>
            <w:pPr>
              <w:jc w:val="center"/>
              <w:ind w:left="46"/>
              <w:spacing w:after="0"/>
              <w:rPr>
                <w:sz w:val="20"/>
                <w:szCs w:val="20"/>
                <w:color w:val="auto"/>
              </w:rPr>
            </w:pPr>
            <w:r>
              <w:rPr>
                <w:rFonts w:ascii="Arial" w:cs="Arial" w:eastAsia="Arial" w:hAnsi="Arial"/>
                <w:sz w:val="11"/>
                <w:szCs w:val="11"/>
                <w:b w:val="1"/>
                <w:bCs w:val="1"/>
                <w:color w:val="auto"/>
                <w:w w:val="89"/>
              </w:rPr>
              <w:t>Nine Months Ended September 30, 2015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11,264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1,042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5,876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4,408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655</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12,707</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4,950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3,839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9,673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1,423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451</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559</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12,500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(184)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(90)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(67)</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463</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1,067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630</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-5350510</wp:posOffset>
            </wp:positionV>
            <wp:extent cx="1457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-5504815</wp:posOffset>
            </wp:positionV>
            <wp:extent cx="1457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-5865495</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-6208395</wp:posOffset>
            </wp:positionV>
            <wp:extent cx="1457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-7597775</wp:posOffset>
            </wp:positionV>
            <wp:extent cx="1457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1457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1457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1457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1457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019"/>
          </w:cols>
          <w:pgMar w:left="1440" w:top="341"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tcPr>
          <w:p>
            <w:pPr>
              <w:jc w:val="center"/>
              <w:ind w:left="46"/>
              <w:spacing w:after="0"/>
              <w:rPr>
                <w:sz w:val="20"/>
                <w:szCs w:val="20"/>
                <w:color w:val="auto"/>
              </w:rPr>
            </w:pPr>
            <w:r>
              <w:rPr>
                <w:rFonts w:ascii="Arial" w:cs="Arial" w:eastAsia="Arial" w:hAnsi="Arial"/>
                <w:sz w:val="11"/>
                <w:szCs w:val="11"/>
                <w:b w:val="1"/>
                <w:bCs w:val="1"/>
                <w:color w:val="auto"/>
                <w:w w:val="89"/>
              </w:rPr>
              <w:t>Nine Months Ended September 30, 2014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w w:val="95"/>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14,090</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509</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7,440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614</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15,791</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6,856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12,687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1,247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5,469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6,990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449</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15,052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739</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(166)</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573</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(468)</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438</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986</w:t>
            </w:r>
          </w:p>
        </w:tc>
      </w:tr>
      <w:tr>
        <w:trPr>
          <w:trHeight w:val="270"/>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162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1457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1457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-1134745</wp:posOffset>
            </wp:positionV>
            <wp:extent cx="1457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-1477645</wp:posOffset>
            </wp:positionV>
            <wp:extent cx="1457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-2867025</wp:posOffset>
            </wp:positionV>
            <wp:extent cx="1457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180" w:right="180" w:hanging="172"/>
        <w:spacing w:after="0" w:line="273" w:lineRule="auto"/>
        <w:tabs>
          <w:tab w:leader="none" w:pos="180" w:val="left"/>
        </w:tabs>
        <w:numPr>
          <w:ilvl w:val="0"/>
          <w:numId w:val="17"/>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$5 million and $4 million for the three months ended September 30, 2015 and 2014, respectively, and $11 million and $17 million for the nine months ended September 30, 2015 and 2014,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Icahn Enterprises' condensed balance sheets by reporting segment as of September 30, 2015 and December 31, 2014 are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6"/>
          </w:tcPr>
          <w:p>
            <w:pPr>
              <w:ind w:left="20"/>
              <w:spacing w:after="0"/>
              <w:rPr>
                <w:sz w:val="20"/>
                <w:szCs w:val="20"/>
                <w:color w:val="auto"/>
              </w:rPr>
            </w:pPr>
            <w:r>
              <w:rPr>
                <w:rFonts w:ascii="Arial" w:cs="Arial" w:eastAsia="Arial" w:hAnsi="Arial"/>
                <w:sz w:val="11"/>
                <w:szCs w:val="11"/>
                <w:b w:val="1"/>
                <w:bCs w:val="1"/>
                <w:color w:val="auto"/>
              </w:rPr>
              <w:t>September 30,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w w:val="95"/>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2,041</w:t>
            </w: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1,441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13,661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1,876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2,318</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9,831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3,207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2,077</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15,474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8,444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5,410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36,452</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1,402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4,931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4,504</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1,312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2,361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12,182</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6,427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6,415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2,688</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5,527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24,166</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(5,080)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5,140</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1,583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7,146</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9,047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2,029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682</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869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658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(5,080)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12,286</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15,474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8,444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5,410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36,452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ind w:left="40"/>
              <w:spacing w:after="0"/>
              <w:rPr>
                <w:sz w:val="20"/>
                <w:szCs w:val="20"/>
                <w:color w:val="auto"/>
              </w:rPr>
            </w:pPr>
            <w:r>
              <w:rPr>
                <w:rFonts w:ascii="Arial" w:cs="Arial" w:eastAsia="Arial" w:hAnsi="Arial"/>
                <w:sz w:val="11"/>
                <w:szCs w:val="11"/>
                <w:b w:val="1"/>
                <w:bCs w:val="1"/>
                <w:color w:val="auto"/>
              </w:rPr>
              <w:t>December 31, 2014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w w:val="95"/>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2,912</w:t>
            </w: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14,500</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1,879</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2,376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8,955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3,088</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1,320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35,780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4,877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5,197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11,588</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6,398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5,951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2,436</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5,499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23,390</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5,443</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6,947</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9,062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1,578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684</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12,390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35,780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37" w:right="239" w:bottom="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relate to deferred financing costs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w w:val="98"/>
              </w:rPr>
              <w:t>Three Months Ended September 30,</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2014</w:t>
            </w:r>
          </w:p>
        </w:tc>
      </w:tr>
      <w:tr>
        <w:trPr>
          <w:trHeight w:val="144"/>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4"/>
              </w:rPr>
              <w:t>Net (Loss)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Net (Loss) Income</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Net (Loss)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(Loss) Income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(in millions)</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15,460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8,444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7,529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3,120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1,260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436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208</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Company</w:t>
            </w:r>
          </w:p>
        </w:tc>
        <w:tc>
          <w:tcPr>
            <w:tcW w:w="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1,396</w:t>
            </w:r>
          </w:p>
        </w:tc>
      </w:tr>
      <w:tr>
        <w:trPr>
          <w:trHeight w:val="242"/>
        </w:trPr>
        <w:tc>
          <w:tcPr>
            <w:tcW w:w="242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(940)</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36,476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35,803</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87"/>
              </w:rPr>
              <w:t>Nine Months Ended September 30,</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44"/>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Net (Loss) Income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Net Income (Loss)</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Icahn Enterprises</w:t>
            </w:r>
          </w:p>
        </w:tc>
      </w:t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Net (Loss) Income</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Holdings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Holdings</w:t>
            </w:r>
          </w:p>
        </w:tc>
      </w:tr>
      <w:tr>
        <w:trPr>
          <w:trHeight w:val="249"/>
        </w:trPr>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5"/>
          </w:tcPr>
          <w:p>
            <w:pPr>
              <w:jc w:val="center"/>
              <w:ind w:right="180"/>
              <w:spacing w:after="0"/>
              <w:rPr>
                <w:sz w:val="20"/>
                <w:szCs w:val="20"/>
                <w:color w:val="auto"/>
              </w:rPr>
            </w:pPr>
            <w:r>
              <w:rPr>
                <w:rFonts w:ascii="Arial" w:cs="Arial" w:eastAsia="Arial" w:hAnsi="Arial"/>
                <w:sz w:val="13"/>
                <w:szCs w:val="13"/>
                <w:color w:val="auto"/>
                <w:w w:val="97"/>
              </w:rPr>
              <w:t>(in millions)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21</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185</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35</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w:t>
            </w:r>
          </w:p>
        </w:tc>
      </w:tr>
      <w:tr>
        <w:trPr>
          <w:trHeight w:val="27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Company</w:t>
            </w:r>
          </w:p>
        </w:tc>
        <w:tc>
          <w:tcPr>
            <w:tcW w:w="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242"/>
        </w:trPr>
        <w:tc>
          <w:tcPr>
            <w:tcW w:w="208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106</w:t>
            </w:r>
          </w:p>
        </w:tc>
      </w:tr>
      <w:tr>
        <w:trPr>
          <w:trHeight w:val="20"/>
        </w:trPr>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Amounts related to the amortization of deferred financing costs and debt discounts and premiums included in interest expense for the consolidated results of Icahn Enterprises Holdings were $5 million and $4 million for the three months ended September 30, 2015 and 2014, respectively, and $10 million and $16 million for the nine months ended September 30, 2015 and 2014,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337"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460" w:firstLine="405"/>
        <w:spacing w:after="0" w:line="312" w:lineRule="auto"/>
        <w:rPr>
          <w:sz w:val="20"/>
          <w:szCs w:val="20"/>
          <w:color w:val="auto"/>
        </w:rPr>
      </w:pPr>
      <w:r>
        <w:rPr>
          <w:rFonts w:ascii="Arial" w:cs="Arial" w:eastAsia="Arial" w:hAnsi="Arial"/>
          <w:sz w:val="16"/>
          <w:szCs w:val="16"/>
          <w:color w:val="auto"/>
        </w:rPr>
        <w:t>For the three months ended September 30, 2015, each of Icahn Enterprises and Icahn Enterprises Holdings recorded an income tax expense of $22 million on pre-tax loss of $918 million compared to an income tax benefit of $19 million on pre-tax loss of $646 million for the three months ended September 30, 2014. Our effective income tax rate was (2.4)% and 2.9% for the three months ended September 30, 2015 and 2014, respectively.</w:t>
      </w:r>
    </w:p>
    <w:p>
      <w:pPr>
        <w:spacing w:after="0" w:line="3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each of the three months ended September 30, 2015 and 2014, the effective tax rate was lower than the statutory federal rate of 35%, primarily due to partnership losses not subject to taxation, as such taxes are the responsibility of the partners.</w:t>
      </w:r>
    </w:p>
    <w:p>
      <w:pPr>
        <w:spacing w:after="0" w:line="62"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For the nine months ended September 30, 2015, each of Icahn Enterprises and Icahn Enterprises Holdings (except as noted) recorded an income tax expense of $184 million on pre-tax income of $207 million (in the case of Icahn Enterprises Holdings, on pre-tax income of $208 million) compared to an income tax expense of $166 million on pre-tax income of $739 million (in the case of Icahn Enterprises Holdings, on pre-tax income of $740 million) for the nine months ended September 30, 2014. The effective income tax rate was 88.9% and 22.5% for Icahn Enterprises for the nine months ended September 30, 2015 and 2014, respectively, and 88.5% and 22.4% for Icahn Enterprises Holdings for the nine months ended September 30, 2015 and 2014, respectively).</w:t>
      </w:r>
    </w:p>
    <w:p>
      <w:pPr>
        <w:spacing w:after="0" w:line="50" w:lineRule="exact"/>
        <w:rPr>
          <w:sz w:val="20"/>
          <w:szCs w:val="20"/>
          <w:color w:val="auto"/>
        </w:rPr>
      </w:pPr>
    </w:p>
    <w:p>
      <w:pPr>
        <w:ind w:right="420" w:firstLine="405"/>
        <w:spacing w:after="0" w:line="286" w:lineRule="auto"/>
        <w:rPr>
          <w:sz w:val="20"/>
          <w:szCs w:val="20"/>
          <w:color w:val="auto"/>
        </w:rPr>
      </w:pPr>
      <w:r>
        <w:rPr>
          <w:rFonts w:ascii="Arial" w:cs="Arial" w:eastAsia="Arial" w:hAnsi="Arial"/>
          <w:sz w:val="17"/>
          <w:szCs w:val="17"/>
          <w:color w:val="auto"/>
        </w:rPr>
        <w:t>For the nine months ended September 30, 2015 the effective tax rate was higher than the statutory federal rate of 35%, primarily due to partnership losses not subject to taxation. For the nine months ended September 30, 2014, the effective tax rate was lower than the statutory federal rate of 35%, primarily due to partnership income not subject to taxation, as such taxes are the responsibility of the partners.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income (loss) to 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8"/>
        <w:spacing w:after="0" w:line="303" w:lineRule="auto"/>
        <w:tabs>
          <w:tab w:leader="none" w:pos="162"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See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 During the nine months ended September 30, 2015, our Energy segment reclassified from accumulated other comprehensive loss to earnings for the sale of certain available-for-sale securities as well as the impact of transferring balances in available-for-sale securities to trading securities. See Note 4, "Investments and Related Matters - Other Segments,"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16. Other Income, Net.</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 (loss) on derivatives, net (Note 6)</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gain on acquisition (Note 2)</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assets, net</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on extinguishment of debt (Note 10)</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settlement gain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During the first quarter of 2014, our Gaming segment received $32 million in cash payments to satisfy future credits in connection with a certain negotiated tax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Total environmental liabilities, determined on an undiscounted basis, were $16 million and $15 million as of September 30, 2015 and December 31, 2014, respectively, and are included in accrued expenses and other liabilities in our condensed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September 30, 2015,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$19 million and $24 million as of September 30, 2015 and December 31, 2014,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On April 25, 2014, a group of plaintiffs brought an action against Federal-Mogul Products, Inc. (“F-M Products”), a wholly 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is unable to estimate any reasonably possible range of loss for reasons including that the plaintiffs did not claim any amount of damages in their complaint. F-M Products intends to vigorously defend this litigation.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CVR leases various equipment, including railcars, and real properties under long-term operating leases expiring at various dates. For the nine months ended September 30, 2015 and 2014 lease expense was $7 million and $7 million, respectively.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On August 31, 2012, Coffeyville Resources Refining &amp; Marketing, LLC ("CRRM"), and Vitol Inc. ("Vitol") entered into an Amended and Restated Crude Oil Supply Agreement (as amended, the "Vitol Agreement"). Under the Vitol Agreement, Vitol supplies the petroleum business with crude oil and intermediation logistics, which helps to reduce the CVR Refining's inventory position and mitigate crude oil pricing risk. The Vitol Agreement will automatically renew for successive one-year terms (each such term, a "Renewal Term") unless either party provides the other with notice of nonrenewal at least 180 days prior to the expiration of any Renewal Term. The Vitol Agreement currently extends through December 31,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2014 ("2014 Form 10-K") and our Quarterly Report on Form 10-Q for the periods ended March 31, 2015 and June 30, 2015 ("2015 Form 10-Qs"). In the opinion of CVR's management, the ultimate resolution of any other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37"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litigation matters is not expected to have a material adverse effect on the accompanying condensed consolidated financial statements. There can be no assurance that management’s beliefs or opinions with respect to liability for potential litigation matters are accurate.</w:t>
      </w:r>
    </w:p>
    <w:p>
      <w:pPr>
        <w:spacing w:after="0" w:line="6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 previously disclosed in our 2014 Form 10-K, Goldman, Sachs &amp; Co. (“GS”) and Deutsche Bank Securities, Inc. (“DB”) both filed suit against CVR in state court in New York in 2012, alleging that CVR failed to pay them fees allegedly due by CVR pursuant to an engagement letters in which GS and DB were engaged to assist CVR and the CVR board of directors in connection with a tender offer for CVR’s stock, made by Carl C. Icahn and certain of his affiliates. In September of 2014, judgment was entered against CVR in both cases. CVR appealed, and subsequently paid both judgments, subject to a right of refund if successful on appeal. In October 2015, CVR entered into settlement agreements with each of GS and DB pursuant to which (i) CVR received settlement proceeds, (ii) the parties executed a mutual release and (iii) CVR’s appeals have been dismissed. The settlements did not have a material effect on our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Rentech Nitrogen Mergers Litigation</w:t>
      </w:r>
    </w:p>
    <w:p>
      <w:pPr>
        <w:spacing w:after="0" w:line="158" w:lineRule="exact"/>
        <w:rPr>
          <w:sz w:val="20"/>
          <w:szCs w:val="20"/>
          <w:color w:val="auto"/>
        </w:rPr>
      </w:pPr>
    </w:p>
    <w:p>
      <w:pPr>
        <w:ind w:right="200" w:firstLine="405"/>
        <w:spacing w:after="0" w:line="289" w:lineRule="auto"/>
        <w:rPr>
          <w:sz w:val="20"/>
          <w:szCs w:val="20"/>
          <w:color w:val="auto"/>
        </w:rPr>
      </w:pPr>
      <w:r>
        <w:rPr>
          <w:rFonts w:ascii="Arial" w:cs="Arial" w:eastAsia="Arial" w:hAnsi="Arial"/>
          <w:sz w:val="16"/>
          <w:szCs w:val="16"/>
          <w:color w:val="auto"/>
        </w:rPr>
        <w:t>On August 29, 2015, Mike Mustard, a purported unitholder of Rentech Nitrogen, filed a class action complaint on behalf of the public unitholders of Rentech Nitrogen against Rentech Nitrogen, Rentech Nitrogen GP, Rentech Nitrogen Holdings, Inc., Rentech, Inc., CVR Partners, DSHC, LLC and the members of the Rentech Nitrogen Board, in the Court of Chancery of the State of Delaware (the “Mustard Lawsuit”). The Mustard Lawsuit alleges, among other things, that the consideration offered by CVR Partners is unfair and inadequate and that, by pursuing a transaction that is the result of an allegedly conflicted and unfair process, certain of the defendants have breached their duties owed to the unitholders of Rentech Nitrogen, and are engaging in self-dealing. Specifically, the lawsuit alleges that the director defendants: (i) failed to take steps to maximize the value of Rentech Nitrogen to its public shareholders, (ii) failed to properly value Rentech Nitrogen, and (iii) ignored or did not protect against the numerous conflicts of interest arising out of the proposed transaction. The Mustard Lawsuit also alleges that Rentech Nitrogen, Rentech Nitrogen GP, Rentech Nitrogen Holdings, Inc., Rentech, Inc., CVR Partners, DSHC, LLC aided and abetted the director defendants in their purported breach of fiduciary duties.</w:t>
      </w:r>
    </w:p>
    <w:p>
      <w:pPr>
        <w:spacing w:after="0" w:line="5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October 6, 2015, Jesse Sloan, a purported unitholder of Rentech Nitrogen, filed a class action complaint on behalf of the public unitholders of Rentech Nitrogen against Rentech Nitrogen, Rentech Nitrogen GP, CVR Partners and the members of the Rentech Nitrogen Board, in the United States District Court for the Northern District of California (the “Sloan Lawsuit”). The Sloan Lawsuit alleges, among other things, that the attempted sale of Rentech Nitrogen to CVR Partners was conducted by means of an unfair process and for an unfair price. Specifically, the lawsuit alleges that (i) Rentech Nitrogen GP and the Rentech Nitrogen Board breached their obligations under the partnership agreement and their implied duty of good faith and fair dealing by causing Rentech Nitrogen to enter into the merger agreement and failing to disclose material information to unitholders of Rentech Nitrogen, (ii) the Rentech Nitrogen Board violated fiduciary duties owed to the unitholders of Rentech Nitrogen based primarily on allegations of inadequate consideration, restrictive deal protection devices and improper disclosure, (iii) each of the defendants aided and abetted in the foregoing breaches described in items (i) and (ii), and (iv) Rentech Nitrogen and the Rentech Nitrogen Board violated Sections 14(a) and 20(a) of the Securities Exchange Act of 1934 and Rule 14a-9 thereunder based on improper disclosure contained in the Registration Statement on Form S-4 (Registration No. 333-206982), which was filed with the SEC by CVR Partners on September 17, 2015.</w:t>
      </w:r>
    </w:p>
    <w:p>
      <w:pPr>
        <w:spacing w:after="0" w:line="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Among other remedies, the plaintiffs in these actions seek to enjoin the mergers and seek unspecified money damages. The lawsuits are at a preliminary state, and the outcome of any such litigation is uncertain. An adverse ruling in these actions may cause the mergers to be delayed or not be completed, which could cause the CVR Partners not to realize some or all of the anticipated benefits of the mergers. No amounts have been recognized in our condensed consolidated financial statements regarding the lawsuits.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previously disclosed in our 2014 Form 10-K and the 2015 Form 10-Qs, CRRM filed a lawsuit against certain of its environmental insurance carriers requesting insurance coverage indemnification for the June/July 2007 flood and crude oil discharge losses at CRRM’s Coffeyville refinery. During the second quarter of 2015, CRRM entered into a settlement agreement and release with the insurance carriers involved in the lawsuit, pursuant to which (i) CRRM received settlement proceeds of $31 million, (ii) the parties mutually released each other from all claims relating to the flood and crude oil discharge and (iii) all pending appeals have been dismissed. Of the settlement proceeds received, $27 million were recorded as a flood insurance recovery in the condensed consolidated statements of operations for the nine months ended September 30,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2015. The remaining $4 million of settlement proceeds reduced CVR Refining's $4 million receivable related to this matter which was included in other assets as of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 ("EHS")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7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their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As previously reported, the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also is subject to (i) the Mobile Source Air Toxic II ("MSAT II") rule which requires reductions of benzene in gasoline; (ii) the Renewable Fuel Standard ("RFS"), which requires refiners to either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2014 Form 10-K and the 2015 Form 10-Qs. CRRM, CRNF, CRCT, WRC and CRT each believe it is in substantial compliance with existing EHS rules and regulations. There can be no assurance that the EHS matters described or referenced herein or other EHS matters which may develop in the future will not have a material adverse effect on our Energy segment's business, financial condition, or results of operations.</w:t>
      </w:r>
    </w:p>
    <w:p>
      <w:pPr>
        <w:spacing w:after="0" w:line="59"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As of September 30, 2015 and December 31, 2014, our Energy segment had environmental accruals of $3 million and $1 million, respectively.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For the three months ended September 30, 2015 and 2014, capital expenditures were $9 million and $23 million, respectively, and were incurred for environmental compliance and efficiency of the operations. For the nine months ended September 30, 2015 and 2014, environmental compliance and efficiency capital expenditures were $27 million and $83 million,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cost of RINs for the three months ended September 30, 2015 and 2014 was $19 million and $19 million, respectively, and for the nine months ended September 30, 2015 and 2014, the cost of RINs were $93 million and $82 million, respectively. As of September 30, 2015 and December 31, 2014, the petroleum business' biofuel blending obligation was $21 million and $52 million, respectively, which was recorded in accrued expenses and other liabilities on the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$28 million at September 30, 2015 and December 31, 2014,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September 30, 2015 and December 31, 2014.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final stages of 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On September 9, 2015, the court denied ARI's motion to dismiss the wrongful termination counterclaim. However, ARI continues to believe that Gyansys' counterclaims lack merit and will continue to vigorously defend against these counterclaims.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88.8% of Icahn Enterprises' outstanding depositary units as of September 30, 2015.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September 30, 2015 and December 31, 2014. If the plans were voluntarily terminated, they would be underfunded by approximately $623 million and $474 million as of September 30, 2015 and December 31, 2014,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On October 30, 2015, the Board of Directors of the general partner of Icahn Enterprises declared a quarterly distribution in the amount of $1.50 per depositary unit. The quarterly distribution is payable in either cash or additional depositary units, at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(Unaudited)</w:t>
      </w:r>
    </w:p>
    <w:p>
      <w:pPr>
        <w:spacing w:after="0" w:line="3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election of each depositary unit holder and will be paid on or about December 24, 2015 to depositary unit holders of record at the close of business on November 16, 2015. Depositary unit holders have until December 8, 2015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December 22, 2015.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October 7, 2015, Federal-Mogul reached an agreement to sell a manufacturing location in France within its Powertrain business subject to certain customary closing conditions. The sale is expected to close in early 2016. Due to certain liabilities and capital requirements related to the sale of this business, Federal-Mogul may be required to contribute cash to the business in connection with any disposition. Federal-Mogul’s potential future cash outlay is not expected to be more than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37"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September 30, 2015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2015.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condensed consolidated financial statements, and to the allocation of the general partner interest, which is reflected as an aggregate 1.99% general partner interest in the financial statements of Icahn Enterprises. In addition to the above, Mr. Icahn and his affiliates owned 114,551,382, or approximately 88.8%, of Icahn Enterprises' outstanding depositary units as of September 30, 2015.</w:t>
      </w:r>
    </w:p>
    <w:p>
      <w:pPr>
        <w:spacing w:after="0" w:line="5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for each of our reporting segments and the Holding Company for each of the three and nine months ended September 30, 2015 and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w w:val="92"/>
              </w:rPr>
              <w:t>Net (Loss) Income Attributable to Icahn</w:t>
            </w:r>
          </w:p>
        </w:tc>
      </w:t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w w:val="87"/>
              </w:rPr>
              <w:t>Revenues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Net (Loss) Income</w:t>
            </w:r>
          </w:p>
        </w:tc>
        <w:tc>
          <w:tcPr>
            <w:tcW w:w="120" w:type="dxa"/>
            <w:vAlign w:val="bottom"/>
          </w:tcPr>
          <w:p>
            <w:pPr>
              <w:spacing w:after="0"/>
              <w:rPr>
                <w:sz w:val="18"/>
                <w:szCs w:val="18"/>
                <w:color w:val="auto"/>
              </w:rPr>
            </w:pPr>
          </w:p>
        </w:tc>
        <w:tc>
          <w:tcPr>
            <w:tcW w:w="176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w w:val="90"/>
              </w:rPr>
              <w:t>Enterprises</w:t>
            </w:r>
          </w:p>
        </w:tc>
        <w:tc>
          <w:tcPr>
            <w:tcW w:w="9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Three Months Ended September 30,</w:t>
            </w:r>
          </w:p>
        </w:tc>
        <w:tc>
          <w:tcPr>
            <w:tcW w:w="160" w:type="dxa"/>
            <w:vAlign w:val="bottom"/>
          </w:tcPr>
          <w:p>
            <w:pPr>
              <w:spacing w:after="0"/>
              <w:rPr>
                <w:sz w:val="18"/>
                <w:szCs w:val="18"/>
                <w:color w:val="auto"/>
              </w:rPr>
            </w:pPr>
          </w:p>
        </w:tc>
        <w:tc>
          <w:tcPr>
            <w:tcW w:w="28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Three Months Ended September 30,</w:t>
            </w:r>
          </w:p>
        </w:tc>
        <w:tc>
          <w:tcPr>
            <w:tcW w:w="120" w:type="dxa"/>
            <w:vAlign w:val="bottom"/>
          </w:tcPr>
          <w:p>
            <w:pPr>
              <w:spacing w:after="0"/>
              <w:rPr>
                <w:sz w:val="18"/>
                <w:szCs w:val="18"/>
                <w:color w:val="auto"/>
              </w:rPr>
            </w:pPr>
          </w:p>
        </w:tc>
        <w:tc>
          <w:tcPr>
            <w:tcW w:w="26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Three Months Ended September 30,</w:t>
            </w: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Metals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Gaming</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Mining</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7"/>
        </w:trPr>
        <w:tc>
          <w:tcPr>
            <w:tcW w:w="26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3,212</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4,422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31"/>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w w:val="92"/>
              </w:rPr>
              <w:t>Net (Loss) Income Attributable to Icahn</w:t>
            </w:r>
          </w:p>
        </w:tc>
      </w:t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w w:val="87"/>
              </w:rPr>
              <w:t>Revenues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Net (Loss) Income</w:t>
            </w:r>
          </w:p>
        </w:tc>
        <w:tc>
          <w:tcPr>
            <w:tcW w:w="120" w:type="dxa"/>
            <w:vAlign w:val="bottom"/>
          </w:tcPr>
          <w:p>
            <w:pPr>
              <w:spacing w:after="0"/>
              <w:rPr>
                <w:sz w:val="18"/>
                <w:szCs w:val="18"/>
                <w:color w:val="auto"/>
              </w:rPr>
            </w:pPr>
          </w:p>
        </w:tc>
        <w:tc>
          <w:tcPr>
            <w:tcW w:w="176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w w:val="90"/>
              </w:rPr>
              <w:t>Enterprises</w:t>
            </w:r>
          </w:p>
        </w:tc>
        <w:tc>
          <w:tcPr>
            <w:tcW w:w="9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Nine Months Ended September 30,</w:t>
            </w:r>
          </w:p>
        </w:tc>
        <w:tc>
          <w:tcPr>
            <w:tcW w:w="160" w:type="dxa"/>
            <w:vAlign w:val="bottom"/>
          </w:tcPr>
          <w:p>
            <w:pPr>
              <w:spacing w:after="0"/>
              <w:rPr>
                <w:sz w:val="18"/>
                <w:szCs w:val="18"/>
                <w:color w:val="auto"/>
              </w:rPr>
            </w:pPr>
          </w:p>
        </w:tc>
        <w:tc>
          <w:tcPr>
            <w:tcW w:w="2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w:t>
            </w:r>
          </w:p>
        </w:tc>
        <w:tc>
          <w:tcPr>
            <w:tcW w:w="120" w:type="dxa"/>
            <w:vAlign w:val="bottom"/>
          </w:tcPr>
          <w:p>
            <w:pPr>
              <w:spacing w:after="0"/>
              <w:rPr>
                <w:sz w:val="18"/>
                <w:szCs w:val="18"/>
                <w:color w:val="auto"/>
              </w:rPr>
            </w:pPr>
          </w:p>
        </w:tc>
        <w:tc>
          <w:tcPr>
            <w:tcW w:w="26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Metals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Gaming</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Mining</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17"/>
        </w:trPr>
        <w:tc>
          <w:tcPr>
            <w:tcW w:w="26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12,707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with minor differences primarily related to non-cash portions of interest expense that are only reflected in the results of operations for our Holding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operating businesses are managed on a decentralized basis. Due to the structure of our business, we discuss the results of operations below by individual reporting segments. See Note 2, “Operating Units,” to the condensed consolidated financial statements for a description of each of our operating segments and Note 13, "Segment Reporting," for a reconciliation of each of our reporting segment's results of operations to our consolidated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September 30, 2015 and December 31, 2014, the total fair market value of investments in the Investment Funds made by Mr. Icahn and his affiliates was approximately $4.9 billion and $4.8 billion, respectively, representing approximately 54% and 53%, respectively, of the Investment Funds' assets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As of September 30, 2015 and December 31, 2014, we had investments with a fair market value of approximately $4.2 billion and $4.3 billion, respectively, in the Investment Funds.</w:t>
      </w:r>
    </w:p>
    <w:p>
      <w:pPr>
        <w:spacing w:after="0" w:line="62" w:lineRule="exact"/>
        <w:rPr>
          <w:sz w:val="20"/>
          <w:szCs w:val="20"/>
          <w:color w:val="auto"/>
        </w:rPr>
      </w:pPr>
    </w:p>
    <w:p>
      <w:pPr>
        <w:jc w:val="both"/>
        <w:ind w:right="380" w:firstLine="405"/>
        <w:spacing w:after="0" w:line="342" w:lineRule="auto"/>
        <w:rPr>
          <w:sz w:val="20"/>
          <w:szCs w:val="20"/>
          <w:color w:val="auto"/>
        </w:rPr>
      </w:pPr>
      <w:r>
        <w:rPr>
          <w:rFonts w:ascii="Arial" w:cs="Arial" w:eastAsia="Arial" w:hAnsi="Arial"/>
          <w:sz w:val="16"/>
          <w:szCs w:val="16"/>
          <w:color w:val="auto"/>
        </w:rPr>
        <w:t>Our share of the Investment Funds' net (loss) income through our interests in the Investment Funds was $(479) million and $(270) million for three months ended September 30, 2015 and 2014, and $(119) million and $236 million for the nine months ended September 30, 2015 and 2014,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1300"/>
              <w:spacing w:after="0"/>
              <w:rPr>
                <w:sz w:val="20"/>
                <w:szCs w:val="20"/>
                <w:color w:val="auto"/>
              </w:rPr>
            </w:pPr>
            <w:r>
              <w:rPr>
                <w:rFonts w:ascii="Arial" w:cs="Arial" w:eastAsia="Arial" w:hAnsi="Arial"/>
                <w:sz w:val="18"/>
                <w:szCs w:val="18"/>
                <w:b w:val="1"/>
                <w:bCs w:val="1"/>
                <w:color w:val="auto"/>
                <w:w w:val="88"/>
              </w:rPr>
              <w:t>Returns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5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29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7"/>
        </w:trPr>
        <w:tc>
          <w:tcPr>
            <w:tcW w:w="49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49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Funds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9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4"/>
          </w:tcPr>
          <w:p>
            <w:pPr>
              <w:ind w:left="640"/>
              <w:spacing w:after="0"/>
              <w:rPr>
                <w:sz w:val="20"/>
                <w:szCs w:val="20"/>
                <w:color w:val="auto"/>
              </w:rPr>
            </w:pPr>
            <w:r>
              <w:rPr>
                <w:rFonts w:ascii="Arial" w:cs="Arial" w:eastAsia="Arial" w:hAnsi="Arial"/>
                <w:sz w:val="18"/>
                <w:szCs w:val="18"/>
                <w:b w:val="1"/>
                <w:bCs w:val="1"/>
                <w:color w:val="auto"/>
              </w:rPr>
              <w:t>Performance Attribution</w:t>
            </w:r>
          </w:p>
        </w:tc>
        <w:tc>
          <w:tcPr>
            <w:tcW w:w="156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3220" w:type="dxa"/>
            <w:vAlign w:val="bottom"/>
            <w:tcBorders>
              <w:bottom w:val="single" w:sz="8" w:color="auto"/>
            </w:tcBorders>
            <w:gridSpan w:val="3"/>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330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Three Months Ended September 30,</w:t>
            </w:r>
          </w:p>
        </w:tc>
        <w:tc>
          <w:tcPr>
            <w:tcW w:w="3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7"/>
        </w:trPr>
        <w:tc>
          <w:tcPr>
            <w:tcW w:w="49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49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37"/>
        </w:trPr>
        <w:tc>
          <w:tcPr>
            <w:tcW w:w="49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9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56"/>
        </w:trPr>
        <w:tc>
          <w:tcPr>
            <w:tcW w:w="4900" w:type="dxa"/>
            <w:vAlign w:val="bottom"/>
          </w:tcPr>
          <w:p>
            <w:pPr>
              <w:spacing w:after="0"/>
              <w:rPr>
                <w:sz w:val="24"/>
                <w:szCs w:val="24"/>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Investment Funds' aggregate return was -10.3% for the three months ended September 30, 2015. During the third quarter of 2015, the Investment Funds' performance was driven by losses in long equity positions, primarily in a few of their largest core holdings. This was offset in part by gains in the Investment Fund's short equity exposure, including broad hedges, as equity markets declined.</w:t>
      </w:r>
    </w:p>
    <w:p>
      <w:pPr>
        <w:spacing w:after="0" w:line="7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Investment Funds' aggregate return was -5.3% for the three months ended September 30, 2014. During the third quarter of 2014, the Investment Funds' losses were driven by their long equity positions, primarily in a few of their largest core holdings.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Investment Funds' aggregate return was -2.8% for the nine months ended September 30, 2015. During the first nine months of 2015, the Investment Funds' performance was driven by losses in long equity positions, primarily in a few of their largest core holdings. This was offset in part by gains in the Investment Fund's short equity exposure, including broad hedges, as equity markets declined. The losses for the nine months ended September 30,</w:t>
      </w:r>
    </w:p>
    <w:p>
      <w:pPr>
        <w:ind w:right="300"/>
        <w:spacing w:after="0" w:line="261" w:lineRule="auto"/>
        <w:rPr>
          <w:sz w:val="20"/>
          <w:szCs w:val="20"/>
          <w:color w:val="auto"/>
        </w:rPr>
      </w:pPr>
      <w:r>
        <w:rPr>
          <w:rFonts w:ascii="Arial" w:cs="Arial" w:eastAsia="Arial" w:hAnsi="Arial"/>
          <w:sz w:val="18"/>
          <w:szCs w:val="18"/>
          <w:color w:val="auto"/>
        </w:rPr>
        <w:t>2015 were principally the result of the Investment Funds' losses during the third quarter of 2015, partially offset by the Investment Funds' gains during the first half 2015.</w:t>
      </w:r>
    </w:p>
    <w:p>
      <w:pPr>
        <w:spacing w:after="0" w:line="76"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Investment Funds' aggregate return was 4.4% for the nine months ended September 30, 2014. During the first nine months of 2014, the Investment Funds' performance was driven by their long equity positions, primarily in a few of their largest core holdings. The gains for the nine months</w:t>
      </w:r>
    </w:p>
    <w:p>
      <w:pPr>
        <w:jc w:val="both"/>
        <w:ind w:right="280"/>
        <w:spacing w:after="0" w:line="255" w:lineRule="auto"/>
        <w:rPr>
          <w:sz w:val="20"/>
          <w:szCs w:val="20"/>
          <w:color w:val="auto"/>
        </w:rPr>
      </w:pPr>
      <w:r>
        <w:rPr>
          <w:rFonts w:ascii="Arial" w:cs="Arial" w:eastAsia="Arial" w:hAnsi="Arial"/>
          <w:sz w:val="18"/>
          <w:szCs w:val="18"/>
          <w:color w:val="auto"/>
        </w:rPr>
        <w:t>ended September 30, 2014 were principally the result of the Investment Funds' performance during the first half of 2014, partially offset by the Investment Funds' losses during the third quarter of 2014. The Investment Funds' short equity exposure, including broad market hedges, was a negative contributor to performance as equity markets rallied in the first nine months of 2014.</w:t>
      </w:r>
    </w:p>
    <w:p>
      <w:pPr>
        <w:spacing w:after="0" w:line="82"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From inception in November 2004 through September 30, 2015, the Investment Funds' gross return was approximately 221%, representing an annualized rate of return of approximately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1,980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1,660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4,689</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conduct our Automotive segment through our majority ownership in Federal-Mogul Holdings Corporation's ("Federal-Mogul") and wholly owned subsidiary, IEH Auto Parts Holding LLC ("IEH Auto"), which acquired substantially all of the auto parts assets in the United States of Uni-Select, Inc. through an acquisition that was consummated during the second quarter of 2015. See Note 2, "Operating Units - Automotive," for further discussion of this acquisition. Intercompany transactions between Federal-Mogul and IEH Auto have been eliminated in consolidation and the discussion below are net of eliminations.</w:t>
      </w:r>
    </w:p>
    <w:p>
      <w:pPr>
        <w:spacing w:after="0" w:line="80"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IEH Auto is a leading automotive parts distributor for domestic and imported vehicles and has 35 distribution centers and satellite locations and 242 corporate-owned parts stores in the United States and supports a network of more than 2,000 independent parts stores. IEH Auto operates independently of Federal-Mogul.</w:t>
      </w:r>
    </w:p>
    <w:p>
      <w:pPr>
        <w:spacing w:after="0" w:line="73" w:lineRule="exact"/>
        <w:rPr>
          <w:sz w:val="20"/>
          <w:szCs w:val="20"/>
          <w:color w:val="auto"/>
        </w:rPr>
      </w:pPr>
    </w:p>
    <w:p>
      <w:pPr>
        <w:ind w:right="140" w:firstLine="378"/>
        <w:spacing w:after="0" w:line="312" w:lineRule="auto"/>
        <w:rPr>
          <w:sz w:val="20"/>
          <w:szCs w:val="20"/>
          <w:color w:val="auto"/>
        </w:rPr>
      </w:pPr>
      <w:r>
        <w:rPr>
          <w:rFonts w:ascii="Arial" w:cs="Arial" w:eastAsia="Arial" w:hAnsi="Arial"/>
          <w:sz w:val="16"/>
          <w:szCs w:val="16"/>
          <w:color w:val="auto"/>
        </w:rPr>
        <w:t>Federal-Mogul is comprised of two end-customer focused businesses, Powertrain and Motorparts.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w:t>
      </w:r>
    </w:p>
    <w:p>
      <w:pPr>
        <w:spacing w:after="0" w:line="39"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8"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ind w:right="40"/>
        <w:spacing w:after="0" w:line="272" w:lineRule="auto"/>
        <w:rPr>
          <w:sz w:val="20"/>
          <w:szCs w:val="20"/>
          <w:color w:val="auto"/>
        </w:rPr>
      </w:pPr>
      <w:r>
        <w:rPr>
          <w:rFonts w:ascii="Arial" w:cs="Arial" w:eastAsia="Arial" w:hAnsi="Arial"/>
          <w:sz w:val="17"/>
          <w:szCs w:val="17"/>
          <w:color w:val="auto"/>
        </w:rPr>
        <w:t>including customers in both the original equipment manufacturers and servicers (“OE”) market and the replacement market (“aftermarket”). Federal-Mogul’s customers include the world’s largest automotive OEs and major distributors and retailers in the independent aftermarket. Geographically, Federal-Mogul derived 38% of its net sales in the United States and 62% internationally during the nine months ended September 30, 2015. Federal-Mogul has operations in established markets including Australia, Belgium, France, Germany, Italy, Japan, Spain, Sweden, the United Kingdom and the United States, and emerging markets including Argentina, Brazil, China, Czech Republic, Hungary, India, Korea, Mexico, Morocco, Poland, Romania, Russia, South Africa and Thailand. The attendant risks of Federal-Mogul's international operations are primarily related to currency fluctuations, changes in local economic and political conditions, and changes in laws and regulations.</w:t>
      </w:r>
    </w:p>
    <w:p>
      <w:pPr>
        <w:spacing w:after="0" w:line="70" w:lineRule="exact"/>
        <w:rPr>
          <w:sz w:val="20"/>
          <w:szCs w:val="20"/>
          <w:color w:val="auto"/>
        </w:rPr>
      </w:pPr>
    </w:p>
    <w:p>
      <w:pPr>
        <w:ind w:right="240" w:firstLine="378"/>
        <w:spacing w:after="0" w:line="255"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may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5"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its Motorparts business. Federal-Mogul's board of directors intends to revisit the timing of the spin-off prior to the end of December 31, 2015. Meanwhile Federal-Mogul will continue to operate as two separate, independent businesses. No assurances can be given regarding the ultimate timing of the separation, that it will be tax free or that it will be consummated.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Net sales for our Automotive segment for the three months ended September 30, 2015 as compared to the comparable prior year period increased by $109 million (6%) (net of certain intercompany activity), of which $173 million is attributable to the acquisition of IEH Auto that was completed during the second quarter of 2015, offset by a decrease in net sales of $64 million attributable to Federal-Mogul.</w:t>
      </w:r>
    </w:p>
    <w:p>
      <w:pPr>
        <w:spacing w:after="0" w:line="7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Federal-Mogul was negatively impacted by the strengthening of the U.S. dollar against several global currencies which resulted in an unfavorable foreign currency impact of $174 million. Excluding the impact of foreign currency, sales volumes increased by $110 million. This sales growth is comprised of an increase in Federal-Mogul's Powertrain business' external sales of $96 million, reflecting the inclusion of the TRW Automotive Holdings Corp.'s ("TRW") engine components business’ engine valve business as well as an increase in volume for the quarter. External sales in Federal-Mogul's Motorparts business increased by $14 million (net of intercompany eliminations).</w:t>
      </w:r>
    </w:p>
    <w:p>
      <w:pPr>
        <w:spacing w:after="0" w:line="8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Federal-Mogul's Powertrain business generated approximately 67% of its sales outside of the United States and the resulting currency movements decreased sales by $106 million. Therefore, on a constant dollar basis, external sales increased 10% compared to the third quarter of 2014. The increase in Federal-Mogul's Powertrain’s sales reflects the inclusion of the acquisition of certain assets of the TRW engine components business, which closed during the first and third quarters of 2015, increasing sales by $96 million. This includes the impact of customer decreases of $7 million. When excluding the impact of sales from Federal-Mogul's TRW engine component valve acquisition, sales in North America decreased by 1%, while light vehicle production increased by 6% and commercial vehicle production decreased by 2%. In Europe, the Middle East and Africa ("EMEA"), sales decreased by 1% compared to a 6% increase in both light and commercial vehicle production. Federal-Mogul's Powertrain sales in the rest of the world ("ROW") decreased by 9% compared to a 4% decrease in light vehicle production and a decrease in commercial vehicle production of a 10% decrease in commercial vehicle production.</w:t>
      </w:r>
    </w:p>
    <w:p>
      <w:pPr>
        <w:spacing w:after="0" w:line="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Excluding the unfavorable currency impact of $68 million, Federal-Mogul's Motorparts' external sales increased by $14 million (net of intercompany eliminations). This increase was primarily due to additional sales related to Federal-Mogul's Honeywell braking and Affinia chassis component acquisitions. On a comparable basis, excluding the impact of foreign exchange, Federal-Mogul's Motorparts' sales in North America was flat while sales in EMEA increased by 2%, primarily driven by an increase in OE sales partially offset by slightly lower sales in the aftermarket. On a comparable basis, excluding the impact of foreign exchange, sales in ROW increased by 16%, primarily due to increased aftermarket sales in China, up 30%, and India, up 15%, driven by product line and customer expansion.</w:t>
      </w:r>
    </w:p>
    <w:p>
      <w:pPr>
        <w:spacing w:after="0" w:line="8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IEH Auto acquisition contributed $173 million in net sales for the three months ended September 30, 2015. IEH Auto is a service organization engaged in the distribution of automotive aftermarket parts. Through its locations, IEH Auto sells predominantly to commercial aftermarket customers in the do-it-for-me ("DIFM") market as well as the retail and do-it-yourself ("DIY") customers.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3" w:name="page74"/>
    <w:bookmarkEnd w:id="73"/>
    <w:p>
      <w:pPr>
        <w:ind w:right="140" w:firstLine="405"/>
        <w:spacing w:after="0" w:line="312" w:lineRule="auto"/>
        <w:rPr>
          <w:sz w:val="20"/>
          <w:szCs w:val="20"/>
          <w:color w:val="auto"/>
        </w:rPr>
      </w:pPr>
      <w:r>
        <w:rPr>
          <w:rFonts w:ascii="Arial" w:cs="Arial" w:eastAsia="Arial" w:hAnsi="Arial"/>
          <w:sz w:val="16"/>
          <w:szCs w:val="16"/>
          <w:color w:val="auto"/>
        </w:rPr>
        <w:t>Cost of goods sold for our Automotive segment for the three months ended September 30, 2015 as compared to the comparable prior year period increased by $51 million (3%). The increase was primarily due to an increase in sales volumes in Federal-Mogul's Powertrain and Motorparts businesses, reflecting the inclusion of its TRW Automotive Holdings Corp.'s ("TRW) engine component businesses as well as the inclusion of the IEH Auto acquisition.</w:t>
      </w:r>
    </w:p>
    <w:p>
      <w:pPr>
        <w:spacing w:after="0" w:line="39"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Gross margin for our Automotive segment for the three months ended September 30, 2015 increased by $58 million (22%) as compared to the comparable prior year period. Gross margin was 16% and 14% of net sales for the three months ended September 30, 2015 and 2014, respectively. The increase in gross margin as a percentage of net sales over the respective periods was due to favorable material and services sourcing savings, coupled with favorable customer pricing, offset in part by unfavorable currency impact and strategic initiative costs in Federal-Mogul's Motorparts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Net sales for our Automotive segment for the nine months ended September 30, 2015 as compared to the comparable prior year period increased by $309 million (6%) (net of certain intercompany activity), of which $233 million is attributable to the acquisition of IEH Auto during the second quarter of 2015 and $76 million is attributable to Federal-Mogul.</w:t>
      </w:r>
    </w:p>
    <w:p>
      <w:pPr>
        <w:spacing w:after="0" w:line="7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Federal-Mogul's net sales were negatively impacted by the strengthening of the U.S. dollar against several global currencies which resulted in an unfavorable foreign currency impact of $510 million. Excluding the impact of foreign currency, Federal-Mogul's sales volumes increased by $586 million, net of customer price reductions of $6 million. This sales growth is comprised of an increase in Federal-Mogul's Powertrain business' external sales of $332 million, reflecting the inclusion of its TRW Automotive Holdings Corp.'s ("TRW") engine components business’ engine valve business as well as an increase in volume for the quarter. External sales in Federal-Mogul's Motorparts business increased by $254 million (net of intercompany eliminations), driven primarily by the acquisition of the Affinia Group Inc. ("Affinia"), the acquisition of Honeywell International Inc.'s ("Honeywell") brake component business.</w:t>
      </w:r>
    </w:p>
    <w:p>
      <w:pPr>
        <w:spacing w:after="0" w:line="5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Federal-Mogul's Powertrain business generated approximately 69% of its sales outside of the United States and the resulting currency movements decreased sales by $332 million. Therefore, on a constant dollar basis, Federal-Mogul's Powertrain external sales increased 12% compared to the same period in 2014. The increase in Federal-Mogul's Powertrain’s sales reflects the inclusion of the acquisition of certain assets of the TRW engine components business, which during the first and third quarters of 2015, as well as increases in volume which together, increased sales by $332 million. This includes the impact of customer price decreases of $23 million. When excluding the impact of sales from the acquisition of certain assets of Federal-Mogul's TRW engine components business, sales in North America increased by 1%, while light vehicle production and commercial vehicle production increased by 4% and 8%, respectively. In EMEA, Federal-Mogul's Powertrain sales increased by 2% compared to a 5% increase in light vehicle production and a 6% increase in commercial vehicle production. Federal-Mogul's Powertrain sales in ROW decreased by 1% compared to a 2% decrease in light vehicle production and a decrease in commercial vehicle production of 18%.</w:t>
      </w:r>
    </w:p>
    <w:p>
      <w:pPr>
        <w:spacing w:after="0" w:line="7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Excluding the unfavorable currency impact of $178 million, Federal-Mogul's Motorparts' external sales increased by $254 million (net of intercompany eliminations). This increase was primarily due to additional sales related to Federal-Mogul's Honeywell braking and Affinia chassis component acquisitions. On a comparable basis, excluding foreign exchange and the impact of acquisitions, Federal-Mogul's Motorparts' sales in North America increased by 1% and EMEA sales decreased by 2%. Federal-Moguls' Motorparts' sales in ROW increased by 30%, primarily due its Honeywell acquisition as well as continued growth in the China and India aftermarket businesses driven by product line and customer expansion.</w:t>
      </w:r>
    </w:p>
    <w:p>
      <w:pPr>
        <w:spacing w:after="0" w:line="64"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The IEH Auto acquisition contributed $233 million in net sales for the period June 1, 2015 through September 30, 2015. IEH Auto is a service organization engaged in the distribution of automotive aftermarket parts. Through its locations, IEH Auto sells predominantly to commercial aftermarket customers in the DIFM market as well as the retail and DIY customers.</w:t>
      </w:r>
    </w:p>
    <w:p>
      <w:pPr>
        <w:spacing w:after="0" w:line="73"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Cost of goods sold for our Automotive segment for the nine months ended September 30, 2015 as compared to the comparable prior year period increased by $261 million (6%). The increase was primarily due to an increase in sales volumes in both Federal-Mogul's Powertrain and Motorparts businesses, reflecting the inclusion of the acquisitions of the TRW engine component business, the Affinia chasis business as well as the Honeywell brake component business. In addition, cost of goods sold increased due to the inclusion of the IEH Auto acquisition.</w:t>
      </w:r>
    </w:p>
    <w:p>
      <w:pPr>
        <w:spacing w:after="0" w:line="63"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Gross margin for our Automotive segment for the nine months ended September 30, 2015 increased by $48 million (6%) as compared to the comparable prior year period. Gross margin was 15% and 15% of net sales for the nine months ended September 30,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1,409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color w:val="auto"/>
              </w:rPr>
              <w:t>(in millions, except barrels metrics)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 back:</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Major scheduled turnaround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Flood insurance recovery</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FIFO impacts, unfavorable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per barrel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 adjusted for FIFO impacts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r>
      <w:tr>
        <w:trPr>
          <w:trHeight w:val="32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200,156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204,177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196,680</w:t>
            </w: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5" w:name="page76"/>
    <w:bookmarkEnd w:id="75"/>
    <w:p>
      <w:pPr>
        <w:ind w:right="880" w:firstLine="405"/>
        <w:spacing w:after="0" w:line="277" w:lineRule="auto"/>
        <w:rPr>
          <w:sz w:val="20"/>
          <w:szCs w:val="20"/>
          <w:color w:val="auto"/>
        </w:rPr>
      </w:pPr>
      <w:r>
        <w:rPr>
          <w:rFonts w:ascii="Arial" w:cs="Arial" w:eastAsia="Arial" w:hAnsi="Arial"/>
          <w:sz w:val="18"/>
          <w:szCs w:val="18"/>
          <w:color w:val="auto"/>
        </w:rPr>
        <w:t>As of September 30, 2015, we owned 82% of the total outstanding common stock of CVR. In addition, as of September 30, 2015, we owned approximately 4.0% of the total outstanding common stock of CVR Refining, LP ("CVR Refining").</w:t>
      </w:r>
    </w:p>
    <w:p>
      <w:pPr>
        <w:spacing w:after="0" w:line="6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and markets nitrogen fertilizers in the form of urea ammonium nitrate ("UAN") and ammonia.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further discussed in Note 2, "Operating Units - Energy," on August 9, 2015, CVR Partners entered into an Agreement and Plan of Merger (the "Merger Agreement") with Rentech Nitrogen Partners, L.P. ("Rentech Nitrogen") and Rentech Nitrogen GP, LLC ("Rentech Nitrogen GP"), pursuant to which CVR Partners would acquire Rentech Nitrogen and Rentech Nitrogen GP by merging two newly-created direct wholly owned subsidiaries of CVR Partners with and into those entities with Rentech Nitrogen and Rentech Nitrogen GP continuing as surviving entities and wholly owned subsidiaries of CVR Partners (together, the "Mergers"). In accordance with US GAAP, our Energy segment anticipates accounting for the mergers as an acquisition of a business with CVR Partners as the acquirer. The completion of the Mergers is subject to satisfaction or waiver of certain closing conditions.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in with its transportation fuels or purchase renewable fuel credits, known as renewable identification numbers (“RINs”), in lieu of blending.</w:t>
      </w:r>
    </w:p>
    <w:p>
      <w:pPr>
        <w:spacing w:after="0" w:line="6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EPA is required by statute to determine and publish the applicable annual renewable fuel percentage standards for each compliance year by November 30 for the forthcoming year. The percentage standards represent the ratio of renewable fuel volume to gasoline and diesel volume. Despite the statutory deadline, the EPA has not yet determined and published the final applicable annual renewable fuel percentage standards for compliance year 2014 or 2015.</w:t>
      </w:r>
    </w:p>
    <w:p>
      <w:pPr>
        <w:spacing w:after="0" w:line="7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June 10, 2015, the EPA published the proposed annual percentage standards for 2014, 2015 and 2016 under the RFS program. For each year, the proposed volumes for cellulosic, advanced biofuel and renewable fuel are lower than the statutorily mandated volumes. However, the proposed volumes for biomass-based diesel are above the statutorily mandated volumes. The EPA is proposing to set the volume requirements for 2014 at the levels that were actually used in 2014. For 2015 and 2016, the EPA is proposing to increase the volume requirements above 2014 levels. In the same proposed rule, the EPA also published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proposed annual biomass-based diesel volume requirement for 2017. The EPA expects to finalize the proposed volumes by November 30, 2015.</w:t>
      </w:r>
    </w:p>
    <w:p>
      <w:pPr>
        <w:spacing w:after="0" w:line="12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cost of RINs for each of the three months ended September 30, 2015 and 2014 was $19 million and for the nine months ended September 30, 2015 and 2014 was $93 million and $82 million, respectively. The current and future cost of RINs for our Energy segment's petroleum business will be more accurately defined following the EPA's publication of the final volumes, expected by November 30, 2015. The future cost of RINs for our Energy segment's petroleum business is difficult to estimate. Additionally, the cost of RINs is dependent upon a variety of factors, which include EPA regulations, the availability of RINs for purchase, the price at which RINs can be purchased, transportation fuel production levels, the mix of our Energy segment's petroleum business' petroleum products, as well as the fuel blending performed at its refineries and downstream terminals, all of which can vary significantly from quarter to quarter. Based upon recent market prices of RINs and current estimates related to the other variable factors, our Energy segment's petroleum business currently estimates that the total cost of RINs will be approximately $100 million to $125 million for the year ending December 31, 2015.</w:t>
      </w:r>
    </w:p>
    <w:p>
      <w:pPr>
        <w:spacing w:after="0" w:line="5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Net sales for the petroleum business, before eliminations, for the three months ended September 30, 2015 decreased to approximately $1.4 billion from approximately $2.2 billion for the three months ended September 30, 2014. The decrease in net sales for the petroleum business was largely the result of lower sales prices for the petroleum business' transportation fuels and by-products, partially offset by an increase in sales volumes. For the three months ended September 30, 2015, CVR's petroleum business sold approximately 10.3 million and 8.2 million barrels of gasoline and distillate, respectively, with an average sales price per gallon for gasoline and distillate of $1.72 and $1.60, respectively. For the three months ended September 30, 2014, CVR's petroleum business sold approximately 9.6 million and 8.3 million barrels of gasoline and distillate, respectively, with an average sales price per gallon for gasoline and distillate of $2.69 and $2.85, respectively.</w:t>
      </w:r>
    </w:p>
    <w:p>
      <w:pPr>
        <w:spacing w:after="0" w:line="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Net sales for the fertilizer business, before eliminations, for the three months ended September 30, 2015 decreased to $49 million from $67 million for the three months ended September 30, 2014. The decrease in net sales for the fertilizer business was primarily due to decreases in sales volume and price of UAN. The UAN sales volume decrease was primarily attributable to decreased production due to the 2015 turnaround and the Linde air separation unit related downtime during the three months ended September 30, 2015 as compared to the corresponding prior year period. For the three months ended September 30, 2015, CVR sold 174,488 and 7,811 tons of UAN and ammonia, respectively, with a sales price per ton of $257 and $488, respectively. For the three months ended September 30, 2014, CVR sold 220,347 and 6,151 tons of UAN and ammonia, respectively, with a sales price per ton of $285 and $536, respectively. On-stream factors (total number of hours operated divided by total hours in the reporting period) for the gasification, ammonia and UAN units were 62.2%, 57.8% and 56.7%,</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76" w:right="299" w:bottom="1440" w:gutter="0" w:footer="0" w:header="0"/>
        </w:sectPr>
      </w:pPr>
    </w:p>
    <w:bookmarkStart w:id="77" w:name="page78"/>
    <w:bookmarkEnd w:id="77"/>
    <w:p>
      <w:pPr>
        <w:ind w:right="300"/>
        <w:spacing w:after="0" w:line="264" w:lineRule="auto"/>
        <w:rPr>
          <w:sz w:val="20"/>
          <w:szCs w:val="20"/>
          <w:color w:val="auto"/>
        </w:rPr>
      </w:pPr>
      <w:r>
        <w:rPr>
          <w:rFonts w:ascii="Arial" w:cs="Arial" w:eastAsia="Arial" w:hAnsi="Arial"/>
          <w:sz w:val="18"/>
          <w:szCs w:val="18"/>
          <w:color w:val="auto"/>
        </w:rPr>
        <w:t>respectively, for the three months ended September 30, 2015 and 94.6%, 92.0% and 89.2% for the three months ended September 30, 2014. Excluding the impact of the full facility turnaround and the Linde air separation unit outages, the on-stream factors would have been 100.0% for gasifier, 97.3% for ammonia and 96.2% for UAN for the three months ended September 30, 2015.</w:t>
      </w:r>
    </w:p>
    <w:p>
      <w:pPr>
        <w:spacing w:after="0" w:line="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Cost of goods sold for the petroleum business for the three months ended September 30, 2015 and 2014 was approximately $1.2 billion and $2.2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8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decrease in cost of sales for the petroleum business was primarily due to a decrease in cost of consumed crude oil and products purchased for resale. The average cost per barrel of crude oil consumed for the three months ended September 30, 2015 was $46.64 compared to $97.44 for the comparable period of 2014, a decrease of approximately 52%. The decrease in purchased products for resale was primarily driven by additional purchases in the prior year as a result of the Coffeyville refinery shutdown following the isomerization unit fire during the three months ended September 30, 2014.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September 30, 2015, the petroleum business had an unfavorable FIFO inventory impact of $46 million compared to an unfavorable FIFO inventory impact of $52 million for the comparable prior year period.</w:t>
      </w:r>
    </w:p>
    <w:p>
      <w:pPr>
        <w:spacing w:after="0" w:line="8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Refining margin per barrel of crude oil throughput increased to $16.17 for the three months ended September 30, 2015 from $9.96 for the three months ended September 30, 2014. Refining margin adjusted for FIFO impact increased to $18.65 per crude oil throughput barrel for the three months ended September 30, 2015 from $13.16 per crude oil throughput barrel for the three months ended September 30, 2014. Gross margin per barrel increased to $7.98 for the three months ended September 30, 2015 as compared to gross margin per barrel of $0.74 in the comparable prior year period. The increase in refining margin and gross margin per barrel was primarily due to a stronger spread between crude oil and transportation fuel prices and an increase in the gasoline basis over the comparable prior year period.</w:t>
      </w:r>
    </w:p>
    <w:p>
      <w:pPr>
        <w:spacing w:after="0" w:line="85"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The fertilizer business' cost of goods sold for the three months ended September 30, 2015 increased to $57 million from $51 million the comparable prior year period. The increase was primarily due to higher turnaround expenses. Cost of goods sold for the fertilizer business is primarily comprised of pet coke expense, freight expense, distribution expense, purchased ammonia costs, direct operating expenses and depreciation and amortization.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Net sales for the petroleum business, before eliminations, for the nine months ended September 30, 2015 decreased to approximately $4.2 billion from $7.1 billion for the nine months ended September 30, 2014. The decrease in net sales for the petroleum business was largely the result of lower sales prices for the petroleum business' transportation fuels and by-products, partially offset by a slight increase in sales volumes. For the nine months ended September 30, 2015, CVR's petroleum business sold approximately 31.4 million and 25.5 million barrels of gasoline and distillate, respectively, with an average sales price per gallon for gasoline and distillate of $1.69 and $1.70, respectively. For the nine months ended September 30, 2014, CVR's petroleum business sold approximately 29.8 million and 26.4 million barrels of gasoline and distillate, respectively, with an average sales price per gallon for gasoline and distillate of $2.74 and $2.94, respectively.</w:t>
      </w:r>
    </w:p>
    <w:p>
      <w:pPr>
        <w:spacing w:after="0" w:line="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Net sales for the fertilizer business, before eliminations, for the nine months ended September 30, 2015 decreased to $223 million from $224 million for the nine months ended September 30, 2014. The decrease in net sales for the fertilizer business was primarily due to lower sales volume and price of UAN, partially offset by higher ammonia sales volumes. For the nine months ended September 30, 2015, CVR sold 698,818 and 26,939 tons of UAN and ammonia, respectively, with a sales price per ton of $284 and $540, respectively. For the nine months ended September 30, 2014, CVR sold 714,233 and 14,452 tons of UAN and ammonia, respectively, with a sales price per ton of $292 and $522, respectively. On-stream factors (total number of hours operated divided by total hours in the reporting period) for the gasification, ammonia and UAN units were 87.1%, 83.7% and 83.6%, respectively, for the nine months ended September 30, 2015 and 95.8%, 90.7% and 90.7% for the nine months ended September 30, 2014.</w:t>
      </w:r>
    </w:p>
    <w:p>
      <w:pPr>
        <w:spacing w:after="0" w:line="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Cost of goods sold for the petroleum business for the nine months ended September 30, 2015 and 2014 was approximately $3.7 billion and $6.7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8" w:name="page79"/>
    <w:bookmarkEnd w:id="78"/>
    <w:p>
      <w:pPr>
        <w:ind w:right="260"/>
        <w:spacing w:after="0" w:line="277" w:lineRule="auto"/>
        <w:rPr>
          <w:sz w:val="20"/>
          <w:szCs w:val="20"/>
          <w:color w:val="auto"/>
        </w:rPr>
      </w:pPr>
      <w:r>
        <w:rPr>
          <w:rFonts w:ascii="Arial" w:cs="Arial" w:eastAsia="Arial" w:hAnsi="Arial"/>
          <w:sz w:val="18"/>
          <w:szCs w:val="18"/>
          <w:color w:val="auto"/>
        </w:rPr>
        <w:t>utility costs, property taxes, catalyst and chemical costs, repairs and maintenance and labor and environmental compliance costs. In addition, cost of goods sold includes depreciation and amortization.</w:t>
      </w:r>
    </w:p>
    <w:p>
      <w:pPr>
        <w:spacing w:after="0" w:line="6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decrease in cost of sales for the petroleum business was primarily due to a decrease in cost of consumed crude oil and products purchased for resale. The average cost per barrel of crude oil consumed for the nine months ended September 30, 2015 was $49.66 compared to $98.50 for the comparable period of 2014, a decrease of approximately 50%.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nine months ended September 30, 2015, the petroleum business had an unfavorable FIFO inventory impact of $34 million compared to an unfavorable FIFO inventory impact of $6 million for the corresponding prior year period.</w:t>
      </w:r>
    </w:p>
    <w:p>
      <w:pPr>
        <w:spacing w:after="0" w:line="7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Refining margin per barrel of crude oil throughput increased to $16.38 for the nine months ended September 30, 2015 from $14.29 for the nine months ended September 30, 2014. Refining margin adjusted for FIFO impact increased to $16.98 per crude oil throughput barrel for the nine months ended September 30, 2015 from $14.40 per crude oil throughput barrel for the nine months ended September 30, 2014. Gross margin per barrel increased to $9.47 for the nine months ended September 30, 2015 as compared to gross margin per barrel of $6.52 in the corresponding prior year period. The increase in refining margin and gross margin per barrel was primarily due to a stronger spread between crude oil and transportation fuel prices and an increase in the gasoline basis over the comparable prior year period.</w:t>
      </w:r>
    </w:p>
    <w:p>
      <w:pPr>
        <w:spacing w:after="0" w:line="8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fertilizer business' cost of goods sold for the nine months ended September 30, 2015 and 2014 was $168 million and $163 million, respectively. The increase was primarily due to higher turnaround expenses. Cost of goods sold for the fertilizer business is primarily comprised of pet coke expense, freight expense, distribution expense, purchased ammonia costs, direct operating expenses and 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571</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nine months ended September 30, 2015 and 2014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3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74"/>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ind w:left="1260"/>
              <w:spacing w:after="0"/>
              <w:rPr>
                <w:sz w:val="20"/>
                <w:szCs w:val="20"/>
                <w:color w:val="auto"/>
              </w:rPr>
            </w:pPr>
            <w:r>
              <w:rPr>
                <w:rFonts w:ascii="Arial" w:cs="Arial" w:eastAsia="Arial" w:hAnsi="Arial"/>
                <w:sz w:val="14"/>
                <w:szCs w:val="14"/>
                <w:color w:val="auto"/>
                <w:w w:val="91"/>
              </w:rPr>
              <w:t>(in 000s)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27,404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94,085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115,695</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Net sales for the three months ended September 30, 2015 decreased by $94 million (51%) as compared to the comparable prior year period. The decrease was primarily due to lower shipment volumes and market prices of ferrous and non-ferrous for the three months ended September 30, 2015 as compared to the comparable prior year period.</w:t>
      </w:r>
    </w:p>
    <w:p>
      <w:pPr>
        <w:spacing w:after="0" w:line="7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Ferrous shipments decreased by 87,000 gross tons (27%) while the average price decreased by $136 per gross ton (37%) during the three months ended September 30, 2015 as compared to the comparable prior year period. The shipment decrease was primarily attributable to reduced demand from domestic steel mills due to increasing steel imports and to declines in the oil and gas market sector. A certain third-party report indicated that domestic steel output was 9% lower for the three months ended September 30, 2015 as compared to the corresponding prior year period. In addition to lower domestic steel output,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falling iron ore prices and an influx of imported scrap, attributed partially to a strong dollar, also contributed to lower demand and pricing for ferrous scrap.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Lower ferrous market prices in the third quarter of 2015 continued to negatively impact the availability of feedstock.</w:t>
      </w:r>
    </w:p>
    <w:p>
      <w:pPr>
        <w:spacing w:after="0" w:line="103"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Non-ferrous shipment volumes decreased by 11.1 million pounds (29%) and average selling prices for non-ferrous decreased $0.24 per pound (26%) during the three months ended September 30, 2015 as compared to the corresponding prior year period primarily due to weaker global demand and pricing.</w:t>
      </w:r>
    </w:p>
    <w:p>
      <w:pPr>
        <w:spacing w:after="0" w:line="16"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Cost of goods sold for the three months ended September 30, 2015 decreased by $86 million (46%) compared to the comparable prior year period. The decrease was primarily due to lower shipment volumes, lower material costs and lower processing costs. Gross margin as a percentage of net sales was a loss of 11% and 1% for the three months ended September 30, 2015 and 2014, respectively. While material margin as a percentage of net sales improved during the three months ended September 30, 2015 as compared to the comparable prior year period, reflecting improved buying efforts, this was offset by increased processing costs as a percentage of net sales due to decrease in sales volumes over the respective periods.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sales for the nine months ended September 30, 2015 decreased by $262 million (47%) compared to the comparable prior year period. The decrease was primarily due to lower shipment volumes and market prices of ferrous and non-ferrous for the nine months ended September 30, 2015 as compared to the corresponding prior year period.</w:t>
      </w:r>
    </w:p>
    <w:p>
      <w:pPr>
        <w:spacing w:after="0" w:line="73"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Ferrous shipments decreased by 264,000 gross tons (28%) while the average price decreased by $127 per gross ton (34%) during the nine months ended September 30, 2015 as compared to the comparable prior year period. The shipment decrease was attributable to reduced demand from domestic steel mills, low iron ore pricing, an influx of imported scrap, and the negative impact of lower prices on the availability of feedstock.</w:t>
      </w:r>
    </w:p>
    <w:p>
      <w:pPr>
        <w:spacing w:after="0" w:line="5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Non-ferrous shipment volumes decreased by 21.6 million pounds (19%) and average selling prices for non-ferrous decreased $0.16 per pound (18%) during the nine months ended September 30, 2015 as compared to the prior year period, primarily due to weaker global market demand and pricing. Of the total year-on-year non-ferrous shipment volume decrease, 7.2 million pounds (33%) was attributed to the closing of an aluminum ingot tolling operation during the first quarter of 2014.</w:t>
      </w:r>
    </w:p>
    <w:p>
      <w:pPr>
        <w:spacing w:after="0" w:line="7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Cost of goods sold for the nine months ended September 30, 2015 decreased by $243 million (43%) compared to the comparable prior year period. The decrease was primarily due to lower shipment volumes, lower material costs and lower processing costs. Gross margin as a percentage of net sales was a loss of 9% and 1% for the nine months ended September 30, 2015 and 2014, respectively. While material margin as a percentage of net sales improved during the nine months ended September 30, 2015 as compared to the comparable prior year period, reflecting improved buying efforts, this was offset by increased processing costs as a percentage of net sales due to decrease in sales volumes over the respective periods. Our Metals segment has expended considerable effort to bring costs in line with lower volumes and market pricing.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76" w:right="2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Our Railcar segment includes the results of American Railcar Industries, Inc. ("ARI") and American Railcar Leasing, LLC ("ARL"). Manufacturing net sales and cost of goods sold above include intra-segment net sales and related cost of goods sold for railcars sold by our Railcar segment to its railcar leasing business. Elimination amounts represent eliminations of intra-segment net sales and related cost of goods sold and gross margin for our Railcar segment.</w:t>
      </w:r>
    </w:p>
    <w:p>
      <w:pPr>
        <w:spacing w:after="0" w:line="3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North American railcar market has been, and we expect it to continue to be, highly cyclical. Inquiries for hopper railcars servicing various commodities in the non-energy-related markets are steady and our Railcar segment continues to see inquiries for pressure and general service tank railcars. In contrast, demand for railcars servicing the energy markets, including tank railcars for crude service and hopper railcars for sand service, remains uncertain given the recent volatility in oil prices, as well as the May 2015 release of regulations related to tank railcars in the U.S. and Canada.</w:t>
      </w:r>
    </w:p>
    <w:p>
      <w:pPr>
        <w:spacing w:after="0" w:line="6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Railcar segment continues to maintain its focus on the core of its business - tank and hopper railcar manufacturing. Our Railcar segment believes efforts to increase flexibility at its plants will position it to meet any increase in demand for new railcars, as well as retrofit and maintenance work to existing railcars that may result from the recently released regulations for tank railcars. Our Railcar segment cannot assure you of the impact of this regulatory change affecting the North American railcar industry or its business.</w:t>
      </w:r>
    </w:p>
    <w:p>
      <w:pPr>
        <w:spacing w:after="0" w:line="7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Railcar shipments for the three months ended September 30, 2015 were 1,908 railcars, including 1,163 railcars to leasing customers, as compared to 2,151 railcars for the comparable prior year period, including 1,919 railcars to leasing customers.</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Railcar shipments for the nine months ended September 30, 2015 were 6,973 railcars, including 4,696 railcars to leasing customers, as compared to 5,901 railcars for the comparable prior year period, including 3,639 railcars to leasing customers.</w:t>
      </w:r>
    </w:p>
    <w:p>
      <w:pPr>
        <w:spacing w:after="0" w:line="6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September 30, 2015, our Railcar segment had a backlog of 7,936 railcars, including 1,181 railcars for lease customers. In response to changes in customer demand, our Railcar segment continues to adjust production rates at its railcar manufacturing facilities.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three months ended September 30, 2015 decreased by $41 million (15)% as compared to the comparable prior year period. The decrease was primarily due to a lower quantity of tank railcars shipped for lease, partially offset by a higher quantity of hopper railcars for lease.</w:t>
      </w:r>
    </w:p>
    <w:p>
      <w:pPr>
        <w:spacing w:after="0" w:line="73"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three months ended September 30, 2015 decreased to $57 million from $76 million as compared to the prior year period. Gross margin from manufacturing operations as a percentage of manufacturing revenues decreased to 25% for the three months ended September 30, 2015 from 28% for the corresponding prior year period.</w:t>
      </w:r>
    </w:p>
    <w:p>
      <w:pPr>
        <w:ind w:right="160"/>
        <w:spacing w:after="0" w:line="261" w:lineRule="auto"/>
        <w:rPr>
          <w:sz w:val="20"/>
          <w:szCs w:val="20"/>
          <w:color w:val="auto"/>
        </w:rPr>
      </w:pPr>
      <w:r>
        <w:rPr>
          <w:rFonts w:ascii="Arial" w:cs="Arial" w:eastAsia="Arial" w:hAnsi="Arial"/>
          <w:sz w:val="18"/>
          <w:szCs w:val="18"/>
          <w:color w:val="auto"/>
        </w:rPr>
        <w:t>The decrease in the gross margin percentage over the respective period was primarily due to higher mix of hopper railcars that generally sell at lower prices than tank railcars due to less material and labor content.</w:t>
      </w:r>
    </w:p>
    <w:p>
      <w:pPr>
        <w:spacing w:after="0" w:line="7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Railcar leasing revenues increased for the three months ended September 30, 2015 as compared to the corresponding prior year period due to an increase in number of railcars leased to customers and an increase in the average lease rate. The lease fleet grew from 38,756 railcars at September 30, 2014 to 44,608 railcars at September 30,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nine months ended September 30, 2015 increased by $47 million (6%) over the comparable prior year period. The increase was primarily due to a higher quantity of hopper railcars shipped for lease, partially offset by a lower quantity of tank railcars for lease.</w:t>
      </w:r>
    </w:p>
    <w:p>
      <w:pPr>
        <w:spacing w:after="0" w:line="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Gross margin from manufacturing operations, before eliminations relating to railcar sales to our Railcar segment's leasing business, for the nine months ended September 30, 2015 increased to $202 million from $197 million as compared to the prior year period. Gross margin from manufacturing operations as a percentage of manufacturing revenues was 25% and 26% for the nine months ended September 30, 2015 and 2014, respectively. The slight decrease in the gross margin percentage over the respective period was primarily due to a higher mix of hopper railcars that generally sell at lower prices than tank railcars due to less material and labor content.</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Railcar leasing revenues increased for the nine months ended September 30, 2015 as compared to the corresponding prior year period due to an increase in number of railcars leased to customers and an increase in the average lease rate. The lease fleet grew from 38,756 railcars at September 30, 2014 to 44,608 railcars at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condensed consolidated financial statements.</w:t>
      </w:r>
    </w:p>
    <w:p>
      <w:pPr>
        <w:spacing w:after="0" w:line="62"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580" w:firstLine="405"/>
        <w:spacing w:after="0" w:line="286" w:lineRule="auto"/>
        <w:rPr>
          <w:sz w:val="20"/>
          <w:szCs w:val="20"/>
          <w:color w:val="auto"/>
        </w:rPr>
      </w:pPr>
      <w:r>
        <w:rPr>
          <w:rFonts w:ascii="Arial" w:cs="Arial" w:eastAsia="Arial" w:hAnsi="Arial"/>
          <w:sz w:val="17"/>
          <w:szCs w:val="17"/>
          <w:color w:val="auto"/>
        </w:rPr>
        <w:t>Casino revenues are one of Tropicana's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Our Gaming segment's net casino revenues decreased for the three months ended September 30, 2015 as compared to the comparable prior year period primarily due to the sale of the River Palms property in Laughlin, Nevada in 2014 and lower slot volumes in properties located in the central and west regions, offset in part by a reduction in promotional gaming credits redeemed in properties located in all regions, as further discussed below.</w:t>
      </w:r>
    </w:p>
    <w:p>
      <w:pPr>
        <w:spacing w:after="0" w:line="3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Net revenues from Tropicana Casino and Resort, Atlantic City (“Tropicana AC”) comprise approximately 44% and 42% of our Gaming segment's net revenues for the three months ended September 30, 2015 and 2014, respectively. Based on market data, the Atlantic City market experienced year-over-year declines in gross casino win of 5.4% for the three months ended September 30, 2015, due primarily to the closure of four casino properties in Atlantic City during 2014; a comparison of year-over-year gross casino win for the remaining eight properties reflects a 3.9% increase in revenues in the Atlantic City market.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76" w:right="279" w:bottom="1440" w:gutter="0" w:footer="0" w:header="0"/>
        </w:sectPr>
      </w:pPr>
    </w:p>
    <w:bookmarkStart w:id="82" w:name="page83"/>
    <w:bookmarkEnd w:id="82"/>
    <w:p>
      <w:pPr>
        <w:ind w:right="40" w:firstLine="405"/>
        <w:spacing w:after="0" w:line="270" w:lineRule="auto"/>
        <w:rPr>
          <w:sz w:val="20"/>
          <w:szCs w:val="20"/>
          <w:color w:val="auto"/>
        </w:rPr>
      </w:pPr>
      <w:r>
        <w:rPr>
          <w:rFonts w:ascii="Arial" w:cs="Arial" w:eastAsia="Arial" w:hAnsi="Arial"/>
          <w:sz w:val="17"/>
          <w:szCs w:val="17"/>
          <w:color w:val="auto"/>
        </w:rPr>
        <w:t>Tropicana AC's gross casino win increased 3.9% in the three months ended September 30, 2015 as compared to the corresponding prior year period as a result of increased customer volumes, which is in line with the market increase. In addition, promotional gaming credits redeemed at Tropicana AC were lower by 2.7% as compared to the corresponding prior year period; however, although table games drop increased by 14.7% in the three months ended September 30, 2015 over the comparable prior year period, primarily due to the reduction in the number of operators in the Atlantic City market, the table games hold percentage decreased by 4.2 percentage points, resulting in a 12.2% decrease in table games revenue in the third quarter of 2015 as compared to the corresponding prior year period. As a result, total net casino revenue (after deducting promotional gaming credits) at Tropicana AC increased by 4.2% in the three months ended September 30, 2015 as compared to the corresponding prior year period. Internet gaming revenues, which is included in gross casino win, also increased during the three months ended September 30, 2015 as compared to the comparable prior year period. Several renovation and construction projects at Tropicana AC were completed during the second quarter of 2015, including hotel room and casino floor renovations, boardwalk facade renovations and the opening of a new fitness center.</w:t>
      </w:r>
    </w:p>
    <w:p>
      <w:pPr>
        <w:spacing w:after="0" w:line="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Revenues from rooms decreased for the three months ended September 30, 2015 as compared to the corresponding prior year period, primarily due to the sale of the River Palms property in 2014, as well as disruption at the MontBleu Casino Resort &amp; Spa ("MontBleu") from an ongoing rooms renovation project which impacted business, partially offset by an increase in the average daily room rate at Tropicana AC. The average daily room rate and occupancy across all of Tropicana's gaming properties were $94 and 76%, respectively, for the three months ended September 30, 2015 as compared to $88 and 74%, respectively, for the comparable prior year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Our Gaming segment's net casino revenues increased for the nine months ended September 30, 2015 as compared to the comparable prior year period primarily due to an increase in consolidated gaming volumes of 4.6%, primarily due to the inclusion of Lumière acquisition in April 2014, coupled with higher gaming volumes at Tropicana AC and Tropicana Laughlin Hotel and Casino ("Tropicana Laughlin"). Tropicana's consolidated gross slot hold percentage was 9.6% and 9.5% for the nine months ended September 30, 2015 and 2014, respectively. Tropicana's consolidated table game hold percentage was 16.5% and 17.7% for the nine months ended September 30, 2015 and 2014, respectively.</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revenues from Tropicana AC comprise approximately 40% and 41% of our Gaming segment's net revenues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and 2014, respectively. Based on market data, the Atlantic City market experienced year-over-year declines in gross casino win of 8.4%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2015, due primarily to the closure of four casino properties in Atlantic City during 2014; a comparison of year-over-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revenues for the remaining eight properties reflects a 4.1% increase in gross casino win in the Atlantic City market. Tropicana AC's gross casino win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4.8% in the nine months ended September 30, 2015 as compared to the corresponding prior year period as a result of increased internet gaming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together with increased customer volumes, offset partially by a 1.3 percentage point decrease in the year-to-date table games hold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period. Several renovation and construction projects at Tropicana AC were completed during the nine months ended September 30,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hotel room and casino floor renovations, boardwalk facade renovations and the opening of a new fitness center.</w:t>
      </w:r>
    </w:p>
    <w:p>
      <w:pPr>
        <w:spacing w:after="0" w:line="10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Revenues from rooms increased for the nine months ended September 30, 2015 as compared to the corresponding prior year period, primarily due to increases in both the occupancy and average daily room rates at Tropicana AC and the acquisition of Lumière Place in April 2014, offset in part by decreases in revenues from rooms due to the sale of the River Palms property in 2014, as well as disruption at the MontBleu property from an ongoing rooms renovation project which impacted business. The average daily room rate and occupancy across all of Tropicana's gaming properties were $86 and 72%, respectively, for the nine months ended September 30, 2015 as compared to $78 and 66%, respectively, for the comparable prior year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As discussed in Note 2, "Operating Units - Mining," we obtained control, and consolidated, the results of Ferrous Resources Limited ("Ferrous Resources") during the second quarter of 2015. Ferrous Resources represents our Mining segment.</w:t>
      </w:r>
    </w:p>
    <w:p>
      <w:pPr>
        <w:spacing w:after="0" w:line="62"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For Ferrous Resources, the key performance driver has historically been from demand for raw materials from Chinese steelmakers. For the three months ended September 30, 2015 and the period June 1, 2015 through September 30, 2015, our Mining segment has been concentrating on sales in its domestic market, Brazil, where the best margins are being captured. During the third quarter of 2015, both domestic and global steel industries continued to show weakness as steel mills' utilization rates have not recovered and iron ore prices remain weak. Our Mining segment expects the remainder of 2015 and the foreseeable future to be challenging for the steel industry as it contends with slowing growth, overcapacity and increased competition.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76" w:right="259" w:bottom="1440" w:gutter="0" w:footer="0" w:header="0"/>
        </w:sectPr>
      </w:pPr>
    </w:p>
    <w:bookmarkStart w:id="83" w:name="page84"/>
    <w:bookmarkEnd w:id="83"/>
    <w:p>
      <w:pPr>
        <w:ind w:firstLine="405"/>
        <w:spacing w:after="0" w:line="264" w:lineRule="auto"/>
        <w:rPr>
          <w:sz w:val="20"/>
          <w:szCs w:val="20"/>
          <w:color w:val="auto"/>
        </w:rPr>
      </w:pPr>
      <w:r>
        <w:rPr>
          <w:rFonts w:ascii="Arial" w:cs="Arial" w:eastAsia="Arial" w:hAnsi="Arial"/>
          <w:sz w:val="18"/>
          <w:szCs w:val="18"/>
          <w:color w:val="auto"/>
        </w:rPr>
        <w:t>Net sales for the three months ended September 30, 2015 and the period June 1, 2015 through September 30, 2015 were $12 million and $18 million, respectively. Cost of goods sold for the three months ended September 30, 2015 and the period June 1, 2015 through September 30, 2015 was $14 million and $20 million, respectively.</w:t>
      </w:r>
    </w:p>
    <w:p>
      <w:pPr>
        <w:spacing w:after="0" w:line="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During the three months ended September 30, 2015 and the period June 1, 2015 through September 30, 2015, our Mining segment focused its sales efforts exclusively within its domestic market, Brazil. During the three months ended September 30, 2015 and the period June 1, 2015 through September 30, 2015, our Mining segment sold 789,981 and 1,108,453 metric tons of iron, respectively, of which 785,408 and 1,086,037 metric tons, respectively, were sold to a single customer, a Brazilian multinational diversified metals and mining corporation and one of the largest logistics operators in Brazil, and 4,572 and 22,415 metric tons, respectively, were sold to other small steel producers. The average sales price for three months ended September 30, 2015 and the period June 1, 2015 through September 30, 2015 was $17.90 and $18.98 per metric ton. Our Mining segment continues to evaluate the best alternatives to sell its products in light of the challenging markets for iron ore. In recent months, the best margins are being captured on sales to our Mining segment's domestic market, Brazil.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Viskase Companies, Inc. ("Viskase") currently operates nine manufacturing facilities and six distribution centers throughout North America, Europe, South America and Asia and derives approximately 70%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Net sales for the three months ended September 30, 2015 decreased by $9 million (9%) as compared to the comparable prior year period, with an $8 million decrease due to unfavorable foreign currency translation and $2 million due to unfavorable price and product mix, offset in part by $1 million increase due to higher sales volumes.</w:t>
      </w:r>
    </w:p>
    <w:p>
      <w:pPr>
        <w:spacing w:after="0" w:line="73" w:lineRule="exact"/>
        <w:rPr>
          <w:sz w:val="20"/>
          <w:szCs w:val="20"/>
          <w:color w:val="auto"/>
        </w:rPr>
      </w:pPr>
    </w:p>
    <w:p>
      <w:pPr>
        <w:jc w:val="both"/>
        <w:ind w:right="360" w:firstLine="405"/>
        <w:spacing w:after="0" w:line="286" w:lineRule="auto"/>
        <w:rPr>
          <w:sz w:val="20"/>
          <w:szCs w:val="20"/>
          <w:color w:val="auto"/>
        </w:rPr>
      </w:pPr>
      <w:r>
        <w:rPr>
          <w:rFonts w:ascii="Arial" w:cs="Arial" w:eastAsia="Arial" w:hAnsi="Arial"/>
          <w:sz w:val="17"/>
          <w:szCs w:val="17"/>
          <w:color w:val="auto"/>
        </w:rPr>
        <w:t>Cost of goods sold for the three months ended September 30, 2015 decreased by $5 million (7%) as compared to the comparable prior year period. Gross margin as a percent of net sales was 22% and 24% for the three months ended September 30, 2015 and 2014, respectively. The decline in the gross margin as a percent of net sales over the comparable period was due in part to unfavorable foreign currency translation.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Net sales for the nine months ended September 30, 2015 decreased by $14 million (5%) as compared to the comparable prior year period, with a $22 million decrease due to unfavorable foreign currency translation and $4 million due to unfavorable price and product mix, offset in part by $12 million increase due to higher sales volumes.</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Cost of goods sold for the nine months ended September 30, 2015 decreased by $7 million (3%) as compared to the comparable prior year period. Gross margin as a percent of net sales was 24% and 25% for the nine months ended September 30, 2015 and 2014, respectively. The decline in the gross margin as a percent of net sales over the comparable period was due to increased pension expense and unfavorable foreign currency translation.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Real Estate revenues and expenses include results from club operations, sales of residential units and rental income and expenses, including income from financing leases. Sales of residential units are included in net sales in our condensed consolidated financial statements. Results from club and rental operations, including financing lease income, are included in other revenues from operations in our condensed consolidated financial statements. Revenue from our real estate operations for each of the three and nine months ended September 30, 2015 and 2014 were substantially derived from our club and rental operations. During the nine months ended September 30, 2015, we sold 14 commercial rental properties and Oak Harbor development and operations (which historically was operated as part of Grand Harbor), recognizing an aggregate gain of $39 million which is included in other income, net in our condensed consolidated statements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optimize its manufacturing operations and streamline its merchandising, sales and customer service divisions to improve its cost structure and better serve its customers. Given the uncertainty and volatility in macroeconomic conditions, we cannot predict if WPH's financial performance will continue to improve.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Net sales for the three months ended September 30, 2015 increased by $2 million (4%) compared to the comparable prior year period. The increase was primarily due to an increase in sales volume. Cost of goods sold for the three months ended September 30, 2015 increased by $2 million (5%) compared to the comparable prior year period. The increase was primarily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76" w:right="259" w:bottom="1440" w:gutter="0" w:footer="0" w:header="0"/>
        </w:sectPr>
      </w:pPr>
    </w:p>
    <w:bookmarkStart w:id="84" w:name="page85"/>
    <w:bookmarkEnd w:id="84"/>
    <w:p>
      <w:pPr>
        <w:ind w:right="940"/>
        <w:spacing w:after="0" w:line="375" w:lineRule="auto"/>
        <w:rPr>
          <w:sz w:val="20"/>
          <w:szCs w:val="20"/>
          <w:color w:val="auto"/>
        </w:rPr>
      </w:pPr>
      <w:r>
        <w:rPr>
          <w:rFonts w:ascii="Arial" w:cs="Arial" w:eastAsia="Arial" w:hAnsi="Arial"/>
          <w:sz w:val="18"/>
          <w:szCs w:val="18"/>
          <w:color w:val="auto"/>
        </w:rPr>
        <w:t xml:space="preserve">due to higher sales volume. Gross margin as a percentage of net sales was 15% for each of the three months ended September 30, 2015 and 2014. </w:t>
      </w:r>
      <w:r>
        <w:rPr>
          <w:rFonts w:ascii="Arial" w:cs="Arial" w:eastAsia="Arial" w:hAnsi="Arial"/>
          <w:sz w:val="18"/>
          <w:szCs w:val="18"/>
          <w:i w:val="1"/>
          <w:iCs w:val="1"/>
          <w:u w:val="single" w:color="auto"/>
          <w:color w:val="auto"/>
        </w:rPr>
        <w:t>Nine Months Ended September 30, 2015 and 2014</w:t>
      </w:r>
    </w:p>
    <w:p>
      <w:pPr>
        <w:spacing w:after="0" w:line="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Net sales for the nine months ended September 30, 2015 increased by $13 million (10%) compared to the comparable prior year period. The increase was primarily due to an increase in sales volume. Cost of goods sold for the nine months ended September 30, 2015 increased by $12 million (11%) compared to the comparable prior year period. The increase was primarily due to higher sales volume. Gross margin as a percentage of net sales was 14% for the nine months ended September 30, 2015 as compared to 15% in the comparable prior year period. The decrease was due to sell-off and write-down of aging inventory.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gain from investment activities was $1 million for the three months ended September 30, 2015 as compared to a net loss of $93 million for the three months ended September 30, 2014. The net loss from investment activity during the third quarter of 2014 include realized losses from certain swaps agreements that were terminated during the third quarter of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Net loss from investment activities decreased to $31 million for the nine months ended September 30, 2015 from $138 million in the comparable prior year period. The decrease was primarily related to realized losses from certain swap agreements that were terminated during the third quarter of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consolidated other income, net for the three months ended September 30, 2015 and 2014 was $37 million and $45 million, respectively.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earnings from non-consolidated affiliates, primarily from our Automotive segment, were $11 million and $13 million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and 2014, respectively. Additionally, during the third quarter of 2015 and 2014, our Energy segment recorded gains on certain derivative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contracts of $12 million and $26 million, respectively. See Note 6, "Financial Instruments," Note 10 "Debt" and Note 16, "Other Income, Net,"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for further discussion.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consolidated other income, net for the nine months ended September 30, 2015 and 2014 was $29 million and $93 million, respectively. During the first nine months of 2015 and 2014, our Energy segment recorded (losses) gains on certain derivative contracts of $(52) million and $171 million, respectively. During the nine months ended September 30, 2015 and 2014, we had various debt refinancing transactions and recorded an aggregate loss on extinguishment of debt of $2 million and $162 million, respectively. Equity earnings from non-consolidated affiliates, primarily from our Automotive segment, were $43 million and $39 million for the nine months ended September 30, 2015 and 2014, respectively. In addition, during the first quarter of 2014, our Gaming segment received $32 million in cash as payment to satisfy future credits in connection with a certain negotiated tax settlement. See Note 6, "Financial Instruments," Note 10 "Debt" and Note 16, "Other Income, Net," to the condensed consolidated financial statements for further discussion.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consolidated selling, general and administrative ("SG&amp;A") for the three months ended September 30, 2015 decreased by $13 million (3%) as compared to the comparable prior year period. The decrease was primarily due to a decrease of $61 million from our Investment segment primarily due to a reversal of compensation expense accrual related to a certain fund performance, offset by an increase of $47 million from our Automotive segment primarily due to the inclusion of the acquisition of the Affinia Group Inc., the acquisition of certain business assets of Honeywell International Inc., the IEH Auto acquisition, an increase of $5 million from our Mining segment primarily due to the inclusion of the acquisition of Ferrous Resources, and a net decrease in our other segments and the Holding Company of $4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Our consolidated selling, general and administrative ("SG&amp;A") for the nine months ended September 30, 2015 increased by $176 million (14%) as compared to the comparable prior year period. The increase was primarily due to an increase of $59 million from our Investment segment due to higher compensation expense related to a certain fund performance, an increase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5" w:name="page86"/>
    <w:bookmarkEnd w:id="85"/>
    <w:p>
      <w:pPr>
        <w:ind w:right="120"/>
        <w:spacing w:after="0" w:line="259" w:lineRule="auto"/>
        <w:rPr>
          <w:sz w:val="20"/>
          <w:szCs w:val="20"/>
          <w:color w:val="auto"/>
        </w:rPr>
      </w:pPr>
      <w:r>
        <w:rPr>
          <w:rFonts w:ascii="Arial" w:cs="Arial" w:eastAsia="Arial" w:hAnsi="Arial"/>
          <w:sz w:val="18"/>
          <w:szCs w:val="18"/>
          <w:color w:val="auto"/>
        </w:rPr>
        <w:t>$100 million from our Automotive segment primarily due to the inclusion of the acquisition of the Affinia Group Inc., the acquisition of certain business assets of Honeywell International Inc., the IEH Auto acquisition, an increase of $11 million from our Gaming segment primarily due to the inclusion of the acquisition of Lumière, and increase of $7 million from our Mining segment primarily due to the inclusion of the acquisition of Ferrous Resources, offset in part by a net decrease in our other segments and Holding Company of $1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consolidated restructuring costs were $18 million and $23 million for three months ended September 30, 2015 and 2014, respectively, which were primarily attributable to our Automotive segment. Our consolidated restructuring costs were $57 million and $61 million for nine months ended September 30, 2015 and 2014, respectively, which were primarily attributable to our Automotive segment.</w:t>
      </w:r>
    </w:p>
    <w:p>
      <w:pPr>
        <w:spacing w:after="0" w:line="7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Restructuring expenses for the three months ended September 30, 2015 primarily relate to reducing production complexities and reducing inefficiencies in indirect and fixed costs structures located in Europe, Middle East and Africa. Federal-Mogul expects to complete these programs in 2018 and incur additional restructuring and other charges of approximately $40 million in connection therewith. For programs previously initiated, Federal-Mogul expects to complete these programs in 2018 and incur additional restructuring and other charges of approximately $10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interest expense during the three months ended September 30, 2015 increased by $70 million (31%) as compared the corresponding prior year period. The increase was primarily due to higher interest expense from our Investment segment attributable to due to broker balances over the respective periods, higher interest expense from our Automotive segment due to higher outstanding debt balances on its revolver facility coupled with higher interest rates following the refinancing of its term loans over the respective periods and higher interest expense from our Railcar segments due to higher outstanding debt balances over the respective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interest expense during the nine months ended September 30, 2015 increased by $260 million (44%) as compared the corresponding prior year period. The increase was primarily due to higher interest expense from our Investment segment attributable to due to broker balances over the respective periods, higher interest expense from our Automotive segment due to higher outstanding debt balances on its revolver facility coupled with higher interest rates following the refinancing of its term loans over the respective periods and higher interest expense from our Railcar segments due to higher outstanding debt balances over the respective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2015 and 2014</w:t>
      </w:r>
    </w:p>
    <w:p>
      <w:pPr>
        <w:spacing w:after="0" w:line="117"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For the three months ended September 30, 2015, each of Icahn Enterprises and Icahn Enterprises Holdings recorded an income tax expense of $22 million on pre-tax loss of $918 million compared to an income tax benefit of $19 million on pre-tax loss of $646 million for the three months ended September 30, 2014. Our effective income tax rate was (2.4)% and 2.9% for the three months ended September 30, 2015 and 2014, respectively.</w:t>
      </w:r>
    </w:p>
    <w:p>
      <w:pPr>
        <w:spacing w:after="0" w:line="3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each of the three months ended September 30, 2015 and 2014, the effective tax rate was lower than the statutory federal rate of 35%, primarily due to partnership losses not subject to taxation, as such taxes are the responsibility of the partners.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2015 and 2014</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For the nine months ended September 30, 2015, each of Icahn Enterprises and Icahn Enterprises Holdings (except as noted) recorded an income tax expense of $184 million on pre-tax income of $207 million (in the case of Icahn Enterprises Holdings, on pre-tax income of $208 million) compared to an income tax expense of $166 million on pre-tax income of $739 million (in the case of Icahn Enterprises Holdings, on pre-tax income of $740 million) for the nine months ended September 30, 2014. The effective income tax rate was 88.9% and 22.5% for Icahn Enterprises for the nine months ended September 30, 2015 and 2014, respectively, and 88.5% and 22.4% for Icahn Enterprises Holdings for the nine months ended September 30, 2015 and 2014, respectively).</w:t>
      </w:r>
    </w:p>
    <w:p>
      <w:pPr>
        <w:spacing w:after="0" w:line="50"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For the nine months ended September 30, 2015 the effective tax rate was higher than the statutory federal rate of 35%, primarily due to partnership losses not subject to taxation. For the nine months ended September 30, 2014, the effective tax rate was lower than the statutory federal rate of 35%, primarily due to partnership income not subject to taxation, as such taxes are the responsibility of the partners.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76" w:right="2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2015, the Holding Company had investments in the Investment Funds with a total fair market value of approximately $4.2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our Holding Company had cash and cash equivalents of $182 million and total debt of approximately $5.5 billion.</w:t>
      </w:r>
    </w:p>
    <w:p>
      <w:pPr>
        <w:spacing w:after="0" w:line="103"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As of September 30, 2015 based on covenants in the indenture governing our senior notes, we could incur approximately $584 million in additional indebtedness. See Note 10, “Debt,” to the condensed consolidated financial statements for additional information concerning credit facilities for us and our subsidiaries.</w:t>
      </w:r>
    </w:p>
    <w:p>
      <w:pPr>
        <w:spacing w:after="0" w:line="7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have from time to time considered and continue to explore the possibility of seeding one or more private investment fund managers and investing some of our proprietary capital in their funds. There can be no assurance that any such transactions will be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February 20, 2015, Icahn Enterprises declared a quarterly distribution in the amount of $1.50 per depositary unit in which each depositary unit holder had the option to make an election to receive either cash or additional depositary units. As a result, on April 22, 2015, Icahn Enterprises distributed an aggregate 1,713,935 depositary units to unit holders electing to receive depositary units in connection with this distribution.</w:t>
      </w:r>
    </w:p>
    <w:p>
      <w:pPr>
        <w:spacing w:after="0" w:line="5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On May 5, 2015, Icahn Enterprises declared a quarterly distribution in the amount of $1.50 per depositary unit in which each depositary unit holder had the option to make an election to receive either cash or additional depositary units. As a result, on June 30, 2015, Icahn Enterprises distributed an aggregate 1,825,930 depositary units to unit holders electing to receive depositary units in connection with this distribution.</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On July 30, 2015, Icahn Enterprises declared a quarterly distribution in the amount of $1.50 per depositary unit in which each depositary unit holder had the option to make an election to receive either cash or additional depositary units. As a result, on September 28, 2015, Icahn Enterprises distributed an aggregate 2,309,812 depositary units to unit holders electing to receive depositary units in connection with this distribution.</w:t>
      </w:r>
    </w:p>
    <w:p>
      <w:pPr>
        <w:spacing w:after="0" w:line="57" w:lineRule="exact"/>
        <w:rPr>
          <w:sz w:val="20"/>
          <w:szCs w:val="20"/>
          <w:color w:val="auto"/>
        </w:rPr>
      </w:pPr>
    </w:p>
    <w:p>
      <w:pPr>
        <w:ind w:right="280" w:firstLine="405"/>
        <w:spacing w:after="0" w:line="271" w:lineRule="auto"/>
        <w:rPr>
          <w:sz w:val="20"/>
          <w:szCs w:val="20"/>
          <w:color w:val="auto"/>
        </w:rPr>
      </w:pPr>
      <w:r>
        <w:rPr>
          <w:rFonts w:ascii="Arial" w:cs="Arial" w:eastAsia="Arial" w:hAnsi="Arial"/>
          <w:sz w:val="17"/>
          <w:szCs w:val="17"/>
          <w:color w:val="auto"/>
        </w:rPr>
        <w:t>On October 30, 2015, the Board of Directors of the general partner of Icahn Enterprises declared a quarterly distribution in the amount of $1.50 per depositary unit, which will be paid on or about December 24, 2015 to depositary unit holders of record at the close of business on November 16, 2015. Depositary unit holders have until December 8, 2015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December 22, 2015.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580" w:right="2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2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See Note 10, “Debt,” to the condensed consolidated financial statements for additional information concerning terms, restrictions and covenants of our debt. As of September 30, 2015,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Other than the financing transaction discussed below, there have been no material changes to our contractual commitments and contingencies as compared to those reported in our Annual Report on Form 10-K for the year ended December 31, 2014</w:t>
      </w:r>
      <w:r>
        <w:rPr>
          <w:rFonts w:ascii="Arial" w:cs="Arial" w:eastAsia="Arial" w:hAnsi="Arial"/>
          <w:sz w:val="18"/>
          <w:szCs w:val="18"/>
          <w:b w:val="1"/>
          <w:bCs w:val="1"/>
          <w:color w:val="auto"/>
        </w:rPr>
        <w:t>.</w:t>
      </w:r>
    </w:p>
    <w:p>
      <w:pPr>
        <w:spacing w:after="0" w:line="6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January 2015, ARI refinanced its existing lease fleet financing facilities to, among other things, increase the aggregate borrowings thereunder. In connection with the refinancing, a certain subsidiary of ARI completed a private placement of $626 million in aggregate principal amount of notes. Of the aggregate principal amount, $409 million was used to refinance existing lease fleet financing facilities, resulting in net proceeds of $212 million. The ARI 2015 Notes (as defined below) have a legal final maturity date of January 17, 2045 and an expected principal repayment date of January 15, 2025. See Note 10, "Debt - Railcar," for further discussion regarding this refinancing.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cash flow information for the nine months ended September 30, 2015 and cash and cash equivalents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for 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Nine Months Ended September 30, 2015</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2015</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37"/>
        </w:trPr>
        <w:tc>
          <w:tcPr>
            <w:tcW w:w="5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2,041</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consolidated cash flows of Icahn Enterprises and Icahn Enterprises Holdings are substantially the same. The immaterial differences between Icahn Enterprises' and Icahn Enterprises Holdings' condensed consolidated statements of cash flows primarily relate to non-cash charges for interest expense which is included in net cash provided by operating activities. Therefore, we discuss only the consolidated cash flows of Icahn Enterprises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Cash provided by operating activities during the nine months ended September 30, 2015 was primarily attributable to our Energy, Railcar and Gaming segments due to earnings before non-cash charges for depreciation and amortization. This was offset primarily by our Investment segment due to net cash used in investment transactions. Additionally, the Holding Company had net cash used in operating activities primarily due to interest payments on its senior unsecured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Cash used in investing activities during the nine months ended September 30, 2015 was primarily attributable to capital expenditures incurred by our subsidiaries and acquisitions of businesses. Our Railcar segment had capital expenditures of $463 million, of which $437 million was for the manufacture or purchase of railcars for its leasing operations. Additionally, our Automotive, Energy and Gaming segments had capital expenditures of $328 million, $142 million and $77 million, respectively. In addition, Federal-Mogul, representing a portion of our Automotive segment, acquired TRW engine components businesses in the first and third quarters of 2015 for an aggregate of $365 million, net of cash acquired, and our Holding Company acquired substantially all of the auto parts in the United States of Uni-Select, Inc. and Ferrous Resources during the second quarter of 2015 for an aggregate of $490 million, net of cash acquired.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Cash provided from financing activities during the nine months ended September 30, 2015 was primarily attributable to certain debt refinancing and draw down on revolver activities at our Railcar and Automotive segments. Additionally, our Investment segment received $246 million of capital contributions from affiliates of Mr. Icahn. This was offset in part by aggregate distributions of $279 million to non-controlling interests in certain of our subsidiaries and cash distributions to Icahn Enterprises' depositary unitholders.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There have been no material changes to our capital expenditures during the nine months ended September 30, 2015 as compared to those reported in our Annual Report on Form 10-K for the year ended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As of September 30, 2015, the Investment Funds' net notional exposure was -26%. The Investment Funds' long exposure was 160% (155% long equity and 5% long credit) and the Investment Funds' short exposure was 186% (161% short equity, 25% short credit and other). The notional exposure represents the ratio of the notional exposure of the Investment Funds' invested capital to the net asset value of the Investment Funds at September 30, 2015.</w:t>
      </w:r>
    </w:p>
    <w:p>
      <w:pPr>
        <w:spacing w:after="0" w:line="39" w:lineRule="exact"/>
        <w:rPr>
          <w:sz w:val="20"/>
          <w:szCs w:val="20"/>
          <w:color w:val="auto"/>
        </w:rPr>
      </w:pPr>
    </w:p>
    <w:p>
      <w:pPr>
        <w:ind w:right="20" w:firstLine="378"/>
        <w:spacing w:after="0" w:line="342" w:lineRule="auto"/>
        <w:rPr>
          <w:sz w:val="20"/>
          <w:szCs w:val="20"/>
          <w:color w:val="auto"/>
        </w:rPr>
      </w:pPr>
      <w:r>
        <w:rPr>
          <w:rFonts w:ascii="Arial" w:cs="Arial" w:eastAsia="Arial" w:hAnsi="Arial"/>
          <w:sz w:val="16"/>
          <w:szCs w:val="16"/>
          <w:color w:val="auto"/>
        </w:rPr>
        <w:t>Of our long exposure of 160%, the fair value of our long positions (with certain adjustments) represented 144% of our long exposure. The notional value of our other long positions, which primarily included single name equity forward contracts and credit contracts, represented 16% of our long exposure.</w:t>
      </w:r>
    </w:p>
    <w:p>
      <w:pPr>
        <w:spacing w:after="0" w:line="16"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Of our short exposure of 186%, the fair value of our short positions represented 12% of our short exposure. The notional value of our other short positions, which primarily included short credit default swap contracts and short broad market index swap derivative contracts, represented 174% of our short exposure.</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(144% long exposure) and our short positions that are not notionalized (12%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(174%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Investment Funds historically have had access to significant amounts of cash available from prime brokerage lines of credit, subject to customary terms and market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of September 30, 2015 and December 31, 2014, the borrowing availability under the Federal-Mogul Replacement Revolving Facility was $175 million and $516 million, respectively. As of September 30, 2015, the outstanding balance on the Federal-Mogul Replacement Revolving Facility was $335 million. As of December 31, 2014, there were no borrowings outstanding under the Federal-Mogul Replacement Revolving Facility. Federal-Mogul had $40 million and $34 million of letters of credit outstanding as September 30, 2015 and December 31, 2014, respectively, pertaining to Federal-Mogul's term loan credit facility. To the extent letters of credit associated with the Federal-Mogul Replacement Revolving Facility are issued, there will be a corresponding decrease in borrowings available under this facility. See Note 10, "Debt - Automotive," to the condensed consolidated financial statements for additional discussion regarding Federal-Mogul's debt facilities.</w:t>
      </w:r>
    </w:p>
    <w:p>
      <w:pPr>
        <w:spacing w:after="0" w:line="8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$412 million and $306 million as of September 30, 2015 and December 31, 2014, respectively. Of those gross amounts, $397 million and $293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within accounts receivable, net and debt. Under the terms of these facilities, Federal-Mogul is not obligated to draw cash immediately upon the transfer of accounts receivable. As of September 30, 2015 and December 31, 2014, Federal-Mogul had withdrawn cash related to such transferred receivables of $1 million and $2 million, respectively. Proceeds from the transfers of accounts receivable qualifying as sales were $380 million and $456 million for the three months ended September 30, 2015 and 2014, respectively, and approximately $1.2 billion and $1.3 billion for the nine months ended September 30, 2015 and 2014, respectively.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As of September 30, 2015, CRLLC had availability under the Amended and Restated ABL Credit Facility of $372 million and had letters of credit outstanding of $28 million. There were no borrowings outstanding under the ABL Credit Facility as of September 30, 2015. In addition, as of September 30, 2015, CVR Partners had $25 million availability under its revolving credit facility, with an uncommitted incremental facility of up to $50 million.</w:t>
      </w:r>
    </w:p>
    <w:p>
      <w:pPr>
        <w:spacing w:after="0" w:line="3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10, “Debt - Energy," to the condensed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80"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For the nine months ended September 30, 2015, we received an aggregate of $119 million in dividends from CVR and distributions from CVR Refining. Subsequent to September 30, 2015, CVR and CVR Refining declared a quarterly dividend and a distribution, respectively, which will result in an additional aggregate $42 million in dividends and distributions paid to us in the fourth quarter of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jc w:val="both"/>
        <w:ind w:right="220" w:firstLine="405"/>
        <w:spacing w:after="0" w:line="288" w:lineRule="auto"/>
        <w:rPr>
          <w:sz w:val="20"/>
          <w:szCs w:val="20"/>
          <w:color w:val="auto"/>
        </w:rPr>
      </w:pPr>
      <w:r>
        <w:rPr>
          <w:rFonts w:ascii="Arial" w:cs="Arial" w:eastAsia="Arial" w:hAnsi="Arial"/>
          <w:sz w:val="16"/>
          <w:szCs w:val="16"/>
          <w:color w:val="auto"/>
        </w:rPr>
        <w:t>In January 2015, ARI refinanced certain existing lease fleet financing facilities to, among other things, increase our borrowings thereunder. A certain subsidiary of ARI's completed a private placement of $626 million in aggregate principal amount of notes consisting of $250 million in aggregate principal amount of its 2.98% fixed fate secured railcar equipment notes, Class A-1 ("ARI Class A-1 Notes") and $376 million in aggregate principal amount of its</w:t>
      </w:r>
    </w:p>
    <w:p>
      <w:pPr>
        <w:ind w:right="40"/>
        <w:spacing w:after="0" w:line="277" w:lineRule="auto"/>
        <w:rPr>
          <w:sz w:val="20"/>
          <w:szCs w:val="20"/>
          <w:color w:val="auto"/>
        </w:rPr>
      </w:pPr>
      <w:r>
        <w:rPr>
          <w:rFonts w:ascii="Arial" w:cs="Arial" w:eastAsia="Arial" w:hAnsi="Arial"/>
          <w:sz w:val="17"/>
          <w:szCs w:val="17"/>
          <w:color w:val="auto"/>
        </w:rPr>
        <w:t>4.06% fixed rate secured railcar equipment notes, Class A-2 ("ARI Class A-2 Notes", and collectively with the ARI Class A-1 Notes, the "ARI 2015 Notes"). The financing provided our Railcar segment with net cash of $212 million. The ARI 2015 Notes have a legal final maturity date of January 17, 2045 and an expected principal repayment date of January 15, 2025. See Note 10, "Debt - Railcar," for further discussion regarding this refinancing.</w:t>
      </w:r>
    </w:p>
    <w:p>
      <w:pPr>
        <w:spacing w:after="0" w:line="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Given ARI's strategic emphasis on growing its lease fleet and the capital required to manufacture railcars for lease for which it currently has firm orders, ARI currently expects to finance additional leased railcars in the near term. As of September 30, 2015, ARI has unencumbered leased railcars with a value of approximately $515 million that it could borrow against in the future.</w:t>
      </w:r>
    </w:p>
    <w:p>
      <w:pPr>
        <w:spacing w:after="0" w:line="73"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On July 28, 2015, ARI's board of directors authorized the repurchase of up to $250 million of its outstanding common stock ("ARI Stock Repurchase Program"). The ARI Stock Repurchase Program will end upon the earlier of the date on which it is terminated by ARI's board of directors or when all authorized repurchases are completed. The timing and amount of stock repurchases, if any, will be determined based upon ARI's evaluation of market conditions and other factors. The ARI Stock Repurchase Program may be suspended, modified or discontinued at any time and ARI has no obligation to repurchase any amount of its common stock under the ARI Stock Repurchase Program. Under the ARI Stock Repurchase Program, ARI repurchased shares of its common stock during the three and nine months ended September 30, 2015 at a cost of $51 million. Subsequent to September 30, 2015, ARI repurchased additional shares of its common stock under the ARI Stock Repurchase Program at a cost of $6 million.</w:t>
      </w:r>
    </w:p>
    <w:p>
      <w:pPr>
        <w:spacing w:after="0" w:line="5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Our Railcar segment is reviewing the recently released tank railcar regulations in detail to assess their expected impact on its business and demand for its products and services. As a result of these new regulations, our Railcar segment may need to adjust its capital expenditure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July 31, 2015, Tropicana's board of directors authorized the repurchase of up to $50 million of its outstanding common stock with no set expiration date ("Tropicana Stock Repurchase Program"). The Tropicana Stock Repurchase Program will end upon the earlier of the date on which the plan is terminated by Tropicana's board of directors or when all authorized repurchases are completed. The timing and amount of stock repurchases, if any, will be determined based upon Tropicana's evaluation of market conditions and other factors. The Tropicana Stock Repurchase Program may be suspended, modified or discontinued at any time and Tropicana has no obligation to repurchase any amount of its common stock under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76" w:right="259" w:bottom="1440" w:gutter="0" w:footer="0" w:header="0"/>
        </w:sectPr>
      </w:pPr>
    </w:p>
    <w:bookmarkStart w:id="91" w:name="page92"/>
    <w:bookmarkEnd w:id="91"/>
    <w:p>
      <w:pPr>
        <w:ind w:right="180"/>
        <w:spacing w:after="0" w:line="277" w:lineRule="auto"/>
        <w:rPr>
          <w:sz w:val="20"/>
          <w:szCs w:val="20"/>
          <w:color w:val="auto"/>
        </w:rPr>
      </w:pPr>
      <w:r>
        <w:rPr>
          <w:rFonts w:ascii="Arial" w:cs="Arial" w:eastAsia="Arial" w:hAnsi="Arial"/>
          <w:sz w:val="18"/>
          <w:szCs w:val="18"/>
          <w:color w:val="auto"/>
        </w:rPr>
        <w:t>Tropicana Stock Repurchase Program. As of the date of this Report, Tropicana has not yet repurchased any shares of its common stock under the Tropicana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Except as discussed below, there have been no other material changes to our critical accounting policies and estimates during the nine months ended September 30, 2015 as compared to those reported in our Annual Report on Form 10-K for the year ended December 31,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Energy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perform our annual goodwill impairment analysis as of October 1 and April 30 of each year for our Automotive and Energy segments, respectively,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79" w:lineRule="exact"/>
        <w:rPr>
          <w:sz w:val="20"/>
          <w:szCs w:val="20"/>
          <w:color w:val="auto"/>
        </w:rPr>
      </w:pPr>
    </w:p>
    <w:p>
      <w:pPr>
        <w:ind w:right="60" w:firstLine="378"/>
        <w:spacing w:after="0" w:line="271" w:lineRule="auto"/>
        <w:rPr>
          <w:sz w:val="20"/>
          <w:szCs w:val="20"/>
          <w:color w:val="auto"/>
        </w:rPr>
      </w:pPr>
      <w:r>
        <w:rPr>
          <w:rFonts w:ascii="Arial" w:cs="Arial" w:eastAsia="Arial" w:hAnsi="Arial"/>
          <w:sz w:val="17"/>
          <w:szCs w:val="17"/>
          <w:color w:val="auto"/>
        </w:rPr>
        <w:t>The fair values of our Automotive and Energy segments' reporting units are based upon consideration of various valuation methodologies, including a discounted cash flow analysis ("DCF")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used in a DCF, which are intended to reflect the risks inherent in future cash flow projections,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are currently performing the annual goodwill impairment test as of October 1, 2015 for our Automotive segment which will be finalized during the fourth quarter of 2015.</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finalized the annual goodwill impairment test for our Energy segment during the third quarter of 2015. Based on the results of our annual goodwill impairment test for our Energy segment, while the fair market value of our Energy segment's Petroleum reporting unit was substantially in excess of its carrying value, the fair market value of our Energy segment's Fertilizer reporting unit was approximately 1% in excess of its carrying value and was therefore considered at risk for failing "Step 1" of the goodwill impairment analysis. As of September 30, 2015, our Energy segment's Fertilizer reporting unit had $253 million of goodwill allocated to it. The most significant key assumption to determining the fair value of our Energy segment's Fertilizer reporting unit was its forecasted sales growth rate. If our Energy segment's Fertilizer reporting unit fails to achieve its forecasted sales growth rate, a goodwill impairment may result in future periods.</w:t>
      </w:r>
    </w:p>
    <w:p>
      <w:pPr>
        <w:spacing w:after="0" w:line="8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finalized the assessment of our Energy segment's goodwill impairment during the first quarter of 2015 and noted that no additional adjustments to goodwill were required for the first quarter of 2015.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and Resources Estimates</w:t>
      </w:r>
    </w:p>
    <w:p>
      <w:pPr>
        <w:spacing w:after="0" w:line="117"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Estimated recoverable reserves and resources are used to determine the depreciation of mining properties, account for deferred stripping costs and in performing impairment testing. Changes in assumptions will impact the carrying value of certain assets, provisions, depreciation and potential impairment charges and the carrying value of deferred tax assets.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order to quantify reserves, estimates and assumptions are required to be made about a range of geological, technical</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76" w:right="259" w:bottom="1440" w:gutter="0" w:footer="0" w:header="0"/>
        </w:sectPr>
      </w:pPr>
    </w:p>
    <w:bookmarkStart w:id="92" w:name="page93"/>
    <w:bookmarkEnd w:id="92"/>
    <w:p>
      <w:pPr>
        <w:ind w:right="140"/>
        <w:spacing w:after="0" w:line="277" w:lineRule="auto"/>
        <w:rPr>
          <w:sz w:val="20"/>
          <w:szCs w:val="20"/>
          <w:color w:val="auto"/>
        </w:rPr>
      </w:pPr>
      <w:r>
        <w:rPr>
          <w:rFonts w:ascii="Arial" w:cs="Arial" w:eastAsia="Arial" w:hAnsi="Arial"/>
          <w:sz w:val="18"/>
          <w:szCs w:val="18"/>
          <w:color w:val="auto"/>
        </w:rPr>
        <w:t>and economic factors, including quantities, grades, production techniques, recovery rates, production costs, transport costs, commodity demand, commodity prices and exchange rates.</w:t>
      </w:r>
    </w:p>
    <w:p>
      <w:pPr>
        <w:spacing w:after="0" w:line="62"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Estimating the quantity and/or grade of reserves requires the size, shape and depth of ore bodies or fields to be determined by analyzing geological data such as drilling samples. This process may require complex and difficult geological judgments and calculations to interpret the data.</w:t>
      </w:r>
    </w:p>
    <w:p>
      <w:pPr>
        <w:spacing w:after="0" w:line="3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Given the economic assumptions used to estimate changes in reserves from period to period, and because additional geological data is generated during the course of operations, estimates of reserves may change from period to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revised effective date of ASU No. 2014-09 is for fiscal years, and interim reporting periods within those years, beginning after December 15, 2017, using one of two retrospective application methods. Early adoption is permitted only as of the annual reporting periods beginning after December 15, 2016, including interim reporting periods within that reporting period. We are currently evaluating the impact of this guidance on our consolidated financial position, results of operations, comprehensive income, cash flows and disclosures.</w:t>
      </w:r>
    </w:p>
    <w:p>
      <w:pPr>
        <w:spacing w:after="0" w:line="59"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 xml:space="preserve">In June 2014, the FASB issued ASU No. 2014-12, which amends FASB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70"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ASU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believe that the adoption of this guidance will not have a material effect on our consolidated financial position, results of operations, comprehensive income, cash flows and disclosures.</w:t>
      </w:r>
    </w:p>
    <w:p>
      <w:pPr>
        <w:spacing w:after="0" w:line="74"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which amends FASB ASU Subtopic 835-30, </w:t>
      </w:r>
      <w:r>
        <w:rPr>
          <w:rFonts w:ascii="Arial" w:cs="Arial" w:eastAsia="Arial" w:hAnsi="Arial"/>
          <w:sz w:val="17"/>
          <w:szCs w:val="17"/>
          <w:i w:val="1"/>
          <w:iCs w:val="1"/>
          <w:color w:val="auto"/>
        </w:rPr>
        <w:t xml:space="preserve">Interest - Imputation of Interest. </w:t>
      </w:r>
      <w:r>
        <w:rPr>
          <w:rFonts w:ascii="Arial" w:cs="Arial" w:eastAsia="Arial" w:hAnsi="Arial"/>
          <w:sz w:val="17"/>
          <w:szCs w:val="17"/>
          <w:color w:val="auto"/>
        </w:rPr>
        <w:t>The new standard requires that all costs incurred to issue debt be presented in the balance sheet as a direct deduction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amortization the deferred issuance costs ratably over the term of the line-of-credit arrangement. The standard is effective for interim and annual periods beginning after December 15, 2015 and is required to be applied on a retrospective basis. Early adoption is permitted. We expect that the adoption of this new guidance will generally result in a reclassification of debt issuance costs on our consolidated balance sheets.</w:t>
      </w:r>
    </w:p>
    <w:p>
      <w:pPr>
        <w:spacing w:after="0" w:line="7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 xml:space="preserve">In April 2015, the FASB issued ASU No. 2015-06, </w:t>
      </w:r>
      <w:r>
        <w:rPr>
          <w:rFonts w:ascii="Arial" w:cs="Arial" w:eastAsia="Arial" w:hAnsi="Arial"/>
          <w:sz w:val="18"/>
          <w:szCs w:val="18"/>
          <w:i w:val="1"/>
          <w:iCs w:val="1"/>
          <w:color w:val="auto"/>
        </w:rPr>
        <w:t>Effects on Historical Earnings per Unit of Master Limited Partnership Dropdown Transactions</w:t>
      </w:r>
      <w:r>
        <w:rPr>
          <w:rFonts w:ascii="Arial" w:cs="Arial" w:eastAsia="Arial" w:hAnsi="Arial"/>
          <w:sz w:val="18"/>
          <w:szCs w:val="18"/>
          <w:color w:val="auto"/>
        </w:rPr>
        <w:t xml:space="preserve">, which amends FASB ASU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This ASU requires that for purposes of calculating earnings per share under the two-class method, the earnings or losses of a transferred business before the date of a dropdown transaction should be allocated entirely to the general partner. In that circumstance, the previously reported earnings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76" w:right="259" w:bottom="1440" w:gutter="0" w:footer="0" w:header="0"/>
        </w:sectPr>
      </w:pPr>
    </w:p>
    <w:bookmarkStart w:id="93" w:name="page94"/>
    <w:bookmarkEnd w:id="93"/>
    <w:p>
      <w:pPr>
        <w:spacing w:after="0" w:line="259" w:lineRule="auto"/>
        <w:rPr>
          <w:sz w:val="20"/>
          <w:szCs w:val="20"/>
          <w:color w:val="auto"/>
        </w:rPr>
      </w:pPr>
      <w:r>
        <w:rPr>
          <w:rFonts w:ascii="Arial" w:cs="Arial" w:eastAsia="Arial" w:hAnsi="Arial"/>
          <w:sz w:val="18"/>
          <w:szCs w:val="18"/>
          <w:color w:val="auto"/>
        </w:rPr>
        <w:t>per unit of the limited partners would not change as a result of the drop down transaction. The guidance is effective for fiscal years beginning after December 15, 2015, and interim periods within those fiscal years. Earlier application is permitted. The adoption of this guidance will have no impact on our consolidated financial statements and footnote disclosures as we have historically allocated earnings or losses of a transferred business before the date of applicable dropdown transactions to the general partner for purposes of calculating earnings per share.</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amends FASB ASU Topic 330, </w:t>
      </w:r>
      <w:r>
        <w:rPr>
          <w:rFonts w:ascii="Arial" w:cs="Arial" w:eastAsia="Arial" w:hAnsi="Arial"/>
          <w:sz w:val="18"/>
          <w:szCs w:val="18"/>
          <w:i w:val="1"/>
          <w:iCs w:val="1"/>
          <w:color w:val="auto"/>
        </w:rPr>
        <w:t>Inventory</w:t>
      </w:r>
      <w:r>
        <w:rPr>
          <w:rFonts w:ascii="Arial" w:cs="Arial" w:eastAsia="Arial" w:hAnsi="Arial"/>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81"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Simplifying the Accounting for Measurement-Period Adjustments</w:t>
      </w:r>
      <w:r>
        <w:rPr>
          <w:rFonts w:ascii="Arial" w:cs="Arial" w:eastAsia="Arial" w:hAnsi="Arial"/>
          <w:sz w:val="16"/>
          <w:szCs w:val="16"/>
          <w:color w:val="auto"/>
        </w:rPr>
        <w:t xml:space="preserve">, which amends FASB ASU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 which the adjustment amounts are determined. This ASU is effective for fiscal years beginning after December 15, 2015, including interim periods within those fiscal years. The amendments in this ASU should be applied prospectively to adjustments to provisional amounts that occur after the effective date with earlier application permitted for financial statements that have not been issued. We anticipate that the adoption of this guidance will have minimal impact on our consolidated financial position, results of operations, comprehensive income, cash flows and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2014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Information about our quantitative and qualitative disclosures about market risk for each of our segments discussed below did not differ materially from those disclosed in Part II, Item 7A of our 2014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2015, we estimate that in the event of a 10% adverse change in the fair value of these investments, the fair values of securities owned, securities sold, not yet purchased and derivatives would decrease by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76" w:right="239" w:bottom="1440" w:gutter="0" w:footer="0" w:header="0"/>
        </w:sectPr>
      </w:pPr>
    </w:p>
    <w:bookmarkStart w:id="94" w:name="page95"/>
    <w:bookmarkEnd w:id="94"/>
    <w:p>
      <w:pPr>
        <w:spacing w:after="0" w:line="259" w:lineRule="auto"/>
        <w:rPr>
          <w:sz w:val="20"/>
          <w:szCs w:val="20"/>
          <w:color w:val="auto"/>
        </w:rPr>
      </w:pPr>
      <w:r>
        <w:rPr>
          <w:rFonts w:ascii="Arial" w:cs="Arial" w:eastAsia="Arial" w:hAnsi="Arial"/>
          <w:sz w:val="18"/>
          <w:szCs w:val="18"/>
          <w:color w:val="auto"/>
        </w:rPr>
        <w:t>approximately $1.3 billion, $124 million and $2.6 billion, respectively. However, as of September 30, 2015, we estimate that the impact to our share of the net (loss) gain from investment activities reported in our condensed consolidated statement of operations would be less than the change in fair value since we have an investment of approximately 46% in these Investment Funds, and the non-controlling interests in income would correspondingly offset approximately 54% of the change in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See Note 6, “Financial Instruments-Automotive,” to the condensed consolidated financial statements for discussion regarding Federal-Mogul's interest rate risk, commodity price risk and foreign currency risk. As discussed in Note 2, "Operating Units - Automotive," IEH Auto acquired substantially all of the auto parts assets in the United States of Uni-Select, Inc. during the second quarter. IEH Auto does not have significant exposure to interest rate, commodity or foreign currency risks.</w:t>
      </w:r>
    </w:p>
    <w:p>
      <w:pPr>
        <w:spacing w:after="0" w:line="7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translated values of revenue and expense from Federal-Mogul's international operations are subject to fluctuations due to changes in currency exchange rates. During the nine months ended September 30, 2015, Federal-Mogul derived 38% of its sales in the United States and 62% internationally. Of these international sales, 56% were denominated in the euro, with no other single currency representing more than 10% of international sales. To minimize foreign currency risk, Federal-Mogul generally maintains natural hedges within its non-U.S. activities, including the matching of operational revenues and costs. Where natural hedges are not in place, Federal-Mogul may manage certain aspects of its foreign currency activities and larger transactions through the use of foreign currency options or forward contracts.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At September 30, 2015, CVR Refining had open commodity hedging instruments consisting of approximately 3 million barrels of crack spreads primarily to fix the margin on a portion of our future gasoline and distillate production. A change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5" w:name="page96"/>
    <w:bookmarkEnd w:id="95"/>
    <w:p>
      <w:pPr>
        <w:spacing w:after="0" w:line="276" w:lineRule="auto"/>
        <w:rPr>
          <w:sz w:val="20"/>
          <w:szCs w:val="20"/>
          <w:color w:val="auto"/>
        </w:rPr>
      </w:pPr>
      <w:r>
        <w:rPr>
          <w:rFonts w:ascii="Arial" w:cs="Arial" w:eastAsia="Arial" w:hAnsi="Arial"/>
          <w:sz w:val="17"/>
          <w:szCs w:val="17"/>
          <w:color w:val="auto"/>
        </w:rPr>
        <w:t>$1.00 per barrel in the fair value of the crack spread swaps would result in an increase or decrease in the related fair values of commodity hedging instruments of $3 million. Additionally, at September 30, 2015, CVR Refining had open commodity hedging instruments consisting of 1.5 million barrels to fix the price on a portion of its future crude oil purchases and the basis on a portion of its future product sales. A change of $1.00 per barrel in the fair value of the benchmark crude or product basis would result in an increase or decrease in the related fair value of the commodity hedging instruments of approximately $2 million. The fair value of the outstanding contracts at September 30, 2015 was a net unrealized gain of $29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405"/>
        <w:spacing w:after="0" w:line="284"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CVR Partner's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spacing w:after="0" w:line="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90 days. The effect of these swap agreements is to lock in a fixed rate of interest of approximately 1.96% plus the applicable margin paid to lenders over three month LIBOR as governed by the CRNF credit facility. The agreements were designated as cash flow hedges at inception and accordingly, the effective portion of the gain or loss on the swap is reported as a component of accumulated other comprehensive loss and will be reclassified into interest expense when the interest rate swap transaction affects earnings. The ineffective portion of the gain or loss will be recognized immediately in current interest expense.</w:t>
      </w:r>
    </w:p>
    <w:p>
      <w:pPr>
        <w:spacing w:after="0" w:line="5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CVR Partners has exposure to interest rate risk on 50% of its $125 million floating rate term debt. A 1.0% increase over the Eurodollar floor spread of 3.5%, as specified in the credit facility,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4"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Our Railcar segment's financial results could be affected by changes in interest rates due to the impact those changes have on its variable rate debt obligation as of September 30, 2015. A one percentage point increase in the rate would have had an $11 million impact on our Railcar segment's interest expense on an annualized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September 30, 2015, assuming a 1% increase over the 4% floor specified in its Tropicana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As discussed in Note 2, "Operating Units - Mining," we obtained control, and consolidated, the results of Ferrous Resources Limited ("Ferrous Resources") during the second quarter of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76"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Ferrous Resources’ revenues are based on the sale of iron ore fines. Our Mining segment's financial results can vary significantly as a result of fluctuations in the market prices of iron ore. International prices for this commodity have fluctuated historically and are affected by numerous factors beyond Ferrous Resources' control. The price index that is utilized in our Mining segment's iron ore sales contracts is the Platts 62 percent Fe fines spot rate pricing, which can fluctuate widely due to numerous factors, such as global economic growth or contraction, change in demand for steel or changes in availability of supply. Our Mining segment estimates that a hypothetical 10% adverse movement in the international price of iron ore for the period June 1, 2015 through September 30, 2015 would have decreased net income attributable to Icahn Enterprises for our Mining segment by less than $1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the significant capital expenditure is expected to be incurred in U.S. dollars. Accordingly, our Mining segment's financial results may be impacted by exchange rate fluctuations between the U.S. dollar and the Brazilian Real. Our Mining segment estimates that a hypothetical 10% adverse movement of the Brazilian Real against the U.S. dollar over the for the period June 1, 2015 through September 30, 2015 would have decreased net income attributable to Icahn Enterprises for our Mining segment by $2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September 30, 2015, the effects of a 10% adverse change in the fair value of these investments would result in loss of approximately $17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September 30, 2015,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76"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See Note 17, “Commitments and Contingencies” to the condensed consolidated financial statements located in Part I, Item I of this Report, which is incorporated by reference into this Part II, Item 1, for a description of the litigation, legal and administrative proceedings and environmental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Except as disclosed below, there were no other material changes to our risk factors during the nine months ended September 30, 2015 as compared to those reported in our Annual Report on Form 10-K for the year ended December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Train derailments or other accidents involving our Railcar segment's products could subject it to legal claims and/or result in regulatory changes that may adversely impact our Railcar segment's business, financial condition and results of operations.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Railcar segment manufactures railcars for our customers to transport a variety of commodities, including railcars that transport hazardous materials such as crude oil and other petroleum products. Our Railcar segment also manufactures railcar components as well as industrial components for use in several markets, including the trucking, construction, mining and oil and gas exploration markets. Our Railcar segment could be subject to various legal claims, including claims for negligence, personal injury, physical damage and product liability, as well as potential penalties and liability under environmental laws and regulations, in the event of a train derailment or other accident involving our products or services. If our Railcar segment becomes subject to any such claims and are unable successfully to resolve them, our Railcar segment's business, financial condition and results of operations could be materially adversely affected.</w:t>
      </w:r>
    </w:p>
    <w:p>
      <w:pPr>
        <w:spacing w:after="0" w:line="8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Recent derailments in North America of trains transporting crude oil have caused various U.S and Canadian regulatory agencies, industry organizations, as well as Class I Railroads and community governments, to focus attention on transportation by rail of flammable materials. For example, in April 2014, Transport Canada (TC), a federal department of the Canadian government that regulates rail transportation and safety within Canada, issued a protective order mandating that tank railcars with certain specifications must no longer transport certain designated dangerous goods, including certain flammable liquids, within Canada. Significantly, on May 1, 2015, TC and the Pipeline and Hazardous Materials Safety Administration (PHMSA) of the U.S. Department of Transportation released final rules related to rail transport of certain flammable liquids. In addition, railroads and other organizations may impose requirements for railcars that are more stringent than, or in addition to, any governmental regulations that may be adopted.</w:t>
      </w:r>
    </w:p>
    <w:p>
      <w:pPr>
        <w:spacing w:after="0" w:line="59"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Railcar segment is reviewing the tank railcar regulations in detail to assess their expected impact on its business, including their potential impact on the railcars and components it manufactures, the services it provides and the railcars that it leases, as well as our customers’ demand for these products and services. Our Railcar segment is unable to predict what impact these or other regulatory changes may have, if any, on its business or the railcar industry as a whole. These rules and the industry’s responsiveness in complying with these new rules may materially impact the rail industry as a whole; railroad operations; older and newer railcars that meet or exceed currently mandated standards; future railcar specifications; and the capability of the North American railcar manufacturing, repair and maintenance infrastructure to implement mandated retrofit configurations or new construction. As a result of such regulations, certain of our Railcar segment's railcars could be deemed unfit for further commercial use (which would diminish or eliminate future revenue generated from leased railcars) and/or require retrofits or modifications. The costs associated with any required retrofits or modifications could be substantial. While certain regulatory changes could result in increased demand for refurbishment and/or new railcar manufacturing activity, if our Railcar segment is unable to adapt its business to changing regulations or railroad standards, and/or take advantage of any increase in demand for its products and services, our Railcar segment's business, financial condition and results of operations could be materially adversely affected. Our Railcar segment cannot assure that costs incurred to comply with any new standards and regulations, including those released by PHMSA and TC, will not be material to our Railcar segment's business, financial condition or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64"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discussed elsewhere in this Report, we obtained control of Ferrous Resources Limited ("Ferrous Resources") during the second quarter of 2015. The following risk factors pertain to Ferrous Resources, representing our Mining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segment's financial performance is dependent on the global price of iron ore and global demand levels for iron ore.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economic viability of Ferrous Resources’ business is highly dependent on the market price of iron ore. Ferrous Resources’ longer-term strategy is to produce and sell iron ore products in the domestic Brazilian market, as well as to the export markets, principally China, Japan, Korea, the Middle East and potentially Europe. The future revenues Ferrous Resources will be able to achieve from the sale of iron ore products will depend on Brazilian and global demand levels for iron ore, iron ore international sales prices, the type of iron ore product it sells and the iron (Fe) content of those products. Iron ore prices (including sale prices in Brazil) are largely driven by global demand for crude steel, the primary driver for iron ore demand. Part of Ferrous Resources iron ore export sales are made pursuant to long-term supply contracts, the sales prices for which are determined based on market price indices and will be subject to certain discounts or premiums (depending on the quality of final product) and periodic price adjustments.</w:t>
      </w:r>
    </w:p>
    <w:p>
      <w:pPr>
        <w:spacing w:after="0" w:line="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Global demand for iron ore products and related sales prices have historically varied, and are expected to continue to vary according to the worldwide demand for iron ore and steel, which in turn, is likely to be heavily influenced by worldwide economic activity and global iron ore supply levels. Iron ore demand may also be impacted by regulatory tariffs in effect in major importing or exporting countries. Global iron ore price levels directly impact Ferrous Resources’ sales prices. Conversion of Ferrous Resources’ iron ore resources to reserves and the production of iron ore products are economically feasible only on the basis of relatively high global iron ore prices driven by worldwide demand for iron ore products. International iron ore prices have been volatile in recent years, falling from roughly US$135 per dry metric ton (“dmt”) in average in 2013 to an average of US$96.70/dmt in 2014 and reached US$44.50/dmt in early July 2015. Iron ore was trading at an average of approximately US$55.00/dmt in the third quarter of 2015.</w:t>
      </w:r>
    </w:p>
    <w:p>
      <w:pPr>
        <w:spacing w:after="0" w:line="70" w:lineRule="exact"/>
        <w:rPr>
          <w:sz w:val="20"/>
          <w:szCs w:val="20"/>
          <w:color w:val="auto"/>
        </w:rPr>
      </w:pPr>
    </w:p>
    <w:p>
      <w:pPr>
        <w:ind w:right="760" w:firstLine="405"/>
        <w:spacing w:after="0" w:line="308" w:lineRule="auto"/>
        <w:rPr>
          <w:sz w:val="20"/>
          <w:szCs w:val="20"/>
          <w:color w:val="auto"/>
        </w:rPr>
      </w:pPr>
      <w:r>
        <w:rPr>
          <w:rFonts w:ascii="Arial" w:cs="Arial" w:eastAsia="Arial" w:hAnsi="Arial"/>
          <w:sz w:val="17"/>
          <w:szCs w:val="17"/>
          <w:color w:val="auto"/>
        </w:rPr>
        <w:t>Worldwide prices for iron ore have been mainly determined via a spot pricing mechanism and the sales prices for the products sold by Ferrous Resources are generally determined based on market price indices considered as reference for the seaborne iron ore market.</w:t>
      </w:r>
    </w:p>
    <w:p>
      <w:pPr>
        <w:spacing w:after="0" w:line="3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 number of factors beyond Ferrous Resources’ control will impact contract and spot iron ore prices and the price which Ferrous Resources may receive for its iron ore production, most notably the levels of worldwide steel production and demand for steel products, the level of worldwide production of iron ore products, the relationship between the major iron ore producers and consumers and government tariffs.</w:t>
      </w:r>
    </w:p>
    <w:p>
      <w:pPr>
        <w:spacing w:after="0" w:line="57" w:lineRule="exact"/>
        <w:rPr>
          <w:sz w:val="20"/>
          <w:szCs w:val="20"/>
          <w:color w:val="auto"/>
        </w:rPr>
      </w:pPr>
    </w:p>
    <w:p>
      <w:pPr>
        <w:jc w:val="both"/>
        <w:ind w:right="680" w:firstLine="405"/>
        <w:spacing w:after="0" w:line="312" w:lineRule="auto"/>
        <w:rPr>
          <w:sz w:val="20"/>
          <w:szCs w:val="20"/>
          <w:color w:val="auto"/>
        </w:rPr>
      </w:pPr>
      <w:r>
        <w:rPr>
          <w:rFonts w:ascii="Arial" w:cs="Arial" w:eastAsia="Arial" w:hAnsi="Arial"/>
          <w:sz w:val="16"/>
          <w:szCs w:val="16"/>
          <w:color w:val="auto"/>
        </w:rPr>
        <w:t>More recently, oversupply in the global markets for iron ore contributed to a steep decline in price levels for iron ore of the grades produced at Esperança and Santanense (two of Ferrous Resources’ properties) falling below the level necessary to make continuation of mining activities at these properties economically viable. In March 2015 the Esperança and Santanense mines ceased production and were put in care and maintenance.</w:t>
      </w:r>
    </w:p>
    <w:p>
      <w:pPr>
        <w:spacing w:after="0" w:line="39"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If iron ore oversupply levels continue to keep prices at depressed levels or decline further or if transportation, port, agency or processing costs were to increase or fail to decline in proportion to the reduction in iron ore prices, Ferrous Resources may not be able to economically produce and sell iron ore from its Viga mine which could result in Ferrous Resources delaying, suspending, reducing or ceasing production activities, which would have a material adverse effect on our Mining segment’s business, results of operations, financial condition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Ferrous Resources has limited cash available and is currently not profitable.</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Ferrous Resources’ cash levels dropped from approximately US$56 million at December 31, 2014 to approximately US$28 million at September 30, 2015 primarily due to lower iron ore selling prices, costs associated with the suspension of operations at its Santanense and Esperança mines and essential capital expenditures at its Viga mine. Ferrous Resources’ Viga mine, which is currently its only operating mine, is operating at marginal levels of profitability that are not able to support Ferrous Resources’ care and maintenance costs at its other mines as well as its corporate overhead. There is no assurance that Ferrous Resources will not run out of cash in the near future resulting in a material adverse effect on our Mining segment's results of operations and financial condition.</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iron ore industry is intensely competitive and Ferrous Resources may experience pricing pressure and have difficulty effectively competing with other iron ore mining companies.</w:t>
      </w:r>
    </w:p>
    <w:p>
      <w:pPr>
        <w:spacing w:after="0" w:line="62"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iron ore industry is characterized by intense competition and a high level of market concentration. Ferrous Resources competes with a number of large international mining companies, many of which have mineral and financial resources substantially greater than those of Ferrous Resources. Industry competitors may acquire additional exploration rights over iron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26" w:right="239" w:bottom="1440" w:gutter="0" w:footer="0" w:header="0"/>
        </w:sectPr>
      </w:pPr>
    </w:p>
    <w:bookmarkStart w:id="99" w:name="page100"/>
    <w:bookmarkEnd w:id="99"/>
    <w:p>
      <w:pPr>
        <w:spacing w:after="0" w:line="279" w:lineRule="auto"/>
        <w:rPr>
          <w:sz w:val="20"/>
          <w:szCs w:val="20"/>
          <w:color w:val="auto"/>
        </w:rPr>
      </w:pPr>
      <w:r>
        <w:rPr>
          <w:rFonts w:ascii="Arial" w:cs="Arial" w:eastAsia="Arial" w:hAnsi="Arial"/>
          <w:sz w:val="17"/>
          <w:szCs w:val="17"/>
          <w:color w:val="auto"/>
        </w:rPr>
        <w:t>ore deposits, with an added advantage of scale in their businesses, reduced costs and proprietary logistics systems and may engage in pricing or other financial or operational practices that will increase competitive pressure on Ferrous Resources. Competition from foreign direct investment in Ferrous Resources’ domestic competitors or continued market concentration could result in Ferrous Resource experiencing difficulty establishing or increasing market share and could have a material adverse effect on our Mining segment’s business, results of operations,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iron ore declines further, Ferrous Resources may be required to cease operations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If iron ore prices decline further or remain depressed for an extended period, Ferrous Resources may no longer be able to fund its current operations and be forced to suspend or cease operations. Any such suspension or termination in operations will require substantial suspension or shutdown costs including social, environmental remediation and contract breakage costs. Such costs may exceed the cash available to Ferrous Resources without sales of its core mining assets. Asset sales effected in a market downturn typically do not result in favorable prices and could result in the complete liquidation of Ferrous Resources without fully satisfying its remaining obligations.</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Exchange rate instability and changes in the value of the Brazilian real relative to the U.S. dollar and other foreign currencies may adversely affect our Mining segment's financial condition and results of operations.</w:t>
      </w:r>
    </w:p>
    <w:p>
      <w:pPr>
        <w:spacing w:after="0" w:line="62"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The Brazilian currency has been devalued frequently over the past four decades. Throughout this period, the Brazilian government has implemented various economic plans and exchange rate policies, including sudden devaluations, periodic small devaluations (during which the frequency of adjustments has ranged from daily to monthly), exchange controls, dual exchange rate markets and a floating exchange rate system. From time to time, there have been significant fluctuations in the exchange rate between the Brazilian currency and the U.S. dollar and other currencies. For example, the Brazilian real hit a 5-year high of R$1.5375 to US$1.00 in July 2011 and a 12-year low of R$4.1949 to US$1.00 in September 2015. There can be no assurance that the currency will not fall in value against the U.S. dollar in the future.</w:t>
      </w:r>
    </w:p>
    <w:p>
      <w:pPr>
        <w:spacing w:after="0" w:line="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Depreciation of the Brazilian real against the U.S. dollar could create additional inflationary pressures in Brazil. Depreciation generally makes it more difficult to access foreign financial markets and may prompt government intervention, including recessionary economic policies. Conversely, appreciation of the Brazilian real against the U.S. dollar may lead to the deterioration of Brazil’s current account and balance of payments as well as hinder the growth of exports.</w:t>
      </w:r>
    </w:p>
    <w:p>
      <w:pPr>
        <w:spacing w:after="0" w:line="7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Ferrous Resources’ reporting currency is the U.S. dollar. Ferrous Resources expects that most of its revenues will be denominated in U.S. dollars, while most of its costs (other than expenses related to debt servicing, which are likely to be U.S. dollar-denominated) will be denominated in Brazilian reais. Ferrous Resources also expects to hold certain assets and incur certain liabilities in other foreign currencies. Consequently, increases in the value of the Brazilian real and other foreign currencies relative to the U.S. dollar may result in a reduction in Ferrous Resources’ reported profits. In addition, because Ferrous Resources’ functional currency is the U.S. dollar, both at a consolidated and operating company level, Ferrous Resources must translate Brazilian real denominated assets and liabilities into U.S. dollars. To do so, non-U.S. dollar denominated monetary assets and liabilities are translated into U.S. dollars using the closing exchange rate at the date of the balance sheets. Consequently, increases or decreases in the value of the U.S. dollar versus the Brazilian real and other foreign currencies may affect Ferrous Resources’ assets and liabilities in Ferrous Resources’ balance sheets. Depreciation of the U.S. dollar versus such foreign currencies will increase the value of assets and liabilities on Ferrous Resources’ balance sheets while appreciation of the U.S. dollar versus such foreign currencies will decrease the value of assets and liabilities on Ferrous Resources’ balance sheets. Appreciation of the Brazilian real against the U.S. dollar would cause Ferrous Resources’ projected capital and operating costs (as expressed in U.S. dollars) to increase. Any of the foregoing could adversely affect our Mining segment’s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Ferrous Resources may experience delays in implementing its Viga mining plan or may not be able to implement it in its current form.</w:t>
      </w:r>
    </w:p>
    <w:p>
      <w:pPr>
        <w:spacing w:after="0" w:line="12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Ferrous Resources will need to raise a substantial amount of equity and debt financing to build both the Viga 4+ Project and the Viga 17 Project. Only if both projects are successfully financed and completed does Ferrous Resources’ business plan target production of iron ore at a rate of 21 million metric tons per year from the Viga Property. While Ferrous Resources currently either owns or has access to the required areas to develop the Viga 21 Project, which covers a total of approximately 2,671 hectacres, part of the project area is subject to judicial proceedings relating to challenges over possession rights in such areas. The disputed areas cover approximately 4.7 hectacres, which corresponds to approximately 0.46% of the total project area. Ferrous Resources intends to request the Brazilian National Department of Mineral Production (“DNPM”) to grant easements over the areas to Ferrous Resources and will seek other legal measures to retain possession of such areas. However, there can be no assurances that the DNPM will grant such easements or that Ferrous Resources will be successful in retaining possession of the areas within the timeframe required by Ferrous Resources’ business plan. If Ferrous Resources is unsuccessful in its efforts to secure such rights, it would limit its ability to mine approximately 9% of the otherwise mineable ore reserves at the Viga Property.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76" w:right="239" w:bottom="1440" w:gutter="0" w:footer="0" w:header="0"/>
        </w:sectPr>
      </w:pPr>
    </w:p>
    <w:bookmarkStart w:id="100" w:name="page101"/>
    <w:bookmarkEnd w:id="100"/>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Our Mining segment's business plans will require substantial capital investment. Actual capital expenditure requirements may be higher than expected and Ferrous Resources may have difficulty obtaining required financing.</w:t>
      </w:r>
    </w:p>
    <w:p>
      <w:pPr>
        <w:spacing w:after="0" w:line="62"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Ferrous Resources will need to make substantial capital investments in order to develop the Viga 17 Project and related processing and infrastructure. Ferrous Resources currently projects that implementing the Viga 17 Project will require total capital expenditures of approximately US$1.2 billion. Ferrous Resources intends to make such capital investments in the Viga 17 Project only if it is successful in raising the necessary equity and debt financing to fund such capital expenditures.</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Also, in order to fund capital expenditures required to complete the Viga 4+ Project, Ferrous Resources expects to require additional equity funding together with additional debt. Ferrous Resources may be unable to obtain equity or debt financing in the amounts required in a timely manner, on commercially acceptable terms or at all. If Ferrous Resources is unable to obtain sufficient equity and debt financing in a timely manner the Viga 4+ Project may not be completed.</w:t>
      </w:r>
    </w:p>
    <w:p>
      <w:pPr>
        <w:spacing w:after="0" w:line="7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As indicated above, Ferrous Resources will require additional equity and debt financing to fund the capital expenditures anticipated to be required to complete the Viga 17 Project. Ferrous Resources’ business plan for the development of the Viga 17 Project is in large part supported by the analysis performed and included in certain feasibility studies. Certain feasibility studies were prepared based on the construction work required to complete the Viga 17 Project commencing in March 2015. Ferrous Resources did not secure the necessary additional equity and debt financing to fund the capital expenditures by September 30, 2015.</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There can be no assurance that Ferrous Resources will be successful in raising the equity or debt financing necessary to complete the Viga 4+ Project or the Viga 17 Project in a timely manner, on commercially acceptable terms or at all. In addition, Ferrous Resources may also have to raise financing in excess of that anticipated to complete the Viga 4+ Project and the Viga 17 Project if there are cost overruns. There can be no assurance that Ferrous Resources will be successful in its efforts to raise such financing or that the terms of any such financing may not be materially less favorable to Ferrous Resources than currently anticipated.</w:t>
      </w:r>
    </w:p>
    <w:p>
      <w:pPr>
        <w:spacing w:after="0" w:line="8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Ferrous Resources is also actively considering a number of strategies to increase profitability. To the extent that Ferrous Resources decides to implement these or other projects, Ferrous Resources’ capital expenditure requirements could increase. To the extent the capital expenditures required to implement any of these projects exceed available cash flow, Ferrous Resources may have to maintain bank debt at higher levels or for a longer period of time than currently anticipated. Moreover, if bank debt is not available on acceptable terms, or at all, Ferrous Resources may be unable to undertake these projects.</w:t>
      </w:r>
    </w:p>
    <w:p>
      <w:pPr>
        <w:spacing w:after="0" w:line="46"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Ferrous Resources’ longer term capital expenditure requirements may prove to be significantly higher than its projected capital expenditure requirements, including due to the occurrence of identified potential contingencies.</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If Ferrous Resources’ capital expenditure requirements prove to be significantly higher than expected it could have a material adverse effect on our Mining segment’s ability to realize its business plan and on its business, results of operations and financial condition. In addition, if Ferrous Resources fails to generate or obtain sufficient capital resources to establish, develop and operate its business, its business could fail, or Ferrous Resources could be forced to reduce or delay capital expenditures, sell assets or re-structure future indebtedness, which could materially and adversely affect our Mining segment’s business, results of operations, financial condition.</w:t>
      </w:r>
    </w:p>
    <w:p>
      <w:pPr>
        <w:spacing w:after="0" w:line="13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Mining segment may not be able to maintain the mining, environmental or other licenses and authorizations necessary to conduct iron ore exploration, mining and production activities.</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licensing regime in Brazil for the exploration, extraction and production of minerals is governed primarily by the Brazilian Mining Code (“Mining Code”) and regulations issued thereunder. The conduct of exploration, mining or mineral processing activities in Brazil requires numerous permits, licenses and authorizations from various Brazilian government agencies, including the DNPM, and relevant state environmental agencies at each phase of mining activity. Ferrous Resources holds all of the mining, environmental licenses and water extraction permits and/or authorizations required to conduct its current mining and processing activities, as well as the licenses, permits and authorizations required for the construction and implementation of its planned Viga 17 Project, but not all of the required licenses, permits or authorizations for the projects not included in Ferrous Resources’ immediate plans. Further, Ferrous Resources’ licenses, permits and/or authorizations may be revoked if Ferrous Resources fails to comply with certain prescribed requirements. There can be no assurance that Ferrous Resources will be able to obtain or maintain the necessary licenses, permits and/or authorizations to implement its business plan on a timely or favorable basis, or at all and any failure to do so could have a material adverse effect on our Mining segment’s business, results of operations, financial condition.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Mining segment may experience difficulties or delays in accessing transportation infrastructure necessary in order for it to transport or export iron ore products at a commercially viable price, or at all.</w:t>
      </w:r>
    </w:p>
    <w:p>
      <w:pPr>
        <w:spacing w:after="0" w:line="6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order for Ferrous Resources to achieve its objective of becoming a large-scale iron ore producer and exporter, it will need to ensure it can transport iron ore product to a port at a commercially viable price for onward export by sea. Ferrous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530" w:right="259" w:bottom="1440" w:gutter="0" w:footer="0" w:header="0"/>
        </w:sectPr>
      </w:pPr>
    </w:p>
    <w:bookmarkStart w:id="101" w:name="page102"/>
    <w:bookmarkEnd w:id="101"/>
    <w:p>
      <w:pPr>
        <w:ind w:right="240"/>
        <w:spacing w:after="0" w:line="312" w:lineRule="auto"/>
        <w:rPr>
          <w:sz w:val="20"/>
          <w:szCs w:val="20"/>
          <w:color w:val="auto"/>
        </w:rPr>
      </w:pPr>
      <w:r>
        <w:rPr>
          <w:rFonts w:ascii="Arial" w:cs="Arial" w:eastAsia="Arial" w:hAnsi="Arial"/>
          <w:sz w:val="16"/>
          <w:szCs w:val="16"/>
          <w:color w:val="auto"/>
        </w:rPr>
        <w:t>Resources currently has short-term access to certain port and rail facilities and is exporting some of its production, but this is not a guarantee that Ferrous Resources will continue to have such access to port and rail on a long-term basis. Ferrous Resources does not currently have long-term port and rail agreements in place and may not be able finalize such agreements to secure transport of its product to export markets at commercially viable costs or at all.</w:t>
      </w:r>
    </w:p>
    <w:p>
      <w:pPr>
        <w:spacing w:after="0" w:line="39"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Delays to Ferrous Resources’ ability to secure long-term port or rail agreements at commercially reasonable levels would likely result in delays to Ferrous Resources commencing large-scale export activities. Depending on international iron ore prices, this might have a corresponding adverse impact on revenue generation and cash flow from operating activities. Unforeseen difficulties in securing access to the planned transportation infrastructure owned by third parties could also result in our Mining segment’s operating expenditures being higher than projected.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operations are subject to extensive environmental risks inherent to the mining and iron ore processing industry.</w:t>
      </w:r>
    </w:p>
    <w:p>
      <w:pPr>
        <w:spacing w:after="0" w:line="129"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Ferrous Resources’ operations are or may become subject to potential risks and liabilities associated with pollution of the environment and the disposal of waste products that may occur as a result of its mineral exploration, development and production, including damage to preservation areas, over-development or extraction and accidental spills and leakages. Such potential liabilities include not only the obligation to remedy environmental damage and indemnify affected third parties, but also the imposition of court judgments, administrative penalties and criminal sanctions against Ferrous Resources and its employees and executive officers. Ferrous Resources has also conducted environmental reclamation work in certain of its properties as a result of inherited environmental problems caused by historic mining activities, and is required to conduct ongoing work agreed with Brazilian environmental authorities as a result of its current operations. As Ferrous Resources conducts this reclamation work, or if it is required to complete more extensive work as a result of new or revised regulatory requirements, Ferrous Resources may experience increased costs and limited production at these sites and may be required to complete such reclamation work before it receives any financial returns from its properties. In addition, if Ferrous Resources is unable to fully remedy an environmental problem, it may be required to suspend operations or enter into interim compliance measures pending completion of the required remedy which may result in increased costs and reduced production rates.</w:t>
      </w:r>
    </w:p>
    <w:p>
      <w:pPr>
        <w:spacing w:after="0" w:line="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conduct of its operations, Ferrous Resources is subject to regular inspections and spot checks by various regulators, including the DNPM and environmental regulators, and reporting requirements for a range of issues relating to environmental pollution. Ferrous Resources must also comply with maximum acceptable concentrations, as determined by the Brazilian state authorities, for air quality, water quality, soils and sediments. Any issues identified in such inspections or reporting processes and/or any breach of these requirements could have a material adverse effect on our Mining segment’s business, results of operations,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mineral resources are based on estimates and it may not be able to convert them into reserves or actual production.</w:t>
      </w:r>
    </w:p>
    <w:p>
      <w:pPr>
        <w:spacing w:after="0" w:line="12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Ferrous Resources’ mineral resources are based on estimates only, and no assurance can be given that the estimated quantities or grades of iron ore will be converted into reserves at the anticipated conversion rates or at all, or that particular levels of recovery and production of iron ore will be realized. Calculation of mineral resource estimates is a subjective process of approximation of underground mineral deposits that cannot be measured in an exact manner, and the accuracy of any resource estimate is a function of the quality of available data and engineering and geological interpretation and judgment. The estimates of Ferrous Resources’ mineral resources have been derived on the basis of assays of drilled samples to which established methods of estimating measured, indicated and inferred mineral resources have been applied. However, there is uncertainty in any mineral resource estimate and subsequent results of actual mining and production operations may lead to revisions of initial estimates or to the realization that the mineral resource estimates do not convert into proven or probable reserves at the expected conversion rates or at all. Moreover, fluctuations in the market price of iron ore, reduced recovery rates or increased production costs due to inflation or other factors may render resources uneconomically viable to extract. The estimated mineral resources should not be interpreted as an assurance of reserves of the commercial viability, potential or profitability of any future operations. If the estimated mineral resources prove inaccurate, this would have a material adverse effect on our Mining segment’s business, operating results,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 may face uncertainties relating to the identification of viable ore bodies at future exploration sites.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Ferrous Resources may need to identify, access and develop additional mineral deposits, resources and reserves in order to continue its mining activities beyond what is envisaged in its current business plan upon the depletion of the anticipated mineral resources at its properties. Future exploration programs may fail to result in the development of resources and reserves or in the expansion or replacement of reserves depleted by production. Any mineral exploration program requires locating economically viable ore bodies, identifying appropriate metallurgical processes, obtaining required governmental permits and constructing mining and processing facilities. No assurance can be given that any mineral exploration program that Ferrous Resources may choose to develop will result in the discovery of new resources and reserves or the establishment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7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continuation of an economically viable mine.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Mining segment's ability to construct and implement its projects depends on the provision of important services and equipment by third parties.</w:t>
      </w:r>
    </w:p>
    <w:p>
      <w:pPr>
        <w:spacing w:after="0" w:line="14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Ferrous Resources depends heavily on third-party contractors and consultants for the provision of certain services, such as project management, engineering, construction, process design and planning, as well as third-party providers of mining equipment in order to develop its properties and conduct its operations. Ferrous Resources has entered into, or is in the process of negotiating, arrangements for certain of these services, such as process design and engineering; however, there can be no assurance that Ferrous Resources will be able to secure on a timely manner or on commercially acceptable terms or at all the provision of all the services that it will need to be successful or that the arrangements it does enter into will be sufficient for Ferrous Resources’ future needs or will not be interrupted or cease altogether. In particular, certain of Ferrous Resources’ equipment rental and other service contracts may be terminable at will by the service provider.</w:t>
      </w:r>
    </w:p>
    <w:p>
      <w:pPr>
        <w:spacing w:after="0" w:line="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certain of the services required for Ferrous Resources’ operations and strategic developments are or may in the future be available on commercially reasonable terms only from a limited number of providers. In particular, Ferrous Resources may encounter difficulty in securing the services of specialized contractors due to high demand for those services resulting from significant competition from other mining companies operating in the Iron Ore Quadrangle in the State of Minas Gerais, Brazil. Ferrous Resources’ business may be negatively affected by the failure or delay of third parties in supplying these services, by any change to the terms on which these services are made available by third-party providers or by third-party providers failing to provide services that meet Ferrous Resources’ quality requirements.</w:t>
      </w:r>
    </w:p>
    <w:p>
      <w:pPr>
        <w:spacing w:after="0" w:line="8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If Ferrous Resources is forced to change a provider of such services, it may experience additional costs, interruptions to supply continuity or other adverse effects on its business. There also can be no assurance that Ferrous Resources would be able to find adequate replacement services on a timely basis or at all. Should Ferrous Resources be unable to acquire or retain providers of key services on favorable terms, or should there be interruptions to, or inadequacies with, any services provided, this could have a material adverse effect on our Mining segment’s business, results of operations, financial condition.</w:t>
      </w:r>
    </w:p>
    <w:p>
      <w:pPr>
        <w:spacing w:after="0" w:line="1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Mining segment's compliance with health and safety laws may require increased capital expenditures, and non-compliance may subject it to significant penalties.</w:t>
      </w:r>
    </w:p>
    <w:p>
      <w:pPr>
        <w:spacing w:after="0" w:line="6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Ferrous Resources is required to comply with a range of health and safety laws and regulations in connection with its business activities. A violation of health and safety laws relating to a mine, or at a processing or other plant, or a failure to comply with the instructions of the relevant health and safety authorities, could lead to, amongst other things, a temporary shutdown of all or a portion of the mine or of a processing or other plant; a loss by Ferrous Resources of its right to mine or operate a processing or other plant, or the imposition of costly compliance measures. If health and safety authorities require Ferrous Resources to shut down all or a portion of a mine or a processing or other plant or to implement costly compliance measures, whether pursuant to existing or new health and safety laws and regulations, or the more stringent enforcement of existing laws and regulations, such measures could have a material adverse effect on our Mining segment’s business, results of operations, financial condition.</w:t>
      </w:r>
    </w:p>
    <w:p>
      <w:pPr>
        <w:spacing w:after="0" w:line="124"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Our Mining segment's surface rights, mineral rights or ownership rights to companies holding mineral rights or surface rights, have been and may in the future be challenged by prior owners, bankruptcy trustees and creditors of prior owners, among others, and may give rise to various successor liabilities.</w:t>
      </w:r>
    </w:p>
    <w:p>
      <w:pPr>
        <w:spacing w:after="0" w:line="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Some of Ferrous Resources’ surface rights and mineral rights which Ferrous Resources has acquired in the past have been the subject of disputes by third parties challenging Ferrous Resources’ or a previous owner’ ownership rights. Companies, surface rights and mineral rights that Ferrous Resources acquires in the future may be or become subject to similar claims. Third parties may have known or unknown valid claims relating to portions of Ferrous Resources’ interests, including prior unregistered liens, agreements, transfers or claims, and title may be affected by, among other things, undetected defects. In particular, Ferrous Resources has acquired, and may acquire, companies, surface rights or mineral rights that are the subject of debt restructuring or bankruptcy proceedings. Under Brazilian law, claims may be brought challenging subsequent transfers of assets or rights that were previously subject to or indirectly involved in debt restructuring or bankruptcy proceedings, or attempting to link the debt restructuring or bankruptcy proceedings and such subsequent transfers.</w:t>
      </w:r>
    </w:p>
    <w:p>
      <w:pPr>
        <w:spacing w:after="0" w:line="8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If historical transfers are successfully challenged or if Ferrous Resources is unsuccessful in defending against easement or adverse possession claims or other unknown successor liabilities, it risks losing its ownership interest in such assets or rights, having its ability to use them impeded or becoming liable for unanticipated liabilities or penalties, each of which could have a material adverse effect on our Mining segment’s business, financial condition,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segment's business is subject to the risk of operational disruptions, damage to property or injury to persons.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Ferrous Resources’ business operations, like those of other mining companies, are subject to a number of risks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76" w:right="279" w:bottom="1440" w:gutter="0" w:footer="0" w:header="0"/>
        </w:sectPr>
      </w:pPr>
    </w:p>
    <w:bookmarkStart w:id="103" w:name="page104"/>
    <w:bookmarkEnd w:id="103"/>
    <w:p>
      <w:pPr>
        <w:ind w:right="120"/>
        <w:spacing w:after="0" w:line="254" w:lineRule="auto"/>
        <w:rPr>
          <w:sz w:val="20"/>
          <w:szCs w:val="20"/>
          <w:color w:val="auto"/>
        </w:rPr>
      </w:pPr>
      <w:r>
        <w:rPr>
          <w:rFonts w:ascii="Arial" w:cs="Arial" w:eastAsia="Arial" w:hAnsi="Arial"/>
          <w:sz w:val="18"/>
          <w:szCs w:val="18"/>
          <w:color w:val="auto"/>
        </w:rPr>
        <w:t>hazards, including industrial and railway accidents, rock falls, environmental hazards, power outages, equipment failures, unusual or unexpected geological conditions, severe weather conditions and other natural phenomena or “acts of God.” Ferrous Resources already engages and intends to continue to engage primarily in open pit mining of its mineral rights areas. In conducting and developing its open pit mining operations, Ferrous Resources must from time to time take certain measures to prepare the mineral rights areas including environmental reclamation, excavation, clearing and pit wall support works. Hazards associated with preparatory mining works and open pit mining include accidents involving the operation of open pit mining and rock transportation equipment, the preparation and ignition of large-scale open pit blasting operations, the collapse of open pit walls and the flooding of open pits. Ferrous Resources’ operations currently require the removal of groundwater during mining, which may give rise to additional hazards including, but not limited to, accidents and flooding.</w:t>
      </w:r>
    </w:p>
    <w:p>
      <w:pPr>
        <w:spacing w:after="0" w:line="8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Ferrous Resources also faces risks with respect to its processing activities. Hazards associated with processing include the risk of accidents caused by operating crushing and concentrating plants and equipment.</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Ferrous Resources may experience mine or plant shutdowns or periods of reduced production as a result of any of the above factors. Such factors could also result in material damage to, or the destruction of, mineral properties or production facilities, human exposure to pollution, personal injury or death, environmental and natural resource damage, delays in mining, delays in shipment, monetary losses and possible legal liability, each of which could have a material adverse effect on our Mining segment’s business, results of operations,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 may face uninsured costs and liabilities.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Ferrous Resources, as a participant in exploration and mining programs, may become subject to liability for hazards for which it cannot be insured, which could exceed policy limits or against which it may elect not to be insured due to high premium costs. These risks include but are not limited to industrial accidents, railway accidents, rock falls, environmental hazards, power outages, equipment failures, unusual or unexpected geological conditions, severe weather conditions and other natural phenomena or “acts of God.” These events may damage or destroy mining properties, production facilities, transport facilities and equipment, as well as lead to personal injury or death, environmental damage, waste from intermediary products or resources, mining, production or transportation delays and monetary losses or legal liability. There is no assurance that Ferrous Resources will be able to rebuild damaged property in a timely manner or at all.</w:t>
      </w:r>
    </w:p>
    <w:p>
      <w:pPr>
        <w:spacing w:after="0" w:line="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Ferrous Resources has limited insurance coverage for most of its plant and facilities, for business interruption, for third-party liability in respect of property and for environmental damage arising from accidents on its property or relating to its operations. Ferrous Resources intends to obtain additional comprehensive insurance coverage in the future in relation to its sites to the extent Ferrous Resources believes necessary as Ferrous Resources further develop its mining projects. However, there is no guarantee that Ferrous Resources will be able to secure adequate levels of insurance coverage on economically viable terms or at all. Moreover, there is no assurance that Ferrous Resources will be able to maintain existing levels of insurance in the future at rates it considers to be reasonable. To the extent that Ferrous Resources is unable, or elects not, to obtain full insurance coverage, there is a risk that losses and liabilities arising from such events could significantly increase its costs and have a material adverse effect on our Mining segment’s business, results of operations,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financial condition may be adversely affected by changes in applicable taxation regimes or in the taxation residence.</w:t>
      </w:r>
    </w:p>
    <w:p>
      <w:pPr>
        <w:spacing w:after="0" w:line="12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board of directors of Ferrous Resources currently conducts and intends to continue to conduct the affairs of Ferrous Resources in a manner such that it is treated as resident in the Isle of Man for Isle of Man tax purposes. This means, broadly, that Ferrous Resources’ profits, income and gains will be subject to the Isle of Man tax regime. Any dividends paid Ferrous Resources will be regarded as Isle of Man dividends.</w:t>
      </w:r>
    </w:p>
    <w:p>
      <w:pPr>
        <w:spacing w:after="0" w:line="5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It is possible that in the future, whether as a result of a change of law or the practice of any relevant tax authority, or as a result of any change in the management or the conduct of Ferrous Resources’ affairs, it could become, or be treated as having become, resident in a jurisdiction other than the Isle of Man, therefore becoming subject to the tax regime of a jurisdiction other than the Isle of Man. This could materially adversely affect our Mining segment’s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global economy may have an adverse effect on the Brazilian economy and our Mining segment's operations.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Brazil’s economy is influenced, to varying degrees, by economic and market conditions in the global economy, both in other emerging markets and in developed countries, and especially other Latin American countries. The reaction of investors to developments in one country may cause the capital markets in other countries to fluctuate. Continuing uncertainty can reduce the confidence of international investors and bring volatility to the markets. Recent economic uncertainty and volatility appears to have impaired parts of the global economy and, indirectly, the growth of emerging markets, including Brazil, which have recently experienced slower growth. Negative effects of the global economy and the Brazilian economy could lead to reduced liquidity, crashes in the credit markets and economic recession or decelerated growth in Brazil, which in turn could negatively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76"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affect our Mining segment's business, results of operations, financial condition.</w:t>
      </w:r>
    </w:p>
    <w:p>
      <w:pPr>
        <w:spacing w:after="0" w:line="11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as Brazil is a major producer and exporter of metal and agricultural products, the Brazilian economy is especially vulnerable to declines in world commodity prices and the imposition of import tariffs by the United States, the European Union or other major export markets, such as China. An increase in import tariffs may decrease demand for products exported by Brazilian companies. Any such developments may have a negative effect on the Brazilian economy and thus on our Mining segment's business, results of operations,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All of the operations of our Mining segment are in Brazil or are related to Brazilian assets, and therefore Brazilian economic and political conditions may adversely affect our Mining segment's financial condition and results of operations.</w:t>
      </w:r>
    </w:p>
    <w:p>
      <w:pPr>
        <w:spacing w:after="0" w:line="62"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All operations of Ferrous Resources are in Brazil or are related to Brazilian assets. Accordingly, its financial condition, results of operations and prospects are substantially dependent on Brazil’ economy, which in the past has been characterized by frequent and occasionally drastic intervention by the Brazilian government as well as volatile economic cycles. Ferrous Resources’ business, results of operations, financial condition and prospects may be adversely affected by, among others, the following economic, social and political conditions in Brazil:</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 and currency exchange rate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and price of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controls and restrictions (including restrictions on remittance of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monetary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policies impacting Brazil’ logistical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and political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policies and actions to combat corruption and kickback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Brazil.</w:t>
      </w:r>
    </w:p>
    <w:p>
      <w:pPr>
        <w:spacing w:after="0" w:line="31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Brazilian government frequently intervenes to address various economic, social and political conditions occurring in Brazil and the Brazilian government has often changed monetary, taxation, credit, tariff and other policies to influence the Brazilian economy. For example, the Brazilian government actions to control inflation and stabilize the economy have in the past involved the setting of wage and price controls and fluctuation in the Brazilian Central Bank base interest rates, blocking access to bank accounts, imposing exchange controls and limiting imports into Brazil. Actions taken by the Brazilian government concerning the economy may have significant effects on Brazilian companies, including Ferrous Resources. For example, in the past, the Brazilian government maintained domestic price controls, and Ferrous Resources cannot assure you that price controls will not be re-imposed in the future, which could have a material adverse effect on our Mining segment. Our Mining segment's financial condition and results of operations may also be materially and adversely affected by the following factors and the Brazilian government actions in response to them:</w:t>
      </w:r>
    </w:p>
    <w:p>
      <w:pPr>
        <w:spacing w:after="0" w:line="17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and currency exchange rate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and price of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 controls and restrictions (including restrictions on remittance of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monetary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policies impacting Brazil’ logistical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social and political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policies and actions to combat corruption and kickback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Brazil.</w:t>
      </w:r>
    </w:p>
    <w:p>
      <w:pPr>
        <w:spacing w:after="0" w:line="319"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Ferrous Resources has no control over these factors, and cannot predict what policies or actions the Brazilian government may take in the future and whether these policies will negatively affect the economy and our Mining segment's business, financial condition and results of operations.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Uncertainty over whether the Brazilian government will implement changes in policies or regulations affecting these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76" w:right="239" w:bottom="1440" w:gutter="0" w:footer="0" w:header="0"/>
        </w:sectPr>
      </w:pPr>
    </w:p>
    <w:bookmarkStart w:id="105" w:name="page106"/>
    <w:bookmarkEnd w:id="105"/>
    <w:p>
      <w:pPr>
        <w:spacing w:after="0" w:line="272" w:lineRule="auto"/>
        <w:rPr>
          <w:sz w:val="20"/>
          <w:szCs w:val="20"/>
          <w:color w:val="auto"/>
        </w:rPr>
      </w:pPr>
      <w:r>
        <w:rPr>
          <w:rFonts w:ascii="Arial" w:cs="Arial" w:eastAsia="Arial" w:hAnsi="Arial"/>
          <w:sz w:val="17"/>
          <w:szCs w:val="17"/>
          <w:color w:val="auto"/>
        </w:rPr>
        <w:t>other factors in the future may contribute to economic uncertainty in Brazil and to heightened volatility of Brazilian companies. Historically, the political situation in Brazil has influenced the performance of the Brazilian economy. Past political crises have affected the confidence of investors and the public, generally resulting in an economic slowdown and volatility of securities offered by Brazilian companies. Recently, during 2013 and 2014, wide-scale protests throughout Brazil focused on economic and political reform and have led to heightened volatility. Following these protests, the Brazilian Central Bank cut its growth forecasts and cited volatility as a risk factor. This volatility was heightened by Standard &amp; Poor’s downgrade of Brazil’s long-term debt rating to BBB- on March 24, 2014. In addition, recent developments relating to allegations of corruption that affect Petróleo Brasileiro S.A., negatively impact the political situation and the economy of Brazil and contribute to increased volatility.</w:t>
      </w:r>
    </w:p>
    <w:p>
      <w:pPr>
        <w:spacing w:after="0" w:line="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Rating agencies could downgrade Brazil’s long-term debt rating in the future which could adversely impact the Brazilian economy. Any downgrade to Brazil's long-term credit rating could limit Ferrous Resources’ ability to access funding and increase its borrowing costs, thereby adversely impacting our Mining segment's business, results of operations,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76"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Certification of Chief Executive Officer and Chief Financial Officer pursuant to Section 906 of the Sarbanes-Oxley Act of 2002 (18</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U.S.C. 1350) and Rule 13a-14(b) 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quarterly period ended September 30, 2015, formatted in XBRL (Extensible Business Reporting Language) includes: (i) the Condensed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Consolidated Balance Sheets as of September 30, 2015 and December 31, 2014, (ii) the Condensed Consolidated Statements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Operations for the three and nine months ended September 30, 2015 and 2014, (iii) the Condensed Consolidated Statements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Comprehensive Income for the three and nine months ended September 30, 2015 and 2014, (iv) the Condensed Consolidated Statements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 Changes in Equity for the nine months ended September 30, 2015 and 2014, (v) the Condensed Consolidated Statements of Cash</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Flows for the nine months ended September 30, 2015 and 2014 and (vi) the Notes to the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4" w:right="239" w:bottom="1440" w:gutter="0" w:footer="0" w:header="0"/>
        </w:sectPr>
      </w:pPr>
    </w:p>
    <w:bookmarkStart w:id="107" w:name="page108"/>
    <w:bookmarkEnd w:id="10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364" w:right="4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2015;</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2015;</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September 30, 2015, the undersigned certify that, to the best of his knowledge, based upon a review of the Icahn Enterprises L.P. and Icahn Enterprises Holdings L.P. joint quarterly report on Form 10-Q for the period ended September 30, 2015:</w:t>
      </w:r>
    </w:p>
    <w:p>
      <w:pPr>
        <w:spacing w:after="0" w:line="181"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amp;"/>
      <w:numFmt w:val="bullet"/>
      <w:start w:val="1"/>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2019-12-29T15:09:21Z</dcterms:created>
  <dcterms:modified xsi:type="dcterms:W3CDTF">2019-12-29T15:09:21Z</dcterms:modified>
</cp:coreProperties>
</file>