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tm2622614d1_8k.htm"/>
      <w:bookmarkStart w:id="1" w:name="kstm2622614d1_8k"/>
      <w:bookmarkEnd w:id="0"/>
      <w:bookmarkEnd w:id="1"/>
      <w:r>
        <w:rPr>
          <w:bdr w:val="single" w:sz="16" w:space="1" w:color="000000"/>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Washington</w:t>
      </w:r>
      <w:r>
        <w:rPr>
          <w:rFonts w:ascii="Times New Roman;Times;Serif" w:hAnsi="Times New Roman;Times;Serif"/>
          <w:b/>
          <w:i w:val="false"/>
          <w:caps w:val="false"/>
          <w:smallCaps w:val="false"/>
          <w:sz w:val="20"/>
        </w:rPr>
        <w:t>,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2225"/>
        <w:gridCol w:w="4325"/>
        <w:gridCol w:w="1385"/>
        <w:gridCol w:w="1235"/>
      </w:tblGrid>
      <w:tr>
        <w:trPr/>
        <w:tc>
          <w:tcPr>
            <w:tcW w:w="2225" w:type="dxa"/>
            <w:tcBorders/>
            <w:vAlign w:val="center"/>
          </w:tcPr>
          <w:p>
            <w:pPr>
              <w:pStyle w:val="TableContents"/>
              <w:bidi w:val="0"/>
              <w:spacing w:before="0" w:after="283"/>
              <w:jc w:val="center"/>
              <w:rPr>
                <w:sz w:val="20"/>
              </w:rPr>
            </w:pPr>
            <w:r>
              <w:rPr>
                <w:sz w:val="20"/>
              </w:rPr>
              <w:t>(</w:t>
            </w:r>
            <w:r>
              <w:rPr>
                <w:rFonts w:ascii="Times New Roman;Times;Serif" w:hAnsi="Times New Roman;Times;Serif"/>
                <w:b w:val="false"/>
                <w:i w:val="false"/>
                <w:caps w:val="false"/>
                <w:smallCaps w:val="false"/>
                <w:sz w:val="20"/>
              </w:rPr>
              <w:t>Commission File Number)</w:t>
            </w:r>
          </w:p>
        </w:tc>
        <w:tc>
          <w:tcPr>
            <w:tcW w:w="43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c>
          <w:tcPr>
            <w:tcW w:w="138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w:t>
              <w:br/>
              <w:t xml:space="preserve">Jurisdiction of </w:t>
              <w:br/>
              <w:t xml:space="preserve">Incorporation or </w:t>
              <w:br/>
              <w:t>Organization)</w:t>
            </w:r>
          </w:p>
        </w:tc>
        <w:tc>
          <w:tcPr>
            <w:tcW w:w="1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w:t>
              <w:br/>
              <w:t>No.)</w:t>
            </w:r>
          </w:p>
        </w:tc>
      </w:tr>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B_edei--EntityFileNumber_c20260807"/>
            <w:bookmarkEnd w:id="4"/>
            <w:r>
              <w:rPr>
                <w:rFonts w:ascii="Times New Roman;Times;Serif" w:hAnsi="Times New Roman;Times;Serif"/>
                <w:b/>
                <w:i w:val="false"/>
                <w:caps w:val="false"/>
                <w:smallCaps w:val="false"/>
                <w:sz w:val="20"/>
              </w:rPr>
              <w:t>1-9516</w:t>
            </w:r>
          </w:p>
        </w:tc>
        <w:tc>
          <w:tcPr>
            <w:tcW w:w="4325" w:type="dxa"/>
            <w:tcBorders/>
            <w:vAlign w:val="center"/>
          </w:tcPr>
          <w:p>
            <w:pPr>
              <w:pStyle w:val="TableContents"/>
              <w:bidi w:val="0"/>
              <w:spacing w:before="0" w:after="0"/>
              <w:ind w:left="0" w:right="0" w:hanging="0"/>
              <w:jc w:val="center"/>
              <w:rPr>
                <w:rFonts w:ascii="Times New Roman;Times;Serif" w:hAnsi="Times New Roman;Times;Serif"/>
                <w:b/>
                <w:i w:val="false"/>
                <w:caps/>
                <w:sz w:val="28"/>
              </w:rPr>
            </w:pPr>
            <w:bookmarkStart w:id="5" w:name="xdx_90E_edei--EntityRegistrantName_c2026"/>
            <w:bookmarkEnd w:id="5"/>
            <w:r>
              <w:rPr>
                <w:rFonts w:ascii="Times New Roman;Times;Serif" w:hAnsi="Times New Roman;Times;Serif"/>
                <w:b/>
                <w:i w:val="false"/>
                <w:caps/>
                <w:sz w:val="28"/>
              </w:rPr>
              <w:t>ICAHN ENTERPRISES 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1_edei--EntityAddressAddressLine1_"/>
            <w:bookmarkEnd w:id="6"/>
            <w:r>
              <w:rPr>
                <w:rFonts w:ascii="Times New Roman;Times;Serif" w:hAnsi="Times New Roman;Times;Serif"/>
                <w:b/>
                <w:i w:val="false"/>
                <w:caps w:val="false"/>
                <w:smallCaps w:val="false"/>
                <w:sz w:val="20"/>
              </w:rPr>
              <w:t xml:space="preserve">16690 Collins Avenue, </w:t>
            </w:r>
            <w:bookmarkStart w:id="7" w:name="xdx_907_edei--EntityAddressAddressLine2_"/>
            <w:bookmarkEnd w:id="7"/>
            <w:r>
              <w:rPr>
                <w:rFonts w:ascii="Times New Roman;Times;Serif" w:hAnsi="Times New Roman;Times;Serif"/>
                <w:b/>
                <w:i w:val="false"/>
                <w:caps w:val="false"/>
                <w:smallCaps w:val="false"/>
                <w:sz w:val="20"/>
              </w:rPr>
              <w:t>PH-1</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CityOrTown_c2"/>
            <w:bookmarkEnd w:id="8"/>
            <w:r>
              <w:rPr>
                <w:rFonts w:ascii="Times New Roman;Times;Serif" w:hAnsi="Times New Roman;Times;Serif"/>
                <w:b/>
                <w:i w:val="false"/>
                <w:caps w:val="false"/>
                <w:smallCaps w:val="false"/>
                <w:sz w:val="20"/>
              </w:rPr>
              <w:t xml:space="preserve">Sunny Isles Beach, </w:t>
            </w:r>
            <w:bookmarkStart w:id="9" w:name="xdx_90E_edei--EntityAddressStateOrProvin"/>
            <w:bookmarkEnd w:id="9"/>
            <w:r>
              <w:rPr>
                <w:rFonts w:ascii="Times New Roman;Times;Serif" w:hAnsi="Times New Roman;Times;Serif"/>
                <w:b/>
                <w:i w:val="false"/>
                <w:caps w:val="false"/>
                <w:smallCaps w:val="false"/>
                <w:sz w:val="20"/>
              </w:rPr>
              <w:t xml:space="preserve">FL </w:t>
            </w:r>
            <w:bookmarkStart w:id="10" w:name="xdx_90B_edei--EntityAddressPostalZipCode"/>
            <w:bookmarkEnd w:id="10"/>
            <w:r>
              <w:rPr>
                <w:rFonts w:ascii="Times New Roman;Times;Serif" w:hAnsi="Times New Roman;Times;Serif"/>
                <w:b/>
                <w:i w:val="false"/>
                <w:caps w:val="false"/>
                <w:smallCaps w:val="false"/>
                <w:sz w:val="20"/>
              </w:rPr>
              <w:t>33160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1" w:name="xdx_906_edei--CityAreaCode_c20260807__20"/>
            <w:bookmarkEnd w:id="11"/>
            <w:r>
              <w:rPr>
                <w:rFonts w:ascii="Times New Roman;Times;Serif" w:hAnsi="Times New Roman;Times;Serif"/>
                <w:b/>
                <w:i w:val="false"/>
                <w:caps w:val="false"/>
                <w:smallCaps w:val="false"/>
                <w:sz w:val="20"/>
              </w:rPr>
              <w:t xml:space="preserve">305) </w:t>
            </w:r>
            <w:bookmarkStart w:id="12" w:name="xdx_903_edei--LocalPhoneNumber_c20260807"/>
            <w:bookmarkEnd w:id="12"/>
            <w:r>
              <w:rPr>
                <w:rFonts w:ascii="Times New Roman;Times;Serif" w:hAnsi="Times New Roman;Times;Serif"/>
                <w:b/>
                <w:i w:val="false"/>
                <w:caps w:val="false"/>
                <w:smallCaps w:val="false"/>
                <w:sz w:val="20"/>
              </w:rPr>
              <w:t>422-4100</w:t>
            </w:r>
          </w:p>
        </w:tc>
        <w:tc>
          <w:tcPr>
            <w:tcW w:w="13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2_edei--EntityIncorporationStateCo"/>
            <w:bookmarkEnd w:id="13"/>
            <w:r>
              <w:rPr>
                <w:rFonts w:ascii="Times New Roman;Times;Serif" w:hAnsi="Times New Roman;Times;Serif"/>
                <w:b/>
                <w:i w:val="false"/>
                <w:caps w:val="false"/>
                <w:smallCaps w:val="false"/>
                <w:sz w:val="20"/>
              </w:rPr>
              <w:t>Delaware</w:t>
            </w:r>
          </w:p>
        </w:tc>
        <w:tc>
          <w:tcPr>
            <w:tcW w:w="1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6_edei--EntityTaxIdentificationNum"/>
            <w:bookmarkEnd w:id="14"/>
            <w:r>
              <w:rPr>
                <w:rFonts w:ascii="Times New Roman;Times;Serif" w:hAnsi="Times New Roman;Times;Serif"/>
                <w:b/>
                <w:i w:val="false"/>
                <w:caps w:val="false"/>
                <w:smallCaps w:val="false"/>
                <w:sz w:val="20"/>
              </w:rPr>
              <w:t>13-3398766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3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bl>
    <w:p>
      <w:pPr>
        <w:pStyle w:val="TextBody"/>
        <w:bidi w:val="0"/>
        <w:spacing w:before="0" w:after="0"/>
        <w:ind w:left="720" w:right="0" w:hanging="72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608"/>
            <w:bookmarkEnd w:id="16"/>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720" w:right="0" w:hanging="72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720" w:right="0" w:hanging="72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65"/>
        <w:gridCol w:w="60"/>
        <w:gridCol w:w="1314"/>
        <w:gridCol w:w="60"/>
        <w:gridCol w:w="3906"/>
      </w:tblGrid>
      <w:tr>
        <w:trPr/>
        <w:tc>
          <w:tcPr>
            <w:tcW w:w="4865"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1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9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0807"/>
            <w:bookmarkEnd w:id="19"/>
            <w:r>
              <w:rPr>
                <w:rFonts w:ascii="Times New Roman;Times;Serif" w:hAnsi="Times New Roman;Times;Serif"/>
                <w:b w:val="false"/>
                <w:i w:val="false"/>
                <w:caps w:val="false"/>
                <w:smallCaps w:val="false"/>
                <w:sz w:val="20"/>
              </w:rPr>
              <w:t>Depositary Units of Icahn Enterprises L.P. Representing Limited Partner Interests</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0807__2"/>
            <w:bookmarkEnd w:id="20"/>
            <w:r>
              <w:rPr>
                <w:rFonts w:ascii="Times New Roman;Times;Serif" w:hAnsi="Times New Roman;Times;Serif"/>
                <w:b w:val="false"/>
                <w:i w:val="false"/>
                <w:caps w:val="false"/>
                <w:smallCaps w:val="false"/>
                <w:sz w:val="20"/>
              </w:rPr>
              <w:t>IEP</w:t>
            </w:r>
          </w:p>
        </w:tc>
        <w:tc>
          <w:tcPr>
            <w:tcW w:w="60" w:type="dxa"/>
            <w:tcBorders/>
            <w:tcMar>
              <w:bottom w:w="0" w:type="dxa"/>
            </w:tcMar>
            <w:vAlign w:val="center"/>
          </w:tcPr>
          <w:p>
            <w:pPr>
              <w:pStyle w:val="TableContents"/>
              <w:bidi w:val="0"/>
              <w:spacing w:before="0" w:after="283"/>
              <w:jc w:val="left"/>
              <w:rPr/>
            </w:pPr>
            <w:r>
              <w:rPr/>
              <w:t> </w:t>
            </w:r>
          </w:p>
        </w:tc>
        <w:tc>
          <w:tcPr>
            <w:tcW w:w="390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Indicate by check mark whether the registrant is an emerging growth company as defined in Rule 405 of the Securities Act of 1933 or Rule 12b-2 of the Securities Exchange Act of 1934. 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Icahn Enterprises L.P. has attached hereto as Exhibit 99.1 a copy of updated presentation materials that it intends to use in connection with meetings with investors, groups of investors and media and in connection with presentations and speeches to various audiences.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information contained in this Item 7.01 and Exhibit 99.1 is being furnished and shall not be deemed “filed” for purposes of Section 18 of the Securities Exchange Act of 1934, as amended, or otherwise subject to the liabilities of that section. In addition, the information contained in this Item 7.01 and Exhibit 99.1 shall not be incorporated by reference into any of Icahn Enterprises L.P.’s filings with the Securities and Exchange Commission or any other document except as shall be expressly set forth by specific reference in such filing or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hyperlink w:anchor="tm2622614d1_ex99-1.htm">
        <w:r>
          <w:rPr>
            <w:rStyle w:val="InternetLink"/>
            <w:rFonts w:ascii="Times New Roman;Times;Serif" w:hAnsi="Times New Roman;Times;Serif"/>
            <w:b w:val="false"/>
            <w:i w:val="false"/>
            <w:caps w:val="false"/>
            <w:smallCaps w:val="false"/>
            <w:sz w:val="20"/>
          </w:rPr>
          <w:t>99.1 – Presentation Materials.</w:t>
        </w:r>
      </w:hyperlink>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 </w:t>
      </w:r>
      <w:r>
        <w:rPr>
          <w:rFonts w:ascii="Times New Roman;Times;Serif" w:hAnsi="Times New Roman;Times;Serif"/>
          <w:b w:val="false"/>
          <w:i w:val="false"/>
          <w:caps w:val="false"/>
          <w:smallCaps w:val="false"/>
          <w:sz w:val="20"/>
          <w:shd w:fill="FFFFFF" w:val="clear"/>
        </w:rPr>
        <w:t>Cover Page Interactive Data File (formatted in Inline XBRL in 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60" w:right="360" w:hanging="0"/>
        <w:jc w:val="center"/>
        <w:rPr>
          <w:caps w:val="false"/>
          <w:smallCaps w:val="false"/>
        </w:rPr>
      </w:pPr>
      <w:r>
        <w:rPr>
          <w:caps w:val="false"/>
          <w:smallCaps w:val="false"/>
        </w:rPr>
        <w:t> </w:t>
      </w:r>
    </w:p>
    <w:p>
      <w:pPr>
        <w:pStyle w:val="TextBody"/>
        <w:bidi w:val="0"/>
        <w:spacing w:before="0" w:after="0"/>
        <w:ind w:left="360" w:right="36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360" w:right="360" w:hanging="0"/>
        <w:jc w:val="both"/>
        <w:rPr>
          <w:caps w:val="false"/>
          <w:smallCaps w:val="false"/>
        </w:rPr>
      </w:pPr>
      <w:r>
        <w:rPr>
          <w:caps w:val="false"/>
          <w:smallCaps w:val="false"/>
        </w:rPr>
        <w:t> </w:t>
      </w:r>
    </w:p>
    <w:p>
      <w:pPr>
        <w:pStyle w:val="TextBody"/>
        <w:bidi w:val="0"/>
        <w:spacing w:before="0" w:after="0"/>
        <w:ind w:left="360" w:right="3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365"/>
        <w:gridCol w:w="2225"/>
        <w:gridCol w:w="75"/>
      </w:tblGrid>
      <w:tr>
        <w:trPr/>
        <w:tc>
          <w:tcPr>
            <w:tcW w:w="7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b/>
                <w:sz w:val="20"/>
              </w:rPr>
            </w:pPr>
            <w:r>
              <w:rPr>
                <w:b/>
                <w:sz w:val="20"/>
              </w:rPr>
              <w:t>ICAHN ENTERPRISES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(Registrant)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w:t>
            </w:r>
          </w:p>
        </w:tc>
        <w:tc>
          <w:tcPr>
            <w:tcW w:w="2225" w:type="dxa"/>
            <w:tcBorders/>
            <w:vAlign w:val="center"/>
          </w:tcPr>
          <w:p>
            <w:pPr>
              <w:pStyle w:val="TableContents"/>
              <w:bidi w:val="0"/>
              <w:spacing w:before="0" w:after="0"/>
              <w:ind w:left="45" w:right="4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G.P. Inc.,</w:t>
            </w:r>
          </w:p>
          <w:p>
            <w:pPr>
              <w:pStyle w:val="TableContents"/>
              <w:bidi w:val="0"/>
              <w:spacing w:before="0" w:after="0"/>
              <w:ind w:left="45" w:right="4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  </w:t>
            </w:r>
          </w:p>
          <w:p>
            <w:pPr>
              <w:pStyle w:val="TableContents"/>
              <w:bidi w:val="0"/>
              <w:spacing w:before="0" w:after="0"/>
              <w:ind w:left="45" w:right="45"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By: </w:t>
            </w:r>
          </w:p>
        </w:tc>
        <w:tc>
          <w:tcPr>
            <w:tcW w:w="2225" w:type="dxa"/>
            <w:tcBorders/>
            <w:vAlign w:val="center"/>
          </w:tcPr>
          <w:p>
            <w:pPr>
              <w:pStyle w:val="TableContents"/>
              <w:bidi w:val="0"/>
              <w:spacing w:before="0" w:after="283"/>
              <w:jc w:val="left"/>
              <w:rPr>
                <w:sz w:val="20"/>
              </w:rPr>
            </w:pPr>
            <w:r>
              <w:rPr>
                <w:sz w:val="20"/>
              </w:rPr>
              <w:t>/s/ Robert Flint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top w:val="single" w:sz="8" w:space="0" w:color="000000"/>
            </w:tcBorders>
            <w:tcMar>
              <w:top w:w="28" w:type="dxa"/>
            </w:tcMar>
            <w:vAlign w:val="center"/>
          </w:tcPr>
          <w:p>
            <w:pPr>
              <w:pStyle w:val="TableContents"/>
              <w:bidi w:val="0"/>
              <w:spacing w:before="0" w:after="283"/>
              <w:jc w:val="left"/>
              <w:rPr>
                <w:sz w:val="20"/>
              </w:rPr>
            </w:pPr>
            <w:r>
              <w:rPr>
                <w:sz w:val="20"/>
              </w:rPr>
              <w:t>Robert Flint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jc w:val="right"/>
        <w:rPr/>
      </w:pPr>
      <w:bookmarkStart w:id="23" w:name="tm2622614d1_ex99-1.htm"/>
      <w:bookmarkStart w:id="24" w:name="kstm2622614d1_ex991"/>
      <w:bookmarkEnd w:id="23"/>
      <w:bookmarkEnd w:id="24"/>
      <w:r>
        <w:rPr/>
        <w:t> </w:t>
      </w:r>
      <w:r>
        <w:rPr>
          <w:b/>
          <w:sz w:val="20"/>
        </w:rPr>
        <w:t>Exhibit 99.1</w:t>
      </w:r>
      <w:r>
        <w:br w:type="page"/>
      </w:r>
    </w:p>
    <w:p>
      <w:pPr>
        <w:pStyle w:val="TextBody"/>
        <w:bidi w:val="0"/>
        <w:spacing w:before="0" w:after="283"/>
        <w:jc w:val="left"/>
        <w:rPr/>
      </w:pPr>
      <w:r>
        <w:rPr/>
        <w:t> </w:t>
      </w:r>
    </w:p>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Icahn Enterprises L.P. Investor Presentation August 2026</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and Non-GAAP Financial Measures Forward-Looking Statements This presentation contains certain statements that are, or may be deemed to be, “forward-looking statements” within the meaning of Section 27A of the Securities Act of 1933, as amended, and Section 21E of the Securities Exchange Act of 1934, as amended. All statements included herein, other than statements that relate solely to historical fact, are “forward-looking statements.” Such statements include, but are not limited to, any statement that may predict, forecast, indicate or imply future results, performance, achievements or events,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 Our expectations, beliefs and projections are expressed in good faith, and we believe that there is a reasonable basis for them. However, there can be no assurance that these expectations, beliefs and projections will result or be achieved. There are a number of risks and uncertainties that could cause our actual results to differ materially from the forward-looking statements contained in this presentation, including risks related to economic downturns, substantial competition and rising operating costs; risks related to our investment activities, including the nature of the investments made by the private funds in which we invest and the impact of the use of leverage through options, short sales, swaps, forwards and other derivative instruments including the risk of counterparty termination and early settlement of such positions; risks related to our ability to comply with the covenants in our senior notes and the risk of foreclosure on the assets securing our notes; risks related to our ability to refinance our debt; our ability to continue to meet our liquidity needs;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related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related to potential strategic transactions involving our Energy segment, and the impact of tariffs; risks related to our automotive activities and exposure to adverse conditions in the automotive industry;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from the Russia/Ukraine conflict and conflict in the Middle East, including the U.S. – Israel and Iran war, and any related economic volatility, disruptions to global commodity markets, export controls and other economic sanctions; and political and regulatory uncertainty, including changing economic policy and the imposition of tariffs. These and other risks and uncertainties are described in our filings with the Securities and Exchange Commission including our Annual Report on Form 10-K and our quarterly reports on Form 10-Q under the caption “Risk Factors”. There may be other factors not presently known to us or which we currently consider to be immaterial that may cause our actual results to differ materially from the forward-looking statements. All forward-looking statements attributable to us or persons acting on our behalf apply only as of the date of this presentation and are expressly qualified in their entirety by the cautionary statements included in this presentation. Except to the extent required by law, we undertake no obligation to update or revise forward-looking statements to reflect events or circumstances after the date such statements are made or to reflect the occurrence of unanticipated events. Non-GAAP Financial Measures This presentation contains certain non-GAAP financial measures, including EBITDA, Adjusted EBITDA and Indicative Net Asset Value. The non-GAAP financial measures contained herein have limitations as analytical tools and should not be considered in isolation or in lieu of an analysis of our results as reported under U.S. GAAP. These non-GAAP measures should be evaluated only on a supplementary basis in connection with our U.S. GAAP results, including those reported in our consolidated financial statements and the related notes thereto contained in our Annual Report on Form 10-K for the year ended December 31, 2025 and our subsequent quarterly reports on Form 10-Q. A reconciliation of these non-GAAP financial measures to the most directly comparable U.S. GAAP financial measures can be found in the back of this presentation.</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Company Overview 3</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Overview of Icahn Enterprises (1) Based on August 6, 2026, closing price of $7.63 (2) Investment segment Assets represents total equity (equity attributable to IEP was approximately $2 billion). (3) The presentation of Adjusted EBITDA in this presentation for the twelve months ended June 30, 2026, has been prepared using a calculation with different exclusions than what has been used when preparing Adjusted EBITDA for prior periods. See "Uses of Non-GAAP Financial Measures" for additional explanation of the updates in our presentation. • Icahn Enterprises L.P. (IEP) is a diversified holding company with operating businesses in Investment, Energy, Automotive, Real Estate, Food Packaging, Home Fashion and Pharma • IEP is majority owned and controlled by Carl Icahn • Over many years, Carl Icahn has contributed most of his businesses to and executed transactions primarily through IEP • As of June 30, 2026 Carl Icahn and his affiliates owned approximately 87% of IEP’s outstanding depositary units • As of August 6, 2026, IEP has a $2.00 annualized distribution, which is a 26.21% yield(1) • IEP has liquidity through its investment in the Investment Funds of approximately $2 billion as of June 30, 2026 and $1.7 billion as of July 31, 2026 Investment(2) $2,571 $ - ($203) ($203) Energy 4,469 8,473 28 248 Automotive 1,290 1,406 (108) 4 Food Packaging 428 350 (56) (1) Real Estate 1,157 64 221 28 Home Fashion 211 165 (16) (9) Pharma 216 80 (20) (2) Holding Company 796 - (372) (33) $11,138 $10,538 ($526) $32 ($Millions) As of June 30, 2026 Twelve Months Ended June 30, 2026 Assets(2) Net Income (Loss) Attributable to IEP Adjusted EBITDA Attributable to IEP(3) Net Sales and Other Revenue from Operations</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Summary Corporate Organizational Chart Note: Percentages denote equity ownership as of June 30, 2026. Excludes intermediary and pass-through entities. 99% LP Energy Segment: CVR Energy, Inc. (NYSE: CVI) Pharma Segment: Vivus LLC Real Estate Segment: Real Estate Holdings Home Fashion Segment: WestPoint Home LLC Icahn Enterprises G.P. Inc. Icahn Enterprises L.P. (NasdaqGS: IEP) Icahn Enterprises Holdings L.P. 1% GP 1% GP 94% 71% Investment Segment: Investment Funds Food Packaging Segment: Viskase Holdings, Inc. (OTCID: VISK) As of 6/30/2026, Icahn Enterprises had interests in the Investment Funds of approximately $2 billion Engaged in commercial net lease properties, residential home property development and associated club and resort activities Provider of home textile products for more than 200 years Specialty pharmaceutical company One of the worldwide leaders in cellulosic, fibrous and plastic casings for the processed meat industry Independent refiner and marketer of petroleum transportation fuels 100% 100% 100% 100% Automotive Segment: Icahn Automotive Group LLC Primarily engaged in the automotive repair and maintenance services through a diversified network of company-owned and franchised businesses 100% Producer and distributer of nitrogen fertilizer products CVR Partners, LP (NYSE: UAN) 37% Holding Company Segment 3%</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Diversified Subsidiary Companies with Significant Inherent Value • IEP’s subsidiary companies possess key competitive strengths and/or leading market positions • IEP seeks to create incremental value by investing in organic growth and targeting businesses that offer consolidation opportunities The Company’s diversification across multiple industries and geographies provides a natural hedge against cyclical and general economic swings Over 200 year heritage with some of the best known brands in home fashion and hospitality A worldwide leader in non-edible meat casings poised to capture further growth in emerging markets Strategically located mid-continent petroleum fuels refiner and nitrogen fertilizer producer Long-term real estate portfolio primarily consisting of investment properties, development, clubs and resorts Real Estate Segment Primarily engaged in the automotive repair and maintenance services through a diversified network of company-owned and franchised businesses Dedicated to addressing the therapeutic needs of patients with serious medical conditions and life-limiting diseases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Evolution of Icahn Enterprises • IEP began as American Real Estate Partners, which was founded in 1987, and now has diversified its portfolio to seven operating businesses and approximately $13 billion of assets as of June 30, 2026. • IEP’s record is based on a long-term horizon that can enhance business value for continued operations and/or facilitate a profitable exit strategy. • IEP has demonstrated a history of successfully acquiring undervalued assets and improving and enhancing their operations and financial results. • In 2017, IEP sold American Railcar Leasing for $3.3 billion, resulting in a pre-tax gain of $1.7 billion. • In 2018, IEP sold Federal-Mogul for $5.1 billion, resulting in a pre-tax gain of $251 million, Tropicana for $1.5 billion, resulting in a pre-tax gain of $779 million, and American Railcar Industries for $1.75 billion, resulting in a pre-tax gain of $400 million. • In 2019, IEP sold Ferrous Resources for aggregate consideration of approximately $550 million (including repaid indebtedness), resulting in a pre-tax gain of $252 million. • In 2021, IEP sold PSC Metals for total cash consideration of approximately $323 million resulting in a pre-tax gain of $163 million. • In 2025, IEP sold properties in our Real Estate segment for a pre-tax gain of $223 million. • Acquired partnership interest in Icahn Capital Management L.P. in 2007. • IEP, Mr. Icahn and certain of Mr. Icahn’s family members and affiliates are the sole investors in the Investment Funds. Timeline of Significant Acquisitions and Exits (1) Based on the closing stock price of $44.70 and approximately 107.0 million depositary and general partner equivalent units outstanding as of December 31, 2012 (2) Based on the closing stock price of $7.21 and approximately 725.3 million depositary and general partner equivalent units outstanding as of June 30, 2026 As of December 31, 2012(1) • Mkt. Cap: $4.8bn • Total Assets: $24.6bn As of June 30, 2026 (2) • Mkt. Cap: $5.2bn • Total Assets: $12.9bn Year: 2012 2013 2015 2016 2017 2018 2019 2020 2021 2025 American Railcar Leasing 10/2/13: Acquired 75% of ARL from companies wholly owned by Carl Icahn Ferrous Resources 6/8/15: IEP acquired a controlling interest in Ferrous Resources Pep Boys 2/4/16: IEP acquired Pep Boys Federal-Mogul &amp; Tropicana 10/1/18: Sold Federal-Mogul for $5.1 billion and Tropicana for $1.5 billion Ferrous Resources 8/1/19: Sold Ferrous Resources for $550 million, IEP share of cash proceeds was $463 million PSC Metals 12/7/21: Sold PSC Metals, LLC for $323 million CVR Energy 5/4/12: Acquired a majority interest in CVR via a tender offer to purchase all outstanding shares of CVR CVR Refining &amp; CVR Partners 2013: CVR Refining completed IPO and secondary offering. CVR Partners completed a secondary offering IEH Auto Parts Holding 6/1/15: Acquired substantially all of the auto part assets in the U.S. of Uni-Select Inc. American Railcar Leasing 2017: Sale of ARL for $3.3 billion American Railcar Industries 12/5/18: Sold American Railcar Industries for $1.75 billion Vivus, Inc 12/11/20: Acquired all of the outstanding common stock of Vivus upon its emergence from bankruptcy Real Estate 8/13/25: Sold properties for a pre-tax gain of $223 million</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Ability to Maximize Shareholder Value Through Proven Activist Strategy • IEP seeks undervalued companies and often becomes “actively” involved in the targeted companies • Activist strategy requires significant capital, rapid execution and willingness to take control of companies • Implement changes required to improve businesses Purchase of Stock or Debt IEP pursues its activist strategy and seeks to promulgate change – Dealing with the board and management – Proxy fights – Tender offers – Taking control IEP’s investment and legal team is capable of unlocking a target’s hidden value – Financial/balance sheet restructuring – Operation turnarounds – Strategic initiatives – Corporate governance changes • Mr. Icahn and Icahn Capital have a long and successful track record of generating significant returns employing the activist strategy • IEP’s subsidiaries often started out as investment positions in debt or equity either directly by Icahn Capital or Mr. Icahn • Active participation in the strategy and capital allocation for targeted companies • Not involved in day-to-day operations • IEP will make necessary investments to ensure subsidiary companies can compete effectively Putting Activism into Action</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Overview of Operating Segments 9</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Highlights and Recent Developments • Long history of investing in public equity and debt securities and pursuing activist agenda • Employs an activist strategy that seeks to unlock hidden value through various tactics • Financial/balance sheet restructurings • Operational turnarounds • Strategic initiatives • Corporate governance changes • As of June 30, 2026, the Funds had a net short notional exposure of 30% • Excluding refining hedges, the Funds had a net long notional exposure of 23% Segment Description • Our Investment segment is comprised of private investment funds (“Investment Funds”) in which we have general partner interests and through which we invest our proprietary capital • We and Mr. Icahn and certain of his family members and affiliates are the only investors in the Investment Funds • Fair value of IEP’s investment in the Funds was approximately $2 billion as of June 30, 2026 10 Segment: Investment Historical Segment Financial Summary (1) Market value and percentage ownership are based on holdings and closing share price as of specified date and consist of shares owned and shares that may be acquired upon the exercise of forward contracts, and excludes the impact of cash-settled equity swap agreements, which from time to time have the effect of significantly increasing the economic exposure of the Investment Funds to particular portfolio investment positions. (2) Refer to the Adjusted EBITDA reconciliations in the Appendix. (3) Balance Sheet data as of end of each respective period. Significant Holdings(1) As of June 30, 2026 Company Mkt. Value ($mm) % Ownership $434 14% $339 2% $318 5% $143 1% $118 6% ($Millions) 2023 Selected Income Statement Data: Adjusted EBITDA(2) ($1,353) ($242) ($54) ($261) Net income (loss) (1,353) (242) (54) (261) Adjusted EBITDA attributable to IEP(2) (132) (701) 5 (203) Net income (loss) attributable to IEP (701) (132) 5 (203) Returns -16.9% -3.5% 0.4% -9.9% Segment Balance Sheet Data(3) : Equity attributable to IEP 3,243 $ 2,703 $ 2,711 $ 1,978 $ Total Equity 5,360 $ 4,200 $ 3,623 $ 2,571 $ Investment Segment FYE December 31, LTM June 30, 2024 2025 2026</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Refer to the Adjusted EBITDA reconciliation in the Appendix. (2) The presentation of Adjusted EBITDA in this presentation for all periods presented above has been prepared using a calculation with different exclusions than what has been used when preparing Adjusted EBITDA for prior periods. See "Uses of Non-GAAP Financial Measures” for additional explanation of the updates in our presentation. (3) Balance Sheet data as of the end of each respective period. (4) Based on total throughputs; for the twelve months ended June 30, 2026 Highlights and Recent Developments Petroleum • Two strategically located Mid-Continent refineries close to Cushing, Oklahoma with total nameplate capacity of 206,500 bpd • Direct access to crude oil and condensate fields in the Anadarko and Arkoma Basins • Complimentary logistics assets and access to multiple key pipelines provide a variety of price advantaged crude oil supply options • Historically high product yield vs peers: 97% liquid volume yield and 92% yield of gasoline and distillate(4) • Declared a second quarter 2026 cash dividend of $0.10 per share brining cumulative dividends declared to date to $0.20 per share for the six months of 2026 Fertilizer • Two strategically located facilities serving the Southern Plains and Corn Belt • Primarily engaged in the production of the nitrogen fertilizers ammonia and urea ammonium nitrate (UAN) • Diverse feedstock exposure through petroleum coke and natural gas • Declared a second quarter 2026 cash distribution of $6.08 per common unit brining cumulative distributions declared to date to $10.08 per unit for the six months of 2026 Segment Description • CVR Energy, Inc. (NYSE: CVI) is a diversified holding company primarily engaged in the petroleum refining and nitrogen fertilizer manufacturing businesses through its interests in CVR Refining, LP and CVR Partners, LP (NYSE: UAN) • CVR Refining is an independent petroleum refiner and marketer of high-value transportation fuels in the mid-continent of the United States • CVR Partners is a manufacturer of ammonia and urea ammonium nitrate solution fertilizer products 11 Segment: Energy Historical Segment Financial Summary ($Millions) 2023 Selected Income Statement Data: Net sales $9,247 $7,610 $7,162 $8,473 Adjusted EBITDA(1)(2) 1,164 317 393 517 Net income (loss) 831 (4) 42 122 Adjusted EBITDA attributable to IEP(1)(2) 688 136 185 248 Net income (loss) attributable to IEP 508 (18) 4 28 Segment Balance Sheet Data(3) : Total assets $ 5,259 $ 4,751 $ 4,129 $ 4,469 Equity attributable to IEP $ 795 $ 685 $ 722 $ 575 Energy Segment FYE December 31, LTM June 30, 2024 2025 2026</w:t>
            </w:r>
          </w:p>
        </w:tc>
      </w:tr>
    </w:tbl>
    <w:tbl>
      <w:tblPr>
        <w:tblW w:w="16723" w:type="dxa"/>
        <w:jc w:val="center"/>
        <w:tblInd w:w="0" w:type="dxa"/>
        <w:tblLayout w:type="fixed"/>
        <w:tblCellMar>
          <w:top w:w="0" w:type="dxa"/>
          <w:left w:w="0" w:type="dxa"/>
          <w:bottom w:w="0" w:type="dxa"/>
          <w:right w:w="0" w:type="dxa"/>
        </w:tblCellMar>
      </w:tblPr>
      <w:tblGrid>
        <w:gridCol w:w="23"/>
        <w:gridCol w:w="16500"/>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Highlights and Recent Developments • Automotive Services provides Do-It-For-Me automotive repair services for retail and fleet customers with over 800 company operated stores and over 7,000 service bays located in the United States and Puerto Rico • Successfully completed the transfer of owned real estate properties to the Real Estate segment during Q4 2025. The Automotive Services business entered into fair market value operating leases for the portion of each property utilized by the service business operations • In July 2026, Icahn Automotive Group LLC (“IAG”) entered into a stock purchase agreement to sell Pep Boys – Manny Moe &amp; Jack Holding Corp. for $700 million, subject to customary closing conditions, and the transaction is expected to close in the coming months. As part of the transaction, IEP will retain the owned real estate previously transferred from Pep Boys, as well as the franchise businesses and certain retained liabilities including supercenter leases. Following the closing, Pep Boys is expected to continue leasing most of these locations from IEP, creating an ongoing landlord-tenant relationship. Segment Description • The Automotive segment is engaged in providing a full range of automotive repair and maintenance services, along with the sale of any installed parts or materials related to automotive services (“Automotive Services”) to its customers and previously was engaged in sales of automotive aftermarket parts and retailed merchandise (“Aftermarket Parts”). We fully exited the Aftermarket Parts business in the first quarter of 2025. In addition to its primary business, the Automotive segment leases available and excess real estate in certain locations under long-term operating leases • We conduct our franchise business through the AAMCO and Precision Tune Auto Care brands, two established automotive aftermarket franchise systems. The businesses generate revenue from franchise royalties, franchise fees and company-owned operations, while providing a broad range of automotive repair, maintenance and diagnostic services through a geographically diversified network of locations primarily across North America. 12 Segment: Automotive Historical Segment Financial Summary (1) As of January 31, 2023, IEH Auto Parts Holdings LLC (“Auto Plus”) was deconsolidated due to voluntary Chapter 11 bankruptcy proceedings. (2) Refer to Adjusted EBITDA reconciliation in the Appendix. (3) Balance Sheet data as of the end of each respective period. ($Millions) 2023 Selected Income Statement Data: Net sales and other revenue from operations $1,741 $1,505 $1,436 $1,406 Adjusted EBITDA(2) 87 117 9 4 Net income (loss) (6) (16) (130) (108) Segment Balance Sheet Data(3) : Total assets $ 2,019 $ 1,939 $ 1,248 $ 1,290 Equity attributable to IEP $ 1,096 $ 1,099 $ 455 $ 554 Automotive Segment (1) FYE December 31, LTM June 30, 2024 2025 2026</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Highlights and Recent Developments Real Estate • Business strategy is based on long-term investment outlook and operational expertise that maximizes the value of our investment properties • Own and manage a net lease portfolio of land, office, retail, and industrial properties leased to commercial tenants, including intercompany leases with the Automotive Services business • Our exclusive country club focuses on golf, dining, entertainment and other related activities that enhances the value of the surrounding home development • Luxury single-family homes are being developed and sold surrounding our country club Food Packaging • Viskase operates plants in the United States, Mexico, Brazil, France, Italy, Germany, Poland, and the Philippines • Steady growth is projected globally for cellulose casings, with more emphasis on South America and Asia Pacific markets • Market demand is generally resilient as end products represent a cost-effective and attractive source of protein • Consolidation continues to be a factor in casing markets, as large meat processors progressively increase scale and buying power • Business remains focused on managing margins through reduction of complexity and manufactured cost, while optimizing sales mix with key customers globally Home Fashion • Continued strength with hospitality customers and growth into new international markets including Asia, Africa, Australia, and the Middle East • Advancing our sustainability efforts in line with our company and customer values • Expanding competitive advantage in vertical manufacturing with investments in towel manufacturing • Impacted by conflict in Iran and supply chain distruption in the Strait of Hormuz Pharma • Focused on continued market share and prescription growth in the U.S. for Pancreaze and managing Qsymia introduction to generic competition in 2026 • Launched Qsiva into European and Middle East markets, with focus on growing prescription counts and expanding the number of approved countries • Continued development of our pipeline products along with reviewing additional licensing opportunities for new commercial pharmaceuticals, with two products in advanced clinical development All Other Operating Segments Description • Real Estate: Our Real Estate segment primarily consists of investment properties which includes land, retail, office and industrial properties leased to commercial tenants, the development and sale of single-family homes, and the operations of a resort and a country club • Food Packaging: We conduct our Food Packaging segment through our majority owned subsidiary, Viskase Holdings, Inc. (OTCID:VISK) (“Viskase”). Viskase is a producer of cellulosic, fibrous and plastic casings for the processed meat and poultry industry • Home Fashion: We conduct our Home Fashion segment through our wholly owned subsidiary, WestPoint Home LLC (“WPH”). WPH is engaged in manufacturing, sourcing, marketing, distributing and selling hospitality and home fashion consumer products • Pharma: We conduct our Pharma segment through our wholly owned subsidiary, Vivus LLC. Vivus is a specialty pharmaceutical company with two approved therapies, two product candidates in active clinical development and two product candidates in early-stage development 13 All Other Operating Segments Historical Segment Financial Summary (1) All Other operating segments include Food Packaging, Real Estate, Home Fashion, and Pharma. Results for each of these separate segments can be found in our Quarterly Reports on Form 10-Q and our Annual Report on Form 10-K filed with the SEC. (2) Refer to Adjusted EBITDA reconciliation in the Appendix. (3) Balance Sheet data as of the end of each respective period. ($Millions) 2023 Selected Income Statement Data: Net sales and other revenue from operations $859 $785 $697 $659 Adjusted EBITDA(2) 92 121 25 15 Net income (loss) 20 (9) 172 123 Adjusted EBITDA attributable to IEP(2) 88 115 24 16 Net income (loss) attributable to IEP 19 (8) 178 129 Segment Balance Sheet Data(3) : Total assets $ 1,439 $ 1,421 $ 1,979 $ 2,012 Equity attributable to IEP $ 987 $ 977 $ 1,554 $ 1,607 LTM June 30, All Other Operating Segments (1) FYE December 31, 2024 2025 2026</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 Performance 14</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Financial Performance Net Income (Loss) Attributable to Icahn Enterprises Adjusted EBITDA Attributable to Icahn Enterprises (1),(2) ($Millions) Segments: Energy $508 ($18) $4 $28 Automotive (6) (16) (130) (108) Food Packaging 12 (5) (60) (56) Real Estate 16 (4) 256 221 Home Fashion (6) (8) (14) (16) Pharma (3) 9 (4) (20) Subtotal 521 (42) 52 49 Investment (701) (132) 5 (203) Holding Company (504) (271) (356) (372) Consolidated ($684) ($445) ($299) ($526) FYE December 31, LTM June 30, 2023 2024 2025 2026 ($Millions) Segments: Energy $688 $136 $185 $248 Automotive 117 87 9 4 Food Packaging 59 38 7 (1) Real Estate 28 10 1 28 Home Fashion 3 4 (6) (9) Pharma 25 36 22 (2) Subtotal 920 311 218 268 Investment (701) (132) 5 (203) Holding Company (35) (30) (29) (33) Consolidated $184 $149 $194 $32 2026 FYE December 31, LTM June 30, 2023 2024 2025 (1) Refer to the Adjusted EBITDA reconciliations in the Appendix. (2) The presentation of Adjusted EBITDA in this presentation for all periods presented above has been prepared using a calculation with different exclusions than what has been used when preparing Adjusted EBITDA for prior periods. See "Uses of Non-GAAP Financial Measures” for additional explanation of the updates in our presentation.</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16 Consolidated Financial Snapshot (1) Refer to the Adjusted EBITDA reconciliations in the Appendix. (2) The presentation of Adjusted EBITDA in this presentation for all periods presented above has been prepared using a calculation with different exclusions than what has been used when preparing Adjusted EBITDA for prior periods. See "Uses of Non-GAAP Financial Measures” for additional explanation of the updates in our presentation. Net Income (Loss): Investment ($1,353) ($242) ($54) ($384) ($591) ($261) Energy 831 (4) 42 (219) (139) 122 Automotive (6) (16) (130) (52) (30) (108) Food Packaging 13 (6) (66) (17) (13) (62) Real Estate 16 (4) 256 39 4 221 Home Fashion (6) (8) (14) (4) (6) (16) Pharma (3) 9 (4) 2 (14) (20) Holding Company (504) (271) (356) (146) (162) (372) Net income (loss) ($1,012) ($542) ($326) ($781) ($951) ($496) Less: Net income (loss) attributable to non-controlling interests (328) (97) (27) (194) (137) 30 Net income (loss) attributable to Icahn Enterprises ($684) ($445) ($299) ($587) ($814) ($526) Adjusted EBITDA(1),(2) : Investment ($1,353) ($242) ($54) ($384) ($591) ($261) Energy 1,164 317 393 122 246 517 Automotive 117 87 9 2 (3) 4 Food Packaging 65 42 8 13 3 (2) Real Estate 28 10 1 2 29 28 Home Fashion 3 4 (6) 1 (2) (9) Pharma 25 36 22 15 (9) (2) Holding Company (35) (30) (29) (13) (17) (33) Consolidated Adjusted EBITDA $14 $224 $344 ($242) ($344) $242 Less: Adjusted EBITDA attributable to non-controlling interests (170) 75 150 (54) 6 210 Adjusted EBITDA attributable to Icahn Enterprises $184 $149 $194 ($188) ($350) $32 Capital Expenditures $303 $280 $341 $184 $194 $351 ($Millions) 2023 2024 2025 FYE December 31, LTM June 30, 2025 2026 2026 Six months ended June 30, </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Balance Sheet (1) All Other operating segments includes Food Packaging, Real Estate, Home Fashion, and Pharma. ($Millions) ASSETS Cash and cash equivalents $13 $737 $24 $8 $34 $2 $22 $381 $1,221 Cash held at consolidated affiliated partnerships and restricted cash 1,790 - 10 - 2 2 - 167 1,971 Investments 1,388 12 - - 98 - - - 1,498 Accounts receivable, net - 327 29 67 13 27 25 - 488 Inventories, net - 603 161 105 - 86 23 - 978 Related party notes receivable, net - - - - 136 - - - 136 Property, plant and equipment, net - 2,282 366 148 765 52 - 3 3,616 Goodwill and intangible assets, net - 130 312 20 - 20 137 - 619 Other assets 1,132 378 388 80 109 22 9 245 2,363 Total assets $4,323 $4,469 $1,290 $428 $1,157 $211 $216 $796 $12,890 LIABILITIES AND EQUITY Accounts payable, accrued expenses and other liabilities $752 $1,578 $711 $110 $28 $38 $63 $75 $3,355 Securities sold, not yet purchased, at fair value 1,000 - - - - - - - 1,000 Debt - 1,783 25 129 1 25 - 4,426 6,389 Total liabilities $1,752 $3,361 $736 $239 $29 $63 $63 $4,501 $10,744 Equity attributable to Icahn Enterprises $1,978 $575 $554 $178 $1,128 $148 $153 ($3,705) $1,009 Equity attributable to non-controlling interests 593 533 - 11 - - - - 1,137 Total equity $2,571 $1,108 $554 $189 $1,128 $148 $153 ($3,705) $2,146 Total liabilities and equity $4,323 $4,469 $1,290 $428 $1,157 $211 $216 $796 $12,890 Real Estate (1) Home Fashion (1) Pharma (1) Holding Company As of June 30, 2026 Investment Energy Automotive Food Packaging (1) Consolidated</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Indicative Net Asset Value Note: Refer to the next page for footnotes and additional information. 6/30/2025 9/30/2025 12/31/2025 3/31/2026 6/30/2026 Holding Company interest in Investment Funds(1) $ 2,449 2,464 $ 2,711 $ 2,221 $ 1,978 $ CVR Energy(2) 2,569 1,891 1,791 2,396 1,961 CVR Partners LP(2) 25 24 28 34 30 Total market-valued Subsidiaries and Investments: $ 5,043 4,379 $ 4,530 $ 4,651 $ 3,969 $ Viskase(3) 62 71 53 98 96 Real Estate Segment(4) 692 715 1,367 1,394 1,417 WestPoint Home(1) 159 166 155 151 148 Vivus(1) 183 197 169 161 153 Icahn Automotive Group (5) 1,279 1,194 619 704 765 Operating Business Indicative Gross Asset Value $ 7,418 6,722 $ 6,893 $ 7,159 $ 6,548 $ Add: Other Net Assets(6) 67 109 98 9 99 Indicative Gross Asset Value $ 7,485 6,831 $ 6,991 $ 7,168 $ 6,647 $ Add: Holding Company cash and cash equivalents(7) 1,086 998 839 624 381 Less: Holding Company debt(7) (4,663) (4,664) (4,664) (4,425) (4,426) Indicative Net Asset Value 3,253 $ 3,820 $ 3,166 $ 3,367 $ 2,602 $ Other Subsidiaries: As of Market-valued Subsidiaries and Investments: ($Millions)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Indicative Net Asset Value Use of Indicative Net Asset Value Data The Company uses indicative net asset value as an additional method for considering the value of the Company’s assets, and we believe that this information can be helpful to investors. Please note, however, that the indicative net asset value does not represent the market price at which the depositary units trade. Accordingly, data regarding indicative net asset value is of limited use and should not be considered in isolation. The Company's depositary units are not redeemable, which means that investors have no right or ability to obtain from the Company the indicative net asset value of units that they own. Units may be bought and sold on The Nasdaq Global Select Market at prevailing market prices. Those prices may be higher or lower than the indicative net asset value of the depositary units as calculated by management. Prior to September 30, 2025, we valued Viskase using the trailing twelve month Adjusted EBITDA. Management no longer believes that the trailing twelve month Adjusted EBITDA, which has declined significantly and has been increasingly volatile, represents uniform performance and growth for the business. Accordingly, starting September 30, 2025, management performed a valuation of the business using discounted cash flow and guideline public company methodologies with the assistance of third-party consultants and will continue to use these forward-looking methodologies in future periods.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Indicative Net Asset Value Footnotes to Company’s calculation of Indicative Net Asset Value: 1) Represents GAAP equity attributable to IEP as of each respective date. 2) Based on closing share price on each date (or if such date was not a trading day, the immediately preceding trading day) and the number of shares owned by us as of each respective date. 3) For the period ending June 30, 2025, amounts based on market comparables due to lack of material trading volume, valued at 9.0x Adjusted EBITDA for the trailing twelve months ended as of each respective date. As of September 30, 2025, management no longer believes that the trailing twelve month Adjusted EBITDA, which has declined significantly and has been increasingly volatile, represents uniform performance and growth for the business or provides an accurate presentation of its value. For the periods ending September 30, 2025, December 31, 2025, and March 31, 2026, management performed a valuation of Viskase with the assistance of third-party consultants to estimate fair-market value. This analysis utilized the average results of a discounted cashflow methodology and a guideline public company methodology. Different judgments or assumptions would result in different estimates of value. Viskase indicative net asset value is derived by allocating our portion of ownership to the total equity value. 4) For each period presented, management performed a valuation with the assistance of third-party consultants to estimate fair-market value, which utilized the average results of discounted cashflow and sales comparison methodologies. Different judgments or assumptions would result in different estimates of value. In August 2025, certain properties were sold and as of September 30, 2025, the value of the consideration received and held in our Real Estate Segment consisted of preferred equity investment and debt and was used in the calculation of indicative fair value. 5) For each period presented, management performed a valuation of Icahn Automotive Group (“IAG”), including the Automotive Services business and Automotive Owned Real Estate. This analysis utilized the average results of a discounted cashflow methodology and a guideline public company methodology. Different judgments or assumptions would result in different estimates of value. During the fourth quarter of 2025 the majority of the Automotive Owned Real Estate was transferred to the Real Estate Segment and as of December 31, 2025 are now presented in the Real Estate Segment line item. The Automotive Owned Real Estate for the actual properties transferred was valued at $652 and $652 for June 30, 2025 and September 30, 2025, respectively. As of June 30, 2025 and September 30, 2025, these properties were fair valued utilizing the average results of discounted cashflow and sales comparison methodologies for each property to estimate fair-market value. Different judgments or assumptions would result in different estimates of value. In July 2026, IAG entered into a stock purchase agreement to sell Pep Boys – Manny Moe &amp; Jack Holding Corp. for $700 million subject to customary closing conditions and the transaction is expected to close in the coming months. IAG will retain certain businesses, assets and liabilities in connection with this sale. As of June 30, 2026, the value of IAG includes an estimated increase of $97 million in connection with this sale agreement. 6) Represents GAAP equity of the Holding Company Segment, excluding cash and cash equivalents, debt and non-cash deferred tax assets or liabilities. As of June 30, 2025, September 30, 2025, December 31, 2025, March 31, 2026, and June 30, 2026, Other Net Assets includes $9, $9, $6, $5, and $5 million respectively, of liabilities assumed from the Auto Plus bankruptcy. 7) Holding Company’s balance as of each respective date.</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Adjusted EBITDA Reconciliations 21</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Non-GAAP Financial Measures The Company uses certain non-GAAP financial measures in evaluating its performance. These include non-GAAP EBITDA and Adjusted EBITDA. EBITDA represents earnings from continuing operations before net interest expense (excluding our Investment Segment), income tax (benefit) expense and depreciation and amortization. We define Adjusted EBITDA as EBITDA excluding certain effects of impairment, restructuring costs, transformation costs, certain pension plan expenses, gains/losses on disposition of assets, gains/losses on extinguishment of debt, the performance of closed stores and including closing costs, Energy segment unrealized gains/losses on hedging contracts, unrealized gains/losses on Renewable Fuel Standard ("RFS") positions, Energy segment inventory revaluation, and certain other non-operational or non-recurring charges. The Energy segment's basis for determining inventory value impacts are under a GAAP First-In, First-Out ("FIFO") basis. Changes in crude oil prices can cause fluctuations in the inventory valuation of crude oil, work in process and finished goods, thereby resulting in a favorable inventory valuation impact when crude oil prices increase and an unfavorable inventory valuation impact when crude oil prices decrease. The inventory valuation impact is calculated based upon inventory values at the beginning of the accounting period and at the end of the accounting period. We present EBITDA and Adjusted EBITDA on a consolidated basis and on a basis attributable to Icahn Enterprises net of the effects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 We believe that providing EBITDA and Adjusted EBITDA to investors has economic substance as these measures provide important supplemental information of our performance to investors and permits investors and management to evaluate the core operating performance of our business without regard to interest (except with respect to our Investment segment), taxes and depreciation and amortization and certain effects of impairment, restructuring costs, certain pension plan expenses, gains/losses on disposition of assets, gains/losses on extinguishment of debt and certain other non-operational charges.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performance exclusive of our capital structure and the method by which assets were acquired and financed. Effective March 31, 2026, we modified our calculation of Adjusted EBITDA to exclude the impacts of certain of our Energy segment results, including unrealized gains/losses on hedging contracts, unrealized gains/losses on RFS positions, and inventory revaluation. We believe that this revised presentation improves the supplemental information provided to our investors because management believes these are not attributable to or indicative of our underlying operational results of the period or that may obscure results and trends we deem useful and the significance of these measures have been disproportionately impacted by increased volatility in recent periods. 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 • do not reflect our cash expenditures, or future requirements for capital expenditures, or contractual commitments; • do not reflect changes in, or cash requirements for, our working capital needs; and • do not reflect the significant interest expense, or the cash requirements necessary to service interest or principal payments on our debt. 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 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Adjusted EBITDA Reconciliation by Segment – Twelve Months Ended June 30, 2026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 Net (loss) income ($261) $122 ($108) ($62) $221 ($16) ($20) ($372) ($496) Interest expense (income), net - 102 - 10 (16) 2 - 303 401 Income tax expense (benefit) - 45 (41) 18 (5) - - 36 53 Depreciation and amortization - 481 55 18 23 5 18 - 600 ($261) $750 ($94) ($16) $223 ($9) ($2) ($33) $558 Impairment - - 25 3 - - - - 28 Restructuring costs - - - 3 - 1 1 - 5 Revaluation of RFS Liability⁽²⁾ - (338) - - - - - - (338) Unrealized loss on energy segment derivatives⁽²⁾ - 148 - - - - - - 148 Inventory valuation impacts, (favorable)⁽²⁾ - (80) - - - - - - (80) Loss (gain) on disposition of assets, net - - 12 - (222) - - - (210) Transformation costs - - 46 - - - - - 46 Net loss on extinguishment of debt - 35 - - - - - - 35 Out of period adjustments - - (4) - - - - - (4) Intercompany Lease (Expenses) / Revenues - - (27) - 27 - - - - Closed store adjustments - - 21 - - - - - 21 Other - 2 25 8 - (1) (1) - 33 ($261) $517 $4 ($2) $28 ($9) ($2) ($33) $242 Net (loss) income ($203) $28 ($108) ($56) $221 ($16) ($20) ($372) ($526) Interest expense (income), net - 59 - 10 (16) 2 - 303 358 Income tax expense (benefit) - 36 (41) 17 (5) - - 36 43 Depreciation and amortization - 289 55 16 23 5 18 - 406 ($203) $412 ($94) ($13) $223 ($9) ($2) ($33) $281 Impairment - - 25 3 - - - - 28 Restructuring costs - - - 3 - 1 1 - 5 Revaluation of RFS Liability⁽²⁾ - (236) - - - - - - (236) Unrealized loss on energy segment derivatives⁽²⁾ - 104 - - - - - - 104 Inventory valuation impacts, (favorable)⁽²⁾ - (57) - - - - - - (57) Loss (gain) on disposition of assets, net - - 12 - (222) - - - (210) Transformation costs - - 46 - - - - - 46 Loss on extinguishment of debt, net - 24 - - - - - - 24 Out of period adjustments - - (4) - - - - - (4) Intercompany Lease (Expenses) / Revenues - - (27) - 27 - - - - Closed store adjustments - - 21 - - - - - 21 Other - 1 25 6 - (1) (1) - 30 ($203) $248 $4 ($1) $28 ($9) ($2) ($33) $32 Holding Company Consolidated Adjusted EBITDA attributable to IEP Adjusted EBITDA(2) EBITDA before non-controlling interests Adj. EBITDA before non-controlling interests Adjusted EBITDA attributable to IEP: EBITDA attributable to IEP ($Millions) Investment Energy Automotive Food Packaging (1) Real Estate (1) Home Fashion (1) Pharma (1)</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Adjusted EBITDA Reconciliation by Segment – Six Months Ended June 30, 2026 Net (loss) income ($591) ($139) ($30) ($13) $4 ($6) ($14) ($162) ($951) Interest expense (income), net - 52 1 6 (9) 1 - 156 207 Income tax (benefit) expense - (27) (11) 2 - - - (11) (47) Depreciation and amortization - 191 24 9 16 3 4 - 247 ($591) $77 ($16) $4 $11 ($2) ($10) ($17) ($544) Restructuring costs - - - - - - 1 - 1 Revaluation of RFS Liability⁽²⁾ - 124 - - - - - - 124 Unrealized loss on energy segment derivatives⁽²⁾ - 151 - - - - - - 151 Inventory valuation impacts, (favorable)⁽²⁾ - (138) - - - - - - (138) Transformation costs - - 21 - - - - - 21 Loss on extinguishment of debt, net - 32 - - - - - - 32 Out of period adjustments - - (4) - - - - - (4) Intercompany Lease (Expenses) / Revenues - - (18) - 18 - - - - Closed store adjustments - - 8 - - - - - 8 Other - - 6 (1) - - - - 5 ($591) $246 ($3) $3 $29 ($2) ($9) ($17) ($344) Net (loss) income ($448) ($146) ($30) ($12) $4 ($6) ($14) ($162) ($814) Interest expense (income), net - 30 1 6 (9) 1 - 156 185 Income tax (benefit) expense - (17) (11) 2 - - - (11) (37) Depreciation and amortization - 111 24 8 16 3 4 - 166 ($448) ($22) ($16) $4 $11 ($2) ($10) ($17) ($500) Restructuring costs - - - - - - 1 - 1 Revaluation of RFS Liability⁽²⁾ - 88 - - - - - - 88 Unrealized loss on energy segment derivatives⁽²⁾ - 106 - - - - - - 106 Inventory valuation impacts, (favorable)⁽²⁾ - (97) - - - - - - (97) Transformation costs - - 21 - - - - - 21 Loss on extinguishment of debt, net - 22 - - - - - - 22 Out of period adjustments - - (4) - - - - - (4) Intercompany Lease (Expenses) / Revenues - - (18) - 18 - - - - Closed store adjustments - - 8 - - - - - 8 Other - - 6 (1) - - - - 5 Adjusted EBITDA attributable to IEP ($448) $97 ($3) $3 $29 ($2) ($9) ($17) ($350) Adjusted EBITDA attributable to IEP: EBITDA attributable to IEP Adjusted EBITDA(2) EBITDA before non-controlling interests Adj. EBITDA before non-controlling interests Holding Company Consolidated Real Estate (1) Home Fashion (1) Pharma (1) ($Millions) Investment Energy Automotive Food Packaging (1)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Adjusted EBITDA Reconciliation by Segment – Six Months Ended June 30, 2025 Net (loss) income ($384) ($219) ($52) ($17) $39 ($4) $2 ($146) ($781) Interest expense (income), net - 55 - 6 - 1 (1) 135 196 Income tax (benefit) expense - (99) (18) (3) - - - 1 (119) Depreciation and amortization - 178 34 10 11 3 14 - 250 ($384) ($85) ($36) ($4) $50 $0 $15 ($10) ($454) Impairment - - - 12 - - - - 12 Restructuring costs - - - 6 - - - - 6 Revaluation of RFS Liability⁽²⁾ - 200 - - - - - - 200 Unrealized gain on energy segment derivatives⁽²⁾ - (1) - - - - - - (1) Inventory valuation impacts, unfavorable⁽²⁾ - 8 - - - - - - 8 Loss (gain) on disposition of assets, net - - 4 - (48) - - - (44) Transformation costs - - 20 - - - - - 20 Gain on extinguishment of debt, net - - - - - - - (3) (3) Closed store adjustments - - 11 - - - - - 11 Other - - 3 (1) - 1 - - 3 ($384) $122 $2 $13 $2 $1 $15 ($13) ($242) Net (loss) income ($240) ($170) ($52) ($16) $39 ($4) $2 ($146) ($587) Interest expense (income), net - 31 - 5 - 1 (1) 135 171 Income tax (benefit) expense - (66) (18) (3) - - - 1 (86) Depreciation and amortization - 98 34 9 11 3 14 - 169 ($240) ($107) ($36) ($5) $50 $0 $15 ($10) ($333) Impairment - - - 11 - - - - 11 Restructuring costs - - - 5 - - - - 5 Revaluation of RFS Liability⁽²⁾ - 136 - - - - - - 136 Unrealized gain on energy segment derivatives⁽²⁾ - (1) - - - - - - (1) Inventory valuation impacts, unfavorable⁽²⁾ - 6 - - - - - - 6 Loss (gain) on disposition of assets, net - - 4 - (48) - - - (44) Transformation costs - - 20 - - - - - 20 Gain on extinguishment of debt, net - - - - - - - (3) (3) Closed store adjustments - - 11 - - - - - 11 Other - - 3 - - 1 - - 4 Adjusted EBITDA attributable to IEP ($240) $34 $2 $11 $2 $1 $15 ($13) ($188) Adjusted EBITDA attributable to IEP: EBITDA attributable to IEP Adjusted EBITDA(2) EBITDA before non-controlling interests Adj. EBITDA before non-controlling interests Holding Company Consolidated Real Estate (1) Home Fashion (1) Pharma (1) ($Millions) Investment Energy Automotive Food Packaging (1)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Adjusted EBITDA Reconciliation by Segment – Year Ended December 31, 2025 Net (loss) income ($54) $42 ($130) ($66) $256 ($14) ($4) ($356) ($326) Interest expense (income), net - 105 (1) 10 (7) 2 (1) 282 390 Income tax (benefit) expense - (27) (48) 13 (5) - - 48 (19) Depreciation and amortization - 468 65 19 18 5 28 - 603 ($54) $588 ($114) ($24) $262 ($7) $23 ($26) $648 Impairment - - 25 15 - - - - 40 Restructuring costs - - - 9 - 1 - - 10 Revaluation of RFS Liability⁽²⁾ - (262) - - - - - - (262) Unrealized gain on energy segment derivatives⁽²⁾ - (4) - - - - - - (4) Inventory valuation impacts, unfavorable⁽²⁾ - 66 - - - - - - 66 Loss (gain) on disposition of assets, net - - 16 - (270) - - - (254) Transformation costs - - 45 - - - - - 45 Net loss (gain) on extinguishment of debt - 3 - - - - - (3) - Intercompany Lease (Expenses) / Revenues - - (9) - 9 - - - - Closed store adjustments - - 24 - - - - - 24 Other - 2 22 8 - - (1) - 31 ($54) $393 $9 $8 $1 ($6) $22 ($29) $344 Net income (loss) $5 $4 ($130) ($60) $256 ($14) ($4) ($356) ($299) Interest expense (income), net - 60 (1) 9 (7) 2 (1) 282 344 Income tax (benefit) expense - (13) (48) 12 (5) - - 48 (6) Depreciation and amortization - 276 65 17 18 5 28 - 409 $5 $327 ($114) ($22) $262 ($7) $23 ($26) $448 Impairment - - 25 14 - - - - 39 Restructuring costs - - - 8 - 1 - - 9 Revaluation of RFS Liability⁽²⁾ - (188) - - - - - - (188) Unrealized gain on energy segment derivatives⁽²⁾ - (3) - - - - - - (3) Inventory valuation impacts, unfavorable⁽²⁾ - 46 - - - - - - 46 Loss (gain) on disposition of assets, net - - 16 - (270) - - - (254) Transformation costs - - 45 - - - - - 45 Net loss (gain) on extinguishment of debt - 2 - - - - - (3) (1) Intercompany Lease (Expenses) / Revenues - - (9) - 9 - - - - Closed store adjustments - - 24 - - - - - 24 Other - 1 22 7 - - (1) - 29 $5 $185 $9 $7 $1 ($6) $22 ($29) $194 EBITDA attributable to IEP Adjusted EBITDA attributable to IEP Adjusted EBITDA attributable to IEP: EBITDA before non-controlling interests Adj. EBITDA before non-controlling interests Adjusted EBITDA(2) ($Millions) Investment Energy Automotive Food Packaging (1) Real Estate (1) Home Fashion (1) Pharma (1) Holding Company Consolidated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Adjusted EBITDA Reconciliation by Segment – Year Ended December 31, 2024 Net (loss) income ($242) ($4) ($16) ($6) ($4) ($8) $9 ($271) ($542) Interest expense (income), net - 77 (2) 11 (1) 1 (2) 219 303 Income tax (benefit) expense - (42) (15) - - 32 (25) Depreciation and amortization - 363 74 24 15 6 28 1 511 ($242) $394 $41 $29 $10 ($1) $35 ($19) $247 Restructuring costs - - - 2 - 1 - - 3 Revaluation of RFS Liability(2) - (89) - - - - - - (89) Unrealized gain on energy segment derivatives(2) - 22 - - - - - - 22 Inventory valuation impacts, unfavorable(2) - 14 - - - - - - 14 Loss (gain) on disposition of assets, net - - 7 - - - - (3) 4 Transformation costs - - 38 - - - - - 38 Net gain on extinguishment of debt - - - - - - - (8) (8) Gain on sale of equity method Investment - (24) - - - - - - (24) Gain on lease termination - - (38) - - - - - (38) Same store adjustment including closing costs - - 10 - - - - - 10 Other - - 29 11 - 4 1 - 45 ($242) $317 $87 $42 $10 $4 $36 ($30) $224 Net (loss) income ($132) ($18) ($16) ($5) ($4) ($8) $9 ($271) ($445) Interest expense (income), net - 38 (2) 10 (1) 1 (2) 219 263 Income tax (benefit) expense - (24) (15) - - - - 32 (7) Depreciation and amortization - 191 74 21 15 6 28 1 336 ($132) $187 $41 $26 $10 ($1) $35 ($19) $147 Restructuring costs - - - 2 - 1 - - 3 Revaluation of RFS Liability - (59) - - - - - - (59) Unrealized gain on energy segment derivatives - 15 - - - - - - 15 Inventory valuation impacts, unfavorable - 9 - - - - - - 9 Loss (gain) on disposition of assets, net - - 7 - - - - (3) 4 Transformation costs - - 38 - - - - - 38 Net gain on extinguishment of debt - - - - - - - (8) (8) Gain on sale of equity method Investment - (16) - - - - - - (16) Gain on lease termination - - (38) - - - - - (38) Same store adjustment including closing costs - - 10 - - - - - 10 Other - - 29 10 - 4 1 - 44 ($132) $136 $87 $38 $10 $4 $36 ($30) $149 EBITDA attributable to IEP Adjusted EBITDA attributable to IEP Adjusted EBITDA attributable to IEP: EBITDA before non-controlling interests Adj. EBITDA before non-controlling interests Adjusted EBITDA(2) ($Millions) Investment Energy Automotive Food Packaging (1) Real Estate (1) Home Fashion (1) Pharma (1) Holding Company Consolidated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28 Adjusted EBITDA Reconciliation by Segment – Year Ended December 31, 2023 Net (loss) income ($1,353) $831 ($6) $13 $16 ($6) ($3) ($504) ($1,012) Interest expense (income), net - 52 - 12 - 1 (1) 189 253 Income tax expense (benefit) - 189 (10) 4 - - - (93) 90 Depreciation and amortization - 363 81 25 13 7 28 1 518 ($1,353) $1,435 $65 $54 $29 $2 $24 ($407) ($151) Impairment - - 7 - - - - - 7 Credit loss on related party note receivable - - - - - - - 139 139 Loss on deconsolidation of subsidiary - - - - - - - 246 246 Restructuring costs - - - - - 1 - - 1 Revaluation of RFS Liability(2) - (284) - - - - - - (284) Unrealized gain on energy segment derivatives(2) - (32) - - - - - - (32) Inventory valuation impacts, unfavorable(2) - 45 - - - - - - 45 Gain on disposition of assets, net - - (10) - - - - - (10) Transformation costs - - 41 - - - - - 41 Net gain on extinguishment of debt - - - - - - - (13) (13) Same store adjustment including closing costs - - 4 - - - - - 4 Other - - 10 11 (1) - 1 - 21 ($1,353) $1,164 $117 $65 $28 $3 $25 ($35) $14 Net (loss) income ($701) $508 ($6) $12 $16 ($6) ($3) ($504) ($684) Interest expense (income), net - 24 - 11 - 1 (1) 189 224 Income tax expense (benefit) - 135 (10) 4 - - - (93) 36 Depreciation and amortization - 202 81 22 13 7 28 1 354 ($701) $869 $65 $49 $29 $2 $24 ($407) ($70) Impairment - - 7 - - - - - 7 Credit loss on related party note receivable - - - - - - - 139 139 Loss on deconsolidation of subsidiary - - - - - - - 246 246 Restructuring costs - - - - - 1 - - 1 Revaluation of RFS Liability - (191) - - - - - - (191) Unrealized gain on energy segment derivatives - (22) - - - - - - (22) Inventory valuation impacts, unfavorable - 32 - - - - - - 32 Gain on disposition of assets, net - - (10) - - - - - (10) Transformation costs - - 41 - - - - - 41 Net gain on extinguishment of debt - - - - - - - (13) (13) Same store adjustment including closing costs - - 4 - - - - - 4 Other - - 10 10 (1) - 1 - 20 ($701) $688 $117 $59 $28 $3 $25 ($35) $184 ($Millions) Investment Energy Automotive Food Packaging (1) Holding Company Consolidated Home Fashion (1) Pharma (1) Real Estate (1) Adjusted EBITDA(2) EBITDA before non-controlling interests Adj. EBITDA before non-controlling interests EBITDA attributable to IEP Adjusted EBITDA attributable to IEP Adjusted EBITDA attributable to IEP: (1) The presentation of Adjusted EBITDA for “All Other Operating Segments” included in this presentation consists of results from our Food Packaging, Real Estate, Home Fashion, and Pharma segments. (2) The presentation of Adjusted EBITDA in this presentation for the period presented above has been prepared using a calculation excluding Energy segment unrealized gains/losses on hedging contracts, unrealized gains/losses on RFS positions, Energy segment inventory revaluation, and certain other non-operational or non-recurring charges which were not excluded when preparing Adjusted EBITDA for prior periods. See "Uses of Non-GAAP Financial Measures" for additional explanation of the updates in our presentation.</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10794</Words>
  <Characters>54366</Characters>
  <CharactersWithSpaces>65119</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